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Default Extension="png" ContentType="image/png"/>
  <Override PartName="/word/header11.xml" ContentType="application/vnd.openxmlformats-officedocument.wordprocessingml.header+xml"/>
  <Override PartName="/word/header12.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2"/>
        <w:rPr>
          <w:rFonts w:ascii="Times New Roman"/>
          <w:sz w:val="15"/>
        </w:rPr>
      </w:pPr>
    </w:p>
    <w:p>
      <w:pPr>
        <w:pStyle w:val="BodyText"/>
        <w:ind w:left="3603"/>
        <w:rPr>
          <w:rFonts w:ascii="Times New Roman"/>
          <w:sz w:val="20"/>
        </w:rPr>
      </w:pPr>
      <w:r>
        <w:rPr>
          <w:rFonts w:ascii="Times New Roman"/>
          <w:sz w:val="20"/>
        </w:rPr>
        <w:drawing>
          <wp:inline distT="0" distB="0" distL="0" distR="0">
            <wp:extent cx="1430197" cy="97155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430197" cy="971550"/>
                    </a:xfrm>
                    <a:prstGeom prst="rect">
                      <a:avLst/>
                    </a:prstGeom>
                  </pic:spPr>
                </pic:pic>
              </a:graphicData>
            </a:graphic>
          </wp:inline>
        </w:drawing>
      </w:r>
      <w:r>
        <w:rPr>
          <w:rFonts w:ascii="Times New Roman"/>
          <w:sz w:val="20"/>
        </w:rPr>
      </w:r>
    </w:p>
    <w:p>
      <w:pPr>
        <w:pStyle w:val="Heading1"/>
        <w:spacing w:line="360" w:lineRule="auto" w:before="0"/>
        <w:ind w:left="687" w:right="112" w:firstLine="84"/>
      </w:pPr>
      <w:r>
        <w:rPr/>
        <w:t>UNIVERSIDADE FEDERAL DO TOCANTINS – UFT PROGRAMA DE PÓS-GRADUAÇÃO EM EDUCAÇÃO – PPGE CURSO DE MESTRADO EM EDUCAÇÃO</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spacing w:before="181"/>
        <w:ind w:left="1103" w:right="532" w:firstLine="0"/>
        <w:jc w:val="center"/>
        <w:rPr>
          <w:b/>
          <w:sz w:val="28"/>
        </w:rPr>
      </w:pPr>
      <w:r>
        <w:rPr>
          <w:b/>
          <w:sz w:val="28"/>
        </w:rPr>
        <w:t>EDNA MARIA CRUZ PINHO</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29"/>
        </w:rPr>
      </w:pPr>
    </w:p>
    <w:p>
      <w:pPr>
        <w:spacing w:line="362" w:lineRule="auto" w:before="0"/>
        <w:ind w:left="1109" w:right="532" w:firstLine="0"/>
        <w:jc w:val="center"/>
        <w:rPr>
          <w:b/>
          <w:sz w:val="28"/>
        </w:rPr>
      </w:pPr>
      <w:r>
        <w:rPr>
          <w:b/>
          <w:sz w:val="28"/>
        </w:rPr>
        <w:t>ESCOLA CRIATIVA NO TOCANTINS: UM ESTÍMULO À RELIGAÇÃO DOS SABERES</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spacing w:before="8"/>
        <w:rPr>
          <w:b/>
          <w:sz w:val="27"/>
        </w:rPr>
      </w:pPr>
    </w:p>
    <w:p>
      <w:pPr>
        <w:pStyle w:val="BodyText"/>
        <w:spacing w:line="242" w:lineRule="auto"/>
        <w:ind w:left="4029" w:right="3441"/>
        <w:jc w:val="center"/>
      </w:pPr>
      <w:r>
        <w:rPr/>
        <w:t>Palmas - TO 2015</w:t>
      </w:r>
    </w:p>
    <w:p>
      <w:pPr>
        <w:spacing w:after="0" w:line="242" w:lineRule="auto"/>
        <w:jc w:val="center"/>
        <w:sectPr>
          <w:type w:val="continuous"/>
          <w:pgSz w:w="11910" w:h="16840"/>
          <w:pgMar w:top="1580" w:bottom="280" w:left="1680" w:right="1400"/>
        </w:sectPr>
      </w:pPr>
    </w:p>
    <w:p>
      <w:pPr>
        <w:pStyle w:val="Heading1"/>
        <w:spacing w:before="88"/>
        <w:ind w:left="382"/>
      </w:pPr>
      <w:r>
        <w:rPr/>
        <w:t>EDNA MARIA CRUZ PINHO</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41"/>
        </w:rPr>
      </w:pPr>
    </w:p>
    <w:p>
      <w:pPr>
        <w:spacing w:line="362" w:lineRule="auto" w:before="0"/>
        <w:ind w:left="387" w:right="190" w:firstLine="0"/>
        <w:jc w:val="center"/>
        <w:rPr>
          <w:b/>
          <w:sz w:val="28"/>
        </w:rPr>
      </w:pPr>
      <w:r>
        <w:rPr>
          <w:b/>
          <w:sz w:val="28"/>
        </w:rPr>
        <w:t>ESCOLA CRIATIVA NO TOCANTINS: UM ESTÍMULO À RELIGAÇÃO DOS SABERES</w:t>
      </w:r>
    </w:p>
    <w:p>
      <w:pPr>
        <w:pStyle w:val="BodyText"/>
        <w:rPr>
          <w:b/>
          <w:sz w:val="30"/>
        </w:rPr>
      </w:pPr>
    </w:p>
    <w:p>
      <w:pPr>
        <w:pStyle w:val="BodyText"/>
        <w:rPr>
          <w:b/>
          <w:sz w:val="30"/>
        </w:rPr>
      </w:pPr>
    </w:p>
    <w:p>
      <w:pPr>
        <w:pStyle w:val="BodyText"/>
        <w:rPr>
          <w:b/>
          <w:sz w:val="30"/>
        </w:rPr>
      </w:pPr>
    </w:p>
    <w:p>
      <w:pPr>
        <w:pStyle w:val="BodyText"/>
        <w:spacing w:before="11"/>
        <w:rPr>
          <w:b/>
          <w:sz w:val="42"/>
        </w:rPr>
      </w:pPr>
    </w:p>
    <w:p>
      <w:pPr>
        <w:pStyle w:val="BodyText"/>
        <w:ind w:left="4846" w:right="105"/>
        <w:jc w:val="both"/>
      </w:pPr>
      <w:r>
        <w:rPr/>
        <w:t>Dissertação apresentada ao Programa de Pós-Graduação em Educação, da Universidade Federal do Tocantins, na Linha de Pesquisa Currículo, Formação de Professores e Saberes Docentes, como requisito para obtenção do título de Mestre em Educação.</w:t>
      </w:r>
    </w:p>
    <w:p>
      <w:pPr>
        <w:pStyle w:val="BodyText"/>
        <w:spacing w:before="10"/>
        <w:rPr>
          <w:sz w:val="21"/>
        </w:rPr>
      </w:pPr>
    </w:p>
    <w:p>
      <w:pPr>
        <w:pStyle w:val="BodyText"/>
        <w:ind w:left="4846"/>
        <w:jc w:val="both"/>
      </w:pPr>
      <w:r>
        <w:rPr/>
        <w:t>Orientadora: Profª. Drª. Maria José  </w:t>
      </w:r>
      <w:r>
        <w:rPr>
          <w:spacing w:val="55"/>
        </w:rPr>
        <w:t> </w:t>
      </w:r>
      <w:r>
        <w:rPr/>
        <w:t>de</w:t>
      </w:r>
    </w:p>
    <w:p>
      <w:pPr>
        <w:pStyle w:val="BodyText"/>
        <w:spacing w:line="275" w:lineRule="exact" w:before="2"/>
        <w:ind w:right="2321"/>
        <w:jc w:val="right"/>
      </w:pPr>
      <w:r>
        <w:rPr/>
        <w:t>Pinho</w:t>
      </w:r>
    </w:p>
    <w:p>
      <w:pPr>
        <w:pStyle w:val="BodyText"/>
        <w:spacing w:line="275" w:lineRule="exact"/>
        <w:ind w:left="4846"/>
        <w:jc w:val="both"/>
      </w:pPr>
      <w:r>
        <w:rPr/>
        <w:t>Co-Orientador: Prof. Dr. João</w:t>
      </w:r>
      <w:r>
        <w:rPr>
          <w:spacing w:val="56"/>
        </w:rPr>
        <w:t> </w:t>
      </w:r>
      <w:r>
        <w:rPr/>
        <w:t>Henrique</w:t>
      </w:r>
    </w:p>
    <w:p>
      <w:pPr>
        <w:pStyle w:val="BodyText"/>
        <w:spacing w:before="2"/>
        <w:ind w:left="6262"/>
      </w:pPr>
      <w:r>
        <w:rPr/>
        <w:t>Suanno</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4"/>
        <w:rPr>
          <w:sz w:val="22"/>
        </w:rPr>
      </w:pPr>
    </w:p>
    <w:p>
      <w:pPr>
        <w:pStyle w:val="BodyText"/>
        <w:spacing w:line="274" w:lineRule="exact"/>
        <w:ind w:left="4063" w:right="3855"/>
        <w:jc w:val="center"/>
      </w:pPr>
      <w:r>
        <w:rPr/>
        <w:t>Palmas -TO 2015</w:t>
      </w:r>
    </w:p>
    <w:p>
      <w:pPr>
        <w:spacing w:after="0" w:line="274" w:lineRule="exact"/>
        <w:jc w:val="center"/>
        <w:sectPr>
          <w:pgSz w:w="11910" w:h="16840"/>
          <w:pgMar w:top="1580" w:bottom="280" w:left="16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pPr>
    </w:p>
    <w:p>
      <w:pPr>
        <w:spacing w:before="95"/>
        <w:ind w:left="2392" w:right="1746" w:hanging="428"/>
        <w:jc w:val="left"/>
        <w:rPr>
          <w:b/>
          <w:sz w:val="20"/>
        </w:rPr>
      </w:pPr>
      <w:r>
        <w:rPr>
          <w:b/>
          <w:sz w:val="20"/>
        </w:rPr>
        <w:t>Dados Internacionais de Catalogação na Publicação (CIP) Biblioteca da Universidade Federal do Tocantins</w:t>
      </w:r>
    </w:p>
    <w:p>
      <w:pPr>
        <w:tabs>
          <w:tab w:pos="3145" w:val="left" w:leader="none"/>
          <w:tab w:pos="8797" w:val="left" w:leader="none"/>
        </w:tabs>
        <w:spacing w:before="0"/>
        <w:ind w:left="255" w:right="0" w:firstLine="0"/>
        <w:jc w:val="left"/>
        <w:rPr>
          <w:b/>
          <w:sz w:val="20"/>
        </w:rPr>
      </w:pPr>
      <w:r>
        <w:rPr>
          <w:b/>
          <w:w w:val="100"/>
          <w:sz w:val="20"/>
          <w:u w:val="single"/>
        </w:rPr>
        <w:t> </w:t>
      </w:r>
      <w:r>
        <w:rPr>
          <w:b/>
          <w:sz w:val="20"/>
          <w:u w:val="single"/>
        </w:rPr>
        <w:tab/>
        <w:t>Campus Universitário de</w:t>
      </w:r>
      <w:r>
        <w:rPr>
          <w:b/>
          <w:spacing w:val="-7"/>
          <w:sz w:val="20"/>
          <w:u w:val="single"/>
        </w:rPr>
        <w:t> </w:t>
      </w:r>
      <w:r>
        <w:rPr>
          <w:b/>
          <w:sz w:val="20"/>
          <w:u w:val="single"/>
        </w:rPr>
        <w:t>Palmas</w:t>
        <w:tab/>
      </w:r>
    </w:p>
    <w:p>
      <w:pPr>
        <w:pStyle w:val="BodyText"/>
        <w:rPr>
          <w:b/>
          <w:sz w:val="22"/>
        </w:rPr>
      </w:pPr>
    </w:p>
    <w:p>
      <w:pPr>
        <w:pStyle w:val="BodyText"/>
        <w:spacing w:before="6"/>
        <w:rPr>
          <w:b/>
          <w:sz w:val="23"/>
        </w:rPr>
      </w:pPr>
    </w:p>
    <w:p>
      <w:pPr>
        <w:tabs>
          <w:tab w:pos="1137" w:val="left" w:leader="none"/>
        </w:tabs>
        <w:spacing w:before="0"/>
        <w:ind w:left="0" w:right="5211" w:firstLine="0"/>
        <w:jc w:val="center"/>
        <w:rPr>
          <w:sz w:val="20"/>
        </w:rPr>
      </w:pPr>
      <w:r>
        <w:rPr>
          <w:sz w:val="20"/>
        </w:rPr>
        <w:t>P654</w:t>
      </w:r>
      <w:r>
        <w:rPr>
          <w:b/>
          <w:sz w:val="20"/>
        </w:rPr>
        <w:t>e</w:t>
        <w:tab/>
      </w:r>
      <w:r>
        <w:rPr>
          <w:sz w:val="20"/>
        </w:rPr>
        <w:t>Pinho, Edna Maria</w:t>
      </w:r>
      <w:r>
        <w:rPr>
          <w:spacing w:val="-7"/>
          <w:sz w:val="20"/>
        </w:rPr>
        <w:t> </w:t>
      </w:r>
      <w:r>
        <w:rPr>
          <w:sz w:val="20"/>
        </w:rPr>
        <w:t>Cruz</w:t>
      </w:r>
    </w:p>
    <w:p>
      <w:pPr>
        <w:spacing w:before="5"/>
        <w:ind w:left="1489" w:right="1406" w:firstLine="283"/>
        <w:jc w:val="left"/>
        <w:rPr>
          <w:sz w:val="20"/>
        </w:rPr>
      </w:pPr>
      <w:r>
        <w:rPr>
          <w:sz w:val="20"/>
        </w:rPr>
        <w:t>Escola criativa no Tocantins: </w:t>
      </w:r>
      <w:r>
        <w:rPr>
          <w:spacing w:val="-4"/>
          <w:sz w:val="20"/>
        </w:rPr>
        <w:t>um </w:t>
      </w:r>
      <w:r>
        <w:rPr>
          <w:sz w:val="20"/>
        </w:rPr>
        <w:t>estímulo à religação de saberes /  Edna Maria Cruz Pinho. – Palmas,</w:t>
      </w:r>
      <w:r>
        <w:rPr>
          <w:spacing w:val="-5"/>
          <w:sz w:val="20"/>
        </w:rPr>
        <w:t> </w:t>
      </w:r>
      <w:r>
        <w:rPr>
          <w:sz w:val="20"/>
        </w:rPr>
        <w:t>2015.</w:t>
      </w:r>
    </w:p>
    <w:p>
      <w:pPr>
        <w:spacing w:before="0"/>
        <w:ind w:left="1700" w:right="0" w:firstLine="0"/>
        <w:jc w:val="left"/>
        <w:rPr>
          <w:sz w:val="20"/>
        </w:rPr>
      </w:pPr>
      <w:r>
        <w:rPr>
          <w:sz w:val="20"/>
        </w:rPr>
        <w:t>205 fls.</w:t>
      </w:r>
    </w:p>
    <w:p>
      <w:pPr>
        <w:pStyle w:val="BodyText"/>
        <w:spacing w:before="1"/>
        <w:rPr>
          <w:sz w:val="20"/>
        </w:rPr>
      </w:pPr>
    </w:p>
    <w:p>
      <w:pPr>
        <w:spacing w:before="0"/>
        <w:ind w:left="1489" w:right="1746" w:firstLine="283"/>
        <w:jc w:val="left"/>
        <w:rPr>
          <w:sz w:val="20"/>
        </w:rPr>
      </w:pPr>
      <w:r>
        <w:rPr>
          <w:sz w:val="20"/>
        </w:rPr>
        <w:t>Dissertação de Mestrado – Universidade Federal do Tocantins, Programa de Pós-Graduação em Educação, 2015.</w:t>
      </w:r>
    </w:p>
    <w:p>
      <w:pPr>
        <w:spacing w:line="240" w:lineRule="auto" w:before="0"/>
        <w:ind w:left="1489" w:right="1406" w:firstLine="283"/>
        <w:jc w:val="left"/>
        <w:rPr>
          <w:sz w:val="20"/>
        </w:rPr>
      </w:pPr>
      <w:r>
        <w:rPr>
          <w:sz w:val="20"/>
        </w:rPr>
        <w:t>Linha de pesquisa: Currículo, Formação de Professores e saberes Docentes.</w:t>
      </w:r>
    </w:p>
    <w:p>
      <w:pPr>
        <w:spacing w:before="5"/>
        <w:ind w:left="1767" w:right="0" w:firstLine="0"/>
        <w:jc w:val="left"/>
        <w:rPr>
          <w:sz w:val="20"/>
        </w:rPr>
      </w:pPr>
      <w:r>
        <w:rPr>
          <w:sz w:val="20"/>
        </w:rPr>
        <w:t>Orientador: Profª. Drª. Maria José de Pinho.</w:t>
      </w:r>
    </w:p>
    <w:p>
      <w:pPr>
        <w:pStyle w:val="BodyText"/>
        <w:spacing w:before="1"/>
        <w:rPr>
          <w:sz w:val="20"/>
        </w:rPr>
      </w:pPr>
    </w:p>
    <w:p>
      <w:pPr>
        <w:pStyle w:val="ListParagraph"/>
        <w:numPr>
          <w:ilvl w:val="0"/>
          <w:numId w:val="1"/>
        </w:numPr>
        <w:tabs>
          <w:tab w:pos="2032" w:val="left" w:leader="none"/>
        </w:tabs>
        <w:spacing w:line="240" w:lineRule="auto" w:before="0" w:after="0"/>
        <w:ind w:left="1489" w:right="1063" w:firstLine="283"/>
        <w:jc w:val="left"/>
        <w:rPr>
          <w:sz w:val="20"/>
        </w:rPr>
      </w:pPr>
      <w:r>
        <w:rPr>
          <w:sz w:val="20"/>
        </w:rPr>
        <w:t>Prática educativa. </w:t>
      </w:r>
      <w:r>
        <w:rPr>
          <w:spacing w:val="-4"/>
          <w:sz w:val="20"/>
        </w:rPr>
        <w:t>2. </w:t>
      </w:r>
      <w:r>
        <w:rPr>
          <w:sz w:val="20"/>
        </w:rPr>
        <w:t>Pensamento complexo. 3. Escola Criativa. I. Pinho, Maria José de. II. Universidade Federal do Tocantins. III.</w:t>
      </w:r>
      <w:r>
        <w:rPr>
          <w:spacing w:val="-20"/>
          <w:sz w:val="20"/>
        </w:rPr>
        <w:t> </w:t>
      </w:r>
      <w:r>
        <w:rPr>
          <w:sz w:val="20"/>
        </w:rPr>
        <w:t>Título.</w:t>
      </w:r>
    </w:p>
    <w:p>
      <w:pPr>
        <w:pStyle w:val="BodyText"/>
        <w:spacing w:before="7"/>
        <w:rPr>
          <w:sz w:val="19"/>
        </w:rPr>
      </w:pPr>
    </w:p>
    <w:p>
      <w:pPr>
        <w:spacing w:before="0"/>
        <w:ind w:left="0" w:right="450" w:firstLine="0"/>
        <w:jc w:val="right"/>
        <w:rPr>
          <w:b/>
          <w:sz w:val="20"/>
        </w:rPr>
      </w:pPr>
      <w:r>
        <w:rPr>
          <w:b/>
          <w:sz w:val="20"/>
        </w:rPr>
        <w:t>CDD 370.1098117</w:t>
      </w:r>
    </w:p>
    <w:p>
      <w:pPr>
        <w:pStyle w:val="BodyText"/>
        <w:spacing w:before="1"/>
        <w:rPr>
          <w:b/>
          <w:sz w:val="22"/>
        </w:rPr>
      </w:pPr>
      <w:r>
        <w:rPr/>
        <w:pict>
          <v:line style="position:absolute;mso-position-horizontal-relative:page;mso-position-vertical-relative:paragraph;z-index:0;mso-wrap-distance-left:0;mso-wrap-distance-right:0" from="96.047997pt,14.924763pt" to="523.897997pt,14.924763pt" stroked="true" strokeweight=".47998pt" strokecolor="#000000">
            <v:stroke dashstyle="solid"/>
            <w10:wrap type="topAndBottom"/>
          </v:line>
        </w:pict>
      </w:r>
    </w:p>
    <w:p>
      <w:pPr>
        <w:spacing w:line="191" w:lineRule="exact" w:before="0"/>
        <w:ind w:left="391" w:right="188" w:firstLine="0"/>
        <w:jc w:val="center"/>
        <w:rPr>
          <w:b/>
          <w:sz w:val="20"/>
        </w:rPr>
      </w:pPr>
      <w:r>
        <w:rPr>
          <w:b/>
          <w:sz w:val="20"/>
        </w:rPr>
        <w:t>Bibliotecária: Atilena Oliveira</w:t>
      </w:r>
    </w:p>
    <w:p>
      <w:pPr>
        <w:spacing w:before="0"/>
        <w:ind w:left="391" w:right="186" w:firstLine="0"/>
        <w:jc w:val="center"/>
        <w:rPr>
          <w:b/>
          <w:sz w:val="20"/>
        </w:rPr>
      </w:pPr>
      <w:r>
        <w:rPr>
          <w:b/>
          <w:sz w:val="20"/>
        </w:rPr>
        <w:t>CRB² 932</w:t>
      </w:r>
    </w:p>
    <w:p>
      <w:pPr>
        <w:spacing w:before="0"/>
        <w:ind w:left="308" w:right="102" w:firstLine="0"/>
        <w:jc w:val="both"/>
        <w:rPr>
          <w:b/>
          <w:sz w:val="20"/>
        </w:rPr>
      </w:pPr>
      <w:r>
        <w:rPr>
          <w:b/>
          <w:sz w:val="20"/>
        </w:rPr>
        <w:t>TODOS OS DIREITOS RESERVADOS – A reprodução total ou parcial, de qualquer forma ou por qualquer meio deste documento é autorizado desde que citada a fonte. A violação dos direitos do autor (Lei nº 9.610/98) é crime estabelecido pelo artigo 184 do Código Penal.</w:t>
      </w:r>
    </w:p>
    <w:p>
      <w:pPr>
        <w:spacing w:after="0"/>
        <w:jc w:val="both"/>
        <w:rPr>
          <w:sz w:val="20"/>
        </w:rPr>
        <w:sectPr>
          <w:pgSz w:w="11910" w:h="16840"/>
          <w:pgMar w:top="1580" w:bottom="280" w:left="1680" w:right="1020"/>
        </w:sectPr>
      </w:pPr>
    </w:p>
    <w:p>
      <w:pPr>
        <w:pStyle w:val="Heading3"/>
        <w:ind w:left="386" w:right="190"/>
        <w:jc w:val="center"/>
      </w:pPr>
      <w:r>
        <w:rPr/>
        <w:t>TERMO DE APROVAÇÃO</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spacing w:before="164"/>
        <w:ind w:left="385" w:right="190" w:firstLine="0"/>
        <w:jc w:val="center"/>
        <w:rPr>
          <w:b/>
          <w:sz w:val="24"/>
        </w:rPr>
      </w:pPr>
      <w:r>
        <w:rPr>
          <w:b/>
          <w:sz w:val="24"/>
        </w:rPr>
        <w:t>Edna Maria Cruz Pinho</w:t>
      </w:r>
    </w:p>
    <w:p>
      <w:pPr>
        <w:pStyle w:val="BodyText"/>
        <w:rPr>
          <w:b/>
          <w:sz w:val="26"/>
        </w:rPr>
      </w:pPr>
    </w:p>
    <w:p>
      <w:pPr>
        <w:pStyle w:val="BodyText"/>
        <w:rPr>
          <w:b/>
          <w:sz w:val="26"/>
        </w:rPr>
      </w:pPr>
    </w:p>
    <w:p>
      <w:pPr>
        <w:pStyle w:val="BodyText"/>
        <w:spacing w:before="6"/>
        <w:rPr>
          <w:b/>
          <w:sz w:val="25"/>
        </w:rPr>
      </w:pPr>
    </w:p>
    <w:p>
      <w:pPr>
        <w:spacing w:line="362" w:lineRule="auto" w:before="0"/>
        <w:ind w:left="387" w:right="190" w:firstLine="0"/>
        <w:jc w:val="center"/>
        <w:rPr>
          <w:b/>
          <w:sz w:val="28"/>
        </w:rPr>
      </w:pPr>
      <w:r>
        <w:rPr>
          <w:b/>
          <w:sz w:val="28"/>
        </w:rPr>
        <w:t>ESCOLA CRIATIVA NO TOCANTINS: UM ESTÍMULO À RELIGAÇÃO DOS SABERES</w:t>
      </w:r>
    </w:p>
    <w:p>
      <w:pPr>
        <w:pStyle w:val="BodyText"/>
        <w:rPr>
          <w:b/>
          <w:sz w:val="30"/>
        </w:rPr>
      </w:pPr>
    </w:p>
    <w:p>
      <w:pPr>
        <w:pStyle w:val="BodyText"/>
        <w:spacing w:before="6"/>
        <w:rPr>
          <w:b/>
          <w:sz w:val="37"/>
        </w:rPr>
      </w:pPr>
    </w:p>
    <w:p>
      <w:pPr>
        <w:pStyle w:val="BodyText"/>
        <w:spacing w:line="274" w:lineRule="exact"/>
        <w:ind w:left="308"/>
      </w:pPr>
      <w:r>
        <w:rPr/>
        <w:t>Dissertação como requisito para obtenção do título de Mestre em Educação, Universidade Federal do Tocantins - UFT, defendida em 12/ 02 /2015.</w:t>
      </w:r>
    </w:p>
    <w:p>
      <w:pPr>
        <w:pStyle w:val="BodyText"/>
        <w:rPr>
          <w:sz w:val="26"/>
        </w:rPr>
      </w:pPr>
    </w:p>
    <w:p>
      <w:pPr>
        <w:pStyle w:val="BodyText"/>
        <w:rPr>
          <w:sz w:val="26"/>
        </w:rPr>
      </w:pPr>
    </w:p>
    <w:p>
      <w:pPr>
        <w:pStyle w:val="BodyText"/>
        <w:spacing w:before="159"/>
        <w:ind w:left="391" w:right="190"/>
        <w:jc w:val="center"/>
      </w:pPr>
      <w:r>
        <w:rPr/>
        <w:t>Banca de Avaliação</w:t>
      </w:r>
    </w:p>
    <w:p>
      <w:pPr>
        <w:pStyle w:val="BodyText"/>
        <w:rPr>
          <w:sz w:val="26"/>
        </w:rPr>
      </w:pPr>
    </w:p>
    <w:p>
      <w:pPr>
        <w:pStyle w:val="BodyText"/>
        <w:rPr>
          <w:sz w:val="26"/>
        </w:rPr>
      </w:pPr>
    </w:p>
    <w:p>
      <w:pPr>
        <w:pStyle w:val="Heading3"/>
        <w:spacing w:before="167"/>
        <w:ind w:left="391" w:right="190"/>
        <w:jc w:val="center"/>
      </w:pPr>
      <w:r>
        <w:rPr/>
        <w:t>Profª Drª. Maria José de Pinho – PPGE/UFT</w:t>
      </w:r>
    </w:p>
    <w:p>
      <w:pPr>
        <w:pStyle w:val="BodyText"/>
        <w:spacing w:before="2"/>
        <w:ind w:left="391" w:right="188"/>
        <w:jc w:val="center"/>
      </w:pPr>
      <w:r>
        <w:rPr/>
        <w:t>Orientadora e Presidente</w:t>
      </w:r>
    </w:p>
    <w:p>
      <w:pPr>
        <w:pStyle w:val="BodyText"/>
        <w:rPr>
          <w:sz w:val="20"/>
        </w:rPr>
      </w:pPr>
    </w:p>
    <w:p>
      <w:pPr>
        <w:pStyle w:val="BodyText"/>
        <w:spacing w:before="2"/>
        <w:rPr>
          <w:sz w:val="18"/>
        </w:rPr>
      </w:pPr>
      <w:r>
        <w:rPr/>
        <w:pict>
          <v:line style="position:absolute;mso-position-horizontal-relative:page;mso-position-vertical-relative:paragraph;z-index:1048;mso-wrap-distance-left:0;mso-wrap-distance-right:0" from="160.149994pt,12.757273pt" to="477.814969pt,12.757273pt" stroked="true" strokeweight=".69552pt" strokecolor="#000000">
            <v:stroke dashstyle="solid"/>
            <w10:wrap type="topAndBottom"/>
          </v:line>
        </w:pict>
      </w:r>
    </w:p>
    <w:p>
      <w:pPr>
        <w:pStyle w:val="BodyText"/>
        <w:spacing w:before="11"/>
        <w:rPr>
          <w:sz w:val="21"/>
        </w:rPr>
      </w:pPr>
    </w:p>
    <w:p>
      <w:pPr>
        <w:pStyle w:val="Heading3"/>
        <w:ind w:left="388" w:right="190"/>
        <w:jc w:val="center"/>
      </w:pPr>
      <w:r>
        <w:rPr/>
        <w:t>Profº João Henrique Suanno – UEG/GO</w:t>
      </w:r>
    </w:p>
    <w:p>
      <w:pPr>
        <w:pStyle w:val="BodyText"/>
        <w:spacing w:before="6"/>
        <w:ind w:left="391" w:right="186"/>
        <w:jc w:val="center"/>
      </w:pPr>
      <w:r>
        <w:rPr/>
        <w:t>Co-Orientador</w:t>
      </w:r>
    </w:p>
    <w:p>
      <w:pPr>
        <w:pStyle w:val="BodyText"/>
        <w:rPr>
          <w:sz w:val="20"/>
        </w:rPr>
      </w:pPr>
    </w:p>
    <w:p>
      <w:pPr>
        <w:pStyle w:val="BodyText"/>
        <w:spacing w:before="9"/>
        <w:rPr>
          <w:sz w:val="17"/>
        </w:rPr>
      </w:pPr>
      <w:r>
        <w:rPr/>
        <w:pict>
          <v:line style="position:absolute;mso-position-horizontal-relative:page;mso-position-vertical-relative:paragraph;z-index:1072;mso-wrap-distance-left:0;mso-wrap-distance-right:0" from="160.149994pt,12.527002pt" to="477.814969pt,12.527002pt" stroked="true" strokeweight=".69552pt" strokecolor="#000000">
            <v:stroke dashstyle="solid"/>
            <w10:wrap type="topAndBottom"/>
          </v:line>
        </w:pict>
      </w:r>
    </w:p>
    <w:p>
      <w:pPr>
        <w:pStyle w:val="BodyText"/>
        <w:spacing w:before="4"/>
        <w:rPr>
          <w:sz w:val="22"/>
        </w:rPr>
      </w:pPr>
    </w:p>
    <w:p>
      <w:pPr>
        <w:pStyle w:val="Heading3"/>
        <w:spacing w:before="93"/>
        <w:ind w:left="386" w:right="190"/>
        <w:jc w:val="center"/>
      </w:pPr>
      <w:r>
        <w:rPr/>
        <w:t>Profª Drª  Ana Cristina Sousa dos Santos – PPGE/UFF</w:t>
      </w:r>
    </w:p>
    <w:p>
      <w:pPr>
        <w:pStyle w:val="BodyText"/>
        <w:spacing w:before="7"/>
        <w:ind w:left="391" w:right="190"/>
        <w:jc w:val="center"/>
      </w:pPr>
      <w:r>
        <w:rPr/>
        <w:t>Avaliadora</w:t>
      </w:r>
    </w:p>
    <w:p>
      <w:pPr>
        <w:pStyle w:val="BodyText"/>
        <w:rPr>
          <w:sz w:val="20"/>
        </w:rPr>
      </w:pPr>
    </w:p>
    <w:p>
      <w:pPr>
        <w:pStyle w:val="BodyText"/>
        <w:spacing w:before="8"/>
        <w:rPr>
          <w:sz w:val="17"/>
        </w:rPr>
      </w:pPr>
      <w:r>
        <w:rPr/>
        <w:pict>
          <v:group style="position:absolute;margin-left:159.800003pt;margin-top:12.162058pt;width:318.850pt;height:.7pt;mso-position-horizontal-relative:page;mso-position-vertical-relative:paragraph;z-index:1096;mso-wrap-distance-left:0;mso-wrap-distance-right:0" coordorigin="3196,243" coordsize="6377,14">
            <v:line style="position:absolute" from="3203,250" to="7725,250" stroked="true" strokeweight=".69552pt" strokecolor="#000000">
              <v:stroke dashstyle="solid"/>
            </v:line>
            <v:line style="position:absolute" from="7731,250" to="9565,250" stroked="true" strokeweight=".69552pt" strokecolor="#000000">
              <v:stroke dashstyle="solid"/>
            </v:line>
            <w10:wrap type="topAndBottom"/>
          </v:group>
        </w:pict>
      </w:r>
    </w:p>
    <w:p>
      <w:pPr>
        <w:pStyle w:val="BodyText"/>
        <w:spacing w:before="5"/>
        <w:rPr>
          <w:sz w:val="22"/>
        </w:rPr>
      </w:pPr>
    </w:p>
    <w:p>
      <w:pPr>
        <w:pStyle w:val="Heading3"/>
        <w:ind w:left="386" w:right="190"/>
        <w:jc w:val="center"/>
      </w:pPr>
      <w:r>
        <w:rPr/>
        <w:t>Profª Drª Isabel  Cristina Auler Pereira – PPGE/UFT</w:t>
      </w:r>
    </w:p>
    <w:p>
      <w:pPr>
        <w:pStyle w:val="BodyText"/>
        <w:spacing w:before="2"/>
        <w:ind w:left="391" w:right="190"/>
        <w:jc w:val="center"/>
      </w:pPr>
      <w:r>
        <w:rPr/>
        <w:t>Avaliadora</w:t>
      </w:r>
    </w:p>
    <w:p>
      <w:pPr>
        <w:pStyle w:val="BodyText"/>
        <w:rPr>
          <w:sz w:val="20"/>
        </w:rPr>
      </w:pPr>
    </w:p>
    <w:p>
      <w:pPr>
        <w:pStyle w:val="BodyText"/>
        <w:spacing w:before="2"/>
        <w:rPr>
          <w:sz w:val="18"/>
        </w:rPr>
      </w:pPr>
      <w:r>
        <w:rPr/>
        <w:pict>
          <v:line style="position:absolute;mso-position-horizontal-relative:page;mso-position-vertical-relative:paragraph;z-index:1120;mso-wrap-distance-left:0;mso-wrap-distance-right:0" from="160.149994pt,12.762027pt" to="477.814969pt,12.762027pt" stroked="true" strokeweight=".69552pt" strokecolor="#000000">
            <v:stroke dashstyle="solid"/>
            <w10:wrap type="topAndBottom"/>
          </v:line>
        </w:pict>
      </w:r>
    </w:p>
    <w:p>
      <w:pPr>
        <w:pStyle w:val="BodyText"/>
        <w:spacing w:before="5"/>
        <w:rPr>
          <w:sz w:val="22"/>
        </w:rPr>
      </w:pPr>
    </w:p>
    <w:p>
      <w:pPr>
        <w:pStyle w:val="Heading3"/>
        <w:ind w:left="391" w:right="190"/>
        <w:jc w:val="center"/>
      </w:pPr>
      <w:r>
        <w:rPr/>
        <w:t>Profª Drª Carmem Artioli Rolim – PPGE/UFT</w:t>
      </w:r>
    </w:p>
    <w:p>
      <w:pPr>
        <w:pStyle w:val="BodyText"/>
        <w:spacing w:before="2"/>
        <w:ind w:left="387" w:right="190"/>
        <w:jc w:val="center"/>
      </w:pPr>
      <w:r>
        <w:rPr/>
        <w:t>Suplente</w:t>
      </w:r>
    </w:p>
    <w:p>
      <w:pPr>
        <w:pStyle w:val="BodyText"/>
        <w:rPr>
          <w:sz w:val="20"/>
        </w:rPr>
      </w:pPr>
    </w:p>
    <w:p>
      <w:pPr>
        <w:pStyle w:val="BodyText"/>
        <w:spacing w:before="2"/>
        <w:rPr>
          <w:sz w:val="18"/>
        </w:rPr>
      </w:pPr>
      <w:r>
        <w:rPr/>
        <w:pict>
          <v:line style="position:absolute;mso-position-horizontal-relative:page;mso-position-vertical-relative:paragraph;z-index:1144;mso-wrap-distance-left:0;mso-wrap-distance-right:0" from="160.149994pt,12.77605pt" to="477.814969pt,12.77605pt" stroked="true" strokeweight=".69552pt" strokecolor="#000000">
            <v:stroke dashstyle="solid"/>
            <w10:wrap type="topAndBottom"/>
          </v:line>
        </w:pict>
      </w:r>
    </w:p>
    <w:p>
      <w:pPr>
        <w:spacing w:after="0"/>
        <w:rPr>
          <w:sz w:val="18"/>
        </w:rPr>
        <w:sectPr>
          <w:pgSz w:w="11910" w:h="16840"/>
          <w:pgMar w:top="1580" w:bottom="280" w:left="16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5"/>
        </w:rPr>
      </w:pPr>
    </w:p>
    <w:p>
      <w:pPr>
        <w:spacing w:line="360" w:lineRule="auto" w:before="94"/>
        <w:ind w:left="4846" w:right="107" w:firstLine="0"/>
        <w:jc w:val="both"/>
        <w:rPr>
          <w:sz w:val="22"/>
        </w:rPr>
      </w:pPr>
      <w:r>
        <w:rPr>
          <w:sz w:val="22"/>
        </w:rPr>
        <w:t>Aos que me acolheram na minha trajetória de vida até esse momento, que cuidaram de mim, e acreditaram que eu tinha capacidade para escolher meus caminhos, coragem para não desistir diante das dificuldades e força para perseguir e conquistar meus sonhos.</w:t>
      </w:r>
    </w:p>
    <w:p>
      <w:pPr>
        <w:spacing w:line="360" w:lineRule="auto" w:before="3"/>
        <w:ind w:left="4846" w:right="110" w:firstLine="0"/>
        <w:jc w:val="both"/>
        <w:rPr>
          <w:sz w:val="22"/>
        </w:rPr>
      </w:pPr>
      <w:r>
        <w:rPr>
          <w:sz w:val="22"/>
        </w:rPr>
        <w:t>À minha mãe, cuja imensa vontade de estudar criou em mim um desejo forte de fazê-lo também.</w:t>
      </w:r>
    </w:p>
    <w:p>
      <w:pPr>
        <w:spacing w:line="360" w:lineRule="auto" w:before="3"/>
        <w:ind w:left="4846" w:right="169" w:firstLine="0"/>
        <w:jc w:val="left"/>
        <w:rPr>
          <w:sz w:val="22"/>
        </w:rPr>
      </w:pPr>
      <w:r>
        <w:rPr>
          <w:sz w:val="22"/>
        </w:rPr>
        <w:t>Aos meus amores Joel e Tainá: pelo bem querer, o riso constante, a parceria, a companhia agradável e a felicidade diária. E a Escola Orlindo Pereira Mota sem  a qual essa pesquisa não existiria.</w:t>
      </w:r>
    </w:p>
    <w:p>
      <w:pPr>
        <w:spacing w:after="0" w:line="360" w:lineRule="auto"/>
        <w:jc w:val="left"/>
        <w:rPr>
          <w:sz w:val="22"/>
        </w:rPr>
        <w:sectPr>
          <w:pgSz w:w="11910" w:h="16840"/>
          <w:pgMar w:top="1580" w:bottom="280" w:left="1680" w:right="1020"/>
        </w:sectPr>
      </w:pPr>
    </w:p>
    <w:p>
      <w:pPr>
        <w:pStyle w:val="Heading1"/>
        <w:spacing w:before="88"/>
        <w:ind w:left="3336" w:right="3161"/>
      </w:pPr>
      <w:r>
        <w:rPr/>
        <w:t>AGRADECIMENTOS</w:t>
      </w:r>
    </w:p>
    <w:p>
      <w:pPr>
        <w:pStyle w:val="BodyText"/>
        <w:rPr>
          <w:b/>
          <w:sz w:val="30"/>
        </w:rPr>
      </w:pPr>
    </w:p>
    <w:p>
      <w:pPr>
        <w:pStyle w:val="BodyText"/>
        <w:rPr>
          <w:b/>
          <w:sz w:val="30"/>
        </w:rPr>
      </w:pPr>
    </w:p>
    <w:p>
      <w:pPr>
        <w:pStyle w:val="BodyText"/>
        <w:spacing w:line="360" w:lineRule="auto" w:before="240"/>
        <w:ind w:left="308" w:right="122"/>
        <w:jc w:val="both"/>
      </w:pPr>
      <w:r>
        <w:rPr/>
        <w:t>Charles Chaplin disse que “cada pessoa que passa em nossa vida passa sozinha e não nos deixa só porque deixa um pouco de si e leva um pouquinho de nós. Essa é a mais bela responsabilidade da vida e a prova de que as pessoas não se encontram por acaso”.</w:t>
      </w:r>
    </w:p>
    <w:p>
      <w:pPr>
        <w:pStyle w:val="BodyText"/>
        <w:spacing w:line="360" w:lineRule="auto" w:before="2"/>
        <w:ind w:left="308" w:right="133"/>
        <w:jc w:val="both"/>
      </w:pPr>
      <w:r>
        <w:rPr/>
        <w:t>Esses dois anos </w:t>
      </w:r>
      <w:r>
        <w:rPr>
          <w:spacing w:val="-4"/>
        </w:rPr>
        <w:t>me </w:t>
      </w:r>
      <w:r>
        <w:rPr/>
        <w:t>possibilitaram muitos encontros com pessoas singulares e para quais quero deixar registrada minha gratidão, </w:t>
      </w:r>
      <w:r>
        <w:rPr>
          <w:spacing w:val="-3"/>
        </w:rPr>
        <w:t>meu </w:t>
      </w:r>
      <w:r>
        <w:rPr/>
        <w:t>apreço e minha alegria  por ter sido agraciada com esses momentos junto a todos vocês, que foram imprescindíveis para a realização e conclusão deste</w:t>
      </w:r>
      <w:r>
        <w:rPr>
          <w:spacing w:val="-19"/>
        </w:rPr>
        <w:t> </w:t>
      </w:r>
      <w:r>
        <w:rPr/>
        <w:t>trabalho.</w:t>
      </w:r>
    </w:p>
    <w:p>
      <w:pPr>
        <w:pStyle w:val="BodyText"/>
        <w:spacing w:line="360" w:lineRule="auto"/>
        <w:ind w:left="308" w:right="119"/>
        <w:jc w:val="both"/>
      </w:pPr>
      <w:r>
        <w:rPr/>
        <w:t>Primeiramente a </w:t>
      </w:r>
      <w:r>
        <w:rPr>
          <w:b/>
        </w:rPr>
        <w:t>Deus</w:t>
      </w:r>
      <w:r>
        <w:rPr/>
        <w:t>, doador e mantenedor da vida, </w:t>
      </w:r>
      <w:r>
        <w:rPr>
          <w:sz w:val="22"/>
        </w:rPr>
        <w:t>fonte de sabedoria e de conhecimento, por meio do qual o</w:t>
      </w:r>
      <w:r>
        <w:rPr/>
        <w:t>btenho forças para prosseguir e me manter firme diante dos desafios e das responsabilidades da vida. Obrigada por ouvir minhas preces, pela realização do curso, pelo aprendizado adquirido e por conceder-me oportunidades maiores e melhores do que desejei ao longo desse percurso.</w:t>
      </w:r>
    </w:p>
    <w:p>
      <w:pPr>
        <w:pStyle w:val="BodyText"/>
        <w:spacing w:line="360" w:lineRule="auto"/>
        <w:ind w:left="308" w:right="124"/>
        <w:jc w:val="both"/>
      </w:pPr>
      <w:r>
        <w:rPr/>
        <w:t>Ao meu companheiro </w:t>
      </w:r>
      <w:r>
        <w:rPr>
          <w:b/>
        </w:rPr>
        <w:t>Joel Silva Pinho </w:t>
      </w:r>
      <w:r>
        <w:rPr/>
        <w:t>e minha filha </w:t>
      </w:r>
      <w:r>
        <w:rPr>
          <w:b/>
        </w:rPr>
        <w:t>Tainá Cruz Pinho</w:t>
      </w:r>
      <w:r>
        <w:rPr/>
        <w:t>, que me doam amor sincero todos os dias, carinho desinteressado e que souberam compreender a importância deste trabalho, proporcionando-me apoio, compartilhamento das angústias e espera com paciência. A vocês, meu amor maior.</w:t>
      </w:r>
    </w:p>
    <w:p>
      <w:pPr>
        <w:pStyle w:val="BodyText"/>
        <w:spacing w:line="360" w:lineRule="auto" w:before="2"/>
        <w:ind w:left="308" w:right="119"/>
        <w:jc w:val="both"/>
      </w:pPr>
      <w:r>
        <w:rPr/>
        <w:t>Aos professores cujas contribuições colaboraram diretamente com a produção e finalização do texto dissertativo. De forma muito especial à doutora </w:t>
      </w:r>
      <w:r>
        <w:rPr>
          <w:b/>
        </w:rPr>
        <w:t>Maria José  de Pinho</w:t>
      </w:r>
      <w:r>
        <w:rPr/>
        <w:t>, </w:t>
      </w:r>
      <w:r>
        <w:rPr>
          <w:spacing w:val="-3"/>
        </w:rPr>
        <w:t>meu </w:t>
      </w:r>
      <w:r>
        <w:rPr/>
        <w:t>melhor e maior encontro, porque acreditou, </w:t>
      </w:r>
      <w:r>
        <w:rPr>
          <w:spacing w:val="-3"/>
        </w:rPr>
        <w:t>mesmo </w:t>
      </w:r>
      <w:r>
        <w:rPr/>
        <w:t>antes de mim, que tudo seria possível. Mulher especial, generosa, humilde, que aprendi a respeitar, gostar, e admirar com orgulho por ter sido sua orientanda. Pelas orientações, cumplicidade, elogios, firmeza na direção, sinceridade e pelas  críticas que </w:t>
      </w:r>
      <w:r>
        <w:rPr>
          <w:spacing w:val="-4"/>
        </w:rPr>
        <w:t>me </w:t>
      </w:r>
      <w:r>
        <w:rPr/>
        <w:t>fizeram avançar quando precisei: muito</w:t>
      </w:r>
      <w:r>
        <w:rPr>
          <w:spacing w:val="-24"/>
        </w:rPr>
        <w:t> </w:t>
      </w:r>
      <w:r>
        <w:rPr/>
        <w:t>obrigada!</w:t>
      </w:r>
    </w:p>
    <w:p>
      <w:pPr>
        <w:spacing w:line="362" w:lineRule="auto" w:before="0"/>
        <w:ind w:left="308" w:right="117" w:firstLine="0"/>
        <w:jc w:val="both"/>
        <w:rPr>
          <w:sz w:val="24"/>
        </w:rPr>
      </w:pPr>
      <w:r>
        <w:rPr>
          <w:sz w:val="24"/>
        </w:rPr>
        <w:t>Ao doutor </w:t>
      </w:r>
      <w:r>
        <w:rPr>
          <w:b/>
          <w:sz w:val="24"/>
        </w:rPr>
        <w:t>João Suanno </w:t>
      </w:r>
      <w:r>
        <w:rPr>
          <w:sz w:val="24"/>
        </w:rPr>
        <w:t>meu co-orientador, pela disponibilização da sua Tese para consulta, pela ajuda singular e generosa e palavras de incentivos; Às doutoras </w:t>
      </w:r>
      <w:r>
        <w:rPr>
          <w:b/>
          <w:sz w:val="24"/>
        </w:rPr>
        <w:t>Isabel Cristina Auler Pereira e Ana Cristina Sousa dos Santos </w:t>
      </w:r>
      <w:r>
        <w:rPr>
          <w:sz w:val="24"/>
        </w:rPr>
        <w:t>pelas contribuições com o texto durante a qualificação e defesa.</w:t>
      </w:r>
    </w:p>
    <w:p>
      <w:pPr>
        <w:pStyle w:val="BodyText"/>
        <w:spacing w:line="355" w:lineRule="auto" w:before="2"/>
        <w:ind w:left="308" w:right="123"/>
        <w:jc w:val="both"/>
      </w:pPr>
      <w:r>
        <w:rPr/>
        <w:t>Aos professores do Programa de Pesquisa em Educação da Universidade  Federal do Tocantins – PPGE em particular, à </w:t>
      </w:r>
      <w:r>
        <w:rPr>
          <w:b/>
        </w:rPr>
        <w:t>Doutora Jocyléia Santana </w:t>
      </w:r>
      <w:r>
        <w:rPr/>
        <w:t>por</w:t>
      </w:r>
      <w:r>
        <w:rPr>
          <w:spacing w:val="-20"/>
        </w:rPr>
        <w:t> </w:t>
      </w:r>
      <w:r>
        <w:rPr/>
        <w:t>sua</w:t>
      </w:r>
    </w:p>
    <w:p>
      <w:pPr>
        <w:spacing w:after="0" w:line="355" w:lineRule="auto"/>
        <w:jc w:val="both"/>
        <w:sectPr>
          <w:pgSz w:w="11910" w:h="16840"/>
          <w:pgMar w:top="1580" w:bottom="280" w:left="1680" w:right="1000"/>
        </w:sectPr>
      </w:pPr>
    </w:p>
    <w:p>
      <w:pPr>
        <w:pStyle w:val="BodyText"/>
        <w:spacing w:line="360" w:lineRule="auto" w:before="97"/>
        <w:ind w:left="308" w:right="98"/>
        <w:jc w:val="both"/>
      </w:pPr>
      <w:r>
        <w:rPr/>
        <w:t>alegria costumeira, prestatividade, disposição em ajudar, e por </w:t>
      </w:r>
      <w:r>
        <w:rPr>
          <w:spacing w:val="-4"/>
        </w:rPr>
        <w:t>me </w:t>
      </w:r>
      <w:r>
        <w:rPr/>
        <w:t>encantar com  a História Oral; À </w:t>
      </w:r>
      <w:r>
        <w:rPr>
          <w:b/>
        </w:rPr>
        <w:t>Doutora Carmem Artioli</w:t>
      </w:r>
      <w:r>
        <w:rPr/>
        <w:t>, por instigar-me a pensar e a desafiar- </w:t>
      </w:r>
      <w:r>
        <w:rPr>
          <w:spacing w:val="-4"/>
        </w:rPr>
        <w:t>me </w:t>
      </w:r>
      <w:r>
        <w:rPr/>
        <w:t>como aluna e </w:t>
      </w:r>
      <w:r>
        <w:rPr>
          <w:spacing w:val="-4"/>
        </w:rPr>
        <w:t>como </w:t>
      </w:r>
      <w:r>
        <w:rPr/>
        <w:t>profissional. Minha admiração pela seriedade e pelo compromisso com a formação de</w:t>
      </w:r>
      <w:r>
        <w:rPr>
          <w:spacing w:val="-19"/>
        </w:rPr>
        <w:t> </w:t>
      </w:r>
      <w:r>
        <w:rPr/>
        <w:t>professores.</w:t>
      </w:r>
    </w:p>
    <w:p>
      <w:pPr>
        <w:pStyle w:val="BodyText"/>
        <w:spacing w:line="360" w:lineRule="auto"/>
        <w:ind w:left="308" w:right="102"/>
        <w:jc w:val="both"/>
      </w:pPr>
      <w:r>
        <w:rPr/>
        <w:t>As irmãs do coração </w:t>
      </w:r>
      <w:r>
        <w:rPr>
          <w:b/>
        </w:rPr>
        <w:t>Vanessa Nunes, Simone Lima e Deyze Oliveira</w:t>
      </w:r>
      <w:r>
        <w:rPr/>
        <w:t>, as quais  o mestrado deu-me de presente e que levo para vida inteira porque reúnem alegria, companheirismo, solidariedade e afeto sem os quais minha caminhada teria sido mais árdua; À Vanessa, agradeço o carinho, o cuidado constante e as palavras de conforto; Á Simone, eu agradeço a generosa hospitalidade, o apoio e as palavras de incentivo; E a Deyze, agradeço a alegria, a juventude e o riso que fizeram toda diferença nessa caminhada. Acreditem: sem vocês tudo ficaria mais difícil!</w:t>
      </w:r>
    </w:p>
    <w:p>
      <w:pPr>
        <w:pStyle w:val="BodyText"/>
        <w:spacing w:line="362" w:lineRule="auto"/>
        <w:ind w:left="308" w:right="100"/>
        <w:jc w:val="both"/>
      </w:pPr>
      <w:r>
        <w:rPr/>
        <w:t>Às amigas </w:t>
      </w:r>
      <w:r>
        <w:rPr>
          <w:b/>
        </w:rPr>
        <w:t>Kátya Lacerda, Kênia Paulino e Mel Morais </w:t>
      </w:r>
      <w:r>
        <w:rPr/>
        <w:t>com as quais quero continuar </w:t>
      </w:r>
      <w:r>
        <w:rPr>
          <w:spacing w:val="-4"/>
        </w:rPr>
        <w:t>me</w:t>
      </w:r>
      <w:r>
        <w:rPr>
          <w:spacing w:val="58"/>
        </w:rPr>
        <w:t> </w:t>
      </w:r>
      <w:r>
        <w:rPr/>
        <w:t>encontrando. Á Kátya com quem gosto de conversar, minha admiração por tua dedicação e inteligência. Á Kênia, cuja meiguice, contínuas palavras de esperança e singular disposição para ajudar, foram como bálsamo nessa jornada. À Mel, pela atenção, delicadeza e por dizer sempre que tudo daria certo. Todas vocês são muito especiais!</w:t>
      </w:r>
    </w:p>
    <w:p>
      <w:pPr>
        <w:pStyle w:val="BodyText"/>
        <w:spacing w:line="360" w:lineRule="auto"/>
        <w:ind w:left="308" w:right="109"/>
        <w:jc w:val="both"/>
      </w:pPr>
      <w:r>
        <w:rPr/>
        <w:t>Ao </w:t>
      </w:r>
      <w:r>
        <w:rPr>
          <w:b/>
        </w:rPr>
        <w:t>Ângelo Roberto </w:t>
      </w:r>
      <w:r>
        <w:rPr/>
        <w:t>e seus adoráveis olhos verdes, por não se incomodar em hospedar-me inúmeras vezes nesses dois anos, sempre gentil, prestativo e simpático, além de dividir comigo as atenções da sua mãe.</w:t>
      </w:r>
    </w:p>
    <w:p>
      <w:pPr>
        <w:spacing w:line="362" w:lineRule="auto" w:before="2"/>
        <w:ind w:left="308" w:right="102" w:firstLine="0"/>
        <w:jc w:val="both"/>
        <w:rPr>
          <w:sz w:val="24"/>
        </w:rPr>
      </w:pPr>
      <w:r>
        <w:rPr>
          <w:sz w:val="24"/>
        </w:rPr>
        <w:t>Aos amigos, </w:t>
      </w:r>
      <w:r>
        <w:rPr>
          <w:b/>
          <w:sz w:val="24"/>
        </w:rPr>
        <w:t>Benta Fernandes e Ronaldo Barros </w:t>
      </w:r>
      <w:r>
        <w:rPr>
          <w:sz w:val="24"/>
        </w:rPr>
        <w:t>pelo auxilio, companheirismo e cuidados comigo para que tudo se concretizasse; à </w:t>
      </w:r>
      <w:r>
        <w:rPr>
          <w:b/>
          <w:sz w:val="24"/>
        </w:rPr>
        <w:t>Maria Otilia </w:t>
      </w:r>
      <w:r>
        <w:rPr>
          <w:sz w:val="24"/>
        </w:rPr>
        <w:t>pela amizade duradoura, pelo apoio, colaboração e ajuda com a formatação técnica do trabalho, e </w:t>
      </w:r>
      <w:r>
        <w:rPr>
          <w:b/>
          <w:sz w:val="24"/>
        </w:rPr>
        <w:t>Maria Wellitânia Oliveria e Maria Cícera Celedonio, </w:t>
      </w:r>
      <w:r>
        <w:rPr>
          <w:sz w:val="24"/>
        </w:rPr>
        <w:t>as quais </w:t>
      </w:r>
      <w:r>
        <w:rPr>
          <w:spacing w:val="-4"/>
          <w:sz w:val="24"/>
        </w:rPr>
        <w:t>me </w:t>
      </w:r>
      <w:r>
        <w:rPr>
          <w:sz w:val="24"/>
        </w:rPr>
        <w:t>auxiliaram com algumas revisões do texto. E a </w:t>
      </w:r>
      <w:r>
        <w:rPr>
          <w:b/>
          <w:sz w:val="24"/>
        </w:rPr>
        <w:t>Claudia Carvaelli</w:t>
      </w:r>
      <w:r>
        <w:rPr>
          <w:sz w:val="24"/>
        </w:rPr>
        <w:t>, que de forma generosa  </w:t>
      </w:r>
      <w:r>
        <w:rPr>
          <w:spacing w:val="-4"/>
          <w:sz w:val="24"/>
        </w:rPr>
        <w:t>me </w:t>
      </w:r>
      <w:r>
        <w:rPr>
          <w:sz w:val="24"/>
        </w:rPr>
        <w:t>auxiliou quando mais precisei. Muito</w:t>
      </w:r>
      <w:r>
        <w:rPr>
          <w:spacing w:val="-9"/>
          <w:sz w:val="24"/>
        </w:rPr>
        <w:t> </w:t>
      </w:r>
      <w:r>
        <w:rPr>
          <w:sz w:val="24"/>
        </w:rPr>
        <w:t>Obrigada!</w:t>
      </w:r>
    </w:p>
    <w:p>
      <w:pPr>
        <w:spacing w:line="360" w:lineRule="auto" w:before="0"/>
        <w:ind w:left="308" w:right="106" w:firstLine="0"/>
        <w:jc w:val="both"/>
        <w:rPr>
          <w:sz w:val="24"/>
        </w:rPr>
      </w:pPr>
      <w:r>
        <w:rPr>
          <w:sz w:val="24"/>
        </w:rPr>
        <w:t>Aos colaboradores </w:t>
      </w:r>
      <w:r>
        <w:rPr>
          <w:b/>
          <w:sz w:val="24"/>
        </w:rPr>
        <w:t>Ana Carolina, Patrícia Costa Carvalho, Islene Lima, Geucelly de Jesus, Berilo de Sousa Lopes, Ivo Santos Nóia</w:t>
      </w:r>
      <w:r>
        <w:rPr>
          <w:sz w:val="24"/>
        </w:rPr>
        <w:t>, que gentilmente me auxiliaram com a degravação das entrevistas.</w:t>
      </w:r>
    </w:p>
    <w:p>
      <w:pPr>
        <w:spacing w:line="357" w:lineRule="auto" w:before="12"/>
        <w:ind w:left="308" w:right="101" w:firstLine="0"/>
        <w:jc w:val="both"/>
        <w:rPr>
          <w:sz w:val="24"/>
        </w:rPr>
      </w:pPr>
      <w:r>
        <w:rPr>
          <w:sz w:val="24"/>
        </w:rPr>
        <w:t>As pessoas que de modo singular torceram e incentivaram-me a fazer a inscrição no processo seletivo e motivaram-me durante todo esse percurso, dentre os quais destaco: </w:t>
      </w:r>
      <w:r>
        <w:rPr>
          <w:b/>
          <w:sz w:val="24"/>
        </w:rPr>
        <w:t>Marinalva Alves da Silva</w:t>
      </w:r>
      <w:r>
        <w:rPr>
          <w:sz w:val="24"/>
        </w:rPr>
        <w:t>, que além do incentivo, emprestou-me material  de  leitura  para  seleção;  </w:t>
      </w:r>
      <w:r>
        <w:rPr>
          <w:b/>
          <w:sz w:val="24"/>
        </w:rPr>
        <w:t>Adriana  de  Miranda  Santiago  Terra   </w:t>
      </w:r>
      <w:r>
        <w:rPr>
          <w:b/>
          <w:spacing w:val="38"/>
          <w:sz w:val="24"/>
        </w:rPr>
        <w:t> </w:t>
      </w:r>
      <w:r>
        <w:rPr>
          <w:sz w:val="24"/>
        </w:rPr>
        <w:t>que</w:t>
      </w:r>
    </w:p>
    <w:p>
      <w:pPr>
        <w:spacing w:after="0" w:line="357" w:lineRule="auto"/>
        <w:jc w:val="both"/>
        <w:rPr>
          <w:sz w:val="24"/>
        </w:rPr>
        <w:sectPr>
          <w:pgSz w:w="11910" w:h="16840"/>
          <w:pgMar w:top="1580" w:bottom="280" w:left="1680" w:right="1020"/>
        </w:sectPr>
      </w:pPr>
    </w:p>
    <w:p>
      <w:pPr>
        <w:spacing w:line="360" w:lineRule="auto" w:before="92"/>
        <w:ind w:left="308" w:right="102" w:firstLine="0"/>
        <w:jc w:val="both"/>
        <w:rPr>
          <w:b/>
          <w:sz w:val="24"/>
        </w:rPr>
      </w:pPr>
      <w:r>
        <w:rPr>
          <w:sz w:val="24"/>
        </w:rPr>
        <w:t>sempre me acolheu quando precisei</w:t>
      </w:r>
      <w:r>
        <w:rPr>
          <w:b/>
          <w:sz w:val="24"/>
        </w:rPr>
        <w:t>; Marcelo Terra, Sergio Rosa, Claudemir Onassayô, Manoel Ataíde </w:t>
      </w:r>
      <w:r>
        <w:rPr>
          <w:sz w:val="24"/>
        </w:rPr>
        <w:t>pelas manifestações de apoio, e ao </w:t>
      </w:r>
      <w:r>
        <w:rPr>
          <w:b/>
          <w:sz w:val="24"/>
        </w:rPr>
        <w:t>José Carlos Freitas </w:t>
      </w:r>
      <w:r>
        <w:rPr>
          <w:sz w:val="24"/>
        </w:rPr>
        <w:t>pelas “aulas conversas” sobre os temas da seleção, pelo contínuo interesse de saber a respeito do trabalho e pelos empréstimos de livros durante o curso</w:t>
      </w:r>
      <w:r>
        <w:rPr>
          <w:b/>
          <w:sz w:val="24"/>
        </w:rPr>
        <w:t>.</w:t>
      </w:r>
    </w:p>
    <w:p>
      <w:pPr>
        <w:pStyle w:val="BodyText"/>
        <w:spacing w:line="360" w:lineRule="auto" w:before="12"/>
        <w:ind w:left="308" w:right="113"/>
        <w:jc w:val="both"/>
      </w:pPr>
      <w:r>
        <w:rPr/>
        <w:t>Aos meus alunos do curso de pedagogia do Centro Universitário UnirG e do Curso de Artes Cênicas do IFTO pelas constantes mensagens de carinho diante das minhas ausências, pela compreensão e pelas palavras de</w:t>
      </w:r>
      <w:r>
        <w:rPr>
          <w:spacing w:val="-33"/>
        </w:rPr>
        <w:t> </w:t>
      </w:r>
      <w:r>
        <w:rPr/>
        <w:t>incentivo.</w:t>
      </w:r>
    </w:p>
    <w:p>
      <w:pPr>
        <w:spacing w:line="362" w:lineRule="auto" w:before="0"/>
        <w:ind w:left="308" w:right="106" w:firstLine="0"/>
        <w:jc w:val="both"/>
        <w:rPr>
          <w:sz w:val="24"/>
        </w:rPr>
      </w:pPr>
      <w:r>
        <w:rPr>
          <w:sz w:val="24"/>
        </w:rPr>
        <w:t>Ao </w:t>
      </w:r>
      <w:r>
        <w:rPr>
          <w:b/>
          <w:sz w:val="24"/>
        </w:rPr>
        <w:t>Instituto Federal de Educação, Ciência e Tecnologia - IFTO </w:t>
      </w:r>
      <w:r>
        <w:rPr>
          <w:sz w:val="24"/>
        </w:rPr>
        <w:t>e a </w:t>
      </w:r>
      <w:r>
        <w:rPr>
          <w:b/>
          <w:sz w:val="24"/>
        </w:rPr>
        <w:t>Fundação UnirG </w:t>
      </w:r>
      <w:r>
        <w:rPr>
          <w:sz w:val="24"/>
        </w:rPr>
        <w:t>que me proporcionaram os meios financeiros e disponibilização de tempo para que todo o trabalho pudesse ser realizado, e ainda a APUG/SSIND pelo apoio logístico com impressões e internet ao longo do curso.</w:t>
      </w:r>
    </w:p>
    <w:p>
      <w:pPr>
        <w:spacing w:line="360" w:lineRule="auto" w:before="0"/>
        <w:ind w:left="308" w:right="103" w:firstLine="0"/>
        <w:jc w:val="both"/>
        <w:rPr>
          <w:sz w:val="24"/>
        </w:rPr>
      </w:pPr>
      <w:r>
        <w:rPr>
          <w:sz w:val="24"/>
        </w:rPr>
        <w:t>Por fim, agradeço muitíssimo a </w:t>
      </w:r>
      <w:r>
        <w:rPr>
          <w:b/>
          <w:sz w:val="24"/>
        </w:rPr>
        <w:t>Universidade Federal do Tocantins – UFT </w:t>
      </w:r>
      <w:r>
        <w:rPr>
          <w:sz w:val="24"/>
        </w:rPr>
        <w:t>por </w:t>
      </w:r>
      <w:r>
        <w:rPr>
          <w:spacing w:val="-4"/>
          <w:sz w:val="24"/>
        </w:rPr>
        <w:t>me </w:t>
      </w:r>
      <w:r>
        <w:rPr>
          <w:sz w:val="24"/>
        </w:rPr>
        <w:t>aceitar como aluna e por desenvolver políticas de formação de professores  em nosso Estado, e à equipe da </w:t>
      </w:r>
      <w:r>
        <w:rPr>
          <w:b/>
          <w:sz w:val="24"/>
        </w:rPr>
        <w:t>Escola Municpal Orlindo Pereira da Mota </w:t>
      </w:r>
      <w:r>
        <w:rPr>
          <w:sz w:val="24"/>
        </w:rPr>
        <w:t>que de forma muito generosa e receptiva abriu espaço para a pesquisa, colaborou com a coleta de dados e auxiliou-me sempre que</w:t>
      </w:r>
      <w:r>
        <w:rPr>
          <w:spacing w:val="-17"/>
          <w:sz w:val="24"/>
        </w:rPr>
        <w:t> </w:t>
      </w:r>
      <w:r>
        <w:rPr>
          <w:sz w:val="24"/>
        </w:rPr>
        <w:t>precisei.</w:t>
      </w:r>
    </w:p>
    <w:p>
      <w:pPr>
        <w:pStyle w:val="BodyText"/>
        <w:rPr>
          <w:sz w:val="26"/>
        </w:rPr>
      </w:pPr>
    </w:p>
    <w:p>
      <w:pPr>
        <w:pStyle w:val="BodyText"/>
        <w:spacing w:before="5"/>
        <w:rPr>
          <w:sz w:val="22"/>
        </w:rPr>
      </w:pPr>
    </w:p>
    <w:p>
      <w:pPr>
        <w:pStyle w:val="BodyText"/>
        <w:ind w:right="114"/>
        <w:jc w:val="right"/>
      </w:pPr>
      <w:r>
        <w:rPr/>
        <w:t>Melhor é serem dois do que um, porque têm melhor paga do seu trabalho.</w:t>
      </w:r>
    </w:p>
    <w:p>
      <w:pPr>
        <w:pStyle w:val="BodyText"/>
        <w:spacing w:line="360" w:lineRule="auto" w:before="141"/>
        <w:ind w:left="3045" w:right="103" w:firstLine="773"/>
        <w:jc w:val="right"/>
      </w:pPr>
      <w:r>
        <w:rPr/>
        <w:t>Pois se caírem, um levantará o seu companheiro.</w:t>
      </w:r>
      <w:r>
        <w:rPr>
          <w:w w:val="100"/>
        </w:rPr>
        <w:t> </w:t>
      </w:r>
      <w:r>
        <w:rPr/>
        <w:t>[...] o cordão de três dobras não se quebra tão depressa.</w:t>
      </w:r>
    </w:p>
    <w:p>
      <w:pPr>
        <w:pStyle w:val="BodyText"/>
        <w:spacing w:before="2"/>
        <w:ind w:right="98"/>
        <w:jc w:val="right"/>
      </w:pPr>
      <w:r>
        <w:rPr/>
        <w:t>(Eclesiastes 04: 09 -12)</w:t>
      </w:r>
    </w:p>
    <w:p>
      <w:pPr>
        <w:spacing w:after="0"/>
        <w:jc w:val="right"/>
        <w:sectPr>
          <w:pgSz w:w="11910" w:h="16840"/>
          <w:pgMar w:top="1580" w:bottom="280" w:left="16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0" w:lineRule="auto" w:before="227"/>
        <w:ind w:left="4846" w:right="101"/>
        <w:jc w:val="both"/>
      </w:pPr>
      <w:r>
        <w:rPr/>
        <w:t>Educar é mostrar a vida a quem ainda não a viu. O aluno olha na direção apontada e vê o que nunca viu. Seu mundo se expande. Ele fica mais rico interiormente e assim pode sentir mais alegria e dar mais alegria - que é a razão pela qual estamos aqui. A primeira tarefa é ensinar a ver.  Para que as crianças vejam a beleza e o fascínio do mundo. Os olhos têm que ser educados para que nossa alegria cresça. A educação consiste em duas partes: a das habilidades e a das sensibilidades. Se não há a educação das sensibilidades, todas  as habilidades são tolas e sem sentido. As palavras só têm sentido se nos ajudam a ver um mundo melhor. Aprendemos palavras para melhorar os olhos. Quando abrimos os olhos, abrem-se as janelas do corpo e o mundo inteiro aparece refletido dentro da gente. Os conhecimentos nos dão meios para viver, mas a sabedoria nos dá razões para viver.</w:t>
      </w:r>
    </w:p>
    <w:p>
      <w:pPr>
        <w:pStyle w:val="BodyText"/>
        <w:spacing w:before="1"/>
        <w:rPr>
          <w:sz w:val="36"/>
        </w:rPr>
      </w:pPr>
    </w:p>
    <w:p>
      <w:pPr>
        <w:pStyle w:val="BodyText"/>
        <w:ind w:right="106"/>
        <w:jc w:val="right"/>
      </w:pPr>
      <w:r>
        <w:rPr/>
        <w:t>RUBEM ALVES</w:t>
      </w:r>
    </w:p>
    <w:p>
      <w:pPr>
        <w:spacing w:after="0"/>
        <w:jc w:val="right"/>
        <w:sectPr>
          <w:pgSz w:w="11910" w:h="16840"/>
          <w:pgMar w:top="1580" w:bottom="280" w:left="1680" w:right="1020"/>
        </w:sectPr>
      </w:pPr>
    </w:p>
    <w:p>
      <w:pPr>
        <w:pStyle w:val="Heading3"/>
        <w:ind w:left="391" w:right="188"/>
        <w:jc w:val="center"/>
      </w:pPr>
      <w:r>
        <w:rPr/>
        <w:t>RESUMO</w:t>
      </w:r>
    </w:p>
    <w:p>
      <w:pPr>
        <w:pStyle w:val="BodyText"/>
        <w:rPr>
          <w:b/>
          <w:sz w:val="26"/>
        </w:rPr>
      </w:pPr>
    </w:p>
    <w:p>
      <w:pPr>
        <w:pStyle w:val="BodyText"/>
        <w:rPr>
          <w:b/>
          <w:sz w:val="26"/>
        </w:rPr>
      </w:pPr>
    </w:p>
    <w:p>
      <w:pPr>
        <w:pStyle w:val="BodyText"/>
        <w:spacing w:before="1"/>
        <w:rPr>
          <w:b/>
          <w:sz w:val="32"/>
        </w:rPr>
      </w:pPr>
    </w:p>
    <w:p>
      <w:pPr>
        <w:spacing w:line="242" w:lineRule="auto" w:before="1"/>
        <w:ind w:left="308" w:right="105" w:firstLine="0"/>
        <w:jc w:val="both"/>
        <w:rPr>
          <w:sz w:val="24"/>
        </w:rPr>
      </w:pPr>
      <w:r>
        <w:rPr>
          <w:sz w:val="24"/>
        </w:rPr>
        <w:t>PINHO, Edna Maria Cruz. </w:t>
      </w:r>
      <w:r>
        <w:rPr>
          <w:b/>
          <w:sz w:val="24"/>
        </w:rPr>
        <w:t>Escola Criativa no Tocantins: um estímulo à religação dos saberes</w:t>
      </w:r>
      <w:r>
        <w:rPr>
          <w:sz w:val="24"/>
        </w:rPr>
        <w:t>. 2015, 206fls. Dissertação (Mestrado Acadêmico em Educação). Programa de Pós-Graduação em Educação, Universidade Federal do Tocantins. Palmas-TO. 2015.</w:t>
      </w:r>
    </w:p>
    <w:p>
      <w:pPr>
        <w:pStyle w:val="BodyText"/>
        <w:spacing w:before="9"/>
        <w:rPr>
          <w:sz w:val="23"/>
        </w:rPr>
      </w:pPr>
    </w:p>
    <w:p>
      <w:pPr>
        <w:pStyle w:val="BodyText"/>
        <w:ind w:left="308" w:right="103"/>
        <w:jc w:val="both"/>
      </w:pPr>
      <w:r>
        <w:rPr/>
        <w:t>Dissertação vinculada à linha de pesquisa: Currículo, Formação de Professores e saberes Docentes, do Programa de Pós–Graduação em Educação da Universidade Federal do Tocantins. A pesquisa teve como foco de investigação a prática educativa criativa e inovadora de uma escola de anos iniciais da cidade Gurupi, estado do Tocantins. Nosso objetivo foi analisar a prática educativa da escola pública dos anos iniciais do ensino fundamental à luz dos referenciais teóricos que fundamentam a Escola Criativa. A abordagem metodológica utilizada para concretizar a pesquisa caracterizou-se pelo enfoque qualitativo e o estudo de caso. Para coleta de dados foram empregados: questionário Vadecrie, entrevistas semiestruturadas, documentos da escola e anotações da pesquisadora. Os dados foram analisados com base nas técnicas da triangulação e da análise de conteúdo. A revisão bibliográfica está fundamentada à luz das contribuições sobre prática educativa, paradigma dominante e paradigma emergente, criatividade e complexidade pautados nos estudos de Sacristan, (1998, 1999), Boaventura de Souza</w:t>
      </w:r>
      <w:r>
        <w:rPr>
          <w:spacing w:val="40"/>
        </w:rPr>
        <w:t> </w:t>
      </w:r>
      <w:r>
        <w:rPr/>
        <w:t>Santos</w:t>
      </w:r>
      <w:r>
        <w:rPr>
          <w:spacing w:val="42"/>
        </w:rPr>
        <w:t> </w:t>
      </w:r>
      <w:r>
        <w:rPr>
          <w:u w:val="single"/>
        </w:rPr>
        <w:t>(</w:t>
      </w:r>
      <w:r>
        <w:rPr/>
        <w:t>1991,</w:t>
      </w:r>
      <w:r>
        <w:rPr>
          <w:spacing w:val="40"/>
        </w:rPr>
        <w:t> </w:t>
      </w:r>
      <w:r>
        <w:rPr/>
        <w:t>1997,</w:t>
      </w:r>
      <w:r>
        <w:rPr>
          <w:spacing w:val="40"/>
        </w:rPr>
        <w:t> </w:t>
      </w:r>
      <w:r>
        <w:rPr/>
        <w:t>2000,</w:t>
      </w:r>
      <w:r>
        <w:rPr>
          <w:spacing w:val="40"/>
        </w:rPr>
        <w:t> </w:t>
      </w:r>
      <w:r>
        <w:rPr/>
        <w:t>2006a,</w:t>
      </w:r>
      <w:r>
        <w:rPr>
          <w:spacing w:val="40"/>
        </w:rPr>
        <w:t> </w:t>
      </w:r>
      <w:r>
        <w:rPr/>
        <w:t>2006b,</w:t>
      </w:r>
      <w:r>
        <w:rPr>
          <w:spacing w:val="40"/>
        </w:rPr>
        <w:t> </w:t>
      </w:r>
      <w:r>
        <w:rPr/>
        <w:t>2009),</w:t>
      </w:r>
      <w:r>
        <w:rPr>
          <w:spacing w:val="49"/>
        </w:rPr>
        <w:t> </w:t>
      </w:r>
      <w:r>
        <w:rPr/>
        <w:t>Moraes</w:t>
      </w:r>
      <w:r>
        <w:rPr>
          <w:spacing w:val="41"/>
        </w:rPr>
        <w:t> </w:t>
      </w:r>
      <w:r>
        <w:rPr/>
        <w:t>(1997,</w:t>
      </w:r>
      <w:r>
        <w:rPr>
          <w:spacing w:val="40"/>
        </w:rPr>
        <w:t> </w:t>
      </w:r>
      <w:r>
        <w:rPr/>
        <w:t>2004a,</w:t>
      </w:r>
    </w:p>
    <w:p>
      <w:pPr>
        <w:pStyle w:val="BodyText"/>
        <w:spacing w:line="274" w:lineRule="exact"/>
        <w:ind w:left="308"/>
        <w:jc w:val="both"/>
      </w:pPr>
      <w:r>
        <w:rPr/>
        <w:t>2004b, 20011 e 2013), Cunha (1998, 2001, 2006, 2008), Morin (2000, 2003, 2005</w:t>
      </w:r>
    </w:p>
    <w:p>
      <w:pPr>
        <w:pStyle w:val="BodyText"/>
        <w:spacing w:line="275" w:lineRule="exact" w:before="3"/>
        <w:ind w:left="308"/>
        <w:jc w:val="both"/>
      </w:pPr>
      <w:r>
        <w:rPr/>
        <w:t>e  2007),  Torre  (2005,  2008  e  2009)  Suanno  (2013a,  2013b  e  2013c),  João</w:t>
      </w:r>
    </w:p>
    <w:p>
      <w:pPr>
        <w:pStyle w:val="BodyText"/>
        <w:ind w:left="308" w:right="102"/>
        <w:jc w:val="both"/>
      </w:pPr>
      <w:r>
        <w:rPr/>
        <w:t>Henrique Suanno (2013), Santos e Santos (2009, 2012 e 2013) e Zwirerewicz (2009, 2011, 20013, 2014a e 2014b), entre outros teóricos. Os dados revelam que a instituição investigada apresenta estímulo acentuado de criatividade nos parâmetros liderança estimulante e espírito empreendedor, cujas práticas educativas podem ser resumidas em torno da valorização humana; trabalho coletivo e planejamento sistêmico. Conclui-se que as práticas educativas desenvolvidas na escola são semelhantes aquelas que caracterizam e valorizam escolas como instituições criativas e inovadoras.</w:t>
      </w:r>
    </w:p>
    <w:p>
      <w:pPr>
        <w:pStyle w:val="BodyText"/>
        <w:spacing w:before="7"/>
        <w:rPr>
          <w:sz w:val="23"/>
        </w:rPr>
      </w:pPr>
    </w:p>
    <w:p>
      <w:pPr>
        <w:pStyle w:val="BodyText"/>
        <w:ind w:left="308"/>
        <w:jc w:val="both"/>
      </w:pPr>
      <w:r>
        <w:rPr>
          <w:b/>
        </w:rPr>
        <w:t>Palavras-chave</w:t>
      </w:r>
      <w:r>
        <w:rPr/>
        <w:t>: Prática educativa. Pensamento complexo. Escola criativa.</w:t>
      </w:r>
    </w:p>
    <w:p>
      <w:pPr>
        <w:spacing w:after="0"/>
        <w:jc w:val="both"/>
        <w:sectPr>
          <w:pgSz w:w="11910" w:h="16840"/>
          <w:pgMar w:top="1580" w:bottom="280" w:left="1680" w:right="1020"/>
        </w:sectPr>
      </w:pPr>
    </w:p>
    <w:p>
      <w:pPr>
        <w:pStyle w:val="Heading3"/>
        <w:spacing w:before="98"/>
        <w:ind w:left="390" w:right="190"/>
        <w:jc w:val="center"/>
        <w:rPr>
          <w:rFonts w:ascii="Times New Roman"/>
        </w:rPr>
      </w:pPr>
      <w:r>
        <w:rPr>
          <w:rFonts w:ascii="Times New Roman"/>
        </w:rPr>
        <w:t>ABSTRACT</w:t>
      </w:r>
    </w:p>
    <w:p>
      <w:pPr>
        <w:pStyle w:val="BodyText"/>
        <w:rPr>
          <w:rFonts w:ascii="Times New Roman"/>
          <w:b/>
          <w:sz w:val="26"/>
        </w:rPr>
      </w:pPr>
    </w:p>
    <w:p>
      <w:pPr>
        <w:pStyle w:val="BodyText"/>
        <w:rPr>
          <w:rFonts w:ascii="Times New Roman"/>
          <w:b/>
          <w:sz w:val="26"/>
        </w:rPr>
      </w:pPr>
    </w:p>
    <w:p>
      <w:pPr>
        <w:pStyle w:val="BodyText"/>
        <w:spacing w:before="7"/>
        <w:rPr>
          <w:rFonts w:ascii="Times New Roman"/>
          <w:b/>
          <w:sz w:val="29"/>
        </w:rPr>
      </w:pPr>
    </w:p>
    <w:p>
      <w:pPr>
        <w:spacing w:line="240" w:lineRule="auto" w:before="0"/>
        <w:ind w:left="308" w:right="110" w:firstLine="0"/>
        <w:jc w:val="both"/>
        <w:rPr>
          <w:rFonts w:ascii="Times New Roman"/>
          <w:sz w:val="24"/>
        </w:rPr>
      </w:pPr>
      <w:r>
        <w:rPr>
          <w:rFonts w:ascii="Times New Roman"/>
          <w:sz w:val="24"/>
        </w:rPr>
        <w:t>PINHO, Edna Maria Cruz. </w:t>
      </w:r>
      <w:r>
        <w:rPr>
          <w:rFonts w:ascii="Times New Roman"/>
          <w:b/>
          <w:sz w:val="24"/>
        </w:rPr>
        <w:t>Creative School in Tocantins: a stimulus to the reconnection of knowledge </w:t>
      </w:r>
      <w:r>
        <w:rPr>
          <w:rFonts w:ascii="Times New Roman"/>
          <w:sz w:val="24"/>
        </w:rPr>
        <w:t>.2015. 206fls. Dissertation (Academic Master of Education). Graduate Program in Education, Federal University of Tocantins. Palmas-TO. 2015.</w:t>
      </w:r>
    </w:p>
    <w:p>
      <w:pPr>
        <w:pStyle w:val="BodyText"/>
        <w:spacing w:before="10"/>
        <w:rPr>
          <w:rFonts w:ascii="Times New Roman"/>
          <w:sz w:val="23"/>
        </w:rPr>
      </w:pPr>
    </w:p>
    <w:p>
      <w:pPr>
        <w:pStyle w:val="BodyText"/>
        <w:spacing w:before="1"/>
        <w:ind w:left="308" w:right="106"/>
        <w:jc w:val="both"/>
        <w:rPr>
          <w:rFonts w:ascii="Times New Roman" w:hAnsi="Times New Roman"/>
        </w:rPr>
      </w:pPr>
      <w:r>
        <w:rPr>
          <w:rFonts w:ascii="Times New Roman" w:hAnsi="Times New Roman"/>
        </w:rPr>
        <w:t>Dissertation linked to the research line: Curriculum, Teacher Training and Teacher Knowledge, Graduate Program in Education, Federal University of  Tocantins.  The research focused on creative and innovative educational practice in an elementary school in the city of Gurupi- Tocantins. Our goal was to analyze public schools educational practice during elementary school years based on theories that justify the Creative School. The methodological approach used in order to target the research was characterized by qualitative approach and the case study. For data collection were used: questionnaire Vadecrie, semi-structured interviews, school documents and researcher´s notes. The collected data were analyzed based on the techniques of triangulation and content analysis. The literature review is based on the contributions to educational practice, dominant and emerging paradigm, creativity and complexity guided in studies of Sacristan, (1998, 1999), Boaventura  de  Souza  Santos (1991,  1997,  2000, 2006a,  2006b,  2009  ),  Moraes (1997,</w:t>
      </w:r>
    </w:p>
    <w:p>
      <w:pPr>
        <w:pStyle w:val="BodyText"/>
        <w:spacing w:line="274" w:lineRule="exact"/>
        <w:ind w:left="308"/>
        <w:jc w:val="both"/>
        <w:rPr>
          <w:rFonts w:ascii="Times New Roman"/>
        </w:rPr>
      </w:pPr>
      <w:r>
        <w:rPr>
          <w:rFonts w:ascii="Times New Roman"/>
        </w:rPr>
        <w:t>2004a, 2004b, 20011 and 2013), Cunha (1998, 2001, 2006, 2008), Morin (2000, 2003,</w:t>
      </w:r>
    </w:p>
    <w:p>
      <w:pPr>
        <w:pStyle w:val="BodyText"/>
        <w:spacing w:line="275" w:lineRule="exact" w:before="2"/>
        <w:ind w:left="308"/>
        <w:jc w:val="both"/>
        <w:rPr>
          <w:rFonts w:ascii="Times New Roman"/>
        </w:rPr>
      </w:pPr>
      <w:r>
        <w:rPr>
          <w:rFonts w:ascii="Times New Roman"/>
        </w:rPr>
        <w:t>2005 and 2007), Tower (2005, 2008 and 2009) Suanno (2013th, 2013b and 2013c), John</w:t>
      </w:r>
    </w:p>
    <w:p>
      <w:pPr>
        <w:pStyle w:val="BodyText"/>
        <w:ind w:left="308" w:right="112"/>
        <w:jc w:val="both"/>
        <w:rPr>
          <w:rFonts w:ascii="Times New Roman"/>
        </w:rPr>
      </w:pPr>
      <w:r>
        <w:rPr>
          <w:rFonts w:ascii="Times New Roman"/>
        </w:rPr>
        <w:t>Henry Suanno (2013), Santos and Santos (2009, 2012 and 2013) and Zwirerewicz (2009, 2011, 20013, 2014th and 2014b), among others. The data point that the investigated institution </w:t>
      </w:r>
      <w:r>
        <w:rPr>
          <w:rFonts w:ascii="Times New Roman"/>
          <w:spacing w:val="4"/>
        </w:rPr>
        <w:t>of </w:t>
      </w:r>
      <w:r>
        <w:rPr>
          <w:rFonts w:ascii="Times New Roman"/>
        </w:rPr>
        <w:t>education shows accentuated stimulus for creativity </w:t>
      </w:r>
      <w:r>
        <w:rPr>
          <w:rFonts w:ascii="Times New Roman"/>
          <w:spacing w:val="-3"/>
        </w:rPr>
        <w:t>in </w:t>
      </w:r>
      <w:r>
        <w:rPr>
          <w:rFonts w:ascii="Times New Roman"/>
        </w:rPr>
        <w:t>stimulating parameters and enterprise leadership, whose educational practices can </w:t>
      </w:r>
      <w:r>
        <w:rPr>
          <w:rFonts w:ascii="Times New Roman"/>
          <w:spacing w:val="-3"/>
        </w:rPr>
        <w:t>be </w:t>
      </w:r>
      <w:r>
        <w:rPr>
          <w:rFonts w:ascii="Times New Roman"/>
        </w:rPr>
        <w:t>summarized around human enhancement; collective work and systematic planning. It was conclude that the  educational practices developed </w:t>
      </w:r>
      <w:r>
        <w:rPr>
          <w:rFonts w:ascii="Times New Roman"/>
          <w:spacing w:val="-3"/>
        </w:rPr>
        <w:t>in </w:t>
      </w:r>
      <w:r>
        <w:rPr>
          <w:rFonts w:ascii="Times New Roman"/>
        </w:rPr>
        <w:t>school are similar </w:t>
      </w:r>
      <w:r>
        <w:rPr>
          <w:rFonts w:ascii="Times New Roman"/>
          <w:spacing w:val="2"/>
        </w:rPr>
        <w:t>to </w:t>
      </w:r>
      <w:r>
        <w:rPr>
          <w:rFonts w:ascii="Times New Roman"/>
        </w:rPr>
        <w:t>those that characterize and value schools as creative and innovative</w:t>
      </w:r>
      <w:r>
        <w:rPr>
          <w:rFonts w:ascii="Times New Roman"/>
          <w:spacing w:val="-25"/>
        </w:rPr>
        <w:t> </w:t>
      </w:r>
      <w:r>
        <w:rPr>
          <w:rFonts w:ascii="Times New Roman"/>
        </w:rPr>
        <w:t>institutions.</w:t>
      </w:r>
    </w:p>
    <w:p>
      <w:pPr>
        <w:pStyle w:val="BodyText"/>
        <w:spacing w:before="1"/>
        <w:rPr>
          <w:rFonts w:ascii="Times New Roman"/>
        </w:rPr>
      </w:pPr>
    </w:p>
    <w:p>
      <w:pPr>
        <w:pStyle w:val="BodyText"/>
        <w:spacing w:before="1"/>
        <w:ind w:left="308"/>
        <w:jc w:val="both"/>
        <w:rPr>
          <w:rFonts w:ascii="Times New Roman"/>
        </w:rPr>
      </w:pPr>
      <w:r>
        <w:rPr>
          <w:rFonts w:ascii="Times New Roman"/>
          <w:b/>
        </w:rPr>
        <w:t>Keywords</w:t>
      </w:r>
      <w:r>
        <w:rPr>
          <w:rFonts w:ascii="Times New Roman"/>
        </w:rPr>
        <w:t>: Educational practice. Complex thinking. Creative school.</w:t>
      </w:r>
    </w:p>
    <w:p>
      <w:pPr>
        <w:spacing w:after="0"/>
        <w:jc w:val="both"/>
        <w:rPr>
          <w:rFonts w:ascii="Times New Roman"/>
        </w:rPr>
        <w:sectPr>
          <w:pgSz w:w="11910" w:h="16840"/>
          <w:pgMar w:top="1580" w:bottom="280" w:left="1680" w:right="1020"/>
        </w:sectPr>
      </w:pPr>
    </w:p>
    <w:p>
      <w:pPr>
        <w:pStyle w:val="BodyText"/>
        <w:rPr>
          <w:rFonts w:ascii="Times New Roman"/>
          <w:sz w:val="20"/>
        </w:rPr>
      </w:pPr>
    </w:p>
    <w:p>
      <w:pPr>
        <w:pStyle w:val="BodyText"/>
        <w:rPr>
          <w:rFonts w:ascii="Times New Roman"/>
          <w:sz w:val="20"/>
        </w:rPr>
      </w:pPr>
    </w:p>
    <w:p>
      <w:pPr>
        <w:pStyle w:val="BodyText"/>
        <w:spacing w:before="5"/>
        <w:rPr>
          <w:rFonts w:ascii="Times New Roman"/>
        </w:rPr>
      </w:pPr>
    </w:p>
    <w:p>
      <w:pPr>
        <w:pStyle w:val="BodyText"/>
        <w:tabs>
          <w:tab w:pos="9105" w:val="right" w:leader="dot"/>
        </w:tabs>
        <w:spacing w:before="92"/>
        <w:ind w:left="308"/>
      </w:pPr>
      <w:r>
        <w:rPr/>
        <w:t>Figura 01:  Agrupamento dos parâmetros da</w:t>
      </w:r>
      <w:r>
        <w:rPr>
          <w:spacing w:val="-6"/>
        </w:rPr>
        <w:t> </w:t>
      </w:r>
      <w:r>
        <w:rPr/>
        <w:t>categoria</w:t>
      </w:r>
      <w:r>
        <w:rPr>
          <w:spacing w:val="-5"/>
        </w:rPr>
        <w:t> </w:t>
      </w:r>
      <w:r>
        <w:rPr/>
        <w:t>I</w:t>
        <w:tab/>
        <w:t>96</w:t>
      </w:r>
    </w:p>
    <w:p>
      <w:pPr>
        <w:pStyle w:val="BodyText"/>
        <w:tabs>
          <w:tab w:pos="9105" w:val="right" w:leader="dot"/>
        </w:tabs>
        <w:spacing w:before="275"/>
        <w:ind w:left="308"/>
      </w:pPr>
      <w:r>
        <w:rPr/>
        <w:t>Figura 02:  Agrupamento dos parâmetros da</w:t>
      </w:r>
      <w:r>
        <w:rPr>
          <w:spacing w:val="-3"/>
        </w:rPr>
        <w:t> </w:t>
      </w:r>
      <w:r>
        <w:rPr/>
        <w:t>categoria</w:t>
      </w:r>
      <w:r>
        <w:rPr>
          <w:spacing w:val="-5"/>
        </w:rPr>
        <w:t> </w:t>
      </w:r>
      <w:r>
        <w:rPr/>
        <w:t>II</w:t>
        <w:tab/>
        <w:t>98</w:t>
      </w:r>
    </w:p>
    <w:p>
      <w:pPr>
        <w:pStyle w:val="BodyText"/>
        <w:tabs>
          <w:tab w:pos="9109" w:val="right" w:leader="dot"/>
        </w:tabs>
        <w:spacing w:before="275"/>
        <w:ind w:left="308"/>
      </w:pPr>
      <w:r>
        <w:rPr/>
        <w:t>Figura 03: Agrupamento dos parâmetros da</w:t>
      </w:r>
      <w:r>
        <w:rPr>
          <w:spacing w:val="-6"/>
        </w:rPr>
        <w:t> </w:t>
      </w:r>
      <w:r>
        <w:rPr/>
        <w:t>categoria</w:t>
      </w:r>
      <w:r>
        <w:rPr>
          <w:spacing w:val="-5"/>
        </w:rPr>
        <w:t> </w:t>
      </w:r>
      <w:r>
        <w:rPr/>
        <w:t>III</w:t>
        <w:tab/>
        <w:t>100</w:t>
      </w:r>
    </w:p>
    <w:p>
      <w:pPr>
        <w:spacing w:after="0"/>
        <w:sectPr>
          <w:headerReference w:type="default" r:id="rId6"/>
          <w:pgSz w:w="11910" w:h="16840"/>
          <w:pgMar w:header="1698" w:footer="0" w:top="1960" w:bottom="280" w:left="1680" w:right="1000"/>
        </w:sectPr>
      </w:pPr>
    </w:p>
    <w:p>
      <w:pPr>
        <w:pStyle w:val="BodyText"/>
        <w:tabs>
          <w:tab w:pos="3134" w:val="left" w:leader="none"/>
          <w:tab w:pos="3611" w:val="left" w:leader="none"/>
          <w:tab w:pos="4834" w:val="left" w:leader="none"/>
          <w:tab w:pos="5309" w:val="left" w:leader="none"/>
          <w:tab w:pos="6728" w:val="left" w:leader="none"/>
          <w:tab w:pos="7207" w:val="left" w:leader="none"/>
          <w:tab w:pos="8649" w:val="left" w:leader="dot"/>
        </w:tabs>
        <w:spacing w:line="268" w:lineRule="exact" w:before="993"/>
        <w:ind w:left="1772" w:right="109" w:hanging="1417"/>
      </w:pPr>
      <w:r>
        <w:rPr/>
        <w:t>Gráfico 01</w:t>
      </w:r>
      <w:r>
        <w:rPr>
          <w:spacing w:val="-3"/>
        </w:rPr>
        <w:t> </w:t>
      </w:r>
      <w:r>
        <w:rPr>
          <w:rFonts w:ascii="Calibri" w:hAnsi="Calibri"/>
        </w:rPr>
        <w:t>– </w:t>
      </w:r>
      <w:r>
        <w:rPr>
          <w:rFonts w:ascii="Calibri" w:hAnsi="Calibri"/>
          <w:spacing w:val="10"/>
        </w:rPr>
        <w:t> </w:t>
      </w:r>
      <w:r>
        <w:rPr>
          <w:position w:val="1"/>
        </w:rPr>
        <w:t>Percepção</w:t>
        <w:tab/>
        <w:t>da</w:t>
        <w:tab/>
        <w:t>evidência</w:t>
        <w:tab/>
        <w:t>de</w:t>
        <w:tab/>
        <w:t>criatividade</w:t>
        <w:tab/>
        <w:t>na</w:t>
        <w:tab/>
        <w:t>categoria  </w:t>
      </w:r>
      <w:r>
        <w:rPr>
          <w:spacing w:val="2"/>
          <w:position w:val="1"/>
        </w:rPr>
        <w:t> </w:t>
      </w:r>
      <w:r>
        <w:rPr>
          <w:position w:val="1"/>
        </w:rPr>
        <w:t>I</w:t>
      </w:r>
      <w:r>
        <w:rPr>
          <w:w w:val="100"/>
          <w:position w:val="1"/>
        </w:rPr>
        <w:t> </w:t>
      </w:r>
      <w:r>
        <w:rPr/>
        <w:t>(gestores, professores, servidores, pais,</w:t>
      </w:r>
      <w:r>
        <w:rPr>
          <w:spacing w:val="-13"/>
        </w:rPr>
        <w:t> </w:t>
      </w:r>
      <w:r>
        <w:rPr/>
        <w:t>ou</w:t>
      </w:r>
      <w:r>
        <w:rPr>
          <w:spacing w:val="-6"/>
        </w:rPr>
        <w:t> </w:t>
      </w:r>
      <w:r>
        <w:rPr/>
        <w:t>responsáveis)</w:t>
        <w:tab/>
        <w:t>120</w:t>
      </w:r>
    </w:p>
    <w:p>
      <w:pPr>
        <w:pStyle w:val="BodyText"/>
        <w:tabs>
          <w:tab w:pos="3124" w:val="left" w:leader="none"/>
          <w:tab w:pos="3589" w:val="left" w:leader="none"/>
          <w:tab w:pos="4802" w:val="left" w:leader="none"/>
          <w:tab w:pos="7146" w:val="left" w:leader="none"/>
          <w:tab w:pos="8335" w:val="left" w:leader="none"/>
        </w:tabs>
        <w:spacing w:line="287" w:lineRule="exact" w:before="273"/>
        <w:ind w:left="356"/>
      </w:pPr>
      <w:r>
        <w:rPr/>
        <w:t>Gráfico 02</w:t>
      </w:r>
      <w:r>
        <w:rPr>
          <w:spacing w:val="-3"/>
        </w:rPr>
        <w:t> </w:t>
      </w:r>
      <w:r>
        <w:rPr>
          <w:rFonts w:ascii="Calibri" w:hAnsi="Calibri"/>
        </w:rPr>
        <w:t>– </w:t>
      </w:r>
      <w:r>
        <w:rPr>
          <w:rFonts w:ascii="Calibri" w:hAnsi="Calibri"/>
          <w:spacing w:val="10"/>
        </w:rPr>
        <w:t> </w:t>
      </w:r>
      <w:r>
        <w:rPr>
          <w:position w:val="1"/>
        </w:rPr>
        <w:t>Percepção</w:t>
        <w:tab/>
        <w:t>da</w:t>
        <w:tab/>
        <w:t>evidência</w:t>
        <w:tab/>
        <w:t>de </w:t>
      </w:r>
      <w:r>
        <w:rPr>
          <w:spacing w:val="61"/>
          <w:position w:val="1"/>
        </w:rPr>
        <w:t> </w:t>
      </w:r>
      <w:r>
        <w:rPr>
          <w:position w:val="1"/>
        </w:rPr>
        <w:t>criatividade </w:t>
      </w:r>
      <w:r>
        <w:rPr>
          <w:spacing w:val="61"/>
          <w:position w:val="1"/>
        </w:rPr>
        <w:t> </w:t>
      </w:r>
      <w:r>
        <w:rPr>
          <w:position w:val="1"/>
        </w:rPr>
        <w:t>na</w:t>
        <w:tab/>
        <w:t>categoria</w:t>
        <w:tab/>
        <w:t>II</w:t>
      </w:r>
    </w:p>
    <w:p>
      <w:pPr>
        <w:pStyle w:val="BodyText"/>
        <w:tabs>
          <w:tab w:pos="8649" w:val="left" w:leader="dot"/>
        </w:tabs>
        <w:spacing w:line="263" w:lineRule="exact"/>
        <w:ind w:left="1772"/>
      </w:pPr>
      <w:r>
        <w:rPr/>
        <w:t>(gestores, professores, servidores, pais</w:t>
      </w:r>
      <w:r>
        <w:rPr>
          <w:spacing w:val="-12"/>
        </w:rPr>
        <w:t> </w:t>
      </w:r>
      <w:r>
        <w:rPr/>
        <w:t>ou</w:t>
      </w:r>
      <w:r>
        <w:rPr>
          <w:spacing w:val="-6"/>
        </w:rPr>
        <w:t> </w:t>
      </w:r>
      <w:r>
        <w:rPr/>
        <w:t>responsáveis)</w:t>
        <w:tab/>
        <w:t>121</w:t>
      </w:r>
    </w:p>
    <w:p>
      <w:pPr>
        <w:pStyle w:val="BodyText"/>
        <w:tabs>
          <w:tab w:pos="8268" w:val="left" w:leader="none"/>
        </w:tabs>
        <w:spacing w:line="289" w:lineRule="exact" w:before="275"/>
        <w:ind w:left="356"/>
      </w:pPr>
      <w:r>
        <w:rPr/>
        <w:t>Gráfico 03 </w:t>
      </w:r>
      <w:r>
        <w:rPr>
          <w:rFonts w:ascii="Calibri" w:hAnsi="Calibri"/>
        </w:rPr>
        <w:t>–  </w:t>
      </w:r>
      <w:r>
        <w:rPr>
          <w:position w:val="1"/>
        </w:rPr>
        <w:t>Percepção   de   evidência   de   criatividade </w:t>
      </w:r>
      <w:r>
        <w:rPr>
          <w:spacing w:val="11"/>
          <w:position w:val="1"/>
        </w:rPr>
        <w:t> </w:t>
      </w:r>
      <w:r>
        <w:rPr>
          <w:position w:val="1"/>
        </w:rPr>
        <w:t>na </w:t>
      </w:r>
      <w:r>
        <w:rPr>
          <w:spacing w:val="55"/>
          <w:position w:val="1"/>
        </w:rPr>
        <w:t> </w:t>
      </w:r>
      <w:r>
        <w:rPr>
          <w:position w:val="1"/>
        </w:rPr>
        <w:t>categoria</w:t>
        <w:tab/>
        <w:t>III</w:t>
      </w:r>
    </w:p>
    <w:p>
      <w:pPr>
        <w:pStyle w:val="BodyText"/>
        <w:tabs>
          <w:tab w:pos="8649" w:val="left" w:leader="dot"/>
        </w:tabs>
        <w:spacing w:line="266" w:lineRule="exact"/>
        <w:ind w:left="1772"/>
      </w:pPr>
      <w:r>
        <w:rPr/>
        <w:t>(gestores, professores, servidores, pais</w:t>
      </w:r>
      <w:r>
        <w:rPr>
          <w:spacing w:val="-12"/>
        </w:rPr>
        <w:t> </w:t>
      </w:r>
      <w:r>
        <w:rPr/>
        <w:t>ou</w:t>
      </w:r>
      <w:r>
        <w:rPr>
          <w:spacing w:val="-6"/>
        </w:rPr>
        <w:t> </w:t>
      </w:r>
      <w:r>
        <w:rPr/>
        <w:t>responsáveis)</w:t>
        <w:tab/>
        <w:t>123</w:t>
      </w:r>
    </w:p>
    <w:p>
      <w:pPr>
        <w:spacing w:after="0" w:line="266" w:lineRule="exact"/>
        <w:sectPr>
          <w:headerReference w:type="default" r:id="rId7"/>
          <w:pgSz w:w="11910" w:h="16840"/>
          <w:pgMar w:header="1698" w:footer="0" w:top="1960" w:bottom="280" w:left="1680" w:right="1060"/>
        </w:sectPr>
      </w:pPr>
    </w:p>
    <w:p>
      <w:pPr>
        <w:pStyle w:val="BodyText"/>
        <w:rPr>
          <w:sz w:val="26"/>
        </w:rPr>
      </w:pPr>
    </w:p>
    <w:p>
      <w:pPr>
        <w:pStyle w:val="BodyText"/>
        <w:rPr>
          <w:sz w:val="26"/>
        </w:rPr>
      </w:pPr>
    </w:p>
    <w:p>
      <w:pPr>
        <w:pStyle w:val="BodyText"/>
        <w:spacing w:before="6"/>
        <w:rPr>
          <w:sz w:val="32"/>
        </w:rPr>
      </w:pPr>
    </w:p>
    <w:p>
      <w:pPr>
        <w:pStyle w:val="BodyText"/>
        <w:tabs>
          <w:tab w:pos="8500" w:val="left" w:leader="dot"/>
        </w:tabs>
        <w:ind w:left="250"/>
      </w:pPr>
      <w:r>
        <w:rPr/>
        <w:t>Quadro 01 –  Delimitação de um paradigma e seus</w:t>
      </w:r>
      <w:r>
        <w:rPr>
          <w:spacing w:val="-7"/>
        </w:rPr>
        <w:t> </w:t>
      </w:r>
      <w:r>
        <w:rPr/>
        <w:t>diferentes</w:t>
      </w:r>
      <w:r>
        <w:rPr>
          <w:spacing w:val="-1"/>
        </w:rPr>
        <w:t> </w:t>
      </w:r>
      <w:r>
        <w:rPr/>
        <w:t>aspectos</w:t>
        <w:tab/>
        <w:t>45</w:t>
      </w:r>
    </w:p>
    <w:p>
      <w:pPr>
        <w:pStyle w:val="BodyText"/>
        <w:spacing w:before="10"/>
        <w:rPr>
          <w:sz w:val="23"/>
        </w:rPr>
      </w:pPr>
    </w:p>
    <w:p>
      <w:pPr>
        <w:pStyle w:val="BodyText"/>
        <w:tabs>
          <w:tab w:pos="3049" w:val="left" w:leader="none"/>
          <w:tab w:pos="3163" w:val="left" w:leader="none"/>
          <w:tab w:pos="3666" w:val="left" w:leader="none"/>
          <w:tab w:pos="4965" w:val="left" w:leader="none"/>
          <w:tab w:pos="6106" w:val="left" w:leader="none"/>
          <w:tab w:pos="6605" w:val="left" w:leader="none"/>
          <w:tab w:pos="7870" w:val="left" w:leader="none"/>
          <w:tab w:pos="8500" w:val="left" w:leader="none"/>
        </w:tabs>
        <w:spacing w:line="242" w:lineRule="auto" w:before="1"/>
        <w:ind w:left="1724" w:right="112" w:hanging="1475"/>
      </w:pPr>
      <w:r>
        <w:rPr/>
        <w:t>Quadro 02</w:t>
      </w:r>
      <w:r>
        <w:rPr>
          <w:spacing w:val="-1"/>
        </w:rPr>
        <w:t> </w:t>
      </w:r>
      <w:r>
        <w:rPr/>
        <w:t>– </w:t>
      </w:r>
      <w:r>
        <w:rPr>
          <w:spacing w:val="2"/>
        </w:rPr>
        <w:t> </w:t>
      </w:r>
      <w:r>
        <w:rPr/>
        <w:t>Instituições</w:t>
        <w:tab/>
        <w:tab/>
        <w:t>de</w:t>
        <w:tab/>
        <w:t>Educação</w:t>
        <w:tab/>
        <w:t>Superior</w:t>
        <w:tab/>
        <w:t>no</w:t>
        <w:tab/>
        <w:t>município</w:t>
        <w:tab/>
        <w:t>de Gurupi/TO</w:t>
        <w:tab/>
        <w:t>–</w:t>
      </w:r>
      <w:r>
        <w:rPr>
          <w:spacing w:val="-8"/>
        </w:rPr>
        <w:t> </w:t>
      </w:r>
      <w:r>
        <w:rPr/>
        <w:t>2011</w:t>
      </w:r>
      <w:r>
        <w:rPr>
          <w:spacing w:val="-9"/>
        </w:rPr>
        <w:t> </w:t>
      </w:r>
      <w:r>
        <w:rPr/>
        <w:t>...............................................................</w:t>
        <w:tab/>
        <w:t>88</w:t>
      </w:r>
    </w:p>
    <w:p>
      <w:pPr>
        <w:pStyle w:val="BodyText"/>
        <w:spacing w:before="9"/>
        <w:rPr>
          <w:sz w:val="23"/>
        </w:rPr>
      </w:pPr>
    </w:p>
    <w:p>
      <w:pPr>
        <w:pStyle w:val="BodyText"/>
        <w:tabs>
          <w:tab w:pos="8500" w:val="left" w:leader="none"/>
        </w:tabs>
        <w:ind w:left="250"/>
      </w:pPr>
      <w:r>
        <w:rPr/>
        <w:t>Quadro 03 –  Conjunto de parâmetros do questionário</w:t>
      </w:r>
      <w:r>
        <w:rPr>
          <w:spacing w:val="-8"/>
        </w:rPr>
        <w:t> </w:t>
      </w:r>
      <w:r>
        <w:rPr/>
        <w:t>Vadecrie</w:t>
      </w:r>
      <w:r>
        <w:rPr>
          <w:spacing w:val="-5"/>
        </w:rPr>
        <w:t> </w:t>
      </w:r>
      <w:r>
        <w:rPr/>
        <w:t>...............</w:t>
        <w:tab/>
        <w:t>95</w:t>
      </w:r>
    </w:p>
    <w:p>
      <w:pPr>
        <w:pStyle w:val="BodyText"/>
        <w:spacing w:before="5"/>
      </w:pPr>
    </w:p>
    <w:p>
      <w:pPr>
        <w:pStyle w:val="BodyText"/>
        <w:tabs>
          <w:tab w:pos="8370" w:val="left" w:leader="dot"/>
        </w:tabs>
        <w:spacing w:line="274" w:lineRule="exact"/>
        <w:ind w:left="1724" w:right="108" w:hanging="1475"/>
      </w:pPr>
      <w:r>
        <w:rPr/>
        <w:t>Quadro 04 – Referência de conceitos e valores utilizados para análise de respostas ao</w:t>
      </w:r>
      <w:r>
        <w:rPr>
          <w:spacing w:val="-9"/>
        </w:rPr>
        <w:t> </w:t>
      </w:r>
      <w:r>
        <w:rPr/>
        <w:t>questionário</w:t>
      </w:r>
      <w:r>
        <w:rPr>
          <w:spacing w:val="-2"/>
        </w:rPr>
        <w:t> </w:t>
      </w:r>
      <w:r>
        <w:rPr/>
        <w:t>Vadecrie</w:t>
        <w:tab/>
        <w:t>118</w:t>
      </w:r>
    </w:p>
    <w:p>
      <w:pPr>
        <w:pStyle w:val="BodyText"/>
        <w:spacing w:before="7"/>
        <w:rPr>
          <w:sz w:val="23"/>
        </w:rPr>
      </w:pPr>
    </w:p>
    <w:p>
      <w:pPr>
        <w:pStyle w:val="BodyText"/>
        <w:tabs>
          <w:tab w:pos="8370" w:val="left" w:leader="dot"/>
        </w:tabs>
        <w:ind w:left="250"/>
      </w:pPr>
      <w:r>
        <w:rPr/>
        <w:t>Quadro 05 –  Perfil dos</w:t>
      </w:r>
      <w:r>
        <w:rPr>
          <w:spacing w:val="-1"/>
        </w:rPr>
        <w:t> </w:t>
      </w:r>
      <w:r>
        <w:rPr/>
        <w:t>entrevistados</w:t>
        <w:tab/>
        <w:t>129</w:t>
      </w:r>
    </w:p>
    <w:p>
      <w:pPr>
        <w:spacing w:after="0"/>
        <w:sectPr>
          <w:headerReference w:type="default" r:id="rId8"/>
          <w:pgSz w:w="11910" w:h="16840"/>
          <w:pgMar w:header="1698" w:footer="0" w:top="1960" w:bottom="280" w:left="1680" w:right="1340"/>
        </w:sectPr>
      </w:pPr>
    </w:p>
    <w:p>
      <w:pPr>
        <w:pStyle w:val="BodyText"/>
        <w:rPr>
          <w:sz w:val="20"/>
        </w:rPr>
      </w:pPr>
    </w:p>
    <w:p>
      <w:pPr>
        <w:pStyle w:val="BodyText"/>
        <w:rPr>
          <w:sz w:val="20"/>
        </w:rPr>
      </w:pPr>
    </w:p>
    <w:p>
      <w:pPr>
        <w:pStyle w:val="BodyText"/>
        <w:rPr>
          <w:sz w:val="20"/>
        </w:rPr>
      </w:pPr>
    </w:p>
    <w:p>
      <w:pPr>
        <w:pStyle w:val="BodyText"/>
        <w:spacing w:before="6"/>
        <w:rPr>
          <w:sz w:val="16"/>
        </w:rPr>
      </w:pPr>
    </w:p>
    <w:p>
      <w:pPr>
        <w:pStyle w:val="BodyText"/>
        <w:tabs>
          <w:tab w:pos="1830" w:val="left" w:leader="none"/>
          <w:tab w:pos="9105" w:val="right" w:leader="none"/>
        </w:tabs>
        <w:spacing w:before="92"/>
        <w:ind w:left="356"/>
      </w:pPr>
      <w:r>
        <w:rPr/>
        <w:t>Tabela</w:t>
      </w:r>
      <w:r>
        <w:rPr>
          <w:spacing w:val="-1"/>
        </w:rPr>
        <w:t> </w:t>
      </w:r>
      <w:r>
        <w:rPr/>
        <w:t>01</w:t>
      </w:r>
      <w:r>
        <w:rPr>
          <w:spacing w:val="1"/>
        </w:rPr>
        <w:t> </w:t>
      </w:r>
      <w:r>
        <w:rPr/>
        <w:t>–</w:t>
        <w:tab/>
        <w:t>Metas projetadas para IDEB do município de Gurupi</w:t>
      </w:r>
      <w:r>
        <w:rPr>
          <w:spacing w:val="-7"/>
        </w:rPr>
        <w:t> </w:t>
      </w:r>
      <w:r>
        <w:rPr/>
        <w:t>/</w:t>
      </w:r>
      <w:r>
        <w:rPr>
          <w:spacing w:val="-5"/>
        </w:rPr>
        <w:t> </w:t>
      </w:r>
      <w:r>
        <w:rPr/>
        <w:t>TO......</w:t>
        <w:tab/>
        <w:t>91</w:t>
      </w:r>
    </w:p>
    <w:p>
      <w:pPr>
        <w:pStyle w:val="BodyText"/>
        <w:tabs>
          <w:tab w:pos="9105" w:val="right" w:leader="dot"/>
        </w:tabs>
        <w:spacing w:before="275"/>
        <w:ind w:left="356"/>
      </w:pPr>
      <w:r>
        <w:rPr/>
        <w:t>Tabela 02 –  IDEB observado no município de Gurupi</w:t>
      </w:r>
      <w:r>
        <w:rPr>
          <w:spacing w:val="8"/>
        </w:rPr>
        <w:t> </w:t>
      </w:r>
      <w:r>
        <w:rPr/>
        <w:t>/</w:t>
      </w:r>
      <w:r>
        <w:rPr>
          <w:spacing w:val="-5"/>
        </w:rPr>
        <w:t> </w:t>
      </w:r>
      <w:r>
        <w:rPr/>
        <w:t>TO</w:t>
        <w:tab/>
        <w:t>92</w:t>
      </w:r>
    </w:p>
    <w:p>
      <w:pPr>
        <w:pStyle w:val="BodyText"/>
        <w:tabs>
          <w:tab w:pos="2904" w:val="left" w:leader="none"/>
          <w:tab w:pos="3378" w:val="left" w:leader="none"/>
          <w:tab w:pos="4878" w:val="left" w:leader="none"/>
          <w:tab w:pos="5429" w:val="left" w:leader="none"/>
          <w:tab w:pos="6686" w:val="left" w:leader="none"/>
          <w:tab w:pos="7160" w:val="left" w:leader="none"/>
          <w:tab w:pos="8706" w:val="left" w:leader="none"/>
        </w:tabs>
        <w:spacing w:line="550" w:lineRule="atLeast" w:before="2"/>
        <w:ind w:left="389" w:right="112" w:hanging="34"/>
      </w:pPr>
      <w:r>
        <w:rPr/>
        <w:t>Tabela 03 –  Valorização qualitativa e numérica do instrumento</w:t>
      </w:r>
      <w:r>
        <w:rPr>
          <w:spacing w:val="-1"/>
        </w:rPr>
        <w:t> </w:t>
      </w:r>
      <w:r>
        <w:rPr/>
        <w:t>Vadecrie</w:t>
      </w:r>
      <w:r>
        <w:rPr>
          <w:spacing w:val="-2"/>
        </w:rPr>
        <w:t> </w:t>
      </w:r>
      <w:r>
        <w:rPr/>
        <w:t>...</w:t>
        <w:tab/>
        <w:t>101 Tabela 04</w:t>
      </w:r>
      <w:r>
        <w:rPr>
          <w:spacing w:val="-1"/>
        </w:rPr>
        <w:t> </w:t>
      </w:r>
      <w:r>
        <w:rPr/>
        <w:t>– </w:t>
      </w:r>
      <w:r>
        <w:rPr>
          <w:spacing w:val="9"/>
        </w:rPr>
        <w:t> </w:t>
      </w:r>
      <w:r>
        <w:rPr/>
        <w:t>Amostra</w:t>
        <w:tab/>
        <w:t>da</w:t>
        <w:tab/>
        <w:t>participação</w:t>
        <w:tab/>
        <w:t>por</w:t>
        <w:tab/>
        <w:t>segmento</w:t>
        <w:tab/>
        <w:t>da</w:t>
        <w:tab/>
        <w:t>comunidade</w:t>
      </w:r>
    </w:p>
    <w:p>
      <w:pPr>
        <w:pStyle w:val="BodyText"/>
        <w:tabs>
          <w:tab w:pos="9109" w:val="right" w:leader="dot"/>
        </w:tabs>
        <w:spacing w:before="2"/>
        <w:ind w:left="1772"/>
      </w:pPr>
      <w:r>
        <w:rPr/>
        <w:t>escolar no diagnóstico com</w:t>
      </w:r>
      <w:r>
        <w:rPr>
          <w:spacing w:val="-11"/>
        </w:rPr>
        <w:t> </w:t>
      </w:r>
      <w:r>
        <w:rPr/>
        <w:t>instrumento</w:t>
      </w:r>
      <w:r>
        <w:rPr>
          <w:spacing w:val="1"/>
        </w:rPr>
        <w:t> </w:t>
      </w:r>
      <w:r>
        <w:rPr/>
        <w:t>Vadecrie</w:t>
        <w:tab/>
        <w:t>116</w:t>
      </w:r>
    </w:p>
    <w:p>
      <w:pPr>
        <w:pStyle w:val="BodyText"/>
        <w:tabs>
          <w:tab w:pos="9109" w:val="right" w:leader="dot"/>
        </w:tabs>
        <w:spacing w:line="274" w:lineRule="exact" w:before="281"/>
        <w:ind w:left="1772" w:right="112" w:hanging="1417"/>
      </w:pPr>
      <w:r>
        <w:rPr/>
        <w:t>Tabela 05 – Agrupamento de valores da avaliação diagnóstica Vadecrie – Categorias</w:t>
      </w:r>
      <w:r>
        <w:rPr>
          <w:spacing w:val="-6"/>
        </w:rPr>
        <w:t> </w:t>
      </w:r>
      <w:r>
        <w:rPr/>
        <w:t>e</w:t>
      </w:r>
      <w:r>
        <w:rPr>
          <w:spacing w:val="-1"/>
        </w:rPr>
        <w:t> </w:t>
      </w:r>
      <w:r>
        <w:rPr/>
        <w:t>parâmetros</w:t>
        <w:tab/>
        <w:t>124</w:t>
      </w:r>
    </w:p>
    <w:p>
      <w:pPr>
        <w:pStyle w:val="BodyText"/>
        <w:tabs>
          <w:tab w:pos="9109" w:val="right" w:leader="dot"/>
        </w:tabs>
        <w:spacing w:before="272"/>
        <w:ind w:left="1772" w:right="112" w:hanging="1383"/>
      </w:pPr>
      <w:r>
        <w:rPr/>
        <w:t>Tabela 06 – Agrupamento de  valores  da  avaliação  diagnóstica  com instrumento Vadecrie – indicadores do parâmetro liderança estimulante</w:t>
        <w:tab/>
        <w:t>126</w:t>
      </w:r>
    </w:p>
    <w:p>
      <w:pPr>
        <w:pStyle w:val="BodyText"/>
        <w:tabs>
          <w:tab w:pos="9109" w:val="right" w:leader="dot"/>
        </w:tabs>
        <w:spacing w:before="276"/>
        <w:ind w:left="1772" w:right="112" w:hanging="1383"/>
      </w:pPr>
      <w:r>
        <w:rPr/>
        <w:t>Tabela 07 – Agrupamento de  valores  da  avaliação  diagnóstica  com instrumento Vadecrie – indicadores do parâmetro espírito empreendedor</w:t>
        <w:tab/>
        <w:t>127</w:t>
      </w:r>
    </w:p>
    <w:p>
      <w:pPr>
        <w:spacing w:after="0"/>
        <w:sectPr>
          <w:headerReference w:type="default" r:id="rId9"/>
          <w:pgSz w:w="11910" w:h="16840"/>
          <w:pgMar w:header="1698" w:footer="0" w:top="1960" w:bottom="280" w:left="1680" w:right="1000"/>
        </w:sectPr>
      </w:pPr>
    </w:p>
    <w:p>
      <w:pPr>
        <w:pStyle w:val="BodyText"/>
        <w:rPr>
          <w:sz w:val="26"/>
        </w:rPr>
      </w:pPr>
    </w:p>
    <w:p>
      <w:pPr>
        <w:pStyle w:val="BodyText"/>
        <w:rPr>
          <w:sz w:val="26"/>
        </w:rPr>
      </w:pPr>
    </w:p>
    <w:p>
      <w:pPr>
        <w:pStyle w:val="BodyText"/>
        <w:spacing w:before="8"/>
        <w:rPr>
          <w:sz w:val="36"/>
        </w:rPr>
      </w:pPr>
    </w:p>
    <w:p>
      <w:pPr>
        <w:pStyle w:val="BodyText"/>
        <w:tabs>
          <w:tab w:pos="2113" w:val="left" w:leader="none"/>
          <w:tab w:pos="3863" w:val="left" w:leader="none"/>
          <w:tab w:pos="5631" w:val="left" w:leader="none"/>
          <w:tab w:pos="6292" w:val="left" w:leader="none"/>
        </w:tabs>
        <w:spacing w:line="242" w:lineRule="auto"/>
        <w:ind w:left="2113" w:right="122" w:hanging="1815"/>
      </w:pPr>
      <w:r>
        <w:rPr/>
        <w:t>AIEC</w:t>
        <w:tab/>
        <w:t>Associação</w:t>
        <w:tab/>
        <w:t>Internacional</w:t>
        <w:tab/>
        <w:t>de</w:t>
        <w:tab/>
        <w:t>Educação</w:t>
      </w:r>
      <w:r>
        <w:rPr>
          <w:spacing w:val="61"/>
        </w:rPr>
        <w:t> </w:t>
      </w:r>
      <w:r>
        <w:rPr/>
        <w:t>Continuada</w:t>
      </w:r>
      <w:r>
        <w:rPr>
          <w:spacing w:val="61"/>
        </w:rPr>
        <w:t> </w:t>
      </w:r>
      <w:r>
        <w:rPr/>
        <w:t>/</w:t>
      </w:r>
      <w:r>
        <w:rPr>
          <w:w w:val="100"/>
        </w:rPr>
        <w:t> </w:t>
      </w:r>
      <w:r>
        <w:rPr/>
        <w:t>Faculdade</w:t>
      </w:r>
      <w:r>
        <w:rPr>
          <w:spacing w:val="-8"/>
        </w:rPr>
        <w:t> </w:t>
      </w:r>
      <w:r>
        <w:rPr/>
        <w:t>AIEC</w:t>
      </w:r>
    </w:p>
    <w:p>
      <w:pPr>
        <w:pStyle w:val="BodyText"/>
        <w:tabs>
          <w:tab w:pos="2113" w:val="left" w:leader="none"/>
        </w:tabs>
        <w:spacing w:before="90"/>
        <w:ind w:left="298"/>
      </w:pPr>
      <w:r>
        <w:rPr/>
        <w:t>APM</w:t>
        <w:tab/>
        <w:t>Associação de Pais e</w:t>
      </w:r>
      <w:r>
        <w:rPr>
          <w:spacing w:val="-6"/>
        </w:rPr>
        <w:t> </w:t>
      </w:r>
      <w:r>
        <w:rPr/>
        <w:t>Mestres</w:t>
      </w:r>
    </w:p>
    <w:p>
      <w:pPr>
        <w:pStyle w:val="BodyText"/>
        <w:tabs>
          <w:tab w:pos="2113" w:val="left" w:leader="none"/>
          <w:tab w:pos="3479" w:val="left" w:leader="none"/>
          <w:tab w:pos="4241" w:val="left" w:leader="none"/>
          <w:tab w:pos="7093" w:val="left" w:leader="none"/>
        </w:tabs>
        <w:spacing w:line="274" w:lineRule="exact" w:before="56"/>
        <w:ind w:left="2113" w:right="113" w:hanging="1815"/>
      </w:pPr>
      <w:r>
        <w:rPr>
          <w:position w:val="-4"/>
        </w:rPr>
        <w:t>EDIFID</w:t>
        <w:tab/>
      </w:r>
      <w:r>
        <w:rPr/>
        <w:t>Projetos</w:t>
        <w:tab/>
        <w:t>de</w:t>
        <w:tab/>
        <w:t>Estratégias </w:t>
      </w:r>
      <w:r>
        <w:rPr>
          <w:spacing w:val="29"/>
        </w:rPr>
        <w:t> </w:t>
      </w:r>
      <w:r>
        <w:rPr/>
        <w:t>Didáticas</w:t>
        <w:tab/>
        <w:t>Inovadoras </w:t>
      </w:r>
      <w:r>
        <w:rPr>
          <w:spacing w:val="27"/>
        </w:rPr>
        <w:t> </w:t>
      </w:r>
      <w:r>
        <w:rPr/>
        <w:t>para</w:t>
      </w:r>
      <w:r>
        <w:rPr>
          <w:w w:val="99"/>
        </w:rPr>
        <w:t> </w:t>
      </w:r>
      <w:r>
        <w:rPr/>
        <w:t>Formação Inicial de</w:t>
      </w:r>
      <w:r>
        <w:rPr>
          <w:spacing w:val="-14"/>
        </w:rPr>
        <w:t> </w:t>
      </w:r>
      <w:r>
        <w:rPr/>
        <w:t>Docentes</w:t>
      </w:r>
    </w:p>
    <w:p>
      <w:pPr>
        <w:pStyle w:val="BodyText"/>
        <w:tabs>
          <w:tab w:pos="2113" w:val="left" w:leader="none"/>
        </w:tabs>
        <w:spacing w:before="94"/>
        <w:ind w:left="298"/>
      </w:pPr>
      <w:r>
        <w:rPr>
          <w:spacing w:val="-2"/>
        </w:rPr>
        <w:t>EMI</w:t>
        <w:tab/>
      </w:r>
      <w:r>
        <w:rPr/>
        <w:t>Universidad Escuela Militar de Engeniería</w:t>
      </w:r>
      <w:r>
        <w:rPr>
          <w:spacing w:val="-16"/>
        </w:rPr>
        <w:t> </w:t>
      </w:r>
      <w:r>
        <w:rPr/>
        <w:t>/Bolívia</w:t>
      </w:r>
    </w:p>
    <w:p>
      <w:pPr>
        <w:pStyle w:val="BodyText"/>
        <w:tabs>
          <w:tab w:pos="2113" w:val="left" w:leader="none"/>
        </w:tabs>
        <w:spacing w:line="242" w:lineRule="auto" w:before="93"/>
        <w:ind w:left="2113" w:right="120" w:hanging="1815"/>
      </w:pPr>
      <w:r>
        <w:rPr/>
        <w:t>ENERPEIXE</w:t>
        <w:tab/>
        <w:t>Concessionária de Serviços Públicos de Energia </w:t>
      </w:r>
      <w:r>
        <w:rPr>
          <w:spacing w:val="3"/>
        </w:rPr>
        <w:t> </w:t>
      </w:r>
      <w:r>
        <w:rPr/>
        <w:t>Elétrica</w:t>
      </w:r>
      <w:r>
        <w:rPr>
          <w:spacing w:val="11"/>
        </w:rPr>
        <w:t> </w:t>
      </w:r>
      <w:r>
        <w:rPr/>
        <w:t>Peixe</w:t>
      </w:r>
      <w:r>
        <w:rPr>
          <w:w w:val="99"/>
        </w:rPr>
        <w:t> </w:t>
      </w:r>
      <w:r>
        <w:rPr/>
        <w:t>Angical</w:t>
      </w:r>
    </w:p>
    <w:p>
      <w:pPr>
        <w:pStyle w:val="BodyText"/>
        <w:tabs>
          <w:tab w:pos="2113" w:val="left" w:leader="none"/>
        </w:tabs>
        <w:spacing w:line="326" w:lineRule="auto" w:before="90"/>
        <w:ind w:left="298" w:right="3142"/>
      </w:pPr>
      <w:r>
        <w:rPr/>
        <w:t>FACINTER</w:t>
        <w:tab/>
        <w:t>Faculdade Internacional</w:t>
      </w:r>
      <w:r>
        <w:rPr>
          <w:spacing w:val="-12"/>
        </w:rPr>
        <w:t> </w:t>
      </w:r>
      <w:r>
        <w:rPr/>
        <w:t>de</w:t>
      </w:r>
      <w:r>
        <w:rPr>
          <w:spacing w:val="-6"/>
        </w:rPr>
        <w:t> </w:t>
      </w:r>
      <w:r>
        <w:rPr/>
        <w:t>Curitiba</w:t>
      </w:r>
      <w:r>
        <w:rPr>
          <w:w w:val="99"/>
        </w:rPr>
        <w:t> </w:t>
      </w:r>
      <w:r>
        <w:rPr/>
        <w:t>FAEL</w:t>
        <w:tab/>
        <w:t>Faculdade Educacional da</w:t>
      </w:r>
      <w:r>
        <w:rPr>
          <w:spacing w:val="-15"/>
        </w:rPr>
        <w:t> </w:t>
      </w:r>
      <w:r>
        <w:rPr/>
        <w:t>Lapa</w:t>
      </w:r>
    </w:p>
    <w:p>
      <w:pPr>
        <w:pStyle w:val="BodyText"/>
        <w:tabs>
          <w:tab w:pos="2113" w:val="left" w:leader="none"/>
        </w:tabs>
        <w:spacing w:line="326" w:lineRule="auto"/>
        <w:ind w:left="298" w:right="1318"/>
      </w:pPr>
      <w:r>
        <w:rPr/>
        <w:t>FAFICH</w:t>
        <w:tab/>
        <w:t>Faculdade de Filosofia Ciências Humanas</w:t>
      </w:r>
      <w:r>
        <w:rPr>
          <w:spacing w:val="-21"/>
        </w:rPr>
        <w:t> </w:t>
      </w:r>
      <w:r>
        <w:rPr/>
        <w:t>de</w:t>
      </w:r>
      <w:r>
        <w:rPr>
          <w:spacing w:val="-3"/>
        </w:rPr>
        <w:t> </w:t>
      </w:r>
      <w:r>
        <w:rPr/>
        <w:t>Gurupi</w:t>
      </w:r>
      <w:r>
        <w:rPr>
          <w:w w:val="99"/>
        </w:rPr>
        <w:t> </w:t>
      </w:r>
      <w:r>
        <w:rPr/>
        <w:t>FAG</w:t>
        <w:tab/>
        <w:t>Faculdade de Guaraí</w:t>
      </w:r>
      <w:r>
        <w:rPr>
          <w:spacing w:val="-13"/>
        </w:rPr>
        <w:t> </w:t>
      </w:r>
      <w:r>
        <w:rPr/>
        <w:t>/Tocantins</w:t>
      </w:r>
    </w:p>
    <w:p>
      <w:pPr>
        <w:pStyle w:val="BodyText"/>
        <w:tabs>
          <w:tab w:pos="2113" w:val="left" w:leader="none"/>
        </w:tabs>
        <w:spacing w:line="326" w:lineRule="auto"/>
        <w:ind w:left="298" w:right="2795"/>
      </w:pPr>
      <w:r>
        <w:rPr/>
        <w:t>FATEC</w:t>
        <w:tab/>
        <w:t>Faculdade de</w:t>
      </w:r>
      <w:r>
        <w:rPr>
          <w:spacing w:val="-13"/>
        </w:rPr>
        <w:t> </w:t>
      </w:r>
      <w:r>
        <w:rPr/>
        <w:t>Tecnologia</w:t>
      </w:r>
      <w:r>
        <w:rPr>
          <w:spacing w:val="-5"/>
        </w:rPr>
        <w:t> </w:t>
      </w:r>
      <w:r>
        <w:rPr/>
        <w:t>Internacional</w:t>
      </w:r>
      <w:r>
        <w:rPr>
          <w:w w:val="99"/>
        </w:rPr>
        <w:t> </w:t>
      </w:r>
      <w:r>
        <w:rPr/>
        <w:t>FEP</w:t>
        <w:tab/>
        <w:t>Fundação Educacional do</w:t>
      </w:r>
      <w:r>
        <w:rPr>
          <w:spacing w:val="-10"/>
        </w:rPr>
        <w:t> </w:t>
      </w:r>
      <w:r>
        <w:rPr/>
        <w:t>Pará</w:t>
      </w:r>
    </w:p>
    <w:p>
      <w:pPr>
        <w:pStyle w:val="BodyText"/>
        <w:tabs>
          <w:tab w:pos="2113" w:val="left" w:leader="none"/>
        </w:tabs>
        <w:spacing w:line="273" w:lineRule="exact"/>
        <w:ind w:left="298"/>
      </w:pPr>
      <w:r>
        <w:rPr/>
        <w:t>FEPAR</w:t>
        <w:tab/>
        <w:t>Fundação Educacional de Paraiso do</w:t>
      </w:r>
      <w:r>
        <w:rPr>
          <w:spacing w:val="-24"/>
        </w:rPr>
        <w:t> </w:t>
      </w:r>
      <w:r>
        <w:rPr/>
        <w:t>Tocantins</w:t>
      </w:r>
    </w:p>
    <w:p>
      <w:pPr>
        <w:pStyle w:val="BodyText"/>
        <w:tabs>
          <w:tab w:pos="2113" w:val="left" w:leader="none"/>
          <w:tab w:pos="3493" w:val="left" w:leader="none"/>
          <w:tab w:pos="4015" w:val="left" w:leader="none"/>
          <w:tab w:pos="5338" w:val="left" w:leader="none"/>
          <w:tab w:pos="7770" w:val="left" w:leader="none"/>
        </w:tabs>
        <w:spacing w:line="274" w:lineRule="exact" w:before="105"/>
        <w:ind w:left="2113" w:right="107" w:hanging="1815"/>
      </w:pPr>
      <w:r>
        <w:rPr/>
        <w:t>FECIPAR</w:t>
        <w:tab/>
        <w:t>Faculdade</w:t>
        <w:tab/>
        <w:t>de</w:t>
        <w:tab/>
        <w:t>Educação</w:t>
        <w:tab/>
        <w:t>Ciências e</w:t>
      </w:r>
      <w:r>
        <w:rPr>
          <w:spacing w:val="35"/>
        </w:rPr>
        <w:t> </w:t>
      </w:r>
      <w:r>
        <w:rPr/>
        <w:t>letras</w:t>
      </w:r>
      <w:r>
        <w:rPr>
          <w:spacing w:val="18"/>
        </w:rPr>
        <w:t> </w:t>
      </w:r>
      <w:r>
        <w:rPr/>
        <w:t>de</w:t>
        <w:tab/>
        <w:t>Paraiso</w:t>
      </w:r>
      <w:r>
        <w:rPr>
          <w:spacing w:val="13"/>
        </w:rPr>
        <w:t> </w:t>
      </w:r>
      <w:r>
        <w:rPr/>
        <w:t>do</w:t>
      </w:r>
      <w:r>
        <w:rPr>
          <w:w w:val="99"/>
        </w:rPr>
        <w:t> </w:t>
      </w:r>
      <w:r>
        <w:rPr/>
        <w:t>Tocantins</w:t>
      </w:r>
    </w:p>
    <w:p>
      <w:pPr>
        <w:pStyle w:val="BodyText"/>
        <w:tabs>
          <w:tab w:pos="2113" w:val="left" w:leader="none"/>
        </w:tabs>
        <w:spacing w:before="94"/>
        <w:ind w:left="298"/>
      </w:pPr>
      <w:r>
        <w:rPr/>
        <w:t>FEG</w:t>
        <w:tab/>
        <w:t>Fundação educacional de</w:t>
      </w:r>
      <w:r>
        <w:rPr>
          <w:spacing w:val="-13"/>
        </w:rPr>
        <w:t> </w:t>
      </w:r>
      <w:r>
        <w:rPr/>
        <w:t>Gurupi</w:t>
      </w:r>
    </w:p>
    <w:p>
      <w:pPr>
        <w:pStyle w:val="BodyText"/>
        <w:tabs>
          <w:tab w:pos="2113" w:val="left" w:leader="none"/>
        </w:tabs>
        <w:spacing w:line="370" w:lineRule="atLeast"/>
        <w:ind w:left="298" w:right="110"/>
      </w:pPr>
      <w:r>
        <w:rPr/>
        <w:t>FIESC</w:t>
        <w:tab/>
        <w:t>Faculdade Integrada de Ensino Superior de</w:t>
      </w:r>
      <w:r>
        <w:rPr>
          <w:spacing w:val="-25"/>
        </w:rPr>
        <w:t> </w:t>
      </w:r>
      <w:r>
        <w:rPr/>
        <w:t>Colinas/</w:t>
      </w:r>
      <w:r>
        <w:rPr>
          <w:spacing w:val="1"/>
        </w:rPr>
        <w:t> </w:t>
      </w:r>
      <w:r>
        <w:rPr/>
        <w:t>Tocantins FUNBOSQUE</w:t>
        <w:tab/>
        <w:t>Fundação   Centro   de   Referência   em   Educação</w:t>
      </w:r>
      <w:r>
        <w:rPr>
          <w:spacing w:val="49"/>
        </w:rPr>
        <w:t> </w:t>
      </w:r>
      <w:r>
        <w:rPr/>
        <w:t>Ambiental</w:t>
      </w:r>
    </w:p>
    <w:p>
      <w:pPr>
        <w:pStyle w:val="BodyText"/>
        <w:spacing w:line="326" w:lineRule="auto"/>
        <w:ind w:left="298" w:right="835" w:firstLine="1814"/>
      </w:pPr>
      <w:r>
        <w:rPr/>
        <w:t>Escola Bosque Professor Eidorfe Moreira</w:t>
      </w:r>
      <w:r>
        <w:rPr>
          <w:b/>
        </w:rPr>
        <w:t>-</w:t>
      </w:r>
      <w:r>
        <w:rPr/>
        <w:t>Escola Bosque FUNDESCOLA   Fundo de Desenvolvimento da Escola</w:t>
      </w:r>
    </w:p>
    <w:p>
      <w:pPr>
        <w:pStyle w:val="BodyText"/>
        <w:tabs>
          <w:tab w:pos="2113" w:val="left" w:leader="none"/>
        </w:tabs>
        <w:spacing w:before="4"/>
        <w:ind w:left="298"/>
      </w:pPr>
      <w:r>
        <w:rPr/>
        <w:t>GIAD</w:t>
        <w:tab/>
        <w:t>Grupo de Pesquisa e Assessoramento</w:t>
      </w:r>
      <w:r>
        <w:rPr>
          <w:spacing w:val="-18"/>
        </w:rPr>
        <w:t> </w:t>
      </w:r>
      <w:r>
        <w:rPr/>
        <w:t>Didático</w:t>
      </w:r>
    </w:p>
    <w:p>
      <w:pPr>
        <w:pStyle w:val="BodyText"/>
        <w:tabs>
          <w:tab w:pos="2113" w:val="left" w:leader="none"/>
          <w:tab w:pos="3174" w:val="left" w:leader="none"/>
          <w:tab w:pos="4454" w:val="left" w:leader="none"/>
          <w:tab w:pos="4933" w:val="left" w:leader="none"/>
          <w:tab w:pos="5738" w:val="left" w:leader="none"/>
          <w:tab w:pos="6960" w:val="left" w:leader="none"/>
          <w:tab w:pos="7310" w:val="left" w:leader="none"/>
          <w:tab w:pos="7909" w:val="left" w:leader="none"/>
        </w:tabs>
        <w:spacing w:line="242" w:lineRule="auto" w:before="94"/>
        <w:ind w:left="2113" w:right="115" w:hanging="1815"/>
      </w:pPr>
      <w:r>
        <w:rPr/>
        <w:t>IBAMA</w:t>
        <w:tab/>
        <w:t>Instituto</w:t>
        <w:tab/>
        <w:t>Brasileiro</w:t>
        <w:tab/>
        <w:t>do</w:t>
        <w:tab/>
        <w:t>Meio</w:t>
        <w:tab/>
        <w:t>Ambiente</w:t>
        <w:tab/>
        <w:t>e</w:t>
        <w:tab/>
        <w:t>dos</w:t>
        <w:tab/>
        <w:t>Recursos Naturais</w:t>
      </w:r>
      <w:r>
        <w:rPr>
          <w:spacing w:val="-5"/>
        </w:rPr>
        <w:t> </w:t>
      </w:r>
      <w:r>
        <w:rPr/>
        <w:t>Renováveis</w:t>
      </w:r>
    </w:p>
    <w:p>
      <w:pPr>
        <w:pStyle w:val="BodyText"/>
        <w:tabs>
          <w:tab w:pos="2113" w:val="left" w:leader="none"/>
          <w:tab w:pos="3225" w:val="left" w:leader="none"/>
          <w:tab w:pos="3757" w:val="left" w:leader="none"/>
          <w:tab w:pos="4940" w:val="left" w:leader="none"/>
          <w:tab w:pos="5477" w:val="left" w:leader="none"/>
          <w:tab w:pos="6896" w:val="left" w:leader="none"/>
          <w:tab w:pos="7523" w:val="left" w:leader="none"/>
        </w:tabs>
        <w:spacing w:line="242" w:lineRule="auto" w:before="90"/>
        <w:ind w:left="2113" w:right="119" w:hanging="1815"/>
      </w:pPr>
      <w:r>
        <w:rPr/>
        <w:t>ICE-UAB</w:t>
        <w:tab/>
        <w:t>Instituto</w:t>
        <w:tab/>
        <w:t>de</w:t>
        <w:tab/>
        <w:t>Ciências</w:t>
        <w:tab/>
        <w:t>da</w:t>
        <w:tab/>
        <w:t>Educação</w:t>
        <w:tab/>
        <w:t>da</w:t>
        <w:tab/>
        <w:t>Universidade de</w:t>
      </w:r>
      <w:r>
        <w:rPr>
          <w:spacing w:val="-2"/>
        </w:rPr>
        <w:t> </w:t>
      </w:r>
      <w:r>
        <w:rPr/>
        <w:t>Barcelona</w:t>
      </w:r>
    </w:p>
    <w:p>
      <w:pPr>
        <w:pStyle w:val="BodyText"/>
        <w:tabs>
          <w:tab w:pos="2113" w:val="left" w:leader="none"/>
        </w:tabs>
        <w:spacing w:line="324" w:lineRule="auto" w:before="90"/>
        <w:ind w:left="298" w:right="1368"/>
      </w:pPr>
      <w:r>
        <w:rPr/>
        <w:t>IDEB</w:t>
        <w:tab/>
        <w:t>Índice de Desenvolvimento da</w:t>
      </w:r>
      <w:r>
        <w:rPr>
          <w:spacing w:val="-17"/>
        </w:rPr>
        <w:t> </w:t>
      </w:r>
      <w:r>
        <w:rPr/>
        <w:t>Educação</w:t>
      </w:r>
      <w:r>
        <w:rPr>
          <w:spacing w:val="-5"/>
        </w:rPr>
        <w:t> </w:t>
      </w:r>
      <w:r>
        <w:rPr/>
        <w:t>Básica</w:t>
      </w:r>
      <w:r>
        <w:rPr>
          <w:w w:val="99"/>
        </w:rPr>
        <w:t> </w:t>
      </w:r>
      <w:r>
        <w:rPr/>
        <w:t>IFTO</w:t>
        <w:tab/>
        <w:t>Instituto Federal de Educação, Ciência</w:t>
      </w:r>
      <w:r>
        <w:rPr>
          <w:spacing w:val="-21"/>
        </w:rPr>
        <w:t> </w:t>
      </w:r>
      <w:r>
        <w:rPr/>
        <w:t>e</w:t>
      </w:r>
      <w:r>
        <w:rPr>
          <w:spacing w:val="-4"/>
        </w:rPr>
        <w:t> </w:t>
      </w:r>
      <w:r>
        <w:rPr/>
        <w:t>Tecnologia</w:t>
      </w:r>
      <w:r>
        <w:rPr>
          <w:w w:val="99"/>
        </w:rPr>
        <w:t> </w:t>
      </w:r>
      <w:r>
        <w:rPr/>
        <w:t>INCAS</w:t>
        <w:tab/>
        <w:t>Instituto de Tecnologia e</w:t>
      </w:r>
      <w:r>
        <w:rPr>
          <w:spacing w:val="-15"/>
        </w:rPr>
        <w:t> </w:t>
      </w:r>
      <w:r>
        <w:rPr/>
        <w:t>Sustentabilidade</w:t>
      </w:r>
    </w:p>
    <w:p>
      <w:pPr>
        <w:pStyle w:val="BodyText"/>
        <w:tabs>
          <w:tab w:pos="2113" w:val="left" w:leader="none"/>
        </w:tabs>
        <w:spacing w:line="321" w:lineRule="auto" w:before="4"/>
        <w:ind w:left="298" w:right="931"/>
      </w:pPr>
      <w:r>
        <w:rPr/>
        <w:t>PIBID</w:t>
        <w:tab/>
        <w:t>Programa Institucional de Bolsa de Iniciação</w:t>
      </w:r>
      <w:r>
        <w:rPr>
          <w:spacing w:val="-23"/>
        </w:rPr>
        <w:t> </w:t>
      </w:r>
      <w:r>
        <w:rPr/>
        <w:t>à</w:t>
      </w:r>
      <w:r>
        <w:rPr>
          <w:spacing w:val="-3"/>
        </w:rPr>
        <w:t> </w:t>
      </w:r>
      <w:r>
        <w:rPr/>
        <w:t>Docência</w:t>
      </w:r>
      <w:r>
        <w:rPr>
          <w:w w:val="99"/>
        </w:rPr>
        <w:t> </w:t>
      </w:r>
      <w:r>
        <w:rPr/>
        <w:t>PCE</w:t>
        <w:tab/>
        <w:t>Projeto Criativo</w:t>
      </w:r>
      <w:r>
        <w:rPr>
          <w:spacing w:val="-17"/>
        </w:rPr>
        <w:t> </w:t>
      </w:r>
      <w:r>
        <w:rPr/>
        <w:t>Ecoformador</w:t>
      </w:r>
    </w:p>
    <w:p>
      <w:pPr>
        <w:pStyle w:val="BodyText"/>
        <w:tabs>
          <w:tab w:pos="2113" w:val="left" w:leader="none"/>
        </w:tabs>
        <w:spacing w:before="7"/>
        <w:ind w:left="298"/>
      </w:pPr>
      <w:r>
        <w:rPr/>
        <w:t>PDDE</w:t>
        <w:tab/>
        <w:t>Programa Dinheiro Direto na</w:t>
      </w:r>
      <w:r>
        <w:rPr>
          <w:spacing w:val="-14"/>
        </w:rPr>
        <w:t> </w:t>
      </w:r>
      <w:r>
        <w:rPr/>
        <w:t>Escola</w:t>
      </w:r>
    </w:p>
    <w:p>
      <w:pPr>
        <w:pStyle w:val="BodyText"/>
        <w:tabs>
          <w:tab w:pos="2113" w:val="left" w:leader="none"/>
        </w:tabs>
        <w:spacing w:before="94"/>
        <w:ind w:left="298"/>
      </w:pPr>
      <w:r>
        <w:rPr/>
        <w:t>PDE</w:t>
        <w:tab/>
        <w:t>Plano de</w:t>
      </w:r>
      <w:r>
        <w:rPr>
          <w:spacing w:val="-12"/>
        </w:rPr>
        <w:t> </w:t>
      </w:r>
      <w:r>
        <w:rPr/>
        <w:t>Desenvolvimento</w:t>
      </w:r>
    </w:p>
    <w:p>
      <w:pPr>
        <w:pStyle w:val="BodyText"/>
        <w:tabs>
          <w:tab w:pos="2113" w:val="left" w:leader="none"/>
        </w:tabs>
        <w:spacing w:line="321" w:lineRule="auto" w:before="98"/>
        <w:ind w:left="298" w:right="2278"/>
      </w:pPr>
      <w:r>
        <w:rPr/>
        <w:t>PPGE</w:t>
        <w:tab/>
        <w:t>Programa de Pós Graduação</w:t>
      </w:r>
      <w:r>
        <w:rPr>
          <w:spacing w:val="-13"/>
        </w:rPr>
        <w:t> </w:t>
      </w:r>
      <w:r>
        <w:rPr/>
        <w:t>em</w:t>
      </w:r>
      <w:r>
        <w:rPr>
          <w:spacing w:val="-11"/>
        </w:rPr>
        <w:t> </w:t>
      </w:r>
      <w:r>
        <w:rPr/>
        <w:t>Educação</w:t>
      </w:r>
      <w:r>
        <w:rPr>
          <w:w w:val="99"/>
        </w:rPr>
        <w:t> </w:t>
      </w:r>
      <w:r>
        <w:rPr>
          <w:spacing w:val="-2"/>
        </w:rPr>
        <w:t>PME</w:t>
        <w:tab/>
      </w:r>
      <w:r>
        <w:rPr/>
        <w:t>Plano Municipal de</w:t>
      </w:r>
      <w:r>
        <w:rPr>
          <w:spacing w:val="-9"/>
        </w:rPr>
        <w:t> </w:t>
      </w:r>
      <w:r>
        <w:rPr/>
        <w:t>Educação</w:t>
      </w:r>
    </w:p>
    <w:p>
      <w:pPr>
        <w:spacing w:after="0" w:line="321" w:lineRule="auto"/>
        <w:sectPr>
          <w:headerReference w:type="default" r:id="rId10"/>
          <w:pgSz w:w="11910" w:h="16840"/>
          <w:pgMar w:header="1698" w:footer="0" w:top="1960" w:bottom="280" w:left="1680" w:right="1180"/>
        </w:sectPr>
      </w:pPr>
    </w:p>
    <w:p>
      <w:pPr>
        <w:pStyle w:val="BodyText"/>
        <w:tabs>
          <w:tab w:pos="2113" w:val="left" w:leader="none"/>
        </w:tabs>
        <w:spacing w:before="145"/>
        <w:ind w:left="298"/>
      </w:pPr>
      <w:r>
        <w:rPr/>
        <w:t>PNE</w:t>
        <w:tab/>
        <w:t>Plano Nacional de</w:t>
      </w:r>
      <w:r>
        <w:rPr>
          <w:spacing w:val="-10"/>
        </w:rPr>
        <w:t> </w:t>
      </w:r>
      <w:r>
        <w:rPr/>
        <w:t>Educação</w:t>
      </w:r>
    </w:p>
    <w:p>
      <w:pPr>
        <w:pStyle w:val="BodyText"/>
        <w:tabs>
          <w:tab w:pos="2113" w:val="left" w:leader="none"/>
        </w:tabs>
        <w:spacing w:before="98"/>
        <w:ind w:left="298"/>
      </w:pPr>
      <w:r>
        <w:rPr/>
        <w:t>PPP</w:t>
        <w:tab/>
        <w:t>Projeto Político</w:t>
      </w:r>
      <w:r>
        <w:rPr>
          <w:spacing w:val="-11"/>
        </w:rPr>
        <w:t> </w:t>
      </w:r>
      <w:r>
        <w:rPr/>
        <w:t>Pedagógico</w:t>
      </w:r>
    </w:p>
    <w:p>
      <w:pPr>
        <w:pStyle w:val="BodyText"/>
        <w:tabs>
          <w:tab w:pos="2113" w:val="left" w:leader="none"/>
        </w:tabs>
        <w:spacing w:line="324" w:lineRule="auto" w:before="93"/>
        <w:ind w:left="298" w:right="901"/>
      </w:pPr>
      <w:r>
        <w:rPr/>
        <w:t>PUC</w:t>
      </w:r>
      <w:r>
        <w:rPr>
          <w:spacing w:val="-2"/>
        </w:rPr>
        <w:t> </w:t>
      </w:r>
      <w:r>
        <w:rPr/>
        <w:t>/</w:t>
      </w:r>
      <w:r>
        <w:rPr>
          <w:spacing w:val="-1"/>
        </w:rPr>
        <w:t> </w:t>
      </w:r>
      <w:r>
        <w:rPr/>
        <w:t>MINAS</w:t>
        <w:tab/>
        <w:t>Pontifícia Universidade Católica de</w:t>
      </w:r>
      <w:r>
        <w:rPr>
          <w:spacing w:val="-13"/>
        </w:rPr>
        <w:t> </w:t>
      </w:r>
      <w:r>
        <w:rPr/>
        <w:t>Minas</w:t>
      </w:r>
      <w:r>
        <w:rPr>
          <w:spacing w:val="-7"/>
        </w:rPr>
        <w:t> </w:t>
      </w:r>
      <w:r>
        <w:rPr/>
        <w:t>Gerais REDEFUD</w:t>
        <w:tab/>
        <w:t>Projeto Rede de Formação</w:t>
      </w:r>
      <w:r>
        <w:rPr>
          <w:spacing w:val="-14"/>
        </w:rPr>
        <w:t> </w:t>
      </w:r>
      <w:r>
        <w:rPr/>
        <w:t>Universitária</w:t>
      </w:r>
      <w:r>
        <w:rPr>
          <w:spacing w:val="-9"/>
        </w:rPr>
        <w:t> </w:t>
      </w:r>
      <w:r>
        <w:rPr/>
        <w:t>Transdisciplinar</w:t>
      </w:r>
      <w:r>
        <w:rPr>
          <w:w w:val="99"/>
        </w:rPr>
        <w:t> </w:t>
      </w:r>
      <w:r>
        <w:rPr/>
        <w:t>RIEC</w:t>
        <w:tab/>
        <w:t>Rede Internacional de Escolas</w:t>
      </w:r>
      <w:r>
        <w:rPr>
          <w:spacing w:val="-17"/>
        </w:rPr>
        <w:t> </w:t>
      </w:r>
      <w:r>
        <w:rPr/>
        <w:t>Criativas</w:t>
      </w:r>
    </w:p>
    <w:p>
      <w:pPr>
        <w:pStyle w:val="BodyText"/>
        <w:tabs>
          <w:tab w:pos="2113" w:val="left" w:leader="none"/>
        </w:tabs>
        <w:spacing w:line="324" w:lineRule="auto" w:before="4"/>
        <w:ind w:left="298" w:right="590"/>
      </w:pPr>
      <w:r>
        <w:rPr/>
        <w:t>SEBRAE</w:t>
        <w:tab/>
        <w:t>Serviço Brasileiro de Apoio às Micro e</w:t>
      </w:r>
      <w:r>
        <w:rPr>
          <w:spacing w:val="-27"/>
        </w:rPr>
        <w:t> </w:t>
      </w:r>
      <w:r>
        <w:rPr/>
        <w:t>Pequenas</w:t>
      </w:r>
      <w:r>
        <w:rPr>
          <w:spacing w:val="-4"/>
        </w:rPr>
        <w:t> </w:t>
      </w:r>
      <w:r>
        <w:rPr/>
        <w:t>Empresas SEMEG</w:t>
        <w:tab/>
        <w:t>Secretaria Municipal de Educação de Gurupi</w:t>
      </w:r>
      <w:r>
        <w:rPr>
          <w:spacing w:val="-15"/>
        </w:rPr>
        <w:t> </w:t>
      </w:r>
      <w:r>
        <w:rPr/>
        <w:t>/</w:t>
      </w:r>
      <w:r>
        <w:rPr>
          <w:spacing w:val="-7"/>
        </w:rPr>
        <w:t> </w:t>
      </w:r>
      <w:r>
        <w:rPr/>
        <w:t>Tocantins SENAC</w:t>
        <w:tab/>
        <w:t>Serviço Nacional de Aprendizagem</w:t>
      </w:r>
      <w:r>
        <w:rPr>
          <w:spacing w:val="-13"/>
        </w:rPr>
        <w:t> </w:t>
      </w:r>
      <w:r>
        <w:rPr/>
        <w:t>Comercial</w:t>
      </w:r>
    </w:p>
    <w:p>
      <w:pPr>
        <w:pStyle w:val="BodyText"/>
        <w:tabs>
          <w:tab w:pos="2113" w:val="left" w:leader="none"/>
        </w:tabs>
        <w:spacing w:line="324" w:lineRule="auto"/>
        <w:ind w:left="298" w:right="2140"/>
      </w:pPr>
      <w:r>
        <w:rPr/>
        <w:t>SENAI</w:t>
        <w:tab/>
        <w:t>Serviço Nacional de</w:t>
      </w:r>
      <w:r>
        <w:rPr>
          <w:spacing w:val="-5"/>
        </w:rPr>
        <w:t> </w:t>
      </w:r>
      <w:r>
        <w:rPr/>
        <w:t>Aprendizagem</w:t>
      </w:r>
      <w:r>
        <w:rPr>
          <w:spacing w:val="-11"/>
        </w:rPr>
        <w:t> </w:t>
      </w:r>
      <w:r>
        <w:rPr/>
        <w:t>Industrial</w:t>
      </w:r>
      <w:r>
        <w:rPr>
          <w:w w:val="99"/>
        </w:rPr>
        <w:t> </w:t>
      </w:r>
      <w:r>
        <w:rPr/>
        <w:t>SENAR</w:t>
        <w:tab/>
        <w:t>Serviço Nacional de</w:t>
      </w:r>
      <w:r>
        <w:rPr>
          <w:spacing w:val="-7"/>
        </w:rPr>
        <w:t> </w:t>
      </w:r>
      <w:r>
        <w:rPr/>
        <w:t>Aprendizagem</w:t>
      </w:r>
      <w:r>
        <w:rPr>
          <w:spacing w:val="-10"/>
        </w:rPr>
        <w:t> </w:t>
      </w:r>
      <w:r>
        <w:rPr/>
        <w:t>Rural</w:t>
      </w:r>
      <w:r>
        <w:rPr>
          <w:w w:val="99"/>
        </w:rPr>
        <w:t> </w:t>
      </w:r>
      <w:r>
        <w:rPr/>
        <w:t>SESC</w:t>
        <w:tab/>
        <w:t>Serviço Social do</w:t>
      </w:r>
      <w:r>
        <w:rPr>
          <w:spacing w:val="-9"/>
        </w:rPr>
        <w:t> </w:t>
      </w:r>
      <w:r>
        <w:rPr/>
        <w:t>Comércio</w:t>
      </w:r>
    </w:p>
    <w:p>
      <w:pPr>
        <w:pStyle w:val="BodyText"/>
        <w:tabs>
          <w:tab w:pos="2113" w:val="left" w:leader="none"/>
        </w:tabs>
        <w:spacing w:before="5"/>
        <w:ind w:left="298"/>
      </w:pPr>
      <w:r>
        <w:rPr/>
        <w:t>SESI</w:t>
        <w:tab/>
        <w:t>Serviço Social da</w:t>
      </w:r>
      <w:r>
        <w:rPr>
          <w:spacing w:val="-9"/>
        </w:rPr>
        <w:t> </w:t>
      </w:r>
      <w:r>
        <w:rPr/>
        <w:t>Indústria</w:t>
      </w:r>
    </w:p>
    <w:p>
      <w:pPr>
        <w:pStyle w:val="BodyText"/>
        <w:tabs>
          <w:tab w:pos="2113" w:val="left" w:leader="none"/>
        </w:tabs>
        <w:spacing w:line="326" w:lineRule="auto" w:before="93"/>
        <w:ind w:left="298" w:right="1942"/>
      </w:pPr>
      <w:r>
        <w:rPr/>
        <w:t>UAB</w:t>
        <w:tab/>
        <w:t>Universidad Autónoma de</w:t>
      </w:r>
      <w:r>
        <w:rPr>
          <w:spacing w:val="-14"/>
        </w:rPr>
        <w:t> </w:t>
      </w:r>
      <w:r>
        <w:rPr/>
        <w:t>Barcelona</w:t>
      </w:r>
      <w:r>
        <w:rPr>
          <w:spacing w:val="-5"/>
        </w:rPr>
        <w:t> </w:t>
      </w:r>
      <w:r>
        <w:rPr/>
        <w:t>/Espanha</w:t>
      </w:r>
      <w:r>
        <w:rPr>
          <w:w w:val="99"/>
        </w:rPr>
        <w:t> </w:t>
      </w:r>
      <w:r>
        <w:rPr/>
        <w:t>UCB</w:t>
        <w:tab/>
        <w:t>Universidade Católica de</w:t>
      </w:r>
      <w:r>
        <w:rPr>
          <w:spacing w:val="-10"/>
        </w:rPr>
        <w:t> </w:t>
      </w:r>
      <w:r>
        <w:rPr/>
        <w:t>Brasília</w:t>
      </w:r>
    </w:p>
    <w:p>
      <w:pPr>
        <w:pStyle w:val="BodyText"/>
        <w:tabs>
          <w:tab w:pos="2113" w:val="left" w:leader="none"/>
        </w:tabs>
        <w:spacing w:line="273" w:lineRule="exact"/>
        <w:ind w:left="298"/>
      </w:pPr>
      <w:r>
        <w:rPr/>
        <w:t>UEPA</w:t>
        <w:tab/>
        <w:t>Universidade do Estado do</w:t>
      </w:r>
      <w:r>
        <w:rPr>
          <w:spacing w:val="-9"/>
        </w:rPr>
        <w:t> </w:t>
      </w:r>
      <w:r>
        <w:rPr/>
        <w:t>Pará</w:t>
      </w:r>
    </w:p>
    <w:p>
      <w:pPr>
        <w:pStyle w:val="BodyText"/>
        <w:tabs>
          <w:tab w:pos="2113" w:val="left" w:leader="none"/>
        </w:tabs>
        <w:spacing w:before="98"/>
        <w:ind w:left="298"/>
      </w:pPr>
      <w:r>
        <w:rPr/>
        <w:t>UFPA</w:t>
        <w:tab/>
        <w:t>Universidade Federal do</w:t>
      </w:r>
      <w:r>
        <w:rPr>
          <w:spacing w:val="-9"/>
        </w:rPr>
        <w:t> </w:t>
      </w:r>
      <w:r>
        <w:rPr/>
        <w:t>Pará</w:t>
      </w:r>
    </w:p>
    <w:p>
      <w:pPr>
        <w:pStyle w:val="BodyText"/>
        <w:tabs>
          <w:tab w:pos="2113" w:val="left" w:leader="none"/>
        </w:tabs>
        <w:spacing w:line="324" w:lineRule="auto" w:before="93"/>
        <w:ind w:left="298" w:right="3207"/>
      </w:pPr>
      <w:r>
        <w:rPr/>
        <w:t>UFT</w:t>
        <w:tab/>
        <w:t>Universidade Federal</w:t>
      </w:r>
      <w:r>
        <w:rPr>
          <w:spacing w:val="-6"/>
        </w:rPr>
        <w:t> </w:t>
      </w:r>
      <w:r>
        <w:rPr/>
        <w:t>do</w:t>
      </w:r>
      <w:r>
        <w:rPr>
          <w:spacing w:val="-7"/>
        </w:rPr>
        <w:t> </w:t>
      </w:r>
      <w:r>
        <w:rPr/>
        <w:t>Tocantins ULBRA</w:t>
        <w:tab/>
        <w:t>Universidade Luterana</w:t>
      </w:r>
      <w:r>
        <w:rPr>
          <w:spacing w:val="-9"/>
        </w:rPr>
        <w:t> </w:t>
      </w:r>
      <w:r>
        <w:rPr/>
        <w:t>do</w:t>
      </w:r>
      <w:r>
        <w:rPr>
          <w:spacing w:val="-7"/>
        </w:rPr>
        <w:t> </w:t>
      </w:r>
      <w:r>
        <w:rPr/>
        <w:t>Brasil</w:t>
      </w:r>
      <w:r>
        <w:rPr>
          <w:w w:val="99"/>
        </w:rPr>
        <w:t> </w:t>
      </w:r>
      <w:r>
        <w:rPr/>
        <w:t>UNIBAVE</w:t>
        <w:tab/>
        <w:t>Centro Universitário</w:t>
      </w:r>
      <w:r>
        <w:rPr>
          <w:spacing w:val="-8"/>
        </w:rPr>
        <w:t> </w:t>
      </w:r>
      <w:r>
        <w:rPr/>
        <w:t>Barriga</w:t>
      </w:r>
      <w:r>
        <w:rPr>
          <w:spacing w:val="-4"/>
        </w:rPr>
        <w:t> </w:t>
      </w:r>
      <w:r>
        <w:rPr/>
        <w:t>Verde</w:t>
      </w:r>
      <w:r>
        <w:rPr>
          <w:w w:val="99"/>
        </w:rPr>
        <w:t> </w:t>
      </w:r>
      <w:r>
        <w:rPr/>
        <w:t>UNIDERP</w:t>
        <w:tab/>
        <w:t>Universidade</w:t>
      </w:r>
      <w:r>
        <w:rPr>
          <w:spacing w:val="-5"/>
        </w:rPr>
        <w:t> </w:t>
      </w:r>
      <w:r>
        <w:rPr/>
        <w:t>Anhanguera</w:t>
      </w:r>
    </w:p>
    <w:p>
      <w:pPr>
        <w:pStyle w:val="BodyText"/>
        <w:tabs>
          <w:tab w:pos="2113" w:val="left" w:leader="none"/>
        </w:tabs>
        <w:ind w:left="298"/>
      </w:pPr>
      <w:r>
        <w:rPr/>
        <w:t>UNIP</w:t>
        <w:tab/>
        <w:t>Universidade</w:t>
      </w:r>
      <w:r>
        <w:rPr>
          <w:spacing w:val="-2"/>
        </w:rPr>
        <w:t> </w:t>
      </w:r>
      <w:r>
        <w:rPr/>
        <w:t>Paulista</w:t>
      </w:r>
    </w:p>
    <w:p>
      <w:pPr>
        <w:pStyle w:val="BodyText"/>
        <w:tabs>
          <w:tab w:pos="2113" w:val="left" w:leader="none"/>
        </w:tabs>
        <w:spacing w:line="324" w:lineRule="auto" w:before="98"/>
        <w:ind w:left="298" w:right="4085"/>
        <w:jc w:val="both"/>
      </w:pPr>
      <w:r>
        <w:rPr/>
        <w:t>UNIRG</w:t>
        <w:tab/>
        <w:t>Centro</w:t>
      </w:r>
      <w:r>
        <w:rPr>
          <w:spacing w:val="-3"/>
        </w:rPr>
        <w:t> </w:t>
      </w:r>
      <w:r>
        <w:rPr/>
        <w:t>Universitário</w:t>
      </w:r>
      <w:r>
        <w:rPr>
          <w:spacing w:val="-3"/>
        </w:rPr>
        <w:t> </w:t>
      </w:r>
      <w:r>
        <w:rPr/>
        <w:t>UnirG</w:t>
      </w:r>
      <w:r>
        <w:rPr>
          <w:w w:val="100"/>
        </w:rPr>
        <w:t> </w:t>
      </w:r>
      <w:r>
        <w:rPr/>
        <w:t>UNITINS</w:t>
        <w:tab/>
        <w:t>Universidade</w:t>
      </w:r>
      <w:r>
        <w:rPr>
          <w:spacing w:val="-5"/>
        </w:rPr>
        <w:t> </w:t>
      </w:r>
      <w:r>
        <w:rPr/>
        <w:t>do</w:t>
      </w:r>
      <w:r>
        <w:rPr>
          <w:spacing w:val="-1"/>
        </w:rPr>
        <w:t> </w:t>
      </w:r>
      <w:r>
        <w:rPr/>
        <w:t>Tocantins UNIVALI</w:t>
        <w:tab/>
        <w:t>Universidade</w:t>
      </w:r>
      <w:r>
        <w:rPr>
          <w:spacing w:val="-1"/>
        </w:rPr>
        <w:t> </w:t>
      </w:r>
      <w:r>
        <w:rPr/>
        <w:t>Vale</w:t>
      </w:r>
    </w:p>
    <w:p>
      <w:pPr>
        <w:pStyle w:val="BodyText"/>
        <w:tabs>
          <w:tab w:pos="2113" w:val="left" w:leader="none"/>
        </w:tabs>
        <w:spacing w:line="326" w:lineRule="auto"/>
        <w:ind w:left="298" w:right="3385"/>
      </w:pPr>
      <w:r>
        <w:rPr/>
        <w:t>UNOPAR</w:t>
        <w:tab/>
        <w:t>Universidade Norte</w:t>
      </w:r>
      <w:r>
        <w:rPr>
          <w:spacing w:val="-4"/>
        </w:rPr>
        <w:t> </w:t>
      </w:r>
      <w:r>
        <w:rPr/>
        <w:t>do</w:t>
      </w:r>
      <w:r>
        <w:rPr>
          <w:spacing w:val="-3"/>
        </w:rPr>
        <w:t> </w:t>
      </w:r>
      <w:r>
        <w:rPr/>
        <w:t>Paraná</w:t>
      </w:r>
      <w:r>
        <w:rPr>
          <w:w w:val="99"/>
        </w:rPr>
        <w:t> </w:t>
      </w:r>
      <w:r>
        <w:rPr/>
        <w:t>URP</w:t>
        <w:tab/>
        <w:t>Universidad Ricardo Palma</w:t>
      </w:r>
      <w:r>
        <w:rPr>
          <w:spacing w:val="-15"/>
        </w:rPr>
        <w:t> </w:t>
      </w:r>
      <w:r>
        <w:rPr/>
        <w:t>/Peru</w:t>
      </w:r>
    </w:p>
    <w:p>
      <w:pPr>
        <w:pStyle w:val="BodyText"/>
        <w:tabs>
          <w:tab w:pos="2113" w:val="left" w:leader="none"/>
          <w:tab w:pos="3597" w:val="left" w:leader="none"/>
          <w:tab w:pos="4449" w:val="left" w:leader="none"/>
          <w:tab w:pos="5618" w:val="left" w:leader="none"/>
          <w:tab w:pos="6040" w:val="left" w:leader="none"/>
          <w:tab w:pos="8101" w:val="left" w:leader="none"/>
        </w:tabs>
        <w:spacing w:line="242" w:lineRule="auto"/>
        <w:ind w:left="2113" w:right="116" w:hanging="1758"/>
      </w:pPr>
      <w:r>
        <w:rPr/>
        <w:t>VADECRIE</w:t>
        <w:tab/>
        <w:t>Instrumento</w:t>
        <w:tab/>
        <w:t>para</w:t>
        <w:tab/>
        <w:t>Valorizar</w:t>
        <w:tab/>
        <w:t>o</w:t>
        <w:tab/>
        <w:t>Desenvolvimento</w:t>
        <w:tab/>
        <w:t>Criativo de Instituições</w:t>
      </w:r>
      <w:r>
        <w:rPr>
          <w:spacing w:val="-5"/>
        </w:rPr>
        <w:t> </w:t>
      </w:r>
      <w:r>
        <w:rPr/>
        <w:t>Educacionais</w:t>
      </w:r>
    </w:p>
    <w:p>
      <w:pPr>
        <w:spacing w:after="0" w:line="242" w:lineRule="auto"/>
        <w:sectPr>
          <w:headerReference w:type="default" r:id="rId11"/>
          <w:pgSz w:w="11910" w:h="16840"/>
          <w:pgMar w:header="0" w:footer="0" w:top="1580" w:bottom="280" w:left="1680" w:right="1180"/>
        </w:sectPr>
      </w:pPr>
    </w:p>
    <w:p>
      <w:pPr>
        <w:pStyle w:val="Heading3"/>
        <w:ind w:left="3334" w:right="3161"/>
        <w:jc w:val="center"/>
      </w:pPr>
      <w:r>
        <w:rPr/>
        <w:t>SUMÁRIO</w:t>
      </w:r>
    </w:p>
    <w:p>
      <w:pPr>
        <w:spacing w:after="0"/>
        <w:jc w:val="center"/>
        <w:sectPr>
          <w:headerReference w:type="default" r:id="rId12"/>
          <w:pgSz w:w="11910" w:h="16840"/>
          <w:pgMar w:header="0" w:footer="0" w:top="1580" w:bottom="1134" w:left="1680" w:right="1000"/>
        </w:sectPr>
      </w:pPr>
    </w:p>
    <w:sdt>
      <w:sdtPr>
        <w:docPartObj>
          <w:docPartGallery w:val="Table of Contents"/>
          <w:docPartUnique/>
        </w:docPartObj>
      </w:sdtPr>
      <w:sdtEndPr/>
      <w:sdtContent>
        <w:p>
          <w:pPr>
            <w:pStyle w:val="TOC1"/>
            <w:tabs>
              <w:tab w:pos="1206" w:val="left" w:leader="none"/>
              <w:tab w:pos="9105" w:val="right" w:leader="none"/>
            </w:tabs>
            <w:spacing w:before="967"/>
            <w:ind w:left="356" w:firstLine="0"/>
          </w:pPr>
          <w:hyperlink w:history="true" w:anchor="_TOC_250016">
            <w:r>
              <w:rPr>
                <w:position w:val="-3"/>
                <w:sz w:val="28"/>
              </w:rPr>
              <w:t>1</w:t>
              <w:tab/>
            </w:r>
            <w:r>
              <w:rPr/>
              <w:t>INTRODUÇÃO</w:t>
            </w:r>
            <w:r>
              <w:rPr>
                <w:spacing w:val="-5"/>
              </w:rPr>
              <w:t> </w:t>
            </w:r>
            <w:r>
              <w:rPr/>
              <w:t>................................................................................</w:t>
            </w:r>
            <w:r>
              <w:rPr>
                <w:position w:val="-4"/>
              </w:rPr>
              <w:tab/>
              <w:t>19</w:t>
            </w:r>
          </w:hyperlink>
        </w:p>
        <w:p>
          <w:pPr>
            <w:pStyle w:val="TOC2"/>
            <w:tabs>
              <w:tab w:pos="1206" w:val="left" w:leader="none"/>
              <w:tab w:pos="9105" w:val="right" w:leader="none"/>
            </w:tabs>
            <w:spacing w:line="240" w:lineRule="auto"/>
            <w:ind w:left="356" w:firstLine="0"/>
          </w:pPr>
          <w:r>
            <w:rPr/>
            <w:t>1.1</w:t>
            <w:tab/>
            <w:t>MEMORIAL DE</w:t>
          </w:r>
          <w:r>
            <w:rPr>
              <w:spacing w:val="-7"/>
            </w:rPr>
            <w:t> </w:t>
          </w:r>
          <w:r>
            <w:rPr/>
            <w:t>FORMAÇÃO</w:t>
          </w:r>
          <w:r>
            <w:rPr>
              <w:spacing w:val="-3"/>
            </w:rPr>
            <w:t> </w:t>
          </w:r>
          <w:r>
            <w:rPr/>
            <w:t>.........................................................</w:t>
            <w:tab/>
            <w:t>19</w:t>
          </w:r>
        </w:p>
        <w:p>
          <w:pPr>
            <w:pStyle w:val="TOC2"/>
            <w:numPr>
              <w:ilvl w:val="1"/>
              <w:numId w:val="2"/>
            </w:numPr>
            <w:tabs>
              <w:tab w:pos="1206" w:val="left" w:leader="none"/>
              <w:tab w:pos="1207" w:val="left" w:leader="none"/>
            </w:tabs>
            <w:spacing w:line="275" w:lineRule="exact" w:before="2" w:after="0"/>
            <w:ind w:left="1206" w:right="0" w:hanging="850"/>
            <w:jc w:val="left"/>
          </w:pPr>
          <w:r>
            <w:rPr/>
            <w:t>NO CAMINHO DOS SONHOS: ENCONTROS E</w:t>
          </w:r>
          <w:r>
            <w:rPr>
              <w:spacing w:val="15"/>
            </w:rPr>
            <w:t> </w:t>
          </w:r>
          <w:r>
            <w:rPr/>
            <w:t>DESENCONTROS</w:t>
          </w:r>
        </w:p>
        <w:p>
          <w:pPr>
            <w:pStyle w:val="TOC4"/>
            <w:tabs>
              <w:tab w:pos="9105" w:val="right" w:leader="dot"/>
            </w:tabs>
          </w:pPr>
          <w:r>
            <w:rPr/>
            <w:t>COM</w:t>
          </w:r>
          <w:r>
            <w:rPr>
              <w:spacing w:val="-5"/>
            </w:rPr>
            <w:t> </w:t>
          </w:r>
          <w:r>
            <w:rPr/>
            <w:t>O</w:t>
          </w:r>
          <w:r>
            <w:rPr>
              <w:spacing w:val="-1"/>
            </w:rPr>
            <w:t> </w:t>
          </w:r>
          <w:r>
            <w:rPr/>
            <w:t>MAGISTÉRIO</w:t>
            <w:tab/>
            <w:t>21</w:t>
          </w:r>
        </w:p>
        <w:p>
          <w:pPr>
            <w:pStyle w:val="TOC1"/>
            <w:numPr>
              <w:ilvl w:val="2"/>
              <w:numId w:val="2"/>
            </w:numPr>
            <w:tabs>
              <w:tab w:pos="1206" w:val="left" w:leader="none"/>
              <w:tab w:pos="1207" w:val="left" w:leader="none"/>
              <w:tab w:pos="9105" w:val="right" w:leader="none"/>
            </w:tabs>
            <w:spacing w:line="274" w:lineRule="exact" w:before="0" w:after="0"/>
            <w:ind w:left="1206" w:right="0" w:hanging="850"/>
            <w:jc w:val="left"/>
          </w:pPr>
          <w:hyperlink w:history="true" w:anchor="_TOC_250015">
            <w:r>
              <w:rPr/>
              <w:t>Curso de pedagogia: uma intensa experiência</w:t>
            </w:r>
            <w:r>
              <w:rPr>
                <w:spacing w:val="-7"/>
              </w:rPr>
              <w:t> </w:t>
            </w:r>
            <w:r>
              <w:rPr/>
              <w:t>política</w:t>
            </w:r>
            <w:r>
              <w:rPr>
                <w:spacing w:val="-3"/>
              </w:rPr>
              <w:t> </w:t>
            </w:r>
            <w:r>
              <w:rPr/>
              <w:t>...............</w:t>
              <w:tab/>
              <w:t>23</w:t>
            </w:r>
          </w:hyperlink>
        </w:p>
        <w:p>
          <w:pPr>
            <w:pStyle w:val="TOC1"/>
            <w:numPr>
              <w:ilvl w:val="2"/>
              <w:numId w:val="2"/>
            </w:numPr>
            <w:tabs>
              <w:tab w:pos="1206" w:val="left" w:leader="none"/>
              <w:tab w:pos="1207" w:val="left" w:leader="none"/>
              <w:tab w:pos="9105" w:val="right" w:leader="dot"/>
            </w:tabs>
            <w:spacing w:line="275" w:lineRule="exact" w:before="0" w:after="0"/>
            <w:ind w:left="1206" w:right="0" w:hanging="850"/>
            <w:jc w:val="left"/>
          </w:pPr>
          <w:hyperlink w:history="true" w:anchor="_TOC_250014">
            <w:r>
              <w:rPr/>
              <w:t>A docência no Estado</w:t>
            </w:r>
            <w:r>
              <w:rPr>
                <w:spacing w:val="-2"/>
              </w:rPr>
              <w:t> </w:t>
            </w:r>
            <w:r>
              <w:rPr/>
              <w:t>do</w:t>
            </w:r>
            <w:r>
              <w:rPr>
                <w:spacing w:val="-4"/>
              </w:rPr>
              <w:t> </w:t>
            </w:r>
            <w:r>
              <w:rPr/>
              <w:t>Tocantins</w:t>
              <w:tab/>
              <w:t>26</w:t>
            </w:r>
          </w:hyperlink>
        </w:p>
        <w:p>
          <w:pPr>
            <w:pStyle w:val="TOC2"/>
            <w:numPr>
              <w:ilvl w:val="1"/>
              <w:numId w:val="2"/>
            </w:numPr>
            <w:tabs>
              <w:tab w:pos="1206" w:val="left" w:leader="none"/>
              <w:tab w:pos="1207" w:val="left" w:leader="none"/>
              <w:tab w:pos="9105" w:val="right" w:leader="dot"/>
            </w:tabs>
            <w:spacing w:line="275" w:lineRule="exact" w:before="8" w:after="0"/>
            <w:ind w:left="1206" w:right="0" w:hanging="850"/>
            <w:jc w:val="left"/>
          </w:pPr>
          <w:r>
            <w:rPr/>
            <w:t>A PROPOSTA</w:t>
          </w:r>
          <w:r>
            <w:rPr>
              <w:spacing w:val="-5"/>
            </w:rPr>
            <w:t> </w:t>
          </w:r>
          <w:r>
            <w:rPr/>
            <w:t>DA</w:t>
          </w:r>
          <w:r>
            <w:rPr>
              <w:spacing w:val="2"/>
            </w:rPr>
            <w:t> </w:t>
          </w:r>
          <w:r>
            <w:rPr/>
            <w:t>PESQUISA</w:t>
            <w:tab/>
            <w:t>30</w:t>
          </w:r>
        </w:p>
        <w:p>
          <w:pPr>
            <w:pStyle w:val="TOC2"/>
            <w:tabs>
              <w:tab w:pos="1206" w:val="left" w:leader="none"/>
              <w:tab w:pos="9105" w:val="right" w:leader="none"/>
            </w:tabs>
            <w:ind w:left="356" w:firstLine="0"/>
          </w:pPr>
          <w:r>
            <w:rPr/>
            <w:t>1.4</w:t>
            <w:tab/>
            <w:t>A ESTRUTURA DO</w:t>
          </w:r>
          <w:r>
            <w:rPr>
              <w:spacing w:val="-11"/>
            </w:rPr>
            <w:t> </w:t>
          </w:r>
          <w:r>
            <w:rPr/>
            <w:t>TRABALHO</w:t>
          </w:r>
          <w:r>
            <w:rPr>
              <w:spacing w:val="-3"/>
            </w:rPr>
            <w:t> </w:t>
          </w:r>
          <w:r>
            <w:rPr/>
            <w:t>.......................................................</w:t>
            <w:tab/>
            <w:t>35</w:t>
          </w:r>
        </w:p>
        <w:p>
          <w:pPr>
            <w:pStyle w:val="TOC1"/>
            <w:numPr>
              <w:ilvl w:val="0"/>
              <w:numId w:val="2"/>
            </w:numPr>
            <w:tabs>
              <w:tab w:pos="1206" w:val="left" w:leader="none"/>
              <w:tab w:pos="1207" w:val="left" w:leader="none"/>
              <w:tab w:pos="2645" w:val="left" w:leader="none"/>
              <w:tab w:pos="4487" w:val="left" w:leader="none"/>
              <w:tab w:pos="9105" w:val="right" w:leader="dot"/>
            </w:tabs>
            <w:spacing w:line="242" w:lineRule="auto" w:before="271" w:after="0"/>
            <w:ind w:left="1206" w:right="116" w:hanging="850"/>
            <w:jc w:val="left"/>
          </w:pPr>
          <w:hyperlink w:history="true" w:anchor="_TOC_250013">
            <w:r>
              <w:rPr/>
              <w:t>PRÁTICA</w:t>
              <w:tab/>
              <w:t>EDUCATIVA,</w:t>
              <w:tab/>
              <w:t>PENSAMENTO    </w:t>
            </w:r>
            <w:r>
              <w:rPr>
                <w:spacing w:val="42"/>
              </w:rPr>
              <w:t> </w:t>
            </w:r>
            <w:r>
              <w:rPr/>
              <w:t>COMPLEXO    </w:t>
            </w:r>
            <w:r>
              <w:rPr>
                <w:spacing w:val="42"/>
              </w:rPr>
              <w:t> </w:t>
            </w:r>
            <w:r>
              <w:rPr/>
              <w:t>E CRIATIVIDADE: UM DESAFIO</w:t>
            </w:r>
            <w:r>
              <w:rPr>
                <w:spacing w:val="-4"/>
              </w:rPr>
              <w:t> </w:t>
            </w:r>
            <w:r>
              <w:rPr/>
              <w:t>PARA</w:t>
            </w:r>
            <w:r>
              <w:rPr>
                <w:spacing w:val="-2"/>
              </w:rPr>
              <w:t> </w:t>
            </w:r>
            <w:r>
              <w:rPr/>
              <w:t>ESCOLA</w:t>
              <w:tab/>
              <w:t>37</w:t>
            </w:r>
          </w:hyperlink>
        </w:p>
        <w:p>
          <w:pPr>
            <w:pStyle w:val="TOC2"/>
            <w:numPr>
              <w:ilvl w:val="1"/>
              <w:numId w:val="3"/>
            </w:numPr>
            <w:tabs>
              <w:tab w:pos="1206" w:val="left" w:leader="none"/>
              <w:tab w:pos="1207" w:val="left" w:leader="none"/>
              <w:tab w:pos="1575" w:val="left" w:leader="none"/>
              <w:tab w:pos="9105" w:val="right" w:leader="dot"/>
            </w:tabs>
            <w:spacing w:line="242" w:lineRule="auto" w:before="0" w:after="0"/>
            <w:ind w:left="1206" w:right="116" w:hanging="850"/>
            <w:jc w:val="left"/>
          </w:pPr>
          <w:r>
            <w:rPr/>
            <w:t>A</w:t>
            <w:tab/>
            <w:t>PRÁTICA   EDUCATIVA   NO   CONTEXTO  </w:t>
          </w:r>
          <w:r>
            <w:rPr>
              <w:spacing w:val="32"/>
            </w:rPr>
            <w:t> </w:t>
          </w:r>
          <w:r>
            <w:rPr/>
            <w:t>TRANSIÇÃO  </w:t>
          </w:r>
          <w:r>
            <w:rPr>
              <w:spacing w:val="9"/>
            </w:rPr>
            <w:t> </w:t>
          </w:r>
          <w:r>
            <w:rPr/>
            <w:t>DE</w:t>
          </w:r>
          <w:r>
            <w:rPr>
              <w:w w:val="99"/>
            </w:rPr>
            <w:t> </w:t>
          </w:r>
          <w:r>
            <w:rPr/>
            <w:t>PARADIGMAS</w:t>
            <w:tab/>
            <w:t>37</w:t>
          </w:r>
        </w:p>
        <w:p>
          <w:pPr>
            <w:pStyle w:val="TOC1"/>
            <w:numPr>
              <w:ilvl w:val="2"/>
              <w:numId w:val="3"/>
            </w:numPr>
            <w:tabs>
              <w:tab w:pos="1206" w:val="left" w:leader="none"/>
              <w:tab w:pos="1207" w:val="left" w:leader="none"/>
              <w:tab w:pos="1657" w:val="left" w:leader="none"/>
              <w:tab w:pos="3133" w:val="left" w:leader="none"/>
              <w:tab w:pos="9105" w:val="right" w:leader="dot"/>
            </w:tabs>
            <w:spacing w:line="242" w:lineRule="auto" w:before="0" w:after="0"/>
            <w:ind w:left="1206" w:right="116" w:hanging="850"/>
            <w:jc w:val="left"/>
          </w:pPr>
          <w:hyperlink w:history="true" w:anchor="_TOC_250012">
            <w:r>
              <w:rPr/>
              <w:t>O</w:t>
              <w:tab/>
              <w:t>paradigma</w:t>
              <w:tab/>
              <w:t>dominante:    da    racionalidade  </w:t>
            </w:r>
            <w:r>
              <w:rPr>
                <w:spacing w:val="38"/>
              </w:rPr>
              <w:t> </w:t>
            </w:r>
            <w:r>
              <w:rPr/>
              <w:t>científica  </w:t>
            </w:r>
            <w:r>
              <w:rPr>
                <w:spacing w:val="52"/>
              </w:rPr>
              <w:t> </w:t>
            </w:r>
            <w:r>
              <w:rPr/>
              <w:t>à</w:t>
            </w:r>
            <w:r>
              <w:rPr>
                <w:w w:val="99"/>
              </w:rPr>
              <w:t> </w:t>
            </w:r>
            <w:r>
              <w:rPr/>
              <w:t>fragmentação</w:t>
            </w:r>
            <w:r>
              <w:rPr>
                <w:spacing w:val="-4"/>
              </w:rPr>
              <w:t> </w:t>
            </w:r>
            <w:r>
              <w:rPr/>
              <w:t>do</w:t>
            </w:r>
            <w:r>
              <w:rPr>
                <w:spacing w:val="-4"/>
              </w:rPr>
              <w:t> </w:t>
            </w:r>
            <w:r>
              <w:rPr/>
              <w:t>ensino</w:t>
              <w:tab/>
              <w:t>43</w:t>
            </w:r>
          </w:hyperlink>
        </w:p>
        <w:p>
          <w:pPr>
            <w:pStyle w:val="TOC1"/>
            <w:numPr>
              <w:ilvl w:val="2"/>
              <w:numId w:val="3"/>
            </w:numPr>
            <w:tabs>
              <w:tab w:pos="1206" w:val="left" w:leader="none"/>
              <w:tab w:pos="1207" w:val="left" w:leader="none"/>
            </w:tabs>
            <w:spacing w:line="271" w:lineRule="exact" w:before="9" w:after="0"/>
            <w:ind w:left="1206" w:right="0" w:hanging="850"/>
            <w:jc w:val="left"/>
          </w:pPr>
          <w:r>
            <w:rPr/>
            <w:t>O paradigma emergente e a ressiginificação do  </w:t>
          </w:r>
          <w:r>
            <w:rPr>
              <w:spacing w:val="18"/>
            </w:rPr>
            <w:t> </w:t>
          </w:r>
          <w:r>
            <w:rPr/>
            <w:t>conhecimento</w:t>
          </w:r>
        </w:p>
        <w:p>
          <w:pPr>
            <w:pStyle w:val="TOC3"/>
            <w:tabs>
              <w:tab w:pos="9105" w:val="right" w:leader="none"/>
            </w:tabs>
            <w:spacing w:line="275" w:lineRule="exact"/>
          </w:pPr>
          <w:r>
            <w:rPr/>
            <w:t>e dos saberes da</w:t>
          </w:r>
          <w:r>
            <w:rPr>
              <w:spacing w:val="-21"/>
            </w:rPr>
            <w:t> </w:t>
          </w:r>
          <w:r>
            <w:rPr/>
            <w:t>escola</w:t>
          </w:r>
          <w:r>
            <w:rPr>
              <w:spacing w:val="-3"/>
            </w:rPr>
            <w:t> </w:t>
          </w:r>
          <w:r>
            <w:rPr/>
            <w:t>..................................................................</w:t>
            <w:tab/>
            <w:t>56</w:t>
          </w:r>
        </w:p>
        <w:p>
          <w:pPr>
            <w:pStyle w:val="TOC1"/>
            <w:tabs>
              <w:tab w:pos="1206" w:val="left" w:leader="none"/>
              <w:tab w:pos="9105" w:val="right" w:leader="none"/>
            </w:tabs>
            <w:spacing w:line="275" w:lineRule="exact"/>
            <w:ind w:left="356" w:firstLine="0"/>
          </w:pPr>
          <w:hyperlink w:history="true" w:anchor="_TOC_250011">
            <w:r>
              <w:rPr/>
              <w:t>2.1.3</w:t>
              <w:tab/>
              <w:t>O pensamento complexo na</w:t>
            </w:r>
            <w:r>
              <w:rPr>
                <w:spacing w:val="-12"/>
              </w:rPr>
              <w:t> </w:t>
            </w:r>
            <w:r>
              <w:rPr/>
              <w:t>escola</w:t>
            </w:r>
            <w:r>
              <w:rPr>
                <w:spacing w:val="-3"/>
              </w:rPr>
              <w:t> </w:t>
            </w:r>
            <w:r>
              <w:rPr/>
              <w:t>...............................................</w:t>
              <w:tab/>
              <w:t>61</w:t>
            </w:r>
          </w:hyperlink>
        </w:p>
        <w:p>
          <w:pPr>
            <w:pStyle w:val="TOC2"/>
            <w:numPr>
              <w:ilvl w:val="1"/>
              <w:numId w:val="3"/>
            </w:numPr>
            <w:tabs>
              <w:tab w:pos="1206" w:val="left" w:leader="none"/>
              <w:tab w:pos="1207" w:val="left" w:leader="none"/>
              <w:tab w:pos="9105" w:val="right" w:leader="none"/>
            </w:tabs>
            <w:spacing w:line="275" w:lineRule="exact" w:before="7" w:after="0"/>
            <w:ind w:left="1206" w:right="0" w:hanging="850"/>
            <w:jc w:val="left"/>
          </w:pPr>
          <w:r>
            <w:rPr/>
            <w:t>A PRÁTICA EDUCATIVA COMO AÇÃO CRIATIVA</w:t>
          </w:r>
          <w:r>
            <w:rPr>
              <w:spacing w:val="-11"/>
            </w:rPr>
            <w:t> </w:t>
          </w:r>
          <w:r>
            <w:rPr/>
            <w:t>E</w:t>
          </w:r>
          <w:r>
            <w:rPr>
              <w:spacing w:val="-4"/>
            </w:rPr>
            <w:t> </w:t>
          </w:r>
          <w:r>
            <w:rPr/>
            <w:t>INOVADORA</w:t>
            <w:tab/>
            <w:t>72</w:t>
          </w:r>
        </w:p>
        <w:p>
          <w:pPr>
            <w:pStyle w:val="TOC2"/>
            <w:numPr>
              <w:ilvl w:val="1"/>
              <w:numId w:val="3"/>
            </w:numPr>
            <w:tabs>
              <w:tab w:pos="1206" w:val="left" w:leader="none"/>
              <w:tab w:pos="1207" w:val="left" w:leader="none"/>
              <w:tab w:pos="9105" w:val="right" w:leader="dot"/>
            </w:tabs>
            <w:spacing w:line="275" w:lineRule="exact" w:before="0" w:after="0"/>
            <w:ind w:left="1206" w:right="0" w:hanging="850"/>
            <w:jc w:val="left"/>
          </w:pPr>
          <w:r>
            <w:rPr/>
            <w:t>A</w:t>
          </w:r>
          <w:r>
            <w:rPr>
              <w:spacing w:val="-2"/>
            </w:rPr>
            <w:t> </w:t>
          </w:r>
          <w:r>
            <w:rPr/>
            <w:t>ESCOLA</w:t>
          </w:r>
          <w:r>
            <w:rPr>
              <w:spacing w:val="-2"/>
            </w:rPr>
            <w:t> </w:t>
          </w:r>
          <w:r>
            <w:rPr/>
            <w:t>CRIATIVA</w:t>
            <w:tab/>
            <w:t>77</w:t>
          </w:r>
        </w:p>
        <w:p>
          <w:pPr>
            <w:pStyle w:val="TOC1"/>
            <w:numPr>
              <w:ilvl w:val="0"/>
              <w:numId w:val="3"/>
            </w:numPr>
            <w:tabs>
              <w:tab w:pos="1206" w:val="left" w:leader="none"/>
              <w:tab w:pos="1207" w:val="left" w:leader="none"/>
              <w:tab w:pos="9105" w:val="right" w:leader="dot"/>
            </w:tabs>
            <w:spacing w:line="242" w:lineRule="auto" w:before="271" w:after="0"/>
            <w:ind w:left="1206" w:right="116" w:hanging="850"/>
            <w:jc w:val="left"/>
          </w:pPr>
          <w:hyperlink w:history="true" w:anchor="_TOC_250010">
            <w:r>
              <w:rPr/>
              <w:t>PERCURSO METODOLÓGICO  DA  PESQUISA:  UM  FIO  NO LABIRITO</w:t>
              <w:tab/>
              <w:t>82</w:t>
            </w:r>
          </w:hyperlink>
        </w:p>
        <w:p>
          <w:pPr>
            <w:pStyle w:val="TOC2"/>
            <w:numPr>
              <w:ilvl w:val="1"/>
              <w:numId w:val="3"/>
            </w:numPr>
            <w:tabs>
              <w:tab w:pos="1206" w:val="left" w:leader="none"/>
              <w:tab w:pos="1207" w:val="left" w:leader="none"/>
              <w:tab w:pos="9105" w:val="right" w:leader="dot"/>
            </w:tabs>
            <w:spacing w:line="275" w:lineRule="exact" w:before="0" w:after="0"/>
            <w:ind w:left="1206" w:right="0" w:hanging="850"/>
            <w:jc w:val="left"/>
          </w:pPr>
          <w:r>
            <w:rPr/>
            <w:t>CONTEXTUALIZANDO</w:t>
          </w:r>
          <w:r>
            <w:rPr>
              <w:spacing w:val="-1"/>
            </w:rPr>
            <w:t> </w:t>
          </w:r>
          <w:r>
            <w:rPr/>
            <w:t>A</w:t>
          </w:r>
          <w:r>
            <w:rPr>
              <w:spacing w:val="-3"/>
            </w:rPr>
            <w:t> </w:t>
          </w:r>
          <w:r>
            <w:rPr/>
            <w:t>PESQUISA</w:t>
            <w:tab/>
            <w:t>87</w:t>
          </w:r>
        </w:p>
        <w:p>
          <w:pPr>
            <w:pStyle w:val="TOC1"/>
            <w:numPr>
              <w:ilvl w:val="2"/>
              <w:numId w:val="3"/>
            </w:numPr>
            <w:tabs>
              <w:tab w:pos="1206" w:val="left" w:leader="none"/>
              <w:tab w:pos="1207" w:val="left" w:leader="none"/>
              <w:tab w:pos="9105" w:val="right" w:leader="dot"/>
            </w:tabs>
            <w:spacing w:line="275" w:lineRule="exact" w:before="0" w:after="0"/>
            <w:ind w:left="1206" w:right="0" w:hanging="850"/>
            <w:jc w:val="left"/>
          </w:pPr>
          <w:hyperlink w:history="true" w:anchor="_TOC_250009">
            <w:r>
              <w:rPr/>
              <w:t>O município</w:t>
            </w:r>
            <w:r>
              <w:rPr>
                <w:spacing w:val="1"/>
              </w:rPr>
              <w:t> </w:t>
            </w:r>
            <w:r>
              <w:rPr/>
              <w:t>de</w:t>
            </w:r>
            <w:r>
              <w:rPr>
                <w:spacing w:val="-1"/>
              </w:rPr>
              <w:t> </w:t>
            </w:r>
            <w:r>
              <w:rPr/>
              <w:t>Gurupi</w:t>
              <w:tab/>
              <w:t>87</w:t>
            </w:r>
          </w:hyperlink>
        </w:p>
        <w:p>
          <w:pPr>
            <w:pStyle w:val="TOC2"/>
            <w:numPr>
              <w:ilvl w:val="1"/>
              <w:numId w:val="3"/>
            </w:numPr>
            <w:tabs>
              <w:tab w:pos="1206" w:val="left" w:leader="none"/>
              <w:tab w:pos="1207" w:val="left" w:leader="none"/>
              <w:tab w:pos="9104" w:val="right" w:leader="dot"/>
            </w:tabs>
            <w:spacing w:line="275" w:lineRule="exact" w:before="2" w:after="0"/>
            <w:ind w:left="1206" w:right="0" w:hanging="850"/>
            <w:jc w:val="left"/>
          </w:pPr>
          <w:r>
            <w:rPr/>
            <w:t>DESENROLANDO</w:t>
          </w:r>
          <w:r>
            <w:rPr>
              <w:spacing w:val="-1"/>
            </w:rPr>
            <w:t> </w:t>
          </w:r>
          <w:r>
            <w:rPr/>
            <w:t>O</w:t>
          </w:r>
          <w:r>
            <w:rPr>
              <w:spacing w:val="-1"/>
            </w:rPr>
            <w:t> </w:t>
          </w:r>
          <w:r>
            <w:rPr/>
            <w:t>NOVELO</w:t>
            <w:tab/>
            <w:t>92</w:t>
          </w:r>
        </w:p>
        <w:p>
          <w:pPr>
            <w:pStyle w:val="TOC1"/>
            <w:numPr>
              <w:ilvl w:val="2"/>
              <w:numId w:val="3"/>
            </w:numPr>
            <w:tabs>
              <w:tab w:pos="1206" w:val="left" w:leader="none"/>
              <w:tab w:pos="1207" w:val="left" w:leader="none"/>
              <w:tab w:pos="9104" w:val="right" w:leader="dot"/>
            </w:tabs>
            <w:spacing w:line="274" w:lineRule="exact" w:before="0" w:after="0"/>
            <w:ind w:left="1206" w:right="0" w:hanging="850"/>
            <w:jc w:val="left"/>
          </w:pPr>
          <w:hyperlink w:history="true" w:anchor="_TOC_250008">
            <w:r>
              <w:rPr/>
              <w:t>Diagnosticando</w:t>
            </w:r>
            <w:r>
              <w:rPr>
                <w:spacing w:val="1"/>
              </w:rPr>
              <w:t> </w:t>
            </w:r>
            <w:r>
              <w:rPr/>
              <w:t>a Escola</w:t>
              <w:tab/>
              <w:t>93</w:t>
            </w:r>
          </w:hyperlink>
        </w:p>
        <w:p>
          <w:pPr>
            <w:pStyle w:val="TOC1"/>
            <w:numPr>
              <w:ilvl w:val="2"/>
              <w:numId w:val="3"/>
            </w:numPr>
            <w:tabs>
              <w:tab w:pos="1206" w:val="left" w:leader="none"/>
              <w:tab w:pos="1207" w:val="left" w:leader="none"/>
              <w:tab w:pos="9109" w:val="right" w:leader="dot"/>
            </w:tabs>
            <w:spacing w:line="275" w:lineRule="exact" w:before="0" w:after="0"/>
            <w:ind w:left="1206" w:right="0" w:hanging="850"/>
            <w:jc w:val="left"/>
          </w:pPr>
          <w:hyperlink w:history="true" w:anchor="_TOC_250007">
            <w:r>
              <w:rPr/>
              <w:t>Caracterizando</w:t>
            </w:r>
            <w:r>
              <w:rPr>
                <w:spacing w:val="1"/>
              </w:rPr>
              <w:t> </w:t>
            </w:r>
            <w:r>
              <w:rPr/>
              <w:t>o</w:t>
            </w:r>
            <w:r>
              <w:rPr>
                <w:spacing w:val="-1"/>
              </w:rPr>
              <w:t> </w:t>
            </w:r>
            <w:r>
              <w:rPr/>
              <w:t>Caso</w:t>
              <w:tab/>
              <w:t>107</w:t>
            </w:r>
          </w:hyperlink>
        </w:p>
        <w:p>
          <w:pPr>
            <w:pStyle w:val="TOC1"/>
            <w:numPr>
              <w:ilvl w:val="2"/>
              <w:numId w:val="3"/>
            </w:numPr>
            <w:tabs>
              <w:tab w:pos="1206" w:val="left" w:leader="none"/>
              <w:tab w:pos="1207" w:val="left" w:leader="none"/>
              <w:tab w:pos="9108" w:val="right" w:leader="dot"/>
            </w:tabs>
            <w:spacing w:line="240" w:lineRule="auto" w:before="2" w:after="0"/>
            <w:ind w:left="1206" w:right="0" w:hanging="850"/>
            <w:jc w:val="left"/>
          </w:pPr>
          <w:hyperlink w:history="true" w:anchor="_TOC_250006">
            <w:r>
              <w:rPr>
                <w:spacing w:val="-3"/>
              </w:rPr>
              <w:t>As</w:t>
            </w:r>
            <w:r>
              <w:rPr>
                <w:spacing w:val="-1"/>
              </w:rPr>
              <w:t> </w:t>
            </w:r>
            <w:r>
              <w:rPr/>
              <w:t>entrevistas</w:t>
            </w:r>
            <w:r>
              <w:rPr>
                <w:spacing w:val="-1"/>
              </w:rPr>
              <w:t> </w:t>
            </w:r>
            <w:r>
              <w:rPr/>
              <w:t>realizadas</w:t>
              <w:tab/>
              <w:t>110</w:t>
            </w:r>
          </w:hyperlink>
        </w:p>
        <w:p>
          <w:pPr>
            <w:pStyle w:val="TOC2"/>
            <w:numPr>
              <w:ilvl w:val="1"/>
              <w:numId w:val="3"/>
            </w:numPr>
            <w:tabs>
              <w:tab w:pos="1206" w:val="left" w:leader="none"/>
              <w:tab w:pos="1207" w:val="left" w:leader="none"/>
              <w:tab w:pos="9108" w:val="right" w:leader="dot"/>
            </w:tabs>
            <w:spacing w:line="240" w:lineRule="auto" w:before="2" w:after="0"/>
            <w:ind w:left="1206" w:right="0" w:hanging="850"/>
            <w:jc w:val="left"/>
          </w:pPr>
          <w:r>
            <w:rPr/>
            <w:t>OS SEGREDOS</w:t>
          </w:r>
          <w:r>
            <w:rPr>
              <w:spacing w:val="-5"/>
            </w:rPr>
            <w:t> </w:t>
          </w:r>
          <w:r>
            <w:rPr/>
            <w:t>DO</w:t>
          </w:r>
          <w:r>
            <w:rPr>
              <w:spacing w:val="-1"/>
            </w:rPr>
            <w:t> </w:t>
          </w:r>
          <w:r>
            <w:rPr/>
            <w:t>LABIRINTO</w:t>
            <w:tab/>
            <w:t>112</w:t>
          </w:r>
        </w:p>
        <w:p>
          <w:pPr>
            <w:pStyle w:val="TOC1"/>
            <w:numPr>
              <w:ilvl w:val="0"/>
              <w:numId w:val="3"/>
            </w:numPr>
            <w:tabs>
              <w:tab w:pos="1206" w:val="left" w:leader="none"/>
              <w:tab w:pos="1207" w:val="left" w:leader="none"/>
              <w:tab w:pos="1671" w:val="left" w:leader="none"/>
              <w:tab w:pos="9108" w:val="right" w:leader="dot"/>
            </w:tabs>
            <w:spacing w:line="240" w:lineRule="auto" w:before="270" w:after="0"/>
            <w:ind w:left="1206" w:right="112" w:hanging="850"/>
            <w:jc w:val="left"/>
          </w:pPr>
          <w:hyperlink w:history="true" w:anchor="_TOC_250005">
            <w:r>
              <w:rPr/>
              <w:t>O</w:t>
              <w:tab/>
              <w:t>ESTUDO    DO    CASO:    </w:t>
            </w:r>
            <w:r>
              <w:rPr>
                <w:spacing w:val="-3"/>
              </w:rPr>
              <w:t>AS    </w:t>
            </w:r>
            <w:r>
              <w:rPr/>
              <w:t>PRÁTICAS   </w:t>
            </w:r>
            <w:r>
              <w:rPr>
                <w:spacing w:val="53"/>
              </w:rPr>
              <w:t> </w:t>
            </w:r>
            <w:r>
              <w:rPr/>
              <w:t>CRIATIVAS   </w:t>
            </w:r>
            <w:r>
              <w:rPr>
                <w:spacing w:val="7"/>
              </w:rPr>
              <w:t> </w:t>
            </w:r>
            <w:r>
              <w:rPr/>
              <w:t>E INOVADORAS DA ESCOLA MUNICIPAL ORLINDO PEREIRA </w:t>
            </w:r>
            <w:r>
              <w:rPr>
                <w:spacing w:val="4"/>
              </w:rPr>
              <w:t>DA </w:t>
            </w:r>
            <w:r>
              <w:rPr/>
              <w:t>MOTA</w:t>
              <w:tab/>
              <w:t>115</w:t>
            </w:r>
          </w:hyperlink>
        </w:p>
        <w:p>
          <w:pPr>
            <w:pStyle w:val="TOC2"/>
            <w:numPr>
              <w:ilvl w:val="1"/>
              <w:numId w:val="3"/>
            </w:numPr>
            <w:tabs>
              <w:tab w:pos="1206" w:val="left" w:leader="none"/>
              <w:tab w:pos="1207" w:val="left" w:leader="none"/>
              <w:tab w:pos="9108" w:val="right" w:leader="dot"/>
            </w:tabs>
            <w:spacing w:line="273" w:lineRule="exact" w:before="6" w:after="0"/>
            <w:ind w:left="1206" w:right="0" w:hanging="850"/>
            <w:jc w:val="left"/>
          </w:pPr>
          <w:r>
            <w:rPr/>
            <w:t>AS EVIDÊNCIAS</w:t>
          </w:r>
          <w:r>
            <w:rPr>
              <w:spacing w:val="-5"/>
            </w:rPr>
            <w:t> </w:t>
          </w:r>
          <w:r>
            <w:rPr/>
            <w:t>DE</w:t>
          </w:r>
          <w:r>
            <w:rPr>
              <w:spacing w:val="-3"/>
            </w:rPr>
            <w:t> </w:t>
          </w:r>
          <w:r>
            <w:rPr/>
            <w:t>CRIATIVIDADE</w:t>
            <w:tab/>
            <w:t>117</w:t>
          </w:r>
        </w:p>
        <w:p>
          <w:pPr>
            <w:pStyle w:val="TOC1"/>
            <w:numPr>
              <w:ilvl w:val="2"/>
              <w:numId w:val="3"/>
            </w:numPr>
            <w:tabs>
              <w:tab w:pos="1206" w:val="left" w:leader="none"/>
              <w:tab w:pos="1207" w:val="left" w:leader="none"/>
              <w:tab w:pos="9108" w:val="right" w:leader="dot"/>
            </w:tabs>
            <w:spacing w:line="242" w:lineRule="auto" w:before="0" w:after="0"/>
            <w:ind w:left="1206" w:right="112" w:hanging="850"/>
            <w:jc w:val="left"/>
          </w:pPr>
          <w:r>
            <w:rPr/>
            <w:t>Criatividade  em  nível  teórico:   consciência   criativa,   visão, missão, cultura</w:t>
          </w:r>
          <w:r>
            <w:rPr>
              <w:spacing w:val="-1"/>
            </w:rPr>
            <w:t> </w:t>
          </w:r>
          <w:r>
            <w:rPr/>
            <w:t>e valor</w:t>
            <w:tab/>
            <w:t>118</w:t>
          </w:r>
        </w:p>
        <w:p>
          <w:pPr>
            <w:pStyle w:val="TOC1"/>
            <w:numPr>
              <w:ilvl w:val="2"/>
              <w:numId w:val="3"/>
            </w:numPr>
            <w:tabs>
              <w:tab w:pos="1206" w:val="left" w:leader="none"/>
              <w:tab w:pos="1207" w:val="left" w:leader="none"/>
              <w:tab w:pos="8706" w:val="left" w:leader="none"/>
            </w:tabs>
            <w:spacing w:line="271" w:lineRule="exact" w:before="4" w:after="0"/>
            <w:ind w:left="1206" w:right="0" w:hanging="850"/>
            <w:jc w:val="left"/>
          </w:pPr>
          <w:r>
            <w:rPr/>
            <w:t>Criatividade em nível pessoal: potencial e recursos</w:t>
          </w:r>
          <w:r>
            <w:rPr>
              <w:spacing w:val="-30"/>
            </w:rPr>
            <w:t> </w:t>
          </w:r>
          <w:r>
            <w:rPr/>
            <w:t>humanos</w:t>
          </w:r>
          <w:r>
            <w:rPr>
              <w:spacing w:val="-3"/>
            </w:rPr>
            <w:t> </w:t>
          </w:r>
          <w:r>
            <w:rPr/>
            <w:t>...</w:t>
            <w:tab/>
            <w:t>120</w:t>
          </w:r>
        </w:p>
        <w:p>
          <w:pPr>
            <w:pStyle w:val="TOC1"/>
            <w:numPr>
              <w:ilvl w:val="2"/>
              <w:numId w:val="3"/>
            </w:numPr>
            <w:tabs>
              <w:tab w:pos="1206" w:val="left" w:leader="none"/>
              <w:tab w:pos="1207" w:val="left" w:leader="none"/>
              <w:tab w:pos="9108" w:val="right" w:leader="dot"/>
            </w:tabs>
            <w:spacing w:line="275" w:lineRule="exact" w:before="2" w:after="0"/>
            <w:ind w:left="1206" w:right="0" w:hanging="850"/>
            <w:jc w:val="left"/>
          </w:pPr>
          <w:hyperlink w:history="true" w:anchor="_TOC_250004">
            <w:r>
              <w:rPr/>
              <w:t>Criatividade em nível de Plano Estratégico</w:t>
            </w:r>
            <w:r>
              <w:rPr>
                <w:spacing w:val="-12"/>
              </w:rPr>
              <w:t> </w:t>
            </w:r>
            <w:r>
              <w:rPr/>
              <w:t>e</w:t>
            </w:r>
            <w:r>
              <w:rPr>
                <w:spacing w:val="7"/>
              </w:rPr>
              <w:t> </w:t>
            </w:r>
            <w:r>
              <w:rPr/>
              <w:t>Ação</w:t>
              <w:tab/>
              <w:t>121</w:t>
            </w:r>
          </w:hyperlink>
        </w:p>
        <w:p>
          <w:pPr>
            <w:pStyle w:val="TOC1"/>
            <w:numPr>
              <w:ilvl w:val="2"/>
              <w:numId w:val="3"/>
            </w:numPr>
            <w:tabs>
              <w:tab w:pos="1206" w:val="left" w:leader="none"/>
              <w:tab w:pos="1207" w:val="left" w:leader="none"/>
              <w:tab w:pos="9108" w:val="right" w:leader="dot"/>
            </w:tabs>
            <w:spacing w:line="275" w:lineRule="exact" w:before="0" w:after="0"/>
            <w:ind w:left="1206" w:right="0" w:hanging="850"/>
            <w:jc w:val="left"/>
          </w:pPr>
          <w:hyperlink w:history="true" w:anchor="_TOC_250003">
            <w:r>
              <w:rPr/>
              <w:t>Aparições criativas</w:t>
            </w:r>
            <w:r>
              <w:rPr>
                <w:spacing w:val="-1"/>
              </w:rPr>
              <w:t> </w:t>
            </w:r>
            <w:r>
              <w:rPr/>
              <w:t>na</w:t>
            </w:r>
            <w:r>
              <w:rPr>
                <w:spacing w:val="-1"/>
              </w:rPr>
              <w:t> </w:t>
            </w:r>
            <w:r>
              <w:rPr/>
              <w:t>escola</w:t>
              <w:tab/>
              <w:t>123</w:t>
            </w:r>
          </w:hyperlink>
        </w:p>
        <w:p>
          <w:pPr>
            <w:pStyle w:val="TOC2"/>
            <w:numPr>
              <w:ilvl w:val="1"/>
              <w:numId w:val="3"/>
            </w:numPr>
            <w:tabs>
              <w:tab w:pos="1206" w:val="left" w:leader="none"/>
              <w:tab w:pos="1207" w:val="left" w:leader="none"/>
              <w:tab w:pos="9108" w:val="right" w:leader="dot"/>
            </w:tabs>
            <w:spacing w:line="275" w:lineRule="exact" w:before="2" w:after="0"/>
            <w:ind w:left="1206" w:right="0" w:hanging="850"/>
            <w:jc w:val="left"/>
          </w:pPr>
          <w:r>
            <w:rPr/>
            <w:t>O POTENCIAL CRIATIVO: TECENDO</w:t>
          </w:r>
          <w:r>
            <w:rPr>
              <w:spacing w:val="-2"/>
            </w:rPr>
            <w:t> </w:t>
          </w:r>
          <w:r>
            <w:rPr/>
            <w:t>OS</w:t>
          </w:r>
          <w:r>
            <w:rPr>
              <w:spacing w:val="2"/>
            </w:rPr>
            <w:t> </w:t>
          </w:r>
          <w:r>
            <w:rPr/>
            <w:t>FIOS</w:t>
            <w:tab/>
            <w:t>127</w:t>
          </w:r>
        </w:p>
        <w:p>
          <w:pPr>
            <w:pStyle w:val="TOC1"/>
            <w:numPr>
              <w:ilvl w:val="2"/>
              <w:numId w:val="3"/>
            </w:numPr>
            <w:tabs>
              <w:tab w:pos="1206" w:val="left" w:leader="none"/>
              <w:tab w:pos="1207" w:val="left" w:leader="none"/>
              <w:tab w:pos="2208" w:val="left" w:leader="none"/>
              <w:tab w:pos="2630" w:val="left" w:leader="none"/>
              <w:tab w:pos="9108" w:val="right" w:leader="dot"/>
            </w:tabs>
            <w:spacing w:line="274" w:lineRule="exact" w:before="4" w:after="0"/>
            <w:ind w:left="1206" w:right="112" w:hanging="850"/>
            <w:jc w:val="left"/>
          </w:pPr>
          <w:hyperlink w:history="true" w:anchor="_TOC_250002">
            <w:r>
              <w:rPr/>
              <w:t>Trama</w:t>
              <w:tab/>
            </w:r>
            <w:r>
              <w:rPr>
                <w:spacing w:val="-3"/>
              </w:rPr>
              <w:t>I:</w:t>
              <w:tab/>
            </w:r>
            <w:r>
              <w:rPr/>
              <w:t>A    liderança    estimulante    na   </w:t>
            </w:r>
            <w:r>
              <w:rPr>
                <w:spacing w:val="17"/>
              </w:rPr>
              <w:t> </w:t>
            </w:r>
            <w:r>
              <w:rPr/>
              <w:t>percepção   </w:t>
            </w:r>
            <w:r>
              <w:rPr>
                <w:spacing w:val="3"/>
              </w:rPr>
              <w:t> </w:t>
            </w:r>
            <w:r>
              <w:rPr/>
              <w:t>dos</w:t>
            </w:r>
            <w:r>
              <w:rPr>
                <w:w w:val="99"/>
              </w:rPr>
              <w:t> </w:t>
            </w:r>
            <w:r>
              <w:rPr/>
              <w:t>interlocutores</w:t>
              <w:tab/>
              <w:t>130</w:t>
            </w:r>
          </w:hyperlink>
        </w:p>
        <w:p>
          <w:pPr>
            <w:pStyle w:val="TOC2"/>
            <w:numPr>
              <w:ilvl w:val="3"/>
              <w:numId w:val="3"/>
            </w:numPr>
            <w:tabs>
              <w:tab w:pos="1207" w:val="left" w:leader="none"/>
              <w:tab w:pos="9108" w:val="right" w:leader="dot"/>
            </w:tabs>
            <w:spacing w:line="275" w:lineRule="exact" w:before="3" w:after="0"/>
            <w:ind w:left="1206" w:right="0" w:hanging="850"/>
            <w:jc w:val="left"/>
          </w:pPr>
          <w:r>
            <w:rPr/>
            <w:t>A atuação</w:t>
          </w:r>
          <w:r>
            <w:rPr>
              <w:spacing w:val="-2"/>
            </w:rPr>
            <w:t> </w:t>
          </w:r>
          <w:r>
            <w:rPr/>
            <w:t>da</w:t>
          </w:r>
          <w:r>
            <w:rPr>
              <w:spacing w:val="-2"/>
            </w:rPr>
            <w:t> </w:t>
          </w:r>
          <w:r>
            <w:rPr/>
            <w:t>gestão</w:t>
            <w:tab/>
            <w:t>131</w:t>
          </w:r>
        </w:p>
        <w:p>
          <w:pPr>
            <w:pStyle w:val="TOC2"/>
            <w:numPr>
              <w:ilvl w:val="3"/>
              <w:numId w:val="3"/>
            </w:numPr>
            <w:tabs>
              <w:tab w:pos="1207" w:val="left" w:leader="none"/>
              <w:tab w:pos="9108" w:val="right" w:leader="dot"/>
            </w:tabs>
            <w:spacing w:line="275" w:lineRule="exact" w:before="0" w:after="0"/>
            <w:ind w:left="1206" w:right="0" w:hanging="850"/>
            <w:jc w:val="left"/>
          </w:pPr>
          <w:r>
            <w:rPr/>
            <w:t>As relações e</w:t>
          </w:r>
          <w:r>
            <w:rPr>
              <w:spacing w:val="-5"/>
            </w:rPr>
            <w:t> </w:t>
          </w:r>
          <w:r>
            <w:rPr/>
            <w:t>interações</w:t>
          </w:r>
          <w:r>
            <w:rPr>
              <w:spacing w:val="-1"/>
            </w:rPr>
            <w:t> </w:t>
          </w:r>
          <w:r>
            <w:rPr/>
            <w:t>estabelecidas</w:t>
            <w:tab/>
            <w:t>134</w:t>
          </w:r>
        </w:p>
        <w:p>
          <w:pPr>
            <w:pStyle w:val="TOC2"/>
            <w:numPr>
              <w:ilvl w:val="3"/>
              <w:numId w:val="3"/>
            </w:numPr>
            <w:tabs>
              <w:tab w:pos="1207" w:val="left" w:leader="none"/>
              <w:tab w:pos="9108" w:val="right" w:leader="dot"/>
            </w:tabs>
            <w:spacing w:line="240" w:lineRule="auto" w:before="2" w:after="0"/>
            <w:ind w:left="1206" w:right="0" w:hanging="850"/>
            <w:jc w:val="left"/>
          </w:pPr>
          <w:r>
            <w:rPr/>
            <w:t>O compromisso da equipe com as</w:t>
          </w:r>
          <w:r>
            <w:rPr>
              <w:spacing w:val="-13"/>
            </w:rPr>
            <w:t> </w:t>
          </w:r>
          <w:r>
            <w:rPr/>
            <w:t>ações</w:t>
          </w:r>
          <w:r>
            <w:rPr>
              <w:spacing w:val="5"/>
            </w:rPr>
            <w:t> </w:t>
          </w:r>
          <w:r>
            <w:rPr/>
            <w:t>coletivas</w:t>
            <w:tab/>
            <w:t>138</w:t>
          </w:r>
        </w:p>
        <w:p>
          <w:pPr>
            <w:pStyle w:val="TOC1"/>
            <w:numPr>
              <w:ilvl w:val="2"/>
              <w:numId w:val="3"/>
            </w:numPr>
            <w:tabs>
              <w:tab w:pos="1206" w:val="left" w:leader="none"/>
              <w:tab w:pos="1207" w:val="left" w:leader="none"/>
            </w:tabs>
            <w:spacing w:line="240" w:lineRule="auto" w:before="92" w:after="0"/>
            <w:ind w:left="1206" w:right="0" w:hanging="850"/>
            <w:jc w:val="left"/>
          </w:pPr>
          <w:r>
            <w:rPr/>
            <w:t>Trama </w:t>
          </w:r>
          <w:r>
            <w:rPr>
              <w:spacing w:val="-3"/>
            </w:rPr>
            <w:t>II: </w:t>
          </w:r>
          <w:r>
            <w:rPr/>
            <w:t>o espírito empreendedor na percepção</w:t>
          </w:r>
          <w:r>
            <w:rPr>
              <w:spacing w:val="-18"/>
            </w:rPr>
            <w:t> </w:t>
          </w:r>
          <w:r>
            <w:rPr/>
            <w:t>dos</w:t>
          </w:r>
        </w:p>
        <w:p>
          <w:pPr>
            <w:pStyle w:val="TOC3"/>
            <w:tabs>
              <w:tab w:pos="8706" w:val="left" w:leader="dot"/>
            </w:tabs>
          </w:pPr>
          <w:r>
            <w:rPr/>
            <w:t>interlocutores</w:t>
            <w:tab/>
            <w:t>143</w:t>
          </w:r>
        </w:p>
        <w:p>
          <w:pPr>
            <w:pStyle w:val="TOC1"/>
            <w:numPr>
              <w:ilvl w:val="0"/>
              <w:numId w:val="3"/>
            </w:numPr>
            <w:tabs>
              <w:tab w:pos="1206" w:val="left" w:leader="none"/>
              <w:tab w:pos="1207" w:val="left" w:leader="none"/>
              <w:tab w:pos="8706" w:val="left" w:leader="dot"/>
            </w:tabs>
            <w:spacing w:line="240" w:lineRule="auto" w:before="276" w:after="0"/>
            <w:ind w:left="1206" w:right="0" w:hanging="850"/>
            <w:jc w:val="left"/>
          </w:pPr>
          <w:hyperlink w:history="true" w:anchor="_TOC_250001">
            <w:r>
              <w:rPr/>
              <w:t>CONSIDERAÇÕES</w:t>
            </w:r>
            <w:r>
              <w:rPr>
                <w:spacing w:val="-6"/>
              </w:rPr>
              <w:t> </w:t>
            </w:r>
            <w:r>
              <w:rPr/>
              <w:t>FINAIS</w:t>
              <w:tab/>
              <w:t>147</w:t>
            </w:r>
          </w:hyperlink>
        </w:p>
        <w:p>
          <w:pPr>
            <w:pStyle w:val="TOC1"/>
            <w:tabs>
              <w:tab w:pos="8706" w:val="left" w:leader="dot"/>
            </w:tabs>
            <w:spacing w:before="275"/>
            <w:ind w:left="356" w:firstLine="0"/>
          </w:pPr>
          <w:hyperlink w:history="true" w:anchor="_TOC_250000">
            <w:r>
              <w:rPr/>
              <w:t>REFERÊNCIAS</w:t>
              <w:tab/>
              <w:t>154</w:t>
            </w:r>
          </w:hyperlink>
        </w:p>
        <w:p>
          <w:pPr>
            <w:pStyle w:val="TOC1"/>
            <w:tabs>
              <w:tab w:pos="8706" w:val="left" w:leader="dot"/>
            </w:tabs>
            <w:spacing w:before="275"/>
            <w:ind w:left="356" w:firstLine="0"/>
          </w:pPr>
          <w:r>
            <w:rPr/>
            <w:t>APÊNDICE</w:t>
            <w:tab/>
            <w:t>168</w:t>
          </w:r>
        </w:p>
        <w:p>
          <w:pPr>
            <w:pStyle w:val="TOC1"/>
            <w:tabs>
              <w:tab w:pos="8706" w:val="left" w:leader="dot"/>
            </w:tabs>
            <w:spacing w:before="276"/>
            <w:ind w:left="356" w:firstLine="0"/>
          </w:pPr>
          <w:r>
            <w:rPr/>
            <w:t>ANEXO</w:t>
            <w:tab/>
            <w:t>182</w:t>
          </w:r>
        </w:p>
      </w:sdtContent>
    </w:sdt>
    <w:p>
      <w:pPr>
        <w:spacing w:after="0"/>
        <w:sectPr>
          <w:type w:val="continuous"/>
          <w:pgSz w:w="11910" w:h="16840"/>
          <w:pgMar w:top="1600" w:bottom="1134" w:left="1680" w:right="1000"/>
        </w:sectPr>
      </w:pPr>
    </w:p>
    <w:p>
      <w:pPr>
        <w:pStyle w:val="BodyText"/>
        <w:spacing w:before="10"/>
        <w:rPr>
          <w:b/>
          <w:sz w:val="28"/>
        </w:rPr>
      </w:pPr>
    </w:p>
    <w:p>
      <w:pPr>
        <w:pStyle w:val="Heading3"/>
        <w:numPr>
          <w:ilvl w:val="0"/>
          <w:numId w:val="4"/>
        </w:numPr>
        <w:tabs>
          <w:tab w:pos="510" w:val="left" w:leader="none"/>
        </w:tabs>
        <w:spacing w:line="240" w:lineRule="auto" w:before="0" w:after="0"/>
        <w:ind w:left="509" w:right="0" w:hanging="201"/>
        <w:jc w:val="left"/>
      </w:pPr>
      <w:bookmarkStart w:name="_TOC_250016" w:id="1"/>
      <w:bookmarkEnd w:id="1"/>
      <w:r>
        <w:rPr/>
        <w:t>INTRODUÇÃO</w:t>
      </w:r>
    </w:p>
    <w:p>
      <w:pPr>
        <w:pStyle w:val="BodyText"/>
        <w:rPr>
          <w:b/>
          <w:sz w:val="26"/>
        </w:rPr>
      </w:pPr>
    </w:p>
    <w:p>
      <w:pPr>
        <w:pStyle w:val="BodyText"/>
        <w:rPr>
          <w:b/>
          <w:sz w:val="26"/>
        </w:rPr>
      </w:pPr>
    </w:p>
    <w:p>
      <w:pPr>
        <w:pStyle w:val="BodyText"/>
        <w:spacing w:before="6"/>
        <w:rPr>
          <w:b/>
          <w:sz w:val="32"/>
        </w:rPr>
      </w:pPr>
    </w:p>
    <w:p>
      <w:pPr>
        <w:pStyle w:val="ListParagraph"/>
        <w:numPr>
          <w:ilvl w:val="1"/>
          <w:numId w:val="4"/>
        </w:numPr>
        <w:tabs>
          <w:tab w:pos="778" w:val="left" w:leader="none"/>
        </w:tabs>
        <w:spacing w:line="240" w:lineRule="auto" w:before="0" w:after="0"/>
        <w:ind w:left="777" w:right="0" w:hanging="469"/>
        <w:jc w:val="left"/>
        <w:rPr>
          <w:sz w:val="24"/>
        </w:rPr>
      </w:pPr>
      <w:r>
        <w:rPr>
          <w:sz w:val="24"/>
        </w:rPr>
        <w:t>MEMORIAL DE</w:t>
      </w:r>
      <w:r>
        <w:rPr>
          <w:spacing w:val="-16"/>
          <w:sz w:val="24"/>
        </w:rPr>
        <w:t> </w:t>
      </w:r>
      <w:r>
        <w:rPr>
          <w:sz w:val="24"/>
        </w:rPr>
        <w:t>FORMAÇÃO</w:t>
      </w:r>
    </w:p>
    <w:p>
      <w:pPr>
        <w:pStyle w:val="BodyText"/>
        <w:rPr>
          <w:sz w:val="26"/>
        </w:rPr>
      </w:pPr>
    </w:p>
    <w:p>
      <w:pPr>
        <w:pStyle w:val="BodyText"/>
        <w:rPr>
          <w:sz w:val="26"/>
        </w:rPr>
      </w:pPr>
    </w:p>
    <w:p>
      <w:pPr>
        <w:pStyle w:val="BodyText"/>
        <w:rPr>
          <w:sz w:val="32"/>
        </w:rPr>
      </w:pPr>
    </w:p>
    <w:p>
      <w:pPr>
        <w:spacing w:before="0"/>
        <w:ind w:left="2574" w:right="125" w:firstLine="0"/>
        <w:jc w:val="both"/>
        <w:rPr>
          <w:sz w:val="20"/>
        </w:rPr>
      </w:pPr>
      <w:r>
        <w:rPr>
          <w:sz w:val="20"/>
        </w:rPr>
        <w:t>Eu apenas queria que você soubesse que aquela alegria ainda está comigo. E que a minha ternura não ficou na estrada. Não ficou no tempo presa na poeira.</w:t>
      </w:r>
    </w:p>
    <w:p>
      <w:pPr>
        <w:spacing w:line="237" w:lineRule="auto" w:before="2"/>
        <w:ind w:left="2574" w:right="120" w:firstLine="0"/>
        <w:jc w:val="both"/>
        <w:rPr>
          <w:sz w:val="20"/>
        </w:rPr>
      </w:pPr>
      <w:r>
        <w:rPr>
          <w:sz w:val="20"/>
        </w:rPr>
        <w:t>Eu apenas queria dizer a todo mundo que me gosta. Que hoje eu me gosto muito mais. Porque me entendo muito mais também. E que a atitude de recomeçar é todo dia toda hora [...] (GONZAGUINHA).</w:t>
      </w:r>
    </w:p>
    <w:p>
      <w:pPr>
        <w:pStyle w:val="BodyText"/>
        <w:rPr>
          <w:sz w:val="22"/>
        </w:rPr>
      </w:pPr>
    </w:p>
    <w:p>
      <w:pPr>
        <w:pStyle w:val="BodyText"/>
        <w:rPr>
          <w:sz w:val="22"/>
        </w:rPr>
      </w:pPr>
    </w:p>
    <w:p>
      <w:pPr>
        <w:pStyle w:val="BodyText"/>
        <w:spacing w:before="4"/>
        <w:rPr>
          <w:sz w:val="28"/>
        </w:rPr>
      </w:pPr>
    </w:p>
    <w:p>
      <w:pPr>
        <w:pStyle w:val="BodyText"/>
        <w:spacing w:line="360" w:lineRule="auto" w:before="1"/>
        <w:ind w:left="308" w:right="117" w:firstLine="710"/>
        <w:jc w:val="both"/>
      </w:pPr>
      <w:r>
        <w:rPr/>
        <w:t>Escrever as memórias é como </w:t>
      </w:r>
      <w:r>
        <w:rPr>
          <w:spacing w:val="2"/>
        </w:rPr>
        <w:t>um </w:t>
      </w:r>
      <w:r>
        <w:rPr/>
        <w:t>“lembra-te” que procura relatar momentos que marcaram a vida de </w:t>
      </w:r>
      <w:r>
        <w:rPr>
          <w:spacing w:val="-3"/>
        </w:rPr>
        <w:t>uma </w:t>
      </w:r>
      <w:r>
        <w:rPr/>
        <w:t>pessoa e o modo como essas vivências influenciaram na sua formação e o que ela faz com tudo isso. É como </w:t>
      </w:r>
      <w:r>
        <w:rPr>
          <w:spacing w:val="2"/>
        </w:rPr>
        <w:t>um quem </w:t>
      </w:r>
      <w:r>
        <w:rPr/>
        <w:t>sou eu, é </w:t>
      </w:r>
      <w:r>
        <w:rPr>
          <w:spacing w:val="-3"/>
        </w:rPr>
        <w:t>uma </w:t>
      </w:r>
      <w:r>
        <w:rPr/>
        <w:t>exposição, é realmente </w:t>
      </w:r>
      <w:r>
        <w:rPr>
          <w:spacing w:val="-3"/>
        </w:rPr>
        <w:t>uma </w:t>
      </w:r>
      <w:r>
        <w:rPr/>
        <w:t>narração que não parece </w:t>
      </w:r>
      <w:r>
        <w:rPr>
          <w:spacing w:val="2"/>
        </w:rPr>
        <w:t>fácil, </w:t>
      </w:r>
      <w:r>
        <w:rPr/>
        <w:t>pois descarta a objetividade imparcial e provoca </w:t>
      </w:r>
      <w:r>
        <w:rPr>
          <w:spacing w:val="2"/>
        </w:rPr>
        <w:t>um </w:t>
      </w:r>
      <w:r>
        <w:rPr/>
        <w:t>reencontro com as lembranças invadindo as muitas dimensões da vida. </w:t>
      </w:r>
      <w:r>
        <w:rPr>
          <w:spacing w:val="-3"/>
        </w:rPr>
        <w:t>No </w:t>
      </w:r>
      <w:r>
        <w:rPr/>
        <w:t>entanto, esse reencontro por </w:t>
      </w:r>
      <w:r>
        <w:rPr>
          <w:spacing w:val="-3"/>
        </w:rPr>
        <w:t>si </w:t>
      </w:r>
      <w:r>
        <w:rPr/>
        <w:t>só, não é </w:t>
      </w:r>
      <w:r>
        <w:rPr>
          <w:spacing w:val="-3"/>
        </w:rPr>
        <w:t>uma </w:t>
      </w:r>
      <w:r>
        <w:rPr/>
        <w:t>ação formadora. Segundo Nóvoa (2001), a experiência torna-se formadora quando há reflexão sobre o vivido, quando é também conscientização da experiência, </w:t>
      </w:r>
      <w:r>
        <w:rPr>
          <w:spacing w:val="-3"/>
        </w:rPr>
        <w:t>uma </w:t>
      </w:r>
      <w:r>
        <w:rPr/>
        <w:t>reavaliação do percurso experimentado, caso contrário, mostra-se como uma mera rotina, </w:t>
      </w:r>
      <w:r>
        <w:rPr>
          <w:spacing w:val="-3"/>
        </w:rPr>
        <w:t>uma</w:t>
      </w:r>
      <w:r>
        <w:rPr>
          <w:spacing w:val="-13"/>
        </w:rPr>
        <w:t> </w:t>
      </w:r>
      <w:r>
        <w:rPr/>
        <w:t>repetição.</w:t>
      </w:r>
    </w:p>
    <w:p>
      <w:pPr>
        <w:pStyle w:val="BodyText"/>
        <w:spacing w:line="360" w:lineRule="auto" w:before="3"/>
        <w:ind w:left="308" w:right="128" w:firstLine="710"/>
        <w:jc w:val="both"/>
      </w:pPr>
      <w:r>
        <w:rPr/>
        <w:t>Tento aqui fugir da repetição de ideias, buscando de forma acadêmica desnudar a minha história em pontos memoráveis, sem dissociá-los das marcas inconscientes que os cercam, e que na sua complexidade dizem muito da minha formação e identidade como pessoa e como educadora.</w:t>
      </w:r>
    </w:p>
    <w:p>
      <w:pPr>
        <w:pStyle w:val="BodyText"/>
        <w:spacing w:line="360" w:lineRule="auto" w:before="3"/>
        <w:ind w:left="308" w:right="121" w:firstLine="710"/>
        <w:jc w:val="both"/>
      </w:pPr>
      <w:r>
        <w:rPr/>
        <w:t>Busco em Álvaro Vieira Pinto a compreensão de que a formação do indivíduo se dá pela educação, é um fato histórico e decorre de um fenômeno em duplo sentido: “primeiro de que representa a própria história individual; segundo, no sentido de que está vinculada à fase vivida pela comunidade em sua contínua evolução. ” (PINTO, 1982, p.03).</w:t>
      </w:r>
    </w:p>
    <w:p>
      <w:pPr>
        <w:pStyle w:val="BodyText"/>
        <w:spacing w:line="360" w:lineRule="auto" w:before="3"/>
        <w:ind w:left="308" w:right="121" w:firstLine="710"/>
        <w:jc w:val="both"/>
      </w:pPr>
      <w:r>
        <w:rPr/>
        <w:t>Em Brzezinski (2002), o entendimento de que toda identidade é construída, que pode ser pessoal ou coletiva, que significa fonte de experiência de um povo, cujo processo de “construção do significado e da experiência dá-se com base  em</w:t>
      </w:r>
    </w:p>
    <w:p>
      <w:pPr>
        <w:spacing w:after="0" w:line="360" w:lineRule="auto"/>
        <w:jc w:val="both"/>
        <w:sectPr>
          <w:headerReference w:type="default" r:id="rId13"/>
          <w:pgSz w:w="11910" w:h="16840"/>
          <w:pgMar w:header="1133" w:footer="0" w:top="1340" w:bottom="280" w:left="1680" w:right="1000"/>
          <w:pgNumType w:start="19"/>
        </w:sectPr>
      </w:pPr>
    </w:p>
    <w:p>
      <w:pPr>
        <w:pStyle w:val="BodyText"/>
        <w:spacing w:before="3"/>
        <w:rPr>
          <w:sz w:val="21"/>
        </w:rPr>
      </w:pPr>
    </w:p>
    <w:p>
      <w:pPr>
        <w:pStyle w:val="BodyText"/>
        <w:spacing w:line="362" w:lineRule="auto" w:before="92"/>
        <w:ind w:left="308" w:right="110"/>
        <w:jc w:val="both"/>
      </w:pPr>
      <w:r>
        <w:rPr/>
        <w:t>atributos culturais que se inter-relacionam e que são inerentes a uma determinada sociedade circunscrita ao espaço e tempos históricos. ” (BRZEZINSKI, 2002, p.08).</w:t>
      </w:r>
    </w:p>
    <w:p>
      <w:pPr>
        <w:pStyle w:val="BodyText"/>
        <w:spacing w:line="360" w:lineRule="auto"/>
        <w:ind w:left="308" w:right="107" w:firstLine="710"/>
        <w:jc w:val="both"/>
      </w:pPr>
      <w:r>
        <w:rPr/>
        <w:t>Para a autora, a identidade pessoal refere-se à história, à experiência pessoal e implica em sentimento de unidade, originalidade e continuidade, e a identidade coletiva trata-se de uma construção social, que se “processa no interior dos grupos, das categorias que estruturaram a sociedade e que conferem à pessoa um papel e um status social. A identidade profissional configura-se como uma identidade coletiva.” (BRZEZINSKI, 2002, p.08).</w:t>
      </w:r>
    </w:p>
    <w:p>
      <w:pPr>
        <w:pStyle w:val="BodyText"/>
        <w:spacing w:line="360" w:lineRule="auto" w:before="8"/>
        <w:ind w:left="308" w:right="98" w:firstLine="710"/>
        <w:jc w:val="both"/>
      </w:pPr>
      <w:r>
        <w:rPr/>
        <w:t>Nesse relato recorro às lembranças dos episódios vividos que contribuíram para a formação da minha identidade coletiva e respectivamente para a formação da minha identidade pessoal. Recorro ao percurso pedagógico da minha  formação </w:t>
      </w:r>
      <w:r>
        <w:rPr>
          <w:spacing w:val="2"/>
        </w:rPr>
        <w:t>em </w:t>
      </w:r>
      <w:r>
        <w:rPr/>
        <w:t>magistério iniciada no curso técnico profissionalizante que oportunamente </w:t>
      </w:r>
      <w:r>
        <w:rPr>
          <w:spacing w:val="-4"/>
        </w:rPr>
        <w:t>me </w:t>
      </w:r>
      <w:r>
        <w:rPr/>
        <w:t>levou à Graduação em Pedagogia, a Pós Graduação - Lato Sensu - </w:t>
      </w:r>
      <w:r>
        <w:rPr>
          <w:spacing w:val="2"/>
        </w:rPr>
        <w:t>em </w:t>
      </w:r>
      <w:r>
        <w:rPr/>
        <w:t>Orientação Educacional e, posteriormente, </w:t>
      </w:r>
      <w:r>
        <w:rPr>
          <w:spacing w:val="4"/>
        </w:rPr>
        <w:t>ao </w:t>
      </w:r>
      <w:r>
        <w:rPr/>
        <w:t>Mestrado </w:t>
      </w:r>
      <w:r>
        <w:rPr>
          <w:spacing w:val="2"/>
        </w:rPr>
        <w:t>em </w:t>
      </w:r>
      <w:r>
        <w:rPr/>
        <w:t>Educação.</w:t>
      </w:r>
    </w:p>
    <w:p>
      <w:pPr>
        <w:pStyle w:val="BodyText"/>
        <w:spacing w:line="360" w:lineRule="auto" w:before="2"/>
        <w:ind w:left="308" w:right="105" w:firstLine="710"/>
        <w:jc w:val="both"/>
      </w:pPr>
      <w:r>
        <w:rPr/>
        <w:t>Nesse caminho apresentam-se as relações e as interações estabelecidas com a vida profissional e a estudantil até a realização do Mestrado em Educação na Universidade Federal do Tocantins, Campus de Palmas, cuja pesquisa, objeto desse trabalho dissertativo, tem após o relato, o seu registro nas páginas seguintes. A pesquisa em questão trata do estudo de caso realizado na Escola Municipal Orlindo Pereira da Mota e consistiu na análise da prática educativa da instituição para identificação de evidências de criatividade, pautados nas teorias e nos indicadores que inspiraram a compreensão das escolas como organizações inovadoras e criativas.</w:t>
      </w:r>
    </w:p>
    <w:p>
      <w:pPr>
        <w:pStyle w:val="BodyText"/>
        <w:spacing w:line="360" w:lineRule="auto" w:before="2"/>
        <w:ind w:left="308" w:right="98" w:firstLine="710"/>
        <w:jc w:val="both"/>
      </w:pPr>
      <w:r>
        <w:rPr/>
        <w:t>Foi ao longo da experiência do mestrado que, de fato, percebi a  importância dos conhecimentos e vivências adquiridas na minha trajetória pessoal e profissional porque estabeleceram uma conexão entre os fenômenos apresentados e a minha própria história </w:t>
      </w:r>
      <w:r>
        <w:rPr>
          <w:spacing w:val="-3"/>
        </w:rPr>
        <w:t>como </w:t>
      </w:r>
      <w:r>
        <w:rPr/>
        <w:t>ser social, que semelhantes a tantos outros e paradoxalmente diferentes de todos eles, como aluna e depois como professora, sofri e pratiquei a ação tanto do ensino cartesiano, como da sua superação pelo repensar da ação</w:t>
      </w:r>
      <w:r>
        <w:rPr>
          <w:spacing w:val="-17"/>
        </w:rPr>
        <w:t> </w:t>
      </w:r>
      <w:r>
        <w:rPr/>
        <w:t>educativa.</w:t>
      </w:r>
    </w:p>
    <w:p>
      <w:pPr>
        <w:pStyle w:val="BodyText"/>
        <w:spacing w:line="360" w:lineRule="auto" w:before="2"/>
        <w:ind w:left="308" w:right="109" w:firstLine="710"/>
        <w:jc w:val="both"/>
      </w:pPr>
      <w:r>
        <w:rPr/>
        <w:t>De forma semelhante, tenho a oportunidade de viver em tempos de transição  paradigmática  e  conhecer  a  antologia  do  pensamento      complexo,</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right="110"/>
        <w:jc w:val="both"/>
      </w:pPr>
      <w:r>
        <w:rPr/>
        <w:t>aninhada no seio da nossa contemporaneidade (PENA; VEGA E STROH, 2010), que oportunizou a reflexão da minha própria prática, dando sentido e fôlego para  a realização desse trabalho, que socializo nas páginas a</w:t>
      </w:r>
      <w:r>
        <w:rPr>
          <w:spacing w:val="-23"/>
        </w:rPr>
        <w:t> </w:t>
      </w:r>
      <w:r>
        <w:rPr/>
        <w:t>seguir.</w:t>
      </w:r>
    </w:p>
    <w:p>
      <w:pPr>
        <w:pStyle w:val="BodyText"/>
        <w:rPr>
          <w:sz w:val="26"/>
        </w:rPr>
      </w:pPr>
    </w:p>
    <w:p>
      <w:pPr>
        <w:pStyle w:val="BodyText"/>
        <w:rPr>
          <w:sz w:val="26"/>
        </w:rPr>
      </w:pPr>
    </w:p>
    <w:p>
      <w:pPr>
        <w:pStyle w:val="ListParagraph"/>
        <w:numPr>
          <w:ilvl w:val="1"/>
          <w:numId w:val="5"/>
        </w:numPr>
        <w:tabs>
          <w:tab w:pos="711" w:val="left" w:leader="none"/>
        </w:tabs>
        <w:spacing w:line="360" w:lineRule="auto" w:before="232" w:after="0"/>
        <w:ind w:left="735" w:right="381" w:hanging="427"/>
        <w:jc w:val="left"/>
        <w:rPr>
          <w:sz w:val="24"/>
        </w:rPr>
      </w:pPr>
      <w:r>
        <w:rPr>
          <w:sz w:val="24"/>
        </w:rPr>
        <w:t>NO CAMINHO DOS SONHOS: ENCONTROS E DESENCONTROS COM</w:t>
      </w:r>
      <w:r>
        <w:rPr>
          <w:spacing w:val="-21"/>
          <w:sz w:val="24"/>
        </w:rPr>
        <w:t> </w:t>
      </w:r>
      <w:r>
        <w:rPr>
          <w:sz w:val="24"/>
        </w:rPr>
        <w:t>O MAGISTÉRIO</w:t>
      </w:r>
    </w:p>
    <w:p>
      <w:pPr>
        <w:pStyle w:val="BodyText"/>
        <w:rPr>
          <w:sz w:val="26"/>
        </w:rPr>
      </w:pPr>
    </w:p>
    <w:p>
      <w:pPr>
        <w:pStyle w:val="BodyText"/>
        <w:rPr>
          <w:sz w:val="26"/>
        </w:rPr>
      </w:pPr>
    </w:p>
    <w:p>
      <w:pPr>
        <w:pStyle w:val="BodyText"/>
        <w:spacing w:before="6"/>
        <w:rPr>
          <w:sz w:val="20"/>
        </w:rPr>
      </w:pPr>
    </w:p>
    <w:p>
      <w:pPr>
        <w:spacing w:line="237" w:lineRule="auto" w:before="0"/>
        <w:ind w:left="2574" w:right="110" w:firstLine="0"/>
        <w:jc w:val="both"/>
        <w:rPr>
          <w:sz w:val="20"/>
        </w:rPr>
      </w:pPr>
      <w:r>
        <w:rPr>
          <w:sz w:val="20"/>
        </w:rPr>
        <w:t>“Todo mundo ama </w:t>
      </w:r>
      <w:r>
        <w:rPr>
          <w:spacing w:val="-4"/>
          <w:sz w:val="20"/>
        </w:rPr>
        <w:t>um </w:t>
      </w:r>
      <w:r>
        <w:rPr>
          <w:sz w:val="20"/>
        </w:rPr>
        <w:t>dia todo mundo chora, </w:t>
      </w:r>
      <w:r>
        <w:rPr>
          <w:spacing w:val="-4"/>
          <w:sz w:val="20"/>
        </w:rPr>
        <w:t>um </w:t>
      </w:r>
      <w:r>
        <w:rPr>
          <w:sz w:val="20"/>
        </w:rPr>
        <w:t>dia a gente chega, no outro </w:t>
      </w:r>
      <w:r>
        <w:rPr>
          <w:spacing w:val="2"/>
          <w:sz w:val="20"/>
        </w:rPr>
        <w:t>vai </w:t>
      </w:r>
      <w:r>
        <w:rPr>
          <w:sz w:val="20"/>
        </w:rPr>
        <w:t>embora. Cada um de nós compõe a </w:t>
      </w:r>
      <w:r>
        <w:rPr>
          <w:spacing w:val="-3"/>
          <w:sz w:val="20"/>
        </w:rPr>
        <w:t>sua </w:t>
      </w:r>
      <w:r>
        <w:rPr>
          <w:sz w:val="20"/>
        </w:rPr>
        <w:t>história. Cada </w:t>
      </w:r>
      <w:r>
        <w:rPr>
          <w:spacing w:val="-3"/>
          <w:sz w:val="20"/>
        </w:rPr>
        <w:t>ser </w:t>
      </w:r>
      <w:r>
        <w:rPr>
          <w:sz w:val="20"/>
        </w:rPr>
        <w:t>em  </w:t>
      </w:r>
      <w:r>
        <w:rPr>
          <w:spacing w:val="-3"/>
          <w:sz w:val="20"/>
        </w:rPr>
        <w:t>si </w:t>
      </w:r>
      <w:r>
        <w:rPr>
          <w:sz w:val="20"/>
        </w:rPr>
        <w:t>carrega o </w:t>
      </w:r>
      <w:r>
        <w:rPr>
          <w:spacing w:val="-3"/>
          <w:sz w:val="20"/>
        </w:rPr>
        <w:t>dom </w:t>
      </w:r>
      <w:r>
        <w:rPr>
          <w:sz w:val="20"/>
        </w:rPr>
        <w:t>de </w:t>
      </w:r>
      <w:r>
        <w:rPr>
          <w:spacing w:val="-3"/>
          <w:sz w:val="20"/>
        </w:rPr>
        <w:t>ser </w:t>
      </w:r>
      <w:r>
        <w:rPr>
          <w:sz w:val="20"/>
        </w:rPr>
        <w:t>capaz e </w:t>
      </w:r>
      <w:r>
        <w:rPr>
          <w:spacing w:val="-3"/>
          <w:sz w:val="20"/>
        </w:rPr>
        <w:t>ser </w:t>
      </w:r>
      <w:r>
        <w:rPr>
          <w:sz w:val="20"/>
        </w:rPr>
        <w:t>feliz”. (RENATO</w:t>
      </w:r>
      <w:r>
        <w:rPr>
          <w:spacing w:val="34"/>
          <w:sz w:val="20"/>
        </w:rPr>
        <w:t> </w:t>
      </w:r>
      <w:r>
        <w:rPr>
          <w:sz w:val="20"/>
        </w:rPr>
        <w:t>TEIXEIRA).</w:t>
      </w:r>
    </w:p>
    <w:p>
      <w:pPr>
        <w:pStyle w:val="BodyText"/>
        <w:rPr>
          <w:sz w:val="22"/>
        </w:rPr>
      </w:pPr>
    </w:p>
    <w:p>
      <w:pPr>
        <w:pStyle w:val="BodyText"/>
        <w:rPr>
          <w:sz w:val="22"/>
        </w:rPr>
      </w:pPr>
    </w:p>
    <w:p>
      <w:pPr>
        <w:pStyle w:val="BodyText"/>
        <w:spacing w:before="4"/>
        <w:rPr>
          <w:sz w:val="28"/>
        </w:rPr>
      </w:pPr>
    </w:p>
    <w:p>
      <w:pPr>
        <w:pStyle w:val="BodyText"/>
        <w:spacing w:line="360" w:lineRule="auto"/>
        <w:ind w:left="308" w:right="111" w:firstLine="710"/>
        <w:jc w:val="both"/>
      </w:pPr>
      <w:r>
        <w:rPr/>
        <w:t>Minha trajetória de vida até a fase adulta foi marcada por muitos desafios, superação das dificuldades e lutas para alcançar objetivos e sonhos. Furlanetto referindo-se às situações limites por que passam as pessoas, diz que “as crises e conflitos podem se apresentar como muros que impedem avançar, mas também podem se tornar uma possibilidade de bifurcação. ” (FURLANETTO, 2013, p.20).</w:t>
      </w:r>
    </w:p>
    <w:p>
      <w:pPr>
        <w:pStyle w:val="BodyText"/>
        <w:spacing w:line="360" w:lineRule="auto" w:before="2"/>
        <w:ind w:left="308" w:right="105" w:firstLine="710"/>
        <w:jc w:val="both"/>
      </w:pPr>
      <w:r>
        <w:rPr/>
        <w:t>Com as colocações acima, é possível afirmar que são alguns acontecimentos das pessoas que desorganizam, rompem e as obrigam a renascer, como uma descontinuidade no tempo vivido, ocasionada por separações, mudanças forçadas, problemas de saúde, perdas emocionais, financeiras e pessoais. São como rompimentos ocasionados que provocam a construção de novas ordens e se transformam em oportunidade de crescimento.</w:t>
      </w:r>
    </w:p>
    <w:p>
      <w:pPr>
        <w:pStyle w:val="BodyText"/>
        <w:spacing w:line="360" w:lineRule="auto" w:before="2"/>
        <w:ind w:left="308" w:right="110" w:firstLine="710"/>
        <w:jc w:val="both"/>
      </w:pPr>
      <w:r>
        <w:rPr/>
        <w:t>É assim que me vejo, ao revisitar as minhas memórias, como uma pessoa que aproveitou as situações vividas como oportunidade de crescimento, para construir e dar novos rumos à minha trajetória. Nasci numa família pobre, sempre estudei em escolas públicas e tive a experiência de começar a trabalhar aos dez anos de idade como babá logo após a separação dos meus pais, atividade que desenvolvi por um período de cinco anos, morando com as famílias com as quais trabalhei.</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4" w:firstLine="710"/>
        <w:jc w:val="both"/>
      </w:pPr>
      <w:r>
        <w:rPr/>
        <w:t>Na adolescência, tive oportunidade de mudar de trabalho, ao começar o 2º Grau</w:t>
      </w:r>
      <w:r>
        <w:rPr>
          <w:position w:val="10"/>
          <w:sz w:val="14"/>
        </w:rPr>
        <w:t>1 </w:t>
      </w:r>
      <w:r>
        <w:rPr/>
        <w:t>no curso técnico em magistério</w:t>
      </w:r>
      <w:r>
        <w:rPr>
          <w:position w:val="10"/>
          <w:sz w:val="14"/>
        </w:rPr>
        <w:t>2</w:t>
      </w:r>
      <w:r>
        <w:rPr/>
        <w:t>, consegui vaga como auxiliar de sala em uma turma de jardim II, numa escola particular. Embora tivesse optado pelo curso técnico em contabilidade, e não tivesse feito planos para tornar-me normalista, fui parar no magistério por erro na matrícula, erro esse que não consegui reverter na secretaria da única escola pública de 2º Grau de Conceição do Araguaia, estado do Pará. Mesmo tendo relutado em não permanecer no curso, foi um período muito bom, porque durante esse percurso aprendi a gostar do Magistério, dediquei-me às disciplinas e às atividades da área de Educação Infantil. Assim sendo, apaixonei-me pelas disciplinas de Fundamentos da Educação, consegui concluir o curso de Magistério, considerando que foi uma boa decisão não ter desistido.</w:t>
      </w:r>
    </w:p>
    <w:p>
      <w:pPr>
        <w:pStyle w:val="BodyText"/>
        <w:spacing w:line="360" w:lineRule="auto" w:before="2"/>
        <w:ind w:left="308" w:right="105" w:firstLine="710"/>
        <w:jc w:val="both"/>
      </w:pPr>
      <w:r>
        <w:rPr/>
        <w:t>A contribuição do Magistério, para a minha formação nesse período, se deu mais pelo despertar sobre o trabalho docente, e foi sem dúvida o responsável  pela melhoria da minha condição financeira naquele momento, pois abriu  as portas para outras oportunidades de trabalho. Assim começa minha vida de professora, atuando como auxiliar de sala por um semestre e depois como professora regente nas turmas de berçário, maternal e pré-escola nos oito anos seguintes.</w:t>
      </w:r>
    </w:p>
    <w:p>
      <w:pPr>
        <w:pStyle w:val="BodyText"/>
        <w:spacing w:line="360" w:lineRule="auto" w:before="2"/>
        <w:ind w:left="308" w:right="105" w:firstLine="710"/>
        <w:jc w:val="both"/>
      </w:pPr>
      <w:r>
        <w:rPr/>
        <w:t>Após cursar o magistério, tinha expectativas de cursar biologia ou nutrição, mas a ausência de curso superior na minha cidade e região, a situação financeira e familiar impossibilitou-me ir para outra localidade estudar. A realidade do curso superior concretizou-se três anos mais tarde quando o governo do estado anunciou o Projeto de Interiorização da Fundação Educacional do Pará (FEP), implantando um núcleo em Conceição do Araguaia, ofertando o curso de Pedagogia com duas habilitações: Magistério e Administração Escolar.</w:t>
      </w:r>
    </w:p>
    <w:p>
      <w:pPr>
        <w:pStyle w:val="BodyText"/>
        <w:spacing w:line="360" w:lineRule="auto" w:before="7"/>
        <w:ind w:left="308" w:right="110" w:firstLine="710"/>
        <w:jc w:val="both"/>
      </w:pPr>
      <w:r>
        <w:rPr/>
        <w:t>Assim, como estava sem estudar formalmente há três anos,  mas continuava exercendo a profissão de professora, compreendi que os meus encontros e desencontros com magistério não poderiam e nem deveriam ser ao acaso, decidi que me dedicaria a essa nova oportunidade e me tornaria uma boa pedagoga. E assim fui ao encontro do curso de pedagogia.</w:t>
      </w:r>
    </w:p>
    <w:p>
      <w:pPr>
        <w:pStyle w:val="BodyText"/>
        <w:spacing w:before="6"/>
        <w:rPr>
          <w:sz w:val="28"/>
        </w:rPr>
      </w:pPr>
      <w:r>
        <w:rPr/>
        <w:pict>
          <v:line style="position:absolute;mso-position-horizontal-relative:page;mso-position-vertical-relative:paragraph;z-index:1168;mso-wrap-distance-left:0;mso-wrap-distance-right:0" from="99.407997pt,18.735918pt" to="243.457997pt,18.735918pt" stroked="true" strokeweight=".71997pt" strokecolor="#000000">
            <v:stroke dashstyle="solid"/>
            <w10:wrap type="topAndBottom"/>
          </v:line>
        </w:pict>
      </w:r>
    </w:p>
    <w:p>
      <w:pPr>
        <w:spacing w:line="247" w:lineRule="exact" w:before="36"/>
        <w:ind w:left="308" w:right="0" w:firstLine="0"/>
        <w:jc w:val="left"/>
        <w:rPr>
          <w:sz w:val="20"/>
        </w:rPr>
      </w:pPr>
      <w:r>
        <w:rPr>
          <w:position w:val="10"/>
          <w:sz w:val="13"/>
        </w:rPr>
        <w:t>1  </w:t>
      </w:r>
      <w:r>
        <w:rPr>
          <w:sz w:val="20"/>
        </w:rPr>
        <w:t>Conforme LDB 5692/71.</w:t>
      </w:r>
    </w:p>
    <w:p>
      <w:pPr>
        <w:spacing w:line="230" w:lineRule="exact" w:before="20"/>
        <w:ind w:left="452" w:right="169" w:hanging="145"/>
        <w:jc w:val="left"/>
        <w:rPr>
          <w:sz w:val="20"/>
        </w:rPr>
      </w:pPr>
      <w:r>
        <w:rPr>
          <w:position w:val="10"/>
          <w:sz w:val="13"/>
        </w:rPr>
        <w:t>2 </w:t>
      </w:r>
      <w:r>
        <w:rPr>
          <w:sz w:val="20"/>
        </w:rPr>
        <w:t>Curso Técnico Profissionalizante de 2º Grau, ofertado a partir de 1972 e estipulado pelo Conselho Federal de Educação pelo Parecer nº 45/72.</w:t>
      </w:r>
    </w:p>
    <w:p>
      <w:pPr>
        <w:spacing w:after="0" w:line="230" w:lineRule="exact"/>
        <w:jc w:val="left"/>
        <w:rPr>
          <w:sz w:val="20"/>
        </w:rPr>
        <w:sectPr>
          <w:pgSz w:w="11910" w:h="16840"/>
          <w:pgMar w:header="1133" w:footer="0" w:top="1340" w:bottom="280" w:left="1680" w:right="1020"/>
        </w:sectPr>
      </w:pPr>
    </w:p>
    <w:p>
      <w:pPr>
        <w:pStyle w:val="BodyText"/>
        <w:spacing w:before="10"/>
        <w:rPr>
          <w:sz w:val="20"/>
        </w:rPr>
      </w:pPr>
    </w:p>
    <w:p>
      <w:pPr>
        <w:pStyle w:val="Heading3"/>
        <w:numPr>
          <w:ilvl w:val="2"/>
          <w:numId w:val="5"/>
        </w:numPr>
        <w:tabs>
          <w:tab w:pos="912" w:val="left" w:leader="none"/>
        </w:tabs>
        <w:spacing w:line="240" w:lineRule="auto" w:before="92" w:after="0"/>
        <w:ind w:left="911" w:right="0" w:hanging="603"/>
        <w:jc w:val="left"/>
      </w:pPr>
      <w:bookmarkStart w:name="_TOC_250015" w:id="2"/>
      <w:r>
        <w:rPr/>
        <w:t>Curso de pedagogia: uma intensa experiência</w:t>
      </w:r>
      <w:r>
        <w:rPr>
          <w:spacing w:val="-35"/>
        </w:rPr>
        <w:t> </w:t>
      </w:r>
      <w:bookmarkEnd w:id="2"/>
      <w:r>
        <w:rPr/>
        <w:t>política</w:t>
      </w:r>
    </w:p>
    <w:p>
      <w:pPr>
        <w:pStyle w:val="BodyText"/>
        <w:rPr>
          <w:b/>
          <w:sz w:val="26"/>
        </w:rPr>
      </w:pPr>
    </w:p>
    <w:p>
      <w:pPr>
        <w:pStyle w:val="BodyText"/>
        <w:rPr>
          <w:b/>
          <w:sz w:val="26"/>
        </w:rPr>
      </w:pPr>
    </w:p>
    <w:p>
      <w:pPr>
        <w:pStyle w:val="BodyText"/>
        <w:spacing w:before="6"/>
        <w:rPr>
          <w:b/>
          <w:sz w:val="32"/>
        </w:rPr>
      </w:pPr>
    </w:p>
    <w:p>
      <w:pPr>
        <w:pStyle w:val="BodyText"/>
        <w:spacing w:line="360" w:lineRule="auto"/>
        <w:ind w:left="308" w:right="103" w:firstLine="705"/>
        <w:jc w:val="both"/>
      </w:pPr>
      <w:r>
        <w:rPr/>
        <w:t>O Projeto de Interiorização da Fundação Educacional do Pará deu-se na forma de convênios entre as prefeituras e as instituições de ensino superior e  fazia parte do programa de políticas educacionais, </w:t>
      </w:r>
      <w:r>
        <w:rPr>
          <w:spacing w:val="-3"/>
        </w:rPr>
        <w:t>já </w:t>
      </w:r>
      <w:r>
        <w:rPr/>
        <w:t>a partir de 1990, como uma medida de combate ao alto índice de analfabetismo e a rara qualificação em ensino superior dos professores no estado, oferecendo, inicialmente, os cursos de Pedagogia, Educação Física, Letras, Matemática, Biologia, Física, História e Geografia (ALBUQUERQUE,</w:t>
      </w:r>
      <w:r>
        <w:rPr>
          <w:spacing w:val="-12"/>
        </w:rPr>
        <w:t> </w:t>
      </w:r>
      <w:r>
        <w:rPr/>
        <w:t>2007).</w:t>
      </w:r>
    </w:p>
    <w:p>
      <w:pPr>
        <w:pStyle w:val="BodyText"/>
        <w:spacing w:line="360" w:lineRule="auto" w:before="3"/>
        <w:ind w:left="308" w:right="104" w:firstLine="705"/>
        <w:jc w:val="both"/>
      </w:pPr>
      <w:r>
        <w:rPr/>
        <w:t>A primeira experiência da FEP com a interiorização foi com a oferta do curso de Pedagogia, na cidade de Conceição do Araguaia. O primeiro vestibular obteve muita procura, porque havia </w:t>
      </w:r>
      <w:r>
        <w:rPr>
          <w:spacing w:val="-3"/>
        </w:rPr>
        <w:t>uma </w:t>
      </w:r>
      <w:r>
        <w:rPr/>
        <w:t>demanda muito grande na área de formação de professores na região, a qual incluía os municípios existentes entre Conceição do Araguaia e Marabá, onde a Universidade Federal do Pará (UFPA), também estava implantando um projeto semelhante, e </w:t>
      </w:r>
      <w:r>
        <w:rPr>
          <w:spacing w:val="-3"/>
        </w:rPr>
        <w:t>mesmo </w:t>
      </w:r>
      <w:r>
        <w:rPr/>
        <w:t>aqueles que  tinham interesses em outras áreas da licenciatura, aproveitaram a oportunidade, devido à dificuldade existente para cursar </w:t>
      </w:r>
      <w:r>
        <w:rPr>
          <w:spacing w:val="-3"/>
        </w:rPr>
        <w:t>uma </w:t>
      </w:r>
      <w:r>
        <w:rPr/>
        <w:t>faculdade. As duas primeiras turmas de cada habilitação foram formadas por professores normalistas que buscavam</w:t>
      </w:r>
      <w:r>
        <w:rPr>
          <w:spacing w:val="-6"/>
        </w:rPr>
        <w:t> </w:t>
      </w:r>
      <w:r>
        <w:rPr/>
        <w:t>qualificação.</w:t>
      </w:r>
    </w:p>
    <w:p>
      <w:pPr>
        <w:pStyle w:val="BodyText"/>
        <w:spacing w:line="360" w:lineRule="auto" w:before="3"/>
        <w:ind w:left="308" w:right="103" w:firstLine="705"/>
        <w:jc w:val="both"/>
      </w:pPr>
      <w:r>
        <w:rPr/>
        <w:t>Foi nesse contexto que fui aprovada no processo seletivo do ano seguinte para habilitação de Magistério, a partir daí comecei </w:t>
      </w:r>
      <w:r>
        <w:rPr>
          <w:spacing w:val="-3"/>
        </w:rPr>
        <w:t>uma </w:t>
      </w:r>
      <w:r>
        <w:rPr/>
        <w:t>nova história por meio do curso de Pedagogia que se estendeu até os dias atuais. Durante os quatro anos seguintes, dediquei-me ao </w:t>
      </w:r>
      <w:r>
        <w:rPr>
          <w:spacing w:val="-2"/>
        </w:rPr>
        <w:t>máximo </w:t>
      </w:r>
      <w:r>
        <w:rPr/>
        <w:t>ao curso. A rotina era intensa, pois trabalhava dois turnos na pré-escola, terminava o último turno às 17h, indo direto à  faculdade, sem banho e sem jantar, pois às 18h iniciavam-se as</w:t>
      </w:r>
      <w:r>
        <w:rPr>
          <w:spacing w:val="-16"/>
        </w:rPr>
        <w:t> </w:t>
      </w:r>
      <w:r>
        <w:rPr/>
        <w:t>aulas.</w:t>
      </w:r>
    </w:p>
    <w:p>
      <w:pPr>
        <w:pStyle w:val="BodyText"/>
        <w:spacing w:line="360" w:lineRule="auto" w:before="7"/>
        <w:ind w:left="308" w:right="109" w:firstLine="705"/>
        <w:jc w:val="both"/>
      </w:pPr>
      <w:r>
        <w:rPr/>
        <w:t>Na graduação não tive acesso à pesquisa e extensão pela ausência  dessas políticas no programa de interiorização da UEPA, por isso procurei aproveitar ao </w:t>
      </w:r>
      <w:r>
        <w:rPr>
          <w:spacing w:val="-3"/>
        </w:rPr>
        <w:t>máximo </w:t>
      </w:r>
      <w:r>
        <w:rPr/>
        <w:t>todas as atividades possíveis que a instituição promovia ou possibilitava acesso, como os encontros estudantis. Durante os quatro anos de graduação complementei minha formação participando de todas as semanas pedagógicas locais, de todos os encontros regionais, estaduais e nacionais, na maioria das vezes atuei como membro da equipe organizadora ou ministrando oficinas e</w:t>
      </w:r>
      <w:r>
        <w:rPr>
          <w:spacing w:val="-5"/>
        </w:rPr>
        <w:t> </w:t>
      </w:r>
      <w:r>
        <w:rPr/>
        <w:t>minicursos.</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28" w:firstLine="705"/>
        <w:jc w:val="both"/>
      </w:pPr>
      <w:r>
        <w:rPr/>
        <w:t>Foi nesse cenário de eventos e troca de experiência que se deu meu encontro com o universo das discussões políticas e econômicas, por meio do movimento estudantil, ajudei por três anos na liderança, participei ativamente da articulação das lutas regionais e da própria instituição quanto às mudanças provocadas pela transformação da FEP em Universidade do Pará (UEP), e logo em seguida em Universidade do Estado do Pará (UEPA), processo de transição que demandou um debruçar do movimento estudantil para organização institucional, principalmente no que se referia à participação da comunidade estudantil nesse processo.</w:t>
      </w:r>
    </w:p>
    <w:p>
      <w:pPr>
        <w:pStyle w:val="BodyText"/>
        <w:spacing w:line="360" w:lineRule="auto" w:before="7"/>
        <w:ind w:left="308" w:right="125" w:firstLine="705"/>
        <w:jc w:val="both"/>
      </w:pPr>
      <w:r>
        <w:rPr/>
        <w:t>As vivências pedagógicas tiveram papéis significantes no meu processo de formação docente e contribuíram para aproximar-me e desarmar-me diante da docência, que pude conhecer e compartilhar em diferentes lugares do país por meio da interação nas atividades promovidas pelos eventos dos quais participei. Foram nesses espaços que aprendi que para cada realidade existe uma necessidade educacional específica, um conteúdo pertinente e uma relação pedagógica diferente. Essas interações oportunizaram experiências que mostravam uma preocupação maior com uma escola e bem mais próxima da realidade do aluno, uma escola mais democrática, com propostas metodológicas mais significativas e dinâmicas. Nesse sentindo participei de muitos relatos de experiências e atividades com propostas de ensino mais integradoras.</w:t>
      </w:r>
    </w:p>
    <w:p>
      <w:pPr>
        <w:pStyle w:val="BodyText"/>
        <w:spacing w:line="360" w:lineRule="auto" w:before="2"/>
        <w:ind w:left="308" w:right="117" w:firstLine="705"/>
        <w:jc w:val="both"/>
      </w:pPr>
      <w:r>
        <w:rPr/>
        <w:t>Essa vivência colaborou de modo significativo com a minha perspectiva de escola, e principalmente com a minha docência, pois a partir de então, exigia mais seriedade, responsabilidade e verdadeiro compromisso com a Educação. Foi exatamente com essas características peculiares que conclui a graduação, com anseios de uma pós-graduação em Metodologia do Ensino de 1º Grau do Programa de Pós-Graduação da Pontifícia Universidade Católica de Minas Gerais (PUC/MINAS). No entanto, por problemas de saúde fiquei impossibilitada  de viajar. Assim sendo, tomei a iniciativa de cursar, ainda em 1995, a pós-graduação (Lato sensu) em Orientação Educacional ofertada pela Universidade Salgado de Oliveira, do Rio de Janeiro em parceria com a UEPA, com aulas no formato modular, ministradas no Pólo de Conceição do Araguaia.</w:t>
      </w:r>
    </w:p>
    <w:p>
      <w:pPr>
        <w:pStyle w:val="BodyText"/>
        <w:spacing w:line="360" w:lineRule="auto" w:before="2"/>
        <w:ind w:left="308" w:right="136" w:firstLine="705"/>
        <w:jc w:val="both"/>
      </w:pPr>
      <w:r>
        <w:rPr/>
        <w:t>Ao final do curso escrevi, em parceria com duas colegas, o Trabalho de Conclusão  de  Curso intitulado “Educar  para transformar”  (PINHO, FONSECA E</w:t>
      </w:r>
    </w:p>
    <w:p>
      <w:pPr>
        <w:spacing w:after="0" w:line="360" w:lineRule="auto"/>
        <w:jc w:val="both"/>
        <w:sectPr>
          <w:pgSz w:w="11910" w:h="16840"/>
          <w:pgMar w:header="1133" w:footer="0" w:top="1340" w:bottom="280" w:left="1680" w:right="1000"/>
        </w:sectPr>
      </w:pPr>
    </w:p>
    <w:p>
      <w:pPr>
        <w:pStyle w:val="BodyText"/>
        <w:spacing w:before="1"/>
        <w:rPr>
          <w:sz w:val="18"/>
        </w:rPr>
      </w:pPr>
    </w:p>
    <w:p>
      <w:pPr>
        <w:pStyle w:val="BodyText"/>
        <w:spacing w:line="360" w:lineRule="auto" w:before="94"/>
        <w:ind w:left="308" w:right="128"/>
        <w:jc w:val="both"/>
      </w:pPr>
      <w:r>
        <w:rPr/>
        <w:t>SOUZA, 1997)</w:t>
      </w:r>
      <w:r>
        <w:rPr>
          <w:position w:val="11"/>
          <w:sz w:val="16"/>
        </w:rPr>
        <w:t>3 </w:t>
      </w:r>
      <w:r>
        <w:rPr/>
        <w:t>no qual em três capítulos, abordamos a contribuição da escola para o processo histórico social do homem e as possibilidades de </w:t>
      </w:r>
      <w:r>
        <w:rPr>
          <w:spacing w:val="-3"/>
        </w:rPr>
        <w:t>uma </w:t>
      </w:r>
      <w:r>
        <w:rPr/>
        <w:t>educação transformadora a partir de </w:t>
      </w:r>
      <w:r>
        <w:rPr>
          <w:spacing w:val="-3"/>
        </w:rPr>
        <w:t>uma </w:t>
      </w:r>
      <w:r>
        <w:rPr/>
        <w:t>prática docente politizada e consciente. O trabalho fundamentou-se em autores como Enguita (1989), Rodrigues (1998), Nosela (1978), Arroyo (1991), Gramcsi (1989) e Chauí (1990), para analisar a dualidade do processo educacional na sociedade de classes, a necessidade da consciência complexa dos indivíduos para apropriação e compreensão do próprio eu no mundo (MILL, 1982), e por </w:t>
      </w:r>
      <w:r>
        <w:rPr>
          <w:spacing w:val="-3"/>
        </w:rPr>
        <w:t>fim, </w:t>
      </w:r>
      <w:r>
        <w:rPr/>
        <w:t>ressaltamos a importância do professor </w:t>
      </w:r>
      <w:r>
        <w:rPr>
          <w:spacing w:val="-3"/>
        </w:rPr>
        <w:t>como </w:t>
      </w:r>
      <w:r>
        <w:rPr/>
        <w:t>agente de mudança no ambiente escolar e na construção de </w:t>
      </w:r>
      <w:r>
        <w:rPr>
          <w:spacing w:val="-3"/>
        </w:rPr>
        <w:t>uma </w:t>
      </w:r>
      <w:r>
        <w:rPr/>
        <w:t>proposta alternativa de escola, de ensino, a partir do trabalho coletivo, dinâmico e integrador.</w:t>
      </w:r>
    </w:p>
    <w:p>
      <w:pPr>
        <w:pStyle w:val="BodyText"/>
        <w:spacing w:line="360" w:lineRule="auto" w:before="2"/>
        <w:ind w:left="308" w:right="127" w:firstLine="705"/>
        <w:jc w:val="both"/>
      </w:pPr>
      <w:r>
        <w:rPr/>
        <w:t>Entende-se assim, que há um caráter dialético no processo educativo, nas diversas relações mantidas no seu interior das escolas, que a instituição escolar em si tem a capacidade de promover educação diferenciada e mais cidadã, com tal entendimento construí a minha experiência profissional ao longo dos anos. Ainda na graduação, fui trabalhar com turmas de 1ª a 4ª séries do 1º grau (hoje denominadas anos iniciais do ensino fundamental), foi justamente nesse período que tive a minha primeira experiência em gestão escolar, em uma instituição da rede particular. Vale frisar que com auxílio de professores, alunos e profissionais da área da saúde, criamos um pequeno museu de ciências naturais utilizando objetos, artefatos, fósseis da fauna e flora local e regional para escola e que se tornou um espaço rico para as aulas, para os professores e também para a visitação de alunos de outras escolas.</w:t>
      </w:r>
    </w:p>
    <w:p>
      <w:pPr>
        <w:pStyle w:val="BodyText"/>
        <w:spacing w:line="360" w:lineRule="auto" w:before="2"/>
        <w:ind w:left="308" w:right="117" w:firstLine="705"/>
        <w:jc w:val="both"/>
      </w:pPr>
      <w:r>
        <w:rPr/>
        <w:t>A oportunidade da docência no ensino superior surgiu quando eu estava cursando a pós-graduação latu senso, pois a UEPA lançou edital de seleção de professores para o pólo de Conceição Araguaia, eu participei e passei para área de Biologia aplicada à Educação de metodologias da Educação pré-escolar e Ensino de Ciências, onde trabalhei por dezoito meses até decidir buscar novos caminhos, tentar concurso público e continuidade dos estudos. Por essa razão, eu e minha família nos mudamos para o Estado do Tocantins, em 1997, com a expectativa de obter melhores condições de trabalho e tentar fazer a pós- graduação stricto sensu.</w:t>
      </w:r>
    </w:p>
    <w:p>
      <w:pPr>
        <w:pStyle w:val="BodyText"/>
        <w:rPr>
          <w:sz w:val="20"/>
        </w:rPr>
      </w:pPr>
    </w:p>
    <w:p>
      <w:pPr>
        <w:pStyle w:val="BodyText"/>
        <w:spacing w:before="7"/>
        <w:rPr>
          <w:sz w:val="12"/>
        </w:rPr>
      </w:pPr>
      <w:r>
        <w:rPr/>
        <w:pict>
          <v:line style="position:absolute;mso-position-horizontal-relative:page;mso-position-vertical-relative:paragraph;z-index:1192;mso-wrap-distance-left:0;mso-wrap-distance-right:0" from="99.407997pt,9.580047pt" to="243.457997pt,9.580047pt" stroked="true" strokeweight=".71997pt" strokecolor="#000000">
            <v:stroke dashstyle="solid"/>
            <w10:wrap type="topAndBottom"/>
          </v:line>
        </w:pict>
      </w:r>
    </w:p>
    <w:p>
      <w:pPr>
        <w:spacing w:before="36"/>
        <w:ind w:left="308" w:right="0" w:firstLine="0"/>
        <w:jc w:val="left"/>
        <w:rPr>
          <w:sz w:val="20"/>
        </w:rPr>
      </w:pPr>
      <w:r>
        <w:rPr>
          <w:position w:val="10"/>
          <w:sz w:val="13"/>
        </w:rPr>
        <w:t>3  </w:t>
      </w:r>
      <w:r>
        <w:rPr>
          <w:sz w:val="20"/>
        </w:rPr>
        <w:t>Trabalho não publicado.</w:t>
      </w:r>
    </w:p>
    <w:p>
      <w:pPr>
        <w:spacing w:after="0"/>
        <w:jc w:val="left"/>
        <w:rPr>
          <w:sz w:val="20"/>
        </w:rPr>
        <w:sectPr>
          <w:pgSz w:w="11910" w:h="16840"/>
          <w:pgMar w:header="1133" w:footer="0" w:top="1340" w:bottom="280" w:left="1680" w:right="1000"/>
        </w:sectPr>
      </w:pPr>
    </w:p>
    <w:p>
      <w:pPr>
        <w:pStyle w:val="BodyText"/>
        <w:spacing w:before="10"/>
        <w:rPr>
          <w:sz w:val="20"/>
        </w:rPr>
      </w:pPr>
    </w:p>
    <w:p>
      <w:pPr>
        <w:pStyle w:val="Heading3"/>
        <w:numPr>
          <w:ilvl w:val="2"/>
          <w:numId w:val="5"/>
        </w:numPr>
        <w:tabs>
          <w:tab w:pos="912" w:val="left" w:leader="none"/>
        </w:tabs>
        <w:spacing w:line="240" w:lineRule="auto" w:before="92" w:after="0"/>
        <w:ind w:left="911" w:right="0" w:hanging="603"/>
        <w:jc w:val="both"/>
      </w:pPr>
      <w:bookmarkStart w:name="_TOC_250014" w:id="3"/>
      <w:r>
        <w:rPr/>
        <w:t>A docência no Estado do</w:t>
      </w:r>
      <w:r>
        <w:rPr>
          <w:spacing w:val="-21"/>
        </w:rPr>
        <w:t> </w:t>
      </w:r>
      <w:bookmarkEnd w:id="3"/>
      <w:r>
        <w:rPr/>
        <w:t>Tocantins</w:t>
      </w:r>
    </w:p>
    <w:p>
      <w:pPr>
        <w:pStyle w:val="BodyText"/>
        <w:rPr>
          <w:b/>
          <w:sz w:val="26"/>
        </w:rPr>
      </w:pPr>
    </w:p>
    <w:p>
      <w:pPr>
        <w:pStyle w:val="BodyText"/>
        <w:rPr>
          <w:b/>
          <w:sz w:val="26"/>
        </w:rPr>
      </w:pPr>
    </w:p>
    <w:p>
      <w:pPr>
        <w:pStyle w:val="BodyText"/>
        <w:spacing w:before="6"/>
        <w:rPr>
          <w:b/>
          <w:sz w:val="32"/>
        </w:rPr>
      </w:pPr>
    </w:p>
    <w:p>
      <w:pPr>
        <w:pStyle w:val="BodyText"/>
        <w:spacing w:line="357" w:lineRule="auto"/>
        <w:ind w:left="308" w:right="105" w:firstLine="705"/>
        <w:jc w:val="both"/>
      </w:pPr>
      <w:r>
        <w:rPr/>
        <w:t>No estado do Tocantins residi nos municípios de Paraíso do Tocantins, Palmas e nos últimos quinze anos mantenho residência em Gurupi. Nesse percurso tive experiência profissional na rede de ensino municipal de Palmas, na rede ensino estadual em Gurupi e em três instituições de ensino superior: inicialmente na Fundação Educacional de Paraíso do Tocantins (FEPAR/ FECIPAR), via seleção, para as áreas de Metodologias da Educação Infantil e Ciências, na Fundação Educacional de Gurupi (FEG/ FAFICH),</w:t>
      </w:r>
      <w:r>
        <w:rPr>
          <w:position w:val="11"/>
          <w:sz w:val="16"/>
        </w:rPr>
        <w:t>4 </w:t>
      </w:r>
      <w:r>
        <w:rPr/>
        <w:t>e no Instituto Federal de Educação, Ciência e Tecnologia (IFTO), Campus Gurupi. Esses dois últimos por concursos públicos e com os quais mantenho vínculos até o momento presente.</w:t>
      </w:r>
    </w:p>
    <w:p>
      <w:pPr>
        <w:pStyle w:val="BodyText"/>
        <w:spacing w:line="352" w:lineRule="auto" w:before="9"/>
        <w:ind w:left="308" w:right="105" w:firstLine="705"/>
        <w:jc w:val="both"/>
      </w:pPr>
      <w:r>
        <w:rPr/>
        <w:t>Em Palmas participei de trabalho como a implantação do Projeto Fundo Escola e do Plano de Desenvolvimento da Escola – PDE</w:t>
      </w:r>
      <w:r>
        <w:rPr>
          <w:position w:val="11"/>
          <w:sz w:val="16"/>
        </w:rPr>
        <w:t>5</w:t>
      </w:r>
      <w:r>
        <w:rPr/>
        <w:t>, do governo federal nas escolas dos municípios de Palmas – Zona de Atendimento Prioritário I, Pedro Afonso, Porto Nacional e Silvanópolis – Zona de Atendimento  Prioritário II. Foi uma    experiência   muito   rica   e   gratificante   porque   pude   ampliar       meus</w:t>
      </w:r>
    </w:p>
    <w:p>
      <w:pPr>
        <w:pStyle w:val="BodyText"/>
        <w:spacing w:line="360" w:lineRule="auto" w:before="10"/>
        <w:ind w:left="308" w:right="111"/>
        <w:jc w:val="both"/>
      </w:pPr>
      <w:r>
        <w:rPr/>
        <w:t>conhecimentos na área de política educacional, planejamento estratégico e desenvolvimento de projetos setoriais, participando das capacitações do  programa e auxiliando as escolas na realização do PDEs que priorizassem ações integradas e práticas interdisciplinares cujas discussões foram publicadas em duas matérias no Informativo FUNDESCOLA intituladas: “Escola Interdisciplinar: a construção de novas  estruturas” e  “A criança  como  sujeito  da  aprendizagem:  a  construção  de  </w:t>
      </w:r>
      <w:r>
        <w:rPr>
          <w:spacing w:val="-3"/>
        </w:rPr>
        <w:t>uma  </w:t>
      </w:r>
      <w:r>
        <w:rPr/>
        <w:t>realidade  que  ainda  não</w:t>
      </w:r>
      <w:r>
        <w:rPr>
          <w:spacing w:val="-12"/>
        </w:rPr>
        <w:t> </w:t>
      </w:r>
      <w:r>
        <w:rPr/>
        <w:t>existe”.</w:t>
      </w:r>
    </w:p>
    <w:p>
      <w:pPr>
        <w:pStyle w:val="BodyText"/>
        <w:spacing w:line="360" w:lineRule="auto" w:before="2"/>
        <w:ind w:left="308" w:right="104" w:firstLine="705"/>
        <w:jc w:val="both"/>
      </w:pPr>
      <w:r>
        <w:rPr/>
        <w:t>No ensino superior, atuando como docente, tenho como compromisso metodológico oportunizar aos meus alunos situações de aprendizagem com as quais eles possam desenvolver atividades que aproximem os conceitos trabalhados  do cotidiano  deles,  por  meio  da  prática de projetos,  trabalho  com</w:t>
      </w:r>
    </w:p>
    <w:p>
      <w:pPr>
        <w:pStyle w:val="BodyText"/>
        <w:spacing w:before="6"/>
        <w:rPr>
          <w:sz w:val="20"/>
        </w:rPr>
      </w:pPr>
      <w:r>
        <w:rPr/>
        <w:pict>
          <v:line style="position:absolute;mso-position-horizontal-relative:page;mso-position-vertical-relative:paragraph;z-index:1216;mso-wrap-distance-left:0;mso-wrap-distance-right:0" from="99.407997pt,14.140261pt" to="243.457997pt,14.140261pt" stroked="true" strokeweight=".71997pt" strokecolor="#000000">
            <v:stroke dashstyle="solid"/>
            <w10:wrap type="topAndBottom"/>
          </v:line>
        </w:pict>
      </w:r>
    </w:p>
    <w:p>
      <w:pPr>
        <w:spacing w:line="248" w:lineRule="exact" w:before="36"/>
        <w:ind w:left="308" w:right="0" w:firstLine="0"/>
        <w:jc w:val="left"/>
        <w:rPr>
          <w:sz w:val="20"/>
        </w:rPr>
      </w:pPr>
      <w:r>
        <w:rPr>
          <w:position w:val="10"/>
          <w:sz w:val="13"/>
        </w:rPr>
        <w:t>4  </w:t>
      </w:r>
      <w:r>
        <w:rPr>
          <w:sz w:val="20"/>
        </w:rPr>
        <w:t>Atual Fundação e Centro Universitário UnirG.</w:t>
      </w:r>
    </w:p>
    <w:p>
      <w:pPr>
        <w:spacing w:line="230" w:lineRule="exact" w:before="20"/>
        <w:ind w:left="452" w:right="102" w:hanging="145"/>
        <w:jc w:val="both"/>
        <w:rPr>
          <w:sz w:val="20"/>
        </w:rPr>
      </w:pPr>
      <w:r>
        <w:rPr>
          <w:position w:val="10"/>
          <w:sz w:val="13"/>
        </w:rPr>
        <w:t>5 </w:t>
      </w:r>
      <w:r>
        <w:rPr>
          <w:sz w:val="20"/>
        </w:rPr>
        <w:t>Programas do Governo Federal desenvolvidos, a partir de 1998, nas regiões Norte e Nordeste como áreas prioritárias para aplicação de recursos emergências na educação em razão do alto índice de analfabetismo e condições precárias do ensino existente. Os programas previam aplicação do dinheiro direto na escola por meio do planejamento estratégico nas áreas de melhoria do ensino na zona urbana e rural (PDE e Escola Ativa) e Adequação de prédios escolares.</w:t>
      </w:r>
    </w:p>
    <w:p>
      <w:pPr>
        <w:spacing w:after="0" w:line="230" w:lineRule="exact"/>
        <w:jc w:val="both"/>
        <w:rPr>
          <w:sz w:val="20"/>
        </w:rPr>
        <w:sectPr>
          <w:pgSz w:w="11910" w:h="16840"/>
          <w:pgMar w:header="1133" w:footer="0" w:top="1340" w:bottom="280" w:left="1680" w:right="1020"/>
        </w:sectPr>
      </w:pPr>
    </w:p>
    <w:p>
      <w:pPr>
        <w:pStyle w:val="BodyText"/>
        <w:spacing w:before="3"/>
        <w:rPr>
          <w:sz w:val="21"/>
        </w:rPr>
      </w:pPr>
    </w:p>
    <w:p>
      <w:pPr>
        <w:pStyle w:val="BodyText"/>
        <w:spacing w:line="362" w:lineRule="auto" w:before="92"/>
        <w:ind w:left="308" w:right="104"/>
        <w:jc w:val="both"/>
      </w:pPr>
      <w:r>
        <w:rPr/>
        <w:t>tema gerador, técnicas de estudo do meio, realização de trilhas e caminhadas ecológicas, visitas programadas, mapa conceitual, produção de textos e materiais pedagógicos.</w:t>
      </w:r>
    </w:p>
    <w:p>
      <w:pPr>
        <w:pStyle w:val="BodyText"/>
        <w:spacing w:line="360" w:lineRule="auto"/>
        <w:ind w:left="308" w:right="105" w:firstLine="705"/>
        <w:jc w:val="both"/>
      </w:pPr>
      <w:r>
        <w:rPr/>
        <w:t>Dessas experiências, em parceria com outros professores, em 1999 levei uma turma de alunos da FECIPAR para socialização de experiências na </w:t>
      </w:r>
      <w:r>
        <w:rPr>
          <w:b/>
        </w:rPr>
        <w:t>Fundação Centro de Referência em Educação Ambiental Escola Bosque Professor Eidorfe Moreira - </w:t>
      </w:r>
      <w:r>
        <w:rPr/>
        <w:t>Escola Bosque (FUNBOSQUE), que fica na ilha de Caratateua, distrito de Outeiro, em Belém-PA. Esta instituição tem como proposta pedagógica a prática interdisciplinar, alicerçada no tripé ensino, pesquisa e extensão, com foco na formação sócio ambiental e na afirmação da cidadania a partir da preocupação com problemas globais e cotidianos resultantes da ação predatória do homem.</w:t>
      </w:r>
    </w:p>
    <w:p>
      <w:pPr>
        <w:pStyle w:val="BodyText"/>
        <w:spacing w:line="360" w:lineRule="auto" w:before="3"/>
        <w:ind w:left="308" w:right="101" w:firstLine="705"/>
        <w:jc w:val="both"/>
      </w:pPr>
      <w:r>
        <w:rPr/>
        <w:t>E ainda, no trabalho com a metodologia de projetos orientei os alunos do curso de pedagogia da FAFICH numa trilha ecológica </w:t>
      </w:r>
      <w:r>
        <w:rPr>
          <w:spacing w:val="4"/>
        </w:rPr>
        <w:t>nas </w:t>
      </w:r>
      <w:r>
        <w:rPr/>
        <w:t>áreas de preservação ambiental no circuito das cachoeiras em Carolina no Maranhão, também organizei e ajudei a realizar três Mostras de Educação Infantil na </w:t>
      </w:r>
      <w:r>
        <w:rPr>
          <w:spacing w:val="-3"/>
        </w:rPr>
        <w:t>mesma </w:t>
      </w:r>
      <w:r>
        <w:rPr/>
        <w:t>instituição, e posteriormente publicar seus resultados nos congressos científicos da FAFICH,  no Fórum Mundial de Educação em Porto Alegre em 2002, intitulado “A  Pedagogia de projetos no Curso de Pedagogia da</w:t>
      </w:r>
      <w:r>
        <w:rPr>
          <w:spacing w:val="-24"/>
        </w:rPr>
        <w:t> </w:t>
      </w:r>
      <w:r>
        <w:rPr/>
        <w:t>FAFICH”.</w:t>
      </w:r>
    </w:p>
    <w:p>
      <w:pPr>
        <w:pStyle w:val="BodyText"/>
        <w:spacing w:line="360" w:lineRule="auto" w:before="2"/>
        <w:ind w:left="308" w:right="99" w:firstLine="710"/>
        <w:jc w:val="both"/>
      </w:pPr>
      <w:r>
        <w:rPr/>
        <w:t>Contribuíram também para </w:t>
      </w:r>
      <w:r>
        <w:rPr>
          <w:spacing w:val="-3"/>
        </w:rPr>
        <w:t>meu </w:t>
      </w:r>
      <w:r>
        <w:rPr/>
        <w:t>processo de formação, as experiências em atividades como coordenação de curso, realização de palestras, minicursos, oficinas e assessorias pedagógicas. Essas experiências colaboraram de forma singular com minha maturidade profissional, porque discutiam propostas de  ensino diferenciadas e mais integradoras, dentre eles cito: “Planejamento Pedagógico da Educação Infantil do Município de Formoso do Araguaia - TO </w:t>
      </w:r>
      <w:r>
        <w:rPr>
          <w:spacing w:val="2"/>
        </w:rPr>
        <w:t>em </w:t>
      </w:r>
      <w:r>
        <w:rPr/>
        <w:t>2005”, “Planejamento estratégico da rede de ensino de Paraíso do Tocantins em 2007”, participação na elaboração do “Material Didático de formação sócio educativa da Multiplicadora e do Multiplicador Saúde, Higiene e Agrotóxicos do Projeto ENERPEIXE </w:t>
      </w:r>
      <w:r>
        <w:rPr>
          <w:spacing w:val="2"/>
        </w:rPr>
        <w:t>em </w:t>
      </w:r>
      <w:r>
        <w:rPr/>
        <w:t>2007” e o “Planejamento  pedagógico  interdisciplinar para o ensino da educação infantil  em  Gurupi,”  em  2008.  Foram  oportunidades, por meio das quais fui inserindo-me na perspectiva de consolidar o currículo para seleção de um mestrado em</w:t>
      </w:r>
      <w:r>
        <w:rPr>
          <w:spacing w:val="-21"/>
        </w:rPr>
        <w:t> </w:t>
      </w:r>
      <w:r>
        <w:rPr/>
        <w:t>educação.</w:t>
      </w:r>
    </w:p>
    <w:p>
      <w:pPr>
        <w:pStyle w:val="BodyText"/>
        <w:spacing w:line="360" w:lineRule="auto" w:before="2"/>
        <w:ind w:left="308" w:right="116" w:firstLine="705"/>
        <w:jc w:val="both"/>
      </w:pPr>
      <w:r>
        <w:rPr/>
        <w:t>À frente da coordenação do curso de Pedagogia do Centro Universitário UnirG vivenciei o início da crise por demanda que atingiu os cursos de   formação</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right="110"/>
        <w:jc w:val="both"/>
      </w:pPr>
      <w:r>
        <w:rPr/>
        <w:t>de professores, resultante, em parte, de uma política de aligeiramento e desvalorização do magistério, associada a institucionalização do curso Normal Superior</w:t>
      </w:r>
      <w:r>
        <w:rPr>
          <w:spacing w:val="57"/>
        </w:rPr>
        <w:t> </w:t>
      </w:r>
      <w:r>
        <w:rPr/>
        <w:t>(KUENZER,1999),</w:t>
      </w:r>
      <w:r>
        <w:rPr>
          <w:spacing w:val="55"/>
        </w:rPr>
        <w:t> </w:t>
      </w:r>
      <w:r>
        <w:rPr/>
        <w:t>(PEREZ</w:t>
      </w:r>
      <w:r>
        <w:rPr>
          <w:spacing w:val="57"/>
        </w:rPr>
        <w:t> </w:t>
      </w:r>
      <w:r>
        <w:rPr/>
        <w:t>GOMEZ,</w:t>
      </w:r>
      <w:r>
        <w:rPr>
          <w:spacing w:val="55"/>
        </w:rPr>
        <w:t> </w:t>
      </w:r>
      <w:r>
        <w:rPr/>
        <w:t>1998)</w:t>
      </w:r>
      <w:r>
        <w:rPr>
          <w:spacing w:val="56"/>
        </w:rPr>
        <w:t> </w:t>
      </w:r>
      <w:r>
        <w:rPr/>
        <w:t>e</w:t>
      </w:r>
      <w:r>
        <w:rPr>
          <w:spacing w:val="55"/>
        </w:rPr>
        <w:t> </w:t>
      </w:r>
      <w:r>
        <w:rPr/>
        <w:t>(GATTI,</w:t>
      </w:r>
      <w:r>
        <w:rPr>
          <w:spacing w:val="55"/>
        </w:rPr>
        <w:t> </w:t>
      </w:r>
      <w:r>
        <w:rPr/>
        <w:t>2009).</w:t>
      </w:r>
      <w:r>
        <w:rPr>
          <w:spacing w:val="55"/>
        </w:rPr>
        <w:t> </w:t>
      </w:r>
      <w:r>
        <w:rPr/>
        <w:t>A</w:t>
      </w:r>
      <w:r>
        <w:rPr>
          <w:spacing w:val="53"/>
        </w:rPr>
        <w:t> </w:t>
      </w:r>
      <w:r>
        <w:rPr/>
        <w:t>crise</w:t>
      </w:r>
    </w:p>
    <w:p>
      <w:pPr>
        <w:pStyle w:val="BodyText"/>
        <w:spacing w:line="348" w:lineRule="auto"/>
        <w:ind w:left="308" w:right="106"/>
        <w:jc w:val="both"/>
      </w:pPr>
      <w:r>
        <w:rPr/>
        <w:t>culminou com o fechamento de muitos cursos de pedagogia no estado, bem como a redução de demandas dos cursos que conseguiram sobreviver,  como acontecem ainda hoje a despeito das políticas de valorização do professor, implementadas pelo governo federal com programa como o </w:t>
      </w:r>
      <w:r>
        <w:rPr>
          <w:spacing w:val="2"/>
        </w:rPr>
        <w:t>PIBID</w:t>
      </w:r>
      <w:r>
        <w:rPr>
          <w:spacing w:val="2"/>
          <w:position w:val="11"/>
          <w:sz w:val="16"/>
        </w:rPr>
        <w:t>6 </w:t>
      </w:r>
      <w:r>
        <w:rPr/>
        <w:t>e aprovação  do novo Plano Nacional de Educação – PNE</w:t>
      </w:r>
      <w:r>
        <w:rPr>
          <w:position w:val="11"/>
          <w:sz w:val="16"/>
        </w:rPr>
        <w:t>7</w:t>
      </w:r>
      <w:r>
        <w:rPr/>
        <w:t>, que preveem melhorias, em longo prazo, da carreira</w:t>
      </w:r>
      <w:r>
        <w:rPr>
          <w:spacing w:val="-13"/>
        </w:rPr>
        <w:t> </w:t>
      </w:r>
      <w:r>
        <w:rPr/>
        <w:t>docente.</w:t>
      </w:r>
    </w:p>
    <w:p>
      <w:pPr>
        <w:pStyle w:val="BodyText"/>
        <w:spacing w:line="360" w:lineRule="auto" w:before="21"/>
        <w:ind w:left="308" w:right="101" w:firstLine="705"/>
        <w:jc w:val="both"/>
      </w:pPr>
      <w:r>
        <w:rPr/>
        <w:t>No sentido de buscar alternativas para a crise do Curso de pedagogia, articulei junto à gestão superior e aos coordenadores dos demais cursos de licenciatura do Centro Universitário UnirG, um encontro de coordenadores dos cursos de Licenciatura do estado, com tema “A crise da docência e os problemas de procura e demanda nos cursos de licenciatura”, idealizado pelo curso de Pedagogia/UnirG e realizado pela integração dos cursos de licenciaturas do Centro Universitário UNIRG. Assim foi possível, no dia 19 de abril de 2010, em Gurupi, reunir os coordenadores e representantes dos cursos de Licenciatura da UnirG, dos cursos da Faculdade de Guaraí (FAG), da Faculdade Integrada de Ensino Superior de Colinas (FIESC), Faculdade de Educação, Ciência e Letras de Paraíso (FECIPAR), Universidade Federal do Tocantins, campus de Araguaína (UFT), cujo objetivo era compreender e diagnosticar a crise em cada realidade representada e definir estratégias comuns de atuação de modo que pudessem provocar integração internas entre os cursos de licenciatura da mesma instituição, e políticas externas entre cursos de licenciaturas  de instituições diferentes.</w:t>
      </w:r>
    </w:p>
    <w:p>
      <w:pPr>
        <w:pStyle w:val="BodyText"/>
        <w:spacing w:line="355" w:lineRule="auto" w:before="2"/>
        <w:ind w:left="308" w:right="108" w:firstLine="705"/>
        <w:jc w:val="both"/>
      </w:pPr>
      <w:r>
        <w:rPr/>
        <w:t>Essa articulação, após dois meses, realizou um segundo encontro, sediado pela Universidade Luterana do Brasil - ULBRA, em Palmas, e posteriormente, gerou o Relatório do Encontro das Licenciaturas do Estado do Tocantins</w:t>
      </w:r>
      <w:r>
        <w:rPr>
          <w:position w:val="11"/>
          <w:sz w:val="16"/>
        </w:rPr>
        <w:t>8 </w:t>
      </w:r>
      <w:r>
        <w:rPr/>
        <w:t>em que foram mapeados problemas locais, regionais, estaduais e nacionais e estabelecidas estratégias individuais, coletivas de atuação a partir dessas constatações. A terceira reunião aconteceria na cidade de Paraíso do Tocantins, sediada  pela  FECIPAR,  mas  foi  cancelada  e  não  foi  retomada.  O    relatório</w:t>
      </w:r>
    </w:p>
    <w:p>
      <w:pPr>
        <w:pStyle w:val="BodyText"/>
        <w:spacing w:before="11"/>
        <w:rPr>
          <w:sz w:val="28"/>
        </w:rPr>
      </w:pPr>
      <w:r>
        <w:rPr/>
        <w:pict>
          <v:line style="position:absolute;mso-position-horizontal-relative:page;mso-position-vertical-relative:paragraph;z-index:1240;mso-wrap-distance-left:0;mso-wrap-distance-right:0" from="99.407997pt,18.988474pt" to="243.457997pt,18.988474pt" stroked="true" strokeweight=".71997pt" strokecolor="#000000">
            <v:stroke dashstyle="solid"/>
            <w10:wrap type="topAndBottom"/>
          </v:line>
        </w:pict>
      </w:r>
    </w:p>
    <w:p>
      <w:pPr>
        <w:spacing w:line="247" w:lineRule="exact" w:before="36"/>
        <w:ind w:left="308" w:right="0" w:firstLine="0"/>
        <w:jc w:val="left"/>
        <w:rPr>
          <w:sz w:val="20"/>
        </w:rPr>
      </w:pPr>
      <w:r>
        <w:rPr>
          <w:position w:val="10"/>
          <w:sz w:val="13"/>
        </w:rPr>
        <w:t>6  </w:t>
      </w:r>
      <w:r>
        <w:rPr>
          <w:sz w:val="20"/>
        </w:rPr>
        <w:t>Programa Institucional de Bolsa a Iniciação a Docência.</w:t>
      </w:r>
    </w:p>
    <w:p>
      <w:pPr>
        <w:spacing w:line="230" w:lineRule="exact" w:before="0"/>
        <w:ind w:left="308" w:right="0" w:firstLine="0"/>
        <w:jc w:val="left"/>
        <w:rPr>
          <w:sz w:val="20"/>
        </w:rPr>
      </w:pPr>
      <w:r>
        <w:rPr>
          <w:position w:val="10"/>
          <w:sz w:val="13"/>
        </w:rPr>
        <w:t>7  </w:t>
      </w:r>
      <w:r>
        <w:rPr>
          <w:sz w:val="20"/>
        </w:rPr>
        <w:t>Lei  nº 13.005, de 25 junho de 2014.</w:t>
      </w:r>
    </w:p>
    <w:p>
      <w:pPr>
        <w:spacing w:line="247" w:lineRule="exact" w:before="0"/>
        <w:ind w:left="308" w:right="0" w:firstLine="0"/>
        <w:jc w:val="left"/>
        <w:rPr>
          <w:sz w:val="20"/>
        </w:rPr>
      </w:pPr>
      <w:r>
        <w:rPr>
          <w:position w:val="10"/>
          <w:sz w:val="13"/>
        </w:rPr>
        <w:t>8  </w:t>
      </w:r>
      <w:r>
        <w:rPr>
          <w:sz w:val="20"/>
        </w:rPr>
        <w:t>Documento não publicado.</w:t>
      </w:r>
    </w:p>
    <w:p>
      <w:pPr>
        <w:spacing w:after="0" w:line="247" w:lineRule="exact"/>
        <w:jc w:val="left"/>
        <w:rPr>
          <w:sz w:val="20"/>
        </w:rPr>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8"/>
        <w:jc w:val="both"/>
      </w:pPr>
      <w:r>
        <w:rPr/>
        <w:t>consolidado foi encaminhado para as instituições participantes e recentemente, em 2013 foi utilizado pela Pró-Reitoria de Graduação e extensão - PGRAD </w:t>
      </w:r>
      <w:r>
        <w:rPr>
          <w:spacing w:val="2"/>
        </w:rPr>
        <w:t>do </w:t>
      </w:r>
      <w:r>
        <w:rPr/>
        <w:t>Centro Universitário UnirG para subsidiar a proposta de criação da área da educação, que pretende integração e cooperação entre os cursos de licenciaturas da</w:t>
      </w:r>
      <w:r>
        <w:rPr>
          <w:spacing w:val="-1"/>
        </w:rPr>
        <w:t> </w:t>
      </w:r>
      <w:r>
        <w:rPr/>
        <w:t>instituição.</w:t>
      </w:r>
    </w:p>
    <w:p>
      <w:pPr>
        <w:pStyle w:val="BodyText"/>
        <w:spacing w:line="360" w:lineRule="auto" w:before="7"/>
        <w:ind w:left="308" w:right="98" w:firstLine="705"/>
        <w:jc w:val="both"/>
      </w:pPr>
      <w:r>
        <w:rPr/>
        <w:t>Na construção desse caminho parei, por muitas vezes, para o enfretamento de problemas de diversas ordens, dentre os quais cito aqueles relacionados à política educacional, considerando que algumas instituições com as quais eu mantive vínculos não possuíam políticas de qualificação para professores, a saber: havia ausência de Programas de stricto sensu nas instituições locais que ainda estavam se consolidando, conforme apontam Pinho (2007 e 2010) e Rocha (2008) ao tratarem da trajetória das políticas de formação de professores no então jovem estado do Tocantins; os problemas de ordem financeira que implicavam </w:t>
      </w:r>
      <w:r>
        <w:rPr>
          <w:spacing w:val="5"/>
        </w:rPr>
        <w:t>em </w:t>
      </w:r>
      <w:r>
        <w:rPr/>
        <w:t>medidas que acolhessem as minhas necessidades estudantis e também as do </w:t>
      </w:r>
      <w:r>
        <w:rPr>
          <w:spacing w:val="-3"/>
        </w:rPr>
        <w:t>meu </w:t>
      </w:r>
      <w:r>
        <w:rPr/>
        <w:t>esposo; e alguns problemas de saúde que abrangeram a minha família por um período de seis</w:t>
      </w:r>
      <w:r>
        <w:rPr>
          <w:spacing w:val="-8"/>
        </w:rPr>
        <w:t> </w:t>
      </w:r>
      <w:r>
        <w:rPr/>
        <w:t>anos.</w:t>
      </w:r>
    </w:p>
    <w:p>
      <w:pPr>
        <w:pStyle w:val="BodyText"/>
        <w:spacing w:line="360" w:lineRule="auto" w:before="2"/>
        <w:ind w:left="308" w:right="108" w:firstLine="710"/>
        <w:jc w:val="both"/>
      </w:pPr>
      <w:r>
        <w:rPr/>
        <w:t>Assim, em 2012 quando a Universidade Federal do Tocantins (UFT) publicou o edital do Programa de Pós Graduação em Educação (PPGE) para o curso de mestrado em educação no estado do Tocantins, surgiu assim, uma oportunidade com a qual sonhei durante muito tempo e para a qual eu vinha construindo minhas referências formativas.</w:t>
      </w:r>
    </w:p>
    <w:p>
      <w:pPr>
        <w:pStyle w:val="BodyText"/>
        <w:spacing w:line="360" w:lineRule="auto" w:before="2"/>
        <w:ind w:left="308" w:right="109" w:firstLine="710"/>
        <w:jc w:val="both"/>
      </w:pPr>
      <w:r>
        <w:rPr/>
        <w:t>A pesquisa sobre escolas criativas tem como fio condutor essa construção de vinte nove anos de experiência como professora da Educação Básica e do Ensino Superior, e nesse aspecto trouxe </w:t>
      </w:r>
      <w:r>
        <w:rPr>
          <w:spacing w:val="-3"/>
        </w:rPr>
        <w:t>uma </w:t>
      </w:r>
      <w:r>
        <w:rPr/>
        <w:t>contribuição singular às minhas inquietações sobre as escolhas metodológicas que fiz ao ensinar e se elas provocavam nos meus alunos mudanças na forma de pensar o ensino; se ressignifico os conteúdos, se as práticas pedagógicas utilizadas tornavam a aprendizagem mais significativa, </w:t>
      </w:r>
      <w:r>
        <w:rPr>
          <w:spacing w:val="-3"/>
        </w:rPr>
        <w:t>mesmo </w:t>
      </w:r>
      <w:r>
        <w:rPr/>
        <w:t>consciente de que a formação docente se dá a partir de um conjunto de referências e que o saber docente se constitui de forma plural, que é preciso, como diz Tardif, “situar o professor na interface entre  o individual e o social, entre o ator e o sistema, a fim de captar a sua natureza social como um todo”. (TARDIF, 2002, p.</w:t>
      </w:r>
      <w:r>
        <w:rPr>
          <w:spacing w:val="-16"/>
        </w:rPr>
        <w:t> </w:t>
      </w:r>
      <w:r>
        <w:rPr/>
        <w:t>16).</w:t>
      </w:r>
    </w:p>
    <w:p>
      <w:pPr>
        <w:pStyle w:val="BodyText"/>
        <w:spacing w:line="360" w:lineRule="auto" w:before="2"/>
        <w:ind w:left="308" w:right="103" w:firstLine="710"/>
        <w:jc w:val="both"/>
      </w:pPr>
      <w:r>
        <w:rPr/>
        <w:t>A experiência da pesquisa também provocou a necessidade de estabelecer múltiplos olhares para o interior  da escola e tentar  compreender  não  o que   ela</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11"/>
        <w:jc w:val="both"/>
      </w:pPr>
      <w:r>
        <w:rPr/>
        <w:t>não faz, </w:t>
      </w:r>
      <w:r>
        <w:rPr>
          <w:spacing w:val="-3"/>
        </w:rPr>
        <w:t>mas </w:t>
      </w:r>
      <w:r>
        <w:rPr/>
        <w:t>o que ela de fato faz e como faz. Assim como o que essas práticas dizem a respeito da escola e de sua comunidade; também fortaleceu em mim a vontade de rever minhas práticas, melhorar as minhas relações, dar mais sentido e significado ao </w:t>
      </w:r>
      <w:r>
        <w:rPr>
          <w:spacing w:val="-3"/>
        </w:rPr>
        <w:t>meu </w:t>
      </w:r>
      <w:r>
        <w:rPr/>
        <w:t>fazer docente e ser mais relevante para com os meus alunos; da </w:t>
      </w:r>
      <w:r>
        <w:rPr>
          <w:spacing w:val="-3"/>
        </w:rPr>
        <w:t>mesma </w:t>
      </w:r>
      <w:r>
        <w:rPr/>
        <w:t>forma provocou outras inquietações, apontando que esse novo caminhar está apenas começando, como no dizer de Clarice Lispector, “sou aprendiz da vida e estou em construção, e nesse percurso </w:t>
      </w:r>
      <w:r>
        <w:rPr>
          <w:spacing w:val="-4"/>
        </w:rPr>
        <w:t>me </w:t>
      </w:r>
      <w:r>
        <w:rPr/>
        <w:t>permito ter medos bobos, coragens absurdas e ousadias</w:t>
      </w:r>
      <w:r>
        <w:rPr>
          <w:spacing w:val="-25"/>
        </w:rPr>
        <w:t> </w:t>
      </w:r>
      <w:r>
        <w:rPr/>
        <w:t>infinitas”.</w:t>
      </w:r>
    </w:p>
    <w:p>
      <w:pPr>
        <w:pStyle w:val="BodyText"/>
        <w:rPr>
          <w:sz w:val="26"/>
        </w:rPr>
      </w:pPr>
    </w:p>
    <w:p>
      <w:pPr>
        <w:pStyle w:val="BodyText"/>
        <w:rPr>
          <w:sz w:val="26"/>
        </w:rPr>
      </w:pPr>
    </w:p>
    <w:p>
      <w:pPr>
        <w:pStyle w:val="BodyText"/>
        <w:spacing w:before="5"/>
        <w:rPr>
          <w:sz w:val="20"/>
        </w:rPr>
      </w:pPr>
    </w:p>
    <w:p>
      <w:pPr>
        <w:pStyle w:val="ListParagraph"/>
        <w:numPr>
          <w:ilvl w:val="1"/>
          <w:numId w:val="5"/>
        </w:numPr>
        <w:tabs>
          <w:tab w:pos="711" w:val="left" w:leader="none"/>
        </w:tabs>
        <w:spacing w:line="240" w:lineRule="auto" w:before="0" w:after="0"/>
        <w:ind w:left="710" w:right="0" w:hanging="402"/>
        <w:jc w:val="both"/>
        <w:rPr>
          <w:sz w:val="24"/>
        </w:rPr>
      </w:pPr>
      <w:r>
        <w:rPr>
          <w:sz w:val="24"/>
        </w:rPr>
        <w:t>A PROPOSTA DA</w:t>
      </w:r>
      <w:r>
        <w:rPr>
          <w:spacing w:val="-15"/>
          <w:sz w:val="24"/>
        </w:rPr>
        <w:t> </w:t>
      </w:r>
      <w:r>
        <w:rPr>
          <w:sz w:val="24"/>
        </w:rPr>
        <w:t>PESQUISA</w:t>
      </w:r>
    </w:p>
    <w:p>
      <w:pPr>
        <w:pStyle w:val="BodyText"/>
        <w:rPr>
          <w:sz w:val="26"/>
        </w:rPr>
      </w:pPr>
    </w:p>
    <w:p>
      <w:pPr>
        <w:pStyle w:val="BodyText"/>
        <w:rPr>
          <w:sz w:val="26"/>
        </w:rPr>
      </w:pPr>
    </w:p>
    <w:p>
      <w:pPr>
        <w:pStyle w:val="BodyText"/>
        <w:spacing w:before="3"/>
        <w:rPr>
          <w:sz w:val="23"/>
        </w:rPr>
      </w:pPr>
    </w:p>
    <w:p>
      <w:pPr>
        <w:pStyle w:val="BodyText"/>
        <w:spacing w:line="360" w:lineRule="auto"/>
        <w:ind w:left="308" w:right="100" w:firstLine="710"/>
        <w:jc w:val="both"/>
      </w:pPr>
      <w:r>
        <w:rPr/>
        <w:t>A escola enquanto instituição educacional configura-se como espaço privilegiado para construção e internalização de conceitos cotidianos, científicos e tecnológicos que proporcionam o desenvolvimento cultural e a produção social, portanto, lócus para o desenvolvimento de práticas criativas e inovadoras.</w:t>
      </w:r>
    </w:p>
    <w:p>
      <w:pPr>
        <w:pStyle w:val="BodyText"/>
        <w:spacing w:line="360" w:lineRule="auto" w:before="2"/>
        <w:ind w:left="308" w:right="107" w:firstLine="710"/>
        <w:jc w:val="both"/>
      </w:pPr>
      <w:r>
        <w:rPr/>
        <w:t>A criatividade e a inovação na prática educativa escolar podem ser compreendidas como reconhecimento de outras formas de produção de saberes, de valores humanos e sociais de convivência, de liberdade e criatividade, de competências para a vida, de iniciativa e capacidade empreendedora numa percepção integradora de totalidade do ser humano e da natureza.</w:t>
      </w:r>
    </w:p>
    <w:p>
      <w:pPr>
        <w:pStyle w:val="BodyText"/>
        <w:spacing w:line="360" w:lineRule="auto" w:before="7"/>
        <w:ind w:left="308" w:right="106" w:firstLine="705"/>
        <w:jc w:val="both"/>
      </w:pPr>
      <w:r>
        <w:rPr/>
        <w:t>Para Zwierewicz e Torre (2009), </w:t>
      </w:r>
      <w:r>
        <w:rPr>
          <w:spacing w:val="-3"/>
        </w:rPr>
        <w:t>uma </w:t>
      </w:r>
      <w:r>
        <w:rPr/>
        <w:t>escola criativa e  inovadora desenvolve potenciais criativos tanto nos professores quanto nos alunos por meio de práticas educativas que respeitam as iniciativas, fomentam o diálogo, incentivam atitudes colaborativas e buscam alternativas e soluções para os problemas gerados pelas demandas pessoais, sociais e ambientais deste início  de século.</w:t>
      </w:r>
    </w:p>
    <w:p>
      <w:pPr>
        <w:pStyle w:val="BodyText"/>
        <w:spacing w:line="360" w:lineRule="auto" w:before="2"/>
        <w:ind w:left="308" w:right="98" w:firstLine="710"/>
        <w:jc w:val="both"/>
      </w:pPr>
      <w:r>
        <w:rPr/>
        <w:t>As escolas criativas são “organizações ou instituições com finalidade educativa que aprende, transforma e inova” (TORRE, 2009, p.55) e nesse processo, estimula e reconhece os potenciais humanos por meio de situações de aprendizagem autônomas e inovadoras.</w:t>
      </w:r>
    </w:p>
    <w:p>
      <w:pPr>
        <w:pStyle w:val="BodyText"/>
        <w:spacing w:line="360" w:lineRule="auto" w:before="2"/>
        <w:ind w:left="308" w:right="108" w:firstLine="710"/>
        <w:jc w:val="both"/>
      </w:pPr>
      <w:r>
        <w:rPr/>
        <w:t>A presente pesquisa parte do entendimento de que a criatividade como potencial humano é de fundamental importância para a escola enquanto    agente</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1"/>
        <w:jc w:val="both"/>
      </w:pPr>
      <w:r>
        <w:rPr/>
        <w:t>social </w:t>
      </w:r>
      <w:r>
        <w:rPr>
          <w:spacing w:val="-3"/>
        </w:rPr>
        <w:t>uma </w:t>
      </w:r>
      <w:r>
        <w:rPr/>
        <w:t>vez que a prática educativa, </w:t>
      </w:r>
      <w:r>
        <w:rPr>
          <w:spacing w:val="-3"/>
        </w:rPr>
        <w:t>como </w:t>
      </w:r>
      <w:r>
        <w:rPr/>
        <w:t>prática social, não se dá de forma isolada, está inserida na prática social global que se referencia numa sociedade concreta e historicamente situada; a criatividade é um potencial humano gerador de novas ideias e propostas visando o bem institucional a partir de referenciais de bem estar individual e coletivo; e a inovação envolve ao </w:t>
      </w:r>
      <w:r>
        <w:rPr>
          <w:spacing w:val="-3"/>
        </w:rPr>
        <w:t>mesmo </w:t>
      </w:r>
      <w:r>
        <w:rPr/>
        <w:t>tempo ruptura  com a transmissão e reprodução do conhecimento e busca pela reconfiguração  de saberes, poderes, conhecimentos haja vista a inovação e criatividade estarem interligadas e serem interdependentes. (WECHSLER,</w:t>
      </w:r>
      <w:r>
        <w:rPr>
          <w:spacing w:val="-24"/>
        </w:rPr>
        <w:t> </w:t>
      </w:r>
      <w:r>
        <w:rPr/>
        <w:t>2011).</w:t>
      </w:r>
    </w:p>
    <w:p>
      <w:pPr>
        <w:pStyle w:val="BodyText"/>
        <w:spacing w:line="360" w:lineRule="auto" w:before="2"/>
        <w:ind w:left="308" w:right="105" w:firstLine="705"/>
        <w:jc w:val="both"/>
      </w:pPr>
      <w:r>
        <w:rPr/>
        <w:t>Nesse sentido, se propôs esse estudo, cuja problemática procurou investigar o que há de criativo e inovador na prática educativa da escola pública dos anos iniciais do ensino fundamental no município de Gurupi, estado do Tocantins, e para o qual foi estabelecido como objetivo geral: analisar a prática educativa da escola pública dos anos iniciais do ensino fundamental à luz dos referenciais teóricos que fundamentam a Escola Criativa.</w:t>
      </w:r>
    </w:p>
    <w:p>
      <w:pPr>
        <w:pStyle w:val="BodyText"/>
        <w:spacing w:line="360" w:lineRule="auto" w:before="3"/>
        <w:ind w:left="308" w:right="116" w:firstLine="705"/>
        <w:jc w:val="both"/>
      </w:pPr>
      <w:r>
        <w:rPr/>
        <w:t>Para alcançar esse objetivo proposto foi necessário delimitar os seguintes passos, os quais integram os objetivos específicos do presente estudo, a saber:</w:t>
      </w:r>
    </w:p>
    <w:p>
      <w:pPr>
        <w:pStyle w:val="ListParagraph"/>
        <w:numPr>
          <w:ilvl w:val="0"/>
          <w:numId w:val="6"/>
        </w:numPr>
        <w:tabs>
          <w:tab w:pos="3002" w:val="left" w:leader="none"/>
        </w:tabs>
        <w:spacing w:line="360" w:lineRule="auto" w:before="3" w:after="0"/>
        <w:ind w:left="3002" w:right="104" w:hanging="428"/>
        <w:jc w:val="both"/>
        <w:rPr>
          <w:sz w:val="24"/>
        </w:rPr>
      </w:pPr>
      <w:r>
        <w:rPr>
          <w:sz w:val="24"/>
        </w:rPr>
        <w:t>Situar a prática educativa e a escola dos anos iniciais do ensino fundamental no processo de transição do paradigma educacional conservador e dominante para o paradigma educacional</w:t>
      </w:r>
      <w:r>
        <w:rPr>
          <w:spacing w:val="-13"/>
          <w:sz w:val="24"/>
        </w:rPr>
        <w:t> </w:t>
      </w:r>
      <w:r>
        <w:rPr>
          <w:sz w:val="24"/>
        </w:rPr>
        <w:t>emergente;</w:t>
      </w:r>
    </w:p>
    <w:p>
      <w:pPr>
        <w:pStyle w:val="ListParagraph"/>
        <w:numPr>
          <w:ilvl w:val="0"/>
          <w:numId w:val="6"/>
        </w:numPr>
        <w:tabs>
          <w:tab w:pos="3002" w:val="left" w:leader="none"/>
        </w:tabs>
        <w:spacing w:line="360" w:lineRule="auto" w:before="3" w:after="0"/>
        <w:ind w:left="3002" w:right="98" w:hanging="428"/>
        <w:jc w:val="both"/>
        <w:rPr>
          <w:sz w:val="24"/>
        </w:rPr>
      </w:pPr>
      <w:r>
        <w:rPr>
          <w:sz w:val="24"/>
        </w:rPr>
        <w:t>Conhecer as práticas educativas desenvolvidas por </w:t>
      </w:r>
      <w:r>
        <w:rPr>
          <w:spacing w:val="-3"/>
          <w:sz w:val="24"/>
        </w:rPr>
        <w:t>uma </w:t>
      </w:r>
      <w:r>
        <w:rPr>
          <w:sz w:val="24"/>
        </w:rPr>
        <w:t>escola pública de anos iniciais do ensino fundamental  em Gurupi, no estado do Tocantins, identificando-as com base nos indicadores de criatividade que fundamentam e definem instituições escolares como organizações inovadoras e</w:t>
      </w:r>
      <w:r>
        <w:rPr>
          <w:spacing w:val="-9"/>
          <w:sz w:val="24"/>
        </w:rPr>
        <w:t> </w:t>
      </w:r>
      <w:r>
        <w:rPr>
          <w:sz w:val="24"/>
        </w:rPr>
        <w:t>criativas.</w:t>
      </w:r>
    </w:p>
    <w:p>
      <w:pPr>
        <w:pStyle w:val="BodyText"/>
        <w:spacing w:line="360" w:lineRule="auto" w:before="7"/>
        <w:ind w:left="308" w:right="112" w:firstLine="705"/>
        <w:jc w:val="both"/>
      </w:pPr>
      <w:r>
        <w:rPr/>
        <w:t>A pesquisa parte da compreensão de que em diferentes aspectos as características conjunturais da sociedade contemporânea apontam para contextos que exigem um indivíduo mais dinâmico, com comportamentos mais flexíveis que lhes permita ajustar-se às condições de uma sociedade em que as próprias necessidades de sobrevivência não estão garantidas e para qual a satisfação deixa de ser um compromisso coletivo e fica sob a responsabilidade dos próprios sujeitos. (SAVIANI, 2010).</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6" w:firstLine="705"/>
        <w:jc w:val="both"/>
      </w:pPr>
      <w:r>
        <w:rPr/>
        <w:t>Essa realidade evidencia que a sociedade atual se caracteriza por uma conjuntura global em crise que atinge todas as esferas da vida (ZWIEREWICZ, 2013). Nesse contexto, identifica-se a educação escolar centrada na reprodução do conhecimento por meio de práticas educativas que não correspondem às necessidades da realidade e por isso se mostram desconectadas com a vida.</w:t>
      </w:r>
    </w:p>
    <w:p>
      <w:pPr>
        <w:pStyle w:val="BodyText"/>
        <w:spacing w:line="360" w:lineRule="auto" w:before="7"/>
        <w:ind w:left="308" w:right="113" w:firstLine="705"/>
        <w:jc w:val="both"/>
      </w:pPr>
      <w:r>
        <w:rPr/>
        <w:t>Autores como Boaventura de Souza Santos (2006a) e Moraes (1997) relatam que as demandas que emergem desse cenário de crise demonstram que a sociedade atual vive </w:t>
      </w:r>
      <w:r>
        <w:rPr>
          <w:spacing w:val="-3"/>
        </w:rPr>
        <w:t>uma </w:t>
      </w:r>
      <w:r>
        <w:rPr/>
        <w:t>fase de transição de paradigma pelo questionamento ao paradigma dominante, e busca, com base em novas formas de compreender as complexidades da vida humana, a possibilidade de um novo paradigma, que  se apresenta como</w:t>
      </w:r>
      <w:r>
        <w:rPr>
          <w:spacing w:val="-9"/>
        </w:rPr>
        <w:t> </w:t>
      </w:r>
      <w:r>
        <w:rPr/>
        <w:t>emergente.</w:t>
      </w:r>
    </w:p>
    <w:p>
      <w:pPr>
        <w:pStyle w:val="BodyText"/>
        <w:spacing w:line="360" w:lineRule="auto" w:before="2"/>
        <w:ind w:left="308" w:right="110" w:firstLine="705"/>
        <w:jc w:val="both"/>
      </w:pPr>
      <w:r>
        <w:rPr/>
        <w:t>A transição de um paradigma a outro traz consigo aplicação técnica da ciência (cartografia simbólica) e a epistemologia da visão, que procura o conhecimento ausente, aplicação edificante do conhecimento prudente, voltado à solidariedade com grupos marginalizados, excluídos e oprimidos.</w:t>
      </w:r>
    </w:p>
    <w:p>
      <w:pPr>
        <w:pStyle w:val="BodyText"/>
        <w:spacing w:line="360" w:lineRule="auto" w:before="2"/>
        <w:ind w:left="308" w:right="104" w:firstLine="705"/>
        <w:jc w:val="both"/>
      </w:pPr>
      <w:r>
        <w:rPr/>
        <w:t>É um conhecimento que se abre a complementaridade e diversidades, qualidades e possibilidades. Um conhecimento de epistemologia (travessias), retórica (dialógica) e investigação (experiências), que provoque rupturas de natureza econômica, política, tecnológica, epistemológica e existencial e que dê alternativas e sentido ao homem, ao mundo e à vida (SANTOS, 2000), e que aproxime a educação e o ensino com as novas necessidades de aprendizagem e adaptação contínua dos indivíduos para compreensão de novos conceitos e escolhas, bem como para desenvolvimento do pensamento criativo a partir do desenvolvimento de uma consciência de harmonização pessoal, social e planetária. (ZWIEREWICZ; TORRE, 2009).</w:t>
      </w:r>
    </w:p>
    <w:p>
      <w:pPr>
        <w:pStyle w:val="BodyText"/>
        <w:spacing w:line="360" w:lineRule="auto" w:before="2"/>
        <w:ind w:left="308" w:right="98" w:firstLine="705"/>
        <w:jc w:val="both"/>
      </w:pPr>
      <w:r>
        <w:rPr/>
        <w:t>No contexto educacional, a realidade exige da escola contemporânea um repensar de práticas de ensino fragmentadas, pulverizadas, didaticamente anacrônicas e aviltantes dos conteúdos curriculares (ALVES, 2005), para um reinventar do caminho, baseado na criatividade e na inovação, que eduque o homem acerca do funcionamento da sociedade e compreenda o social pelo acesso ao pensamento da totalidade, adquira entendimento de si, do outro e do sentido da vida em sociedade, inserida na relação de forças que articulam na estrutura econômica, política, social e educacional nesse processo, por meio da inserção no currículo escolar dos aspectos esquecidos pelo ensino linear.</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3" w:firstLine="705"/>
        <w:jc w:val="both"/>
      </w:pPr>
      <w:r>
        <w:rPr/>
        <w:t>Nessa perspectiva, o desafio que se coloca para educação e para escola contemporânea é o de superação dicotômica da ciência – senso comum na perspectiva de um conhecimento – emancipação, um conhecimento como autoconhecimento (SANTOS, 2000). </w:t>
      </w:r>
      <w:r>
        <w:rPr>
          <w:spacing w:val="-3"/>
        </w:rPr>
        <w:t>Uma </w:t>
      </w:r>
      <w:r>
        <w:rPr/>
        <w:t>educação que estabeleça conexão entre a cognição, o sentimento, a razão e a ética (MORAES, 1997) e também  </w:t>
      </w:r>
      <w:r>
        <w:rPr>
          <w:spacing w:val="-3"/>
        </w:rPr>
        <w:t>uma </w:t>
      </w:r>
      <w:r>
        <w:rPr/>
        <w:t>escola, que </w:t>
      </w:r>
      <w:r>
        <w:rPr>
          <w:spacing w:val="-3"/>
        </w:rPr>
        <w:t>seja </w:t>
      </w:r>
      <w:r>
        <w:rPr>
          <w:spacing w:val="2"/>
        </w:rPr>
        <w:t>um </w:t>
      </w:r>
      <w:r>
        <w:rPr/>
        <w:t>espaço de construção do conhecimento, que assuma características de </w:t>
      </w:r>
      <w:r>
        <w:rPr>
          <w:spacing w:val="-3"/>
        </w:rPr>
        <w:t>uma </w:t>
      </w:r>
      <w:r>
        <w:rPr/>
        <w:t>instituição aprendente, criativa e ecoformadora, viabilizadora de valores humanos, sociais, socioculturais e ambientais, de modo que impulsionem uma nova consciência, para nova forma de pensar e de se organizar como organização educativa. (ZWIEREWICZ; TORRE,</w:t>
      </w:r>
      <w:r>
        <w:rPr>
          <w:spacing w:val="-18"/>
        </w:rPr>
        <w:t> </w:t>
      </w:r>
      <w:r>
        <w:rPr/>
        <w:t>2009).</w:t>
      </w:r>
    </w:p>
    <w:p>
      <w:pPr>
        <w:pStyle w:val="BodyText"/>
        <w:spacing w:line="360" w:lineRule="auto" w:before="3"/>
        <w:ind w:left="308" w:right="102" w:firstLine="705"/>
        <w:jc w:val="both"/>
      </w:pPr>
      <w:r>
        <w:rPr/>
        <w:t>Nesse contexto, o estudo buscou compreender também a prática educativa da escola pública de anos iniciais do ensino fundamental como prática social, intencional, histórica, institucionalizada, que não se dá de </w:t>
      </w:r>
      <w:r>
        <w:rPr>
          <w:spacing w:val="-3"/>
        </w:rPr>
        <w:t>forma </w:t>
      </w:r>
      <w:r>
        <w:rPr/>
        <w:t>isolada, e que está inserida na prática social global a qual se referência numa sociedade concreta e historicamente situada, organizada e como tal, também situada no processo de transição paradigmática que provoca mudanças na sociedade e consequentemente na educação</w:t>
      </w:r>
      <w:r>
        <w:rPr>
          <w:spacing w:val="-22"/>
        </w:rPr>
        <w:t> </w:t>
      </w:r>
      <w:r>
        <w:rPr/>
        <w:t>escolarizada.</w:t>
      </w:r>
    </w:p>
    <w:p>
      <w:pPr>
        <w:pStyle w:val="BodyText"/>
        <w:spacing w:line="360" w:lineRule="auto" w:before="7"/>
        <w:ind w:left="308" w:right="102" w:firstLine="705"/>
        <w:jc w:val="both"/>
      </w:pPr>
      <w:r>
        <w:rPr/>
        <w:t>São mudanças que ajudam a delinear outras possibilidades de fazer  ciência e educação, promover </w:t>
      </w:r>
      <w:r>
        <w:rPr>
          <w:spacing w:val="-3"/>
        </w:rPr>
        <w:t>uma </w:t>
      </w:r>
      <w:r>
        <w:rPr/>
        <w:t>nova forma de compreender o conhecimento e provocar alteração nas bases epistemológicas da prática pedagógica por meio da inovação, compreendida nesse trabalho </w:t>
      </w:r>
      <w:r>
        <w:rPr>
          <w:spacing w:val="-3"/>
        </w:rPr>
        <w:t>como </w:t>
      </w:r>
      <w:r>
        <w:rPr/>
        <w:t>ruptura paradigmática de caráter emancipatório, que ao contrário de negar a história, avance nos processos de mudança na construção e vivências de teorias e práticas pedagógicas  alternativas, que inspirem </w:t>
      </w:r>
      <w:r>
        <w:rPr>
          <w:spacing w:val="2"/>
        </w:rPr>
        <w:t>um </w:t>
      </w:r>
      <w:r>
        <w:rPr/>
        <w:t>novo conhecimento (CUNHA, 2006, 2008), referenciados na complexidade e na transdisciplinaridade. (ZWIEREWICZ; TORRE,</w:t>
      </w:r>
      <w:r>
        <w:rPr>
          <w:spacing w:val="-6"/>
        </w:rPr>
        <w:t> </w:t>
      </w:r>
      <w:r>
        <w:rPr/>
        <w:t>2014a).</w:t>
      </w:r>
    </w:p>
    <w:p>
      <w:pPr>
        <w:pStyle w:val="BodyText"/>
        <w:spacing w:line="360" w:lineRule="auto" w:before="7"/>
        <w:ind w:left="308" w:right="103" w:firstLine="705"/>
        <w:jc w:val="both"/>
      </w:pPr>
      <w:r>
        <w:rPr/>
        <w:t>Entende-se a complexidade como a reforma do pensamento que contribui para estimular a religação dos saberes e a reaproximação, o que pelo princípio da ciência moderna são concebidos de forma disjunta e que separam realidades inseparáveis (MORIN; ALMEIDA; CARVALHO, 2005); e a transdisciplinaridade como olhar interativo e dialógico sobre a realidade  (PRAUN;  GONÇALVES, 2009), e que procura integração do subjetivo com o coletivo e o social, e procura romper as barreiras impostas pela fragmentação do saber e cuja finalidade é contribuir   com      a   compreensão   da   realidade   por   meio   da   unidade   do</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right="105"/>
        <w:jc w:val="both"/>
      </w:pPr>
      <w:r>
        <w:rPr/>
        <w:t>conhecimento. É antes de tudo, uma postura diante da vida, uma atitude de abertura ao diálogo e ao compartilhamento de ideias, pensamentos, opiniões, emoções e sentimentos. (ZWIEREWICZ E TORRE, 2014a).</w:t>
      </w:r>
    </w:p>
    <w:p>
      <w:pPr>
        <w:pStyle w:val="BodyText"/>
        <w:spacing w:line="360" w:lineRule="auto"/>
        <w:ind w:left="308" w:right="104" w:firstLine="705"/>
        <w:jc w:val="both"/>
      </w:pPr>
      <w:r>
        <w:rPr/>
        <w:t>Nesse sentido, as atitudes e as práticas inovadoras na escola resultam na superação da forma tradicional de ensinar e aprender porque implicam em processos de reorganização do pensamento, de ampliação da consciência, de práticas emancipatórias e práxis complexa e transdisciplinar (SUANNO, 2013c), bem como no compromisso com uma gestão participativa, com a reconfiguração dos saberes; com a reorganização da relação teoria e prática (CUNHA, 2006) que resultam em ações transformadoras do sujeito, do conhecimento e da realidade.</w:t>
      </w:r>
    </w:p>
    <w:p>
      <w:pPr>
        <w:pStyle w:val="BodyText"/>
        <w:spacing w:line="360" w:lineRule="auto" w:before="3"/>
        <w:ind w:left="308" w:right="110" w:firstLine="705"/>
        <w:jc w:val="both"/>
      </w:pPr>
      <w:r>
        <w:rPr/>
        <w:t>Uma escola inovadora é, portanto, uma escola criativa, que se organiza por planejamentos complexos e transdisciplinares (ZWIEREWICZ; TORRE, 2009) e (SANTOS et al., 2013), busca o crescimento e a transformação das pessoas para conseguir níveis de evolução para a sociedade mais humanizada, pacífica, de convivência e bem estar.</w:t>
      </w:r>
    </w:p>
    <w:p>
      <w:pPr>
        <w:pStyle w:val="BodyText"/>
        <w:spacing w:line="360" w:lineRule="auto" w:before="2"/>
        <w:ind w:left="308" w:right="108" w:firstLine="705"/>
        <w:jc w:val="both"/>
      </w:pPr>
      <w:r>
        <w:rPr/>
        <w:t>Baseia-se no reconhecimento no lugar da desconfiança, na cooperação no lugar da competição, na ação empreendedora e inventiva, que se baseia na criação coletiva, no fazer transformador, e não na reprodução; na valorização e não só na avaliação como controle. É uma escola que potencializa o melhor de cada sujeito para enfrentar as dificuldades, encontrar seu espaço na sociedade e ser feliz. (ZWIEREWICZ; TORRE, 2009). Assim fazendo, empreende, porque cria, transforma.</w:t>
      </w:r>
    </w:p>
    <w:p>
      <w:pPr>
        <w:pStyle w:val="BodyText"/>
        <w:spacing w:line="360" w:lineRule="auto" w:before="7"/>
        <w:ind w:left="308" w:right="105" w:firstLine="705"/>
        <w:jc w:val="both"/>
      </w:pPr>
      <w:r>
        <w:rPr/>
        <w:t>Este trabalho compreende que a criatividade como potencial está presente no ser humano, independente da faixa etária, e que precisa ser desenvolvida no cotidiano, cujo caráter transformador representa a capacidade de gerar e comunicar novas ideias com o propósito de melhorar ou modificar algo nas pessoas e nos que elas fazem (TORRE, 2005). Fruto da interação sociocultural, a criatividade é um bem social enquanto ação compartilhada coletivamente por um grupo de pessoas, por uma sociedade que promove desenvolvimento humano e científico.</w:t>
      </w:r>
    </w:p>
    <w:p>
      <w:pPr>
        <w:pStyle w:val="BodyText"/>
        <w:spacing w:line="360" w:lineRule="auto" w:before="7"/>
        <w:ind w:left="308" w:right="110" w:firstLine="705"/>
        <w:jc w:val="both"/>
      </w:pPr>
      <w:r>
        <w:rPr/>
        <w:t>No âmbito dessa discussão e ciente de que a pesquisa não se corporifica em </w:t>
      </w:r>
      <w:r>
        <w:rPr>
          <w:spacing w:val="2"/>
        </w:rPr>
        <w:t>um </w:t>
      </w:r>
      <w:r>
        <w:rPr/>
        <w:t>lugar acima das atividades comuns dos seres humanos, pelo contrário são sensíveis às injunções que delas emanam com seus valores, interesses,  costumes  e  princípios  que  corroboram  para  nortear  o  trabalho  </w:t>
      </w:r>
      <w:r>
        <w:rPr>
          <w:spacing w:val="38"/>
        </w:rPr>
        <w:t> </w:t>
      </w:r>
      <w:r>
        <w:rPr/>
        <w:t>investigativo.</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right="103"/>
        <w:jc w:val="both"/>
      </w:pPr>
      <w:r>
        <w:rPr/>
        <w:t>Nesse sentido, a pesquisa desenvolvida é de abordagem qualitativa e, trata-se de um estudo de caso realizado numa escola pública municipal em Gurupi, estado do Tocantins, cujos resultados serão descritos ao longo desse trabalho.</w:t>
      </w:r>
    </w:p>
    <w:p>
      <w:pPr>
        <w:pStyle w:val="BodyText"/>
        <w:rPr>
          <w:sz w:val="26"/>
        </w:rPr>
      </w:pPr>
    </w:p>
    <w:p>
      <w:pPr>
        <w:pStyle w:val="BodyText"/>
        <w:rPr>
          <w:sz w:val="26"/>
        </w:rPr>
      </w:pPr>
    </w:p>
    <w:p>
      <w:pPr>
        <w:pStyle w:val="ListParagraph"/>
        <w:numPr>
          <w:ilvl w:val="1"/>
          <w:numId w:val="5"/>
        </w:numPr>
        <w:tabs>
          <w:tab w:pos="711" w:val="left" w:leader="none"/>
        </w:tabs>
        <w:spacing w:line="240" w:lineRule="auto" w:before="232" w:after="0"/>
        <w:ind w:left="710" w:right="0" w:hanging="402"/>
        <w:jc w:val="both"/>
        <w:rPr>
          <w:sz w:val="24"/>
        </w:rPr>
      </w:pPr>
      <w:r>
        <w:rPr>
          <w:sz w:val="24"/>
        </w:rPr>
        <w:t>A ESTRUTURA DO</w:t>
      </w:r>
      <w:r>
        <w:rPr>
          <w:spacing w:val="-15"/>
          <w:sz w:val="24"/>
        </w:rPr>
        <w:t> </w:t>
      </w:r>
      <w:r>
        <w:rPr>
          <w:sz w:val="24"/>
        </w:rPr>
        <w:t>TRABALHO</w:t>
      </w:r>
    </w:p>
    <w:p>
      <w:pPr>
        <w:pStyle w:val="BodyText"/>
        <w:rPr>
          <w:sz w:val="26"/>
        </w:rPr>
      </w:pPr>
    </w:p>
    <w:p>
      <w:pPr>
        <w:pStyle w:val="BodyText"/>
        <w:rPr>
          <w:sz w:val="26"/>
        </w:rPr>
      </w:pPr>
    </w:p>
    <w:p>
      <w:pPr>
        <w:pStyle w:val="BodyText"/>
        <w:spacing w:before="8"/>
        <w:rPr>
          <w:sz w:val="31"/>
        </w:rPr>
      </w:pPr>
    </w:p>
    <w:p>
      <w:pPr>
        <w:pStyle w:val="BodyText"/>
        <w:spacing w:line="360" w:lineRule="auto"/>
        <w:ind w:left="308" w:right="98" w:firstLine="710"/>
        <w:jc w:val="both"/>
      </w:pPr>
      <w:r>
        <w:rPr/>
        <w:t>O estudo está organizado em três capítulos, além das considerações finais. No Capítulo I encontra-se a revisão bibliográfica, a qual busca atender ao objetivo de situar e compreender a prática educativa e escola no processo de transição do paradigma educacional conservador e dominante para o paradigma educacional emergente.</w:t>
      </w:r>
    </w:p>
    <w:p>
      <w:pPr>
        <w:pStyle w:val="BodyText"/>
        <w:spacing w:line="360" w:lineRule="auto" w:before="7"/>
        <w:ind w:left="308" w:right="103" w:firstLine="710"/>
        <w:jc w:val="both"/>
      </w:pPr>
      <w:r>
        <w:rPr/>
        <w:t>E busca a partir dos estudos de Boaventura de Souza Santos </w:t>
      </w:r>
      <w:r>
        <w:rPr>
          <w:u w:val="single"/>
        </w:rPr>
        <w:t>(</w:t>
      </w:r>
      <w:r>
        <w:rPr/>
        <w:t>1991, 1997, 2000, 2006a, 2006b, 2009), Moraes (1997, 2004a, 2004b, 20011 e 2013),   Cunha</w:t>
      </w:r>
    </w:p>
    <w:p>
      <w:pPr>
        <w:pStyle w:val="BodyText"/>
        <w:spacing w:before="2"/>
        <w:ind w:left="308"/>
        <w:jc w:val="both"/>
      </w:pPr>
      <w:r>
        <w:rPr/>
        <w:t>(1998, 2001, 2006,  2008), Sacristan, (1998, 1999),   Morin (2000,  2003, 2005    e</w:t>
      </w:r>
    </w:p>
    <w:p>
      <w:pPr>
        <w:pStyle w:val="BodyText"/>
        <w:spacing w:before="136"/>
        <w:ind w:left="308"/>
        <w:jc w:val="both"/>
      </w:pPr>
      <w:r>
        <w:rPr/>
        <w:t>2007), Torre (2005, 2008 e 2009) Suanno (2013a, 2013b e 2013c), João Henrique</w:t>
      </w:r>
    </w:p>
    <w:p>
      <w:pPr>
        <w:pStyle w:val="BodyText"/>
        <w:spacing w:line="360" w:lineRule="auto" w:before="141"/>
        <w:ind w:left="308" w:right="107"/>
        <w:jc w:val="both"/>
      </w:pPr>
      <w:r>
        <w:rPr/>
        <w:t>Suanno (2013), Santos e Santos (2009, 2012 e 2013), Zwirerewicz (2009, 2011, 20013, 2014a e 2014b), entre outros, identificar e situar a prática educativa e escola no contexto da crise de paradigmas, relacionando pensamento complexo e criatividade com novas posturas para escola que tem como desafio o repensar das práticas de ensino fragmentadas, herdadas do modelo cartesiano de conhecimento, para torná-las ação consciente e contextualizada como forma </w:t>
      </w:r>
      <w:r>
        <w:rPr>
          <w:spacing w:val="7"/>
        </w:rPr>
        <w:t>de </w:t>
      </w:r>
      <w:r>
        <w:rPr/>
        <w:t>reiventar o caminho, e conferir a práxis educativa características criativas e inovadoras, promotoras da emancipação, autoconhecimento e ampliação da consciência.  (SUANNO,</w:t>
      </w:r>
      <w:r>
        <w:rPr>
          <w:spacing w:val="-9"/>
        </w:rPr>
        <w:t> </w:t>
      </w:r>
      <w:r>
        <w:rPr/>
        <w:t>2013c).</w:t>
      </w:r>
    </w:p>
    <w:p>
      <w:pPr>
        <w:pStyle w:val="BodyText"/>
        <w:spacing w:line="352" w:lineRule="auto" w:before="7"/>
        <w:ind w:left="308" w:right="102" w:firstLine="705"/>
        <w:jc w:val="both"/>
      </w:pPr>
      <w:r>
        <w:rPr/>
        <w:t>O Capítulo </w:t>
      </w:r>
      <w:r>
        <w:rPr>
          <w:spacing w:val="-3"/>
        </w:rPr>
        <w:t>II </w:t>
      </w:r>
      <w:r>
        <w:rPr/>
        <w:t>objetiva conhecer as práticas educativas desenvolvidas por </w:t>
      </w:r>
      <w:r>
        <w:rPr>
          <w:spacing w:val="-3"/>
        </w:rPr>
        <w:t>uma </w:t>
      </w:r>
      <w:r>
        <w:rPr/>
        <w:t>escola pública dos anos iniciais do ensino fundamental</w:t>
      </w:r>
      <w:r>
        <w:rPr>
          <w:position w:val="11"/>
          <w:sz w:val="16"/>
        </w:rPr>
        <w:t>9</w:t>
      </w:r>
      <w:r>
        <w:rPr/>
        <w:t>, em Gurupi–TO, descreve a metodologia da pesquisa, seus respectivos procedimentos na escolha e caracterização do caso, dos sujeitos e do lócus da pesquisa; da seleção, coleta e   análise   dos  dados,  bem  como   dos  procedimentos  éticos  adotados  </w:t>
      </w:r>
      <w:r>
        <w:rPr>
          <w:spacing w:val="42"/>
        </w:rPr>
        <w:t> </w:t>
      </w:r>
      <w:r>
        <w:rPr/>
        <w:t>para</w:t>
      </w:r>
    </w:p>
    <w:p>
      <w:pPr>
        <w:pStyle w:val="BodyText"/>
        <w:spacing w:before="11"/>
        <w:ind w:left="308"/>
        <w:jc w:val="both"/>
      </w:pPr>
      <w:r>
        <w:rPr/>
        <w:t>preservação da identidade e da integridade dos sujeitos participantes do   estudo.</w:t>
      </w:r>
    </w:p>
    <w:p>
      <w:pPr>
        <w:pStyle w:val="BodyText"/>
        <w:rPr>
          <w:sz w:val="20"/>
        </w:rPr>
      </w:pPr>
    </w:p>
    <w:p>
      <w:pPr>
        <w:pStyle w:val="BodyText"/>
        <w:spacing w:before="3"/>
      </w:pPr>
      <w:r>
        <w:rPr/>
        <w:pict>
          <v:line style="position:absolute;mso-position-horizontal-relative:page;mso-position-vertical-relative:paragraph;z-index:1264;mso-wrap-distance-left:0;mso-wrap-distance-right:0" from="99.407997pt,16.304035pt" to="243.457997pt,16.304035pt" stroked="true" strokeweight=".71997pt" strokecolor="#000000">
            <v:stroke dashstyle="solid"/>
            <w10:wrap type="topAndBottom"/>
          </v:line>
        </w:pict>
      </w:r>
    </w:p>
    <w:p>
      <w:pPr>
        <w:spacing w:before="36"/>
        <w:ind w:left="308" w:right="0" w:firstLine="0"/>
        <w:jc w:val="left"/>
        <w:rPr>
          <w:sz w:val="20"/>
        </w:rPr>
      </w:pPr>
      <w:r>
        <w:rPr>
          <w:position w:val="10"/>
          <w:sz w:val="13"/>
        </w:rPr>
        <w:t>9  </w:t>
      </w:r>
      <w:r>
        <w:rPr>
          <w:sz w:val="20"/>
        </w:rPr>
        <w:t>Corresponde a alfabetização e 1º ao 5º anos.</w:t>
      </w:r>
    </w:p>
    <w:p>
      <w:pPr>
        <w:spacing w:after="0"/>
        <w:jc w:val="left"/>
        <w:rPr>
          <w:sz w:val="20"/>
        </w:rPr>
        <w:sectPr>
          <w:pgSz w:w="11910" w:h="16840"/>
          <w:pgMar w:header="1133" w:footer="0" w:top="1340" w:bottom="280" w:left="1680" w:right="1020"/>
        </w:sectPr>
      </w:pPr>
    </w:p>
    <w:p>
      <w:pPr>
        <w:pStyle w:val="BodyText"/>
        <w:spacing w:before="3"/>
        <w:rPr>
          <w:sz w:val="21"/>
        </w:rPr>
      </w:pPr>
    </w:p>
    <w:p>
      <w:pPr>
        <w:pStyle w:val="BodyText"/>
        <w:spacing w:line="362" w:lineRule="auto" w:before="92"/>
        <w:ind w:left="308" w:right="112"/>
        <w:jc w:val="both"/>
      </w:pPr>
      <w:r>
        <w:rPr/>
        <w:t>Esse capítulo tem como base autores como Triviños (2006), Bardin (2009), Bogdan e Biklen (1994), Minayo (2003), Yin (2005), Torre, Pujol e Moraes (2011), João Henrique Suanno (2013), entre outros.</w:t>
      </w:r>
    </w:p>
    <w:p>
      <w:pPr>
        <w:pStyle w:val="BodyText"/>
        <w:spacing w:line="360" w:lineRule="auto"/>
        <w:ind w:left="308" w:right="112" w:firstLine="705"/>
        <w:jc w:val="both"/>
      </w:pPr>
      <w:r>
        <w:rPr/>
        <w:t>No Capítulo III estão os resultados obtidos através da coleta de dados e análise qualitativa com base no referencial bibliográfico consultado, análise dos documentos relativos à escola como Projeto Político Pedagógico, relatórios de projetos executados e anotações de caderno de bordo da pesquisadora, além das entrevistas realizadas com os sujeitos da escola lócus da pesquisa com intuito de responder à questão problema estabelecida.</w:t>
      </w:r>
    </w:p>
    <w:p>
      <w:pPr>
        <w:pStyle w:val="BodyText"/>
        <w:spacing w:line="360" w:lineRule="auto" w:before="8"/>
        <w:ind w:left="308" w:right="102" w:firstLine="705"/>
        <w:jc w:val="both"/>
      </w:pPr>
      <w:r>
        <w:rPr/>
        <w:t>Os dados coletados estão organizados em duas partes: a primeira refere- se aos resultados do diagnóstico realizado para identificação da escola lócus da pesquisa, e são apresentados na forma de gráficos que auxiliam na identificação dos parâmetros e indicadores, os quais serviram de referência  para  as entrevistas. A segunda parte trata-se da análise de conteúdo realizada com base nas entrevistas e demais informações obtidas por meio dos documentos analisados e respectiva leitura interpretativa da pesquisadora, à luz do referencial teórico estudado.</w:t>
      </w:r>
    </w:p>
    <w:p>
      <w:pPr>
        <w:pStyle w:val="BodyText"/>
        <w:spacing w:line="360" w:lineRule="auto" w:before="7"/>
        <w:ind w:left="308" w:right="103" w:firstLine="705"/>
        <w:jc w:val="both"/>
      </w:pPr>
      <w:r>
        <w:rPr/>
        <w:t>As considerações finais encerram o texto dissertativo e faz </w:t>
      </w:r>
      <w:r>
        <w:rPr>
          <w:spacing w:val="-3"/>
        </w:rPr>
        <w:t>uma </w:t>
      </w:r>
      <w:r>
        <w:rPr/>
        <w:t>retomada dos objetivos e proposições dos estudos no intuito de responder às questões norteadoras da investigação: Que práticas inovadoras são desenvolvidas na escola pública dos anos iniciais do ensino fundamental e em que se relacionam com as perspectivas de ensino pautadas nos referenciais do paradigma emergente? Elas apresentam indicadores de criatividade semelhantes  àqueles que caracterizam </w:t>
      </w:r>
      <w:r>
        <w:rPr>
          <w:spacing w:val="-3"/>
        </w:rPr>
        <w:t>uma </w:t>
      </w:r>
      <w:r>
        <w:rPr/>
        <w:t>escola como criativa? Quais são suas implicações na organização do trabalho educativo e na ação docente? Em que a prática  educativa desenvolvida colabora para superação do paradigma conservador caracterizado pelo pensamento cartesiano, fragmentado e reducionista da realidade? Ao </w:t>
      </w:r>
      <w:r>
        <w:rPr>
          <w:spacing w:val="-3"/>
        </w:rPr>
        <w:t>mesmo </w:t>
      </w:r>
      <w:r>
        <w:rPr/>
        <w:t>tempo em que procura apresentar, a partir dos resultados obtidos na pesquisa, as contribuições do estudo para a temática e a disseminação e o fortalecimento da escola criativa no estado do</w:t>
      </w:r>
      <w:r>
        <w:rPr>
          <w:spacing w:val="-24"/>
        </w:rPr>
        <w:t> </w:t>
      </w:r>
      <w:r>
        <w:rPr/>
        <w:t>Tocantins.</w:t>
      </w:r>
    </w:p>
    <w:p>
      <w:pPr>
        <w:spacing w:after="0" w:line="360" w:lineRule="auto"/>
        <w:jc w:val="both"/>
        <w:sectPr>
          <w:pgSz w:w="11910" w:h="16840"/>
          <w:pgMar w:header="1133" w:footer="0" w:top="1340" w:bottom="280" w:left="1680" w:right="1020"/>
        </w:sectPr>
      </w:pPr>
    </w:p>
    <w:p>
      <w:pPr>
        <w:pStyle w:val="BodyText"/>
        <w:spacing w:before="10"/>
        <w:rPr>
          <w:sz w:val="20"/>
        </w:rPr>
      </w:pPr>
    </w:p>
    <w:p>
      <w:pPr>
        <w:pStyle w:val="Heading3"/>
        <w:numPr>
          <w:ilvl w:val="0"/>
          <w:numId w:val="5"/>
        </w:numPr>
        <w:tabs>
          <w:tab w:pos="625" w:val="left" w:leader="none"/>
        </w:tabs>
        <w:spacing w:line="362" w:lineRule="auto" w:before="92" w:after="0"/>
        <w:ind w:left="649" w:right="107" w:hanging="341"/>
        <w:jc w:val="left"/>
      </w:pPr>
      <w:bookmarkStart w:name="_TOC_250013" w:id="4"/>
      <w:r>
        <w:rPr/>
        <w:t>PRÁTICA EDUCATIVA, PENSAMENTO COMPLEXO E CRIATIVIDADE: UM DESAFIO PARA</w:t>
      </w:r>
      <w:r>
        <w:rPr>
          <w:spacing w:val="-11"/>
        </w:rPr>
        <w:t> </w:t>
      </w:r>
      <w:bookmarkEnd w:id="4"/>
      <w:r>
        <w:rPr/>
        <w:t>ESCOLA</w:t>
      </w:r>
    </w:p>
    <w:p>
      <w:pPr>
        <w:pStyle w:val="BodyText"/>
        <w:rPr>
          <w:b/>
          <w:sz w:val="26"/>
        </w:rPr>
      </w:pPr>
    </w:p>
    <w:p>
      <w:pPr>
        <w:pStyle w:val="BodyText"/>
        <w:rPr>
          <w:b/>
          <w:sz w:val="26"/>
        </w:rPr>
      </w:pPr>
    </w:p>
    <w:p>
      <w:pPr>
        <w:pStyle w:val="BodyText"/>
        <w:spacing w:line="360" w:lineRule="auto" w:before="233"/>
        <w:ind w:left="308" w:right="102" w:firstLine="710"/>
        <w:jc w:val="both"/>
      </w:pPr>
      <w:r>
        <w:rPr/>
        <w:t>Esse capítulo tem como objetivo situar e compreender a escola e a prática educativa no processo de transição do paradigma educacional conservador e dominante para o paradigma educacional emergente e seus reflexos para o ensino. Para tal, esse exercício reflexivo buscou, inicialmente, tratar sobre o que se entende por prática educativa bem como definição do foco de abordagem pretendida pelo trabalho abre espaço para discussão sobre a relação da prática educativa no espaço escolar com os referidos paradigmas. Assim sendo, parte da abordagem sobre a consolidação do paradigma dominante para, posteriormente, evidenciar como esse processo o levou à crise e consequentemente ao questionamento de suas bases epistemológicas, sociais e educacionais (escolares), e como estimulou a emergência de um novo paradigma.</w:t>
      </w:r>
    </w:p>
    <w:p>
      <w:pPr>
        <w:pStyle w:val="BodyText"/>
        <w:spacing w:line="360" w:lineRule="auto" w:before="3"/>
        <w:ind w:left="308" w:right="114" w:firstLine="710"/>
        <w:jc w:val="both"/>
      </w:pPr>
      <w:r>
        <w:rPr/>
        <w:t>O texto ainda situa a escola no contexto da crise paradigmática evidenciando todas as contribuições que o paradigma emergente traz para  ruptura com modelo cartesiano de ensino e o estimulo ao desenvolvimento do pensamento complexo e da prática educativa criativa e</w:t>
      </w:r>
      <w:r>
        <w:rPr>
          <w:spacing w:val="-30"/>
        </w:rPr>
        <w:t> </w:t>
      </w:r>
      <w:r>
        <w:rPr/>
        <w:t>inovadora.</w:t>
      </w:r>
    </w:p>
    <w:p>
      <w:pPr>
        <w:pStyle w:val="BodyText"/>
        <w:rPr>
          <w:sz w:val="26"/>
        </w:rPr>
      </w:pPr>
    </w:p>
    <w:p>
      <w:pPr>
        <w:pStyle w:val="BodyText"/>
        <w:rPr>
          <w:sz w:val="26"/>
        </w:rPr>
      </w:pPr>
    </w:p>
    <w:p>
      <w:pPr>
        <w:pStyle w:val="ListParagraph"/>
        <w:numPr>
          <w:ilvl w:val="1"/>
          <w:numId w:val="7"/>
        </w:numPr>
        <w:tabs>
          <w:tab w:pos="711" w:val="left" w:leader="none"/>
        </w:tabs>
        <w:spacing w:line="240" w:lineRule="auto" w:before="230" w:after="0"/>
        <w:ind w:left="710" w:right="0" w:hanging="402"/>
        <w:jc w:val="left"/>
        <w:rPr>
          <w:sz w:val="24"/>
        </w:rPr>
      </w:pPr>
      <w:r>
        <w:rPr>
          <w:sz w:val="24"/>
        </w:rPr>
        <w:t>A PRÁTICA EDUCATIVA NO CONTEXTO TRANSIÇÃO DE</w:t>
      </w:r>
      <w:r>
        <w:rPr>
          <w:spacing w:val="-27"/>
          <w:sz w:val="24"/>
        </w:rPr>
        <w:t> </w:t>
      </w:r>
      <w:r>
        <w:rPr>
          <w:sz w:val="24"/>
        </w:rPr>
        <w:t>PARADIGMAS</w:t>
      </w:r>
    </w:p>
    <w:p>
      <w:pPr>
        <w:pStyle w:val="BodyText"/>
        <w:rPr>
          <w:sz w:val="26"/>
        </w:rPr>
      </w:pPr>
    </w:p>
    <w:p>
      <w:pPr>
        <w:pStyle w:val="BodyText"/>
        <w:rPr>
          <w:sz w:val="26"/>
        </w:rPr>
      </w:pPr>
    </w:p>
    <w:p>
      <w:pPr>
        <w:pStyle w:val="BodyText"/>
        <w:spacing w:before="1"/>
        <w:rPr>
          <w:sz w:val="32"/>
        </w:rPr>
      </w:pPr>
    </w:p>
    <w:p>
      <w:pPr>
        <w:pStyle w:val="BodyText"/>
        <w:spacing w:line="360" w:lineRule="auto"/>
        <w:ind w:left="308" w:right="111" w:firstLine="710"/>
        <w:jc w:val="both"/>
      </w:pPr>
      <w:r>
        <w:rPr/>
        <w:t>A educação como prática social é por natureza humana, histórica e acontece na relação especifica entre os sujeitos e no fenômeno educativo, resulta na relação sujeito-ambiente, posição epistemológica em relação ao sujeito e ao meio explicitada num conceito de homem, de mundo, de cultura, de sociedade, de conhecimento e de aprendizagem. (MIZUKAMI, 1986). Essa relação se  estabelece e desenvolve-se a partir das interações entre indivíduos e entre os indivíduos e os ambientes em que</w:t>
      </w:r>
      <w:r>
        <w:rPr>
          <w:spacing w:val="-22"/>
        </w:rPr>
        <w:t> </w:t>
      </w:r>
      <w:r>
        <w:rPr/>
        <w:t>vivem.</w:t>
      </w:r>
    </w:p>
    <w:p>
      <w:pPr>
        <w:pStyle w:val="BodyText"/>
        <w:spacing w:line="360" w:lineRule="auto" w:before="3"/>
        <w:ind w:left="308" w:right="99" w:firstLine="705"/>
        <w:jc w:val="both"/>
      </w:pPr>
      <w:r>
        <w:rPr/>
        <w:t>Nesse aspecto a educação configura-se, estabelece-se, estrutura-se </w:t>
      </w:r>
      <w:r>
        <w:rPr>
          <w:spacing w:val="2"/>
        </w:rPr>
        <w:t>em </w:t>
      </w:r>
      <w:r>
        <w:rPr/>
        <w:t>diversas dimensões. A prática educativa é sua dimensão privilegiada, porque como ação educativa, Severino afirma que ela “atua sempre como mediação </w:t>
      </w:r>
      <w:r>
        <w:rPr>
          <w:spacing w:val="52"/>
        </w:rPr>
        <w:t> </w:t>
      </w:r>
      <w:r>
        <w:rPr/>
        <w:t>das</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práticas básicas que realizam a própria existência dos homens: o trabalho, a sociabilidade e a cultura. ” (SEVERINO, 2006, p.02).</w:t>
      </w:r>
    </w:p>
    <w:p>
      <w:pPr>
        <w:pStyle w:val="BodyText"/>
        <w:spacing w:line="360" w:lineRule="auto"/>
        <w:ind w:left="308" w:right="106" w:firstLine="705"/>
        <w:jc w:val="both"/>
      </w:pPr>
      <w:r>
        <w:rPr/>
        <w:t>Entende-se assim, que a ação educativa é compreendida como prática social intencionada, em que confluem as intencionalidades e as expectativas sociais, onde se determinam os contextos da existência humana num  determinado grupo social, no qual se concretiza a realidade subjetivada, num processo histórico-social que </w:t>
      </w:r>
      <w:r>
        <w:rPr>
          <w:spacing w:val="-3"/>
        </w:rPr>
        <w:t>se </w:t>
      </w:r>
      <w:r>
        <w:rPr/>
        <w:t>renova</w:t>
      </w:r>
      <w:r>
        <w:rPr>
          <w:spacing w:val="-15"/>
        </w:rPr>
        <w:t> </w:t>
      </w:r>
      <w:r>
        <w:rPr/>
        <w:t>continuamente.</w:t>
      </w:r>
    </w:p>
    <w:p>
      <w:pPr>
        <w:pStyle w:val="BodyText"/>
        <w:spacing w:line="360" w:lineRule="auto" w:before="2"/>
        <w:ind w:left="308" w:right="110" w:firstLine="710"/>
        <w:jc w:val="both"/>
      </w:pPr>
      <w:r>
        <w:rPr/>
        <w:t>Decorrente do fenômeno educacional se caracterizar como ação tipicamente humana, intencional, que realiza num contexto histórico, portanto, também é histórica e possui historicidade, não se separa das práticas sociais, influencia e é influenciada pelas relações de poder, de produção, de visão de mundo e de homem. É, portanto, ação intencional dos indivíduos, por isso deve ser considerada como prática social. Severino diz que “a educação é uma prática histórico-social, cujo norteamento não se fará de maneira técnica,  mecânica, o que impede que ela seja considerada uma ciência aplicada, como a engenharia e a medicina, por exemplo. ” (SEVERINO, 2006, p.05).</w:t>
      </w:r>
    </w:p>
    <w:p>
      <w:pPr>
        <w:pStyle w:val="BodyText"/>
        <w:rPr>
          <w:sz w:val="26"/>
        </w:rPr>
      </w:pPr>
    </w:p>
    <w:p>
      <w:pPr>
        <w:pStyle w:val="BodyText"/>
        <w:rPr>
          <w:sz w:val="26"/>
        </w:rPr>
      </w:pPr>
    </w:p>
    <w:p>
      <w:pPr>
        <w:spacing w:line="240" w:lineRule="auto" w:before="233"/>
        <w:ind w:left="2574" w:right="105" w:firstLine="0"/>
        <w:jc w:val="both"/>
        <w:rPr>
          <w:sz w:val="20"/>
        </w:rPr>
      </w:pPr>
      <w:r>
        <w:rPr>
          <w:sz w:val="20"/>
        </w:rPr>
        <w:t>A prática deve ser entendida como uma atividade orientada, através da qual os homens transformam os objetos materiais e as estruturas econômicas e políticas, as instituições e outras formas de articulação social. Trata-se aqui das atividades individuais e coletivas que se desenrolam no quadro da transformação histórica das formas de interação social. (JAROSZEWSKI, 1980 apud TRIVIÑOS, 2006, p. 5).</w:t>
      </w:r>
    </w:p>
    <w:p>
      <w:pPr>
        <w:pStyle w:val="BodyText"/>
        <w:rPr>
          <w:sz w:val="22"/>
        </w:rPr>
      </w:pPr>
    </w:p>
    <w:p>
      <w:pPr>
        <w:pStyle w:val="BodyText"/>
        <w:rPr>
          <w:sz w:val="22"/>
        </w:rPr>
      </w:pPr>
    </w:p>
    <w:p>
      <w:pPr>
        <w:pStyle w:val="BodyText"/>
        <w:spacing w:before="3"/>
        <w:rPr>
          <w:sz w:val="28"/>
        </w:rPr>
      </w:pPr>
    </w:p>
    <w:p>
      <w:pPr>
        <w:pStyle w:val="BodyText"/>
        <w:spacing w:line="360" w:lineRule="auto"/>
        <w:ind w:left="308" w:right="113" w:firstLine="705"/>
        <w:jc w:val="both"/>
      </w:pPr>
      <w:r>
        <w:rPr/>
        <w:t>Para Libâneo, a educação não é a mesma em todas as épocas e todos os lugares, em razão do seu caráter socialmente determinado, assim o autor afirma que</w:t>
      </w:r>
    </w:p>
    <w:p>
      <w:pPr>
        <w:pStyle w:val="BodyText"/>
        <w:rPr>
          <w:sz w:val="26"/>
        </w:rPr>
      </w:pPr>
    </w:p>
    <w:p>
      <w:pPr>
        <w:pStyle w:val="BodyText"/>
        <w:rPr>
          <w:sz w:val="26"/>
        </w:rPr>
      </w:pPr>
    </w:p>
    <w:p>
      <w:pPr>
        <w:pStyle w:val="BodyText"/>
        <w:spacing w:before="4"/>
        <w:rPr>
          <w:sz w:val="20"/>
        </w:rPr>
      </w:pPr>
    </w:p>
    <w:p>
      <w:pPr>
        <w:spacing w:line="240" w:lineRule="auto" w:before="0"/>
        <w:ind w:left="2574" w:right="104" w:firstLine="0"/>
        <w:jc w:val="both"/>
        <w:rPr>
          <w:sz w:val="20"/>
        </w:rPr>
      </w:pPr>
      <w:r>
        <w:rPr>
          <w:sz w:val="20"/>
        </w:rPr>
        <w:t>As normas sociais, os valores, os modelos de vida, de trabalho e de relações entre as pessoas correspondem a modelos socialmente dominantes encarnados pelas classes que detêm o poder econômico e político (...). A prática educativa intencional compreende, assim,  todo fato, influência, ação, processo, que intervém na configuração da existência humana, individual ou grupal, em suas relações mútuas, num determinado contexto histórico-social. (LIBÂNEO, 1998, p.72).</w:t>
      </w:r>
    </w:p>
    <w:p>
      <w:pPr>
        <w:spacing w:after="0" w:line="240" w:lineRule="auto"/>
        <w:jc w:val="both"/>
        <w:rPr>
          <w:sz w:val="20"/>
        </w:rPr>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4" w:firstLine="710"/>
        <w:jc w:val="both"/>
      </w:pPr>
      <w:r>
        <w:rPr/>
        <w:t>Como prática social, a prática educativa colabora com a formação de homens e mulheres nos variados ambientes através do convívio, do diálogo e da troca de experiências, das interações que desencadeiam processos educativos em diferentes organizações e formas de aprendizagens, dentre elas, a instituição escolar. E, nesses contextos se inserem a prática educativa que se pretende  tratar nesse</w:t>
      </w:r>
      <w:r>
        <w:rPr>
          <w:spacing w:val="-6"/>
        </w:rPr>
        <w:t> </w:t>
      </w:r>
      <w:r>
        <w:rPr/>
        <w:t>texto.</w:t>
      </w:r>
    </w:p>
    <w:p>
      <w:pPr>
        <w:pStyle w:val="BodyText"/>
        <w:spacing w:line="360" w:lineRule="auto" w:before="2"/>
        <w:ind w:left="308" w:right="107" w:firstLine="710"/>
        <w:jc w:val="both"/>
      </w:pPr>
      <w:r>
        <w:rPr/>
        <w:t>Por prática educativa escolar compreendem-se ações que envolvem os alunos, os professores, o currículo e os meios para o desenvolvimento do ensino no âmbito escolar. Para Sacristán são ações que acontecem de  forma influenciada no contexto escolar</w:t>
      </w:r>
    </w:p>
    <w:p>
      <w:pPr>
        <w:pStyle w:val="BodyText"/>
        <w:rPr>
          <w:sz w:val="26"/>
        </w:rPr>
      </w:pPr>
    </w:p>
    <w:p>
      <w:pPr>
        <w:pStyle w:val="BodyText"/>
        <w:rPr>
          <w:sz w:val="26"/>
        </w:rPr>
      </w:pPr>
    </w:p>
    <w:p>
      <w:pPr>
        <w:spacing w:before="229"/>
        <w:ind w:left="2574" w:right="106" w:firstLine="0"/>
        <w:jc w:val="both"/>
        <w:rPr>
          <w:sz w:val="20"/>
        </w:rPr>
      </w:pPr>
      <w:r>
        <w:rPr>
          <w:sz w:val="20"/>
        </w:rPr>
        <w:t>Por outras formas de ação sobre os sistemas educativos que condicionam os marcos de desenvolvimento da ação dos docentes, sem que, na maioria dos casos, estes possam escapar de suas determinações. Existem regulamentos curriculares, formas de produzir e de procedimentos de controle que incidem no que é tolerado que façam, modos de organizar o tempo, o espaço e os recursos, que dependem de estruturas organizacionais e de usos muito estabelecidos; existem programas de inovação escolar, estabelecem-se mecanismos de participação social que condicionam o que ocorre nas aulas, etc. (SACRISTÁN, 1999, p.92).</w:t>
      </w:r>
    </w:p>
    <w:p>
      <w:pPr>
        <w:pStyle w:val="BodyText"/>
        <w:rPr>
          <w:sz w:val="22"/>
        </w:rPr>
      </w:pPr>
    </w:p>
    <w:p>
      <w:pPr>
        <w:pStyle w:val="BodyText"/>
        <w:rPr>
          <w:sz w:val="22"/>
        </w:rPr>
      </w:pPr>
    </w:p>
    <w:p>
      <w:pPr>
        <w:pStyle w:val="BodyText"/>
        <w:spacing w:before="10"/>
        <w:rPr>
          <w:sz w:val="27"/>
        </w:rPr>
      </w:pPr>
    </w:p>
    <w:p>
      <w:pPr>
        <w:pStyle w:val="BodyText"/>
        <w:ind w:left="2574" w:hanging="1557"/>
      </w:pPr>
      <w:r>
        <w:rPr/>
        <w:t>No contexto da prática educativa, existem ainda, segundo Sacristán (1999),</w:t>
      </w:r>
    </w:p>
    <w:p>
      <w:pPr>
        <w:pStyle w:val="BodyText"/>
        <w:rPr>
          <w:sz w:val="26"/>
        </w:rPr>
      </w:pPr>
    </w:p>
    <w:p>
      <w:pPr>
        <w:pStyle w:val="BodyText"/>
        <w:rPr>
          <w:sz w:val="26"/>
        </w:rPr>
      </w:pPr>
    </w:p>
    <w:p>
      <w:pPr>
        <w:pStyle w:val="BodyText"/>
        <w:rPr>
          <w:sz w:val="32"/>
        </w:rPr>
      </w:pPr>
    </w:p>
    <w:p>
      <w:pPr>
        <w:spacing w:line="240" w:lineRule="auto" w:before="0"/>
        <w:ind w:left="2574" w:right="104" w:firstLine="0"/>
        <w:jc w:val="both"/>
        <w:rPr>
          <w:sz w:val="20"/>
        </w:rPr>
      </w:pPr>
      <w:r>
        <w:rPr>
          <w:sz w:val="20"/>
        </w:rPr>
        <w:t>uma série de reguladores explícitos das atividades relacionadas com o currículo, como leis e regulamentos, a organização escolar, a regulamentação do posto de trabalho, a formação de professores, os sistemas de avaliação e o estabelecimento de certas regras éticas que definem âmbitos de prática que se projetam nas ações do ensino: nos conteúdos abordados nas aulas, nos métodos, na interação pessoal, nas relações com a cultura externa às escolas e nos processos de inovação.</w:t>
      </w:r>
    </w:p>
    <w:p>
      <w:pPr>
        <w:pStyle w:val="BodyText"/>
        <w:rPr>
          <w:sz w:val="22"/>
        </w:rPr>
      </w:pPr>
    </w:p>
    <w:p>
      <w:pPr>
        <w:pStyle w:val="BodyText"/>
        <w:rPr>
          <w:sz w:val="22"/>
        </w:rPr>
      </w:pPr>
    </w:p>
    <w:p>
      <w:pPr>
        <w:pStyle w:val="BodyText"/>
        <w:spacing w:before="3"/>
        <w:rPr>
          <w:sz w:val="28"/>
        </w:rPr>
      </w:pPr>
    </w:p>
    <w:p>
      <w:pPr>
        <w:pStyle w:val="BodyText"/>
        <w:spacing w:line="360" w:lineRule="auto"/>
        <w:ind w:left="308" w:right="99" w:firstLine="710"/>
        <w:jc w:val="both"/>
      </w:pPr>
      <w:r>
        <w:rPr/>
        <w:t>Essa condição dá-se em razão da prática educativa escolar ser institucionalizada e suas formas de educar acontecerem em contextos institucionalizados de configuração da cultura e da tradição das instituições, obedecendo  a  múltiplos  determinantes  que  se  fundamentam  e  justificam  em</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parâmetros institucionais, organizativos, tradições metodológicas, possibilidades reais dos professores e condições físicas existentes. (ZABALA, 1998).</w:t>
      </w:r>
    </w:p>
    <w:p>
      <w:pPr>
        <w:pStyle w:val="BodyText"/>
        <w:spacing w:line="360" w:lineRule="auto"/>
        <w:ind w:left="308" w:right="109" w:firstLine="710"/>
        <w:jc w:val="both"/>
      </w:pPr>
      <w:r>
        <w:rPr/>
        <w:t>Como ação institucional, a prática educativa está relacionada com o que acontece em outros âmbitos da sociedade e suas respectivas contribuições. Por isso, não se reduz a ação de um sujeito a um único domínio metodológico ou a  um determinado espaço escolar. Refere-se também, a </w:t>
      </w:r>
      <w:r>
        <w:rPr>
          <w:spacing w:val="2"/>
        </w:rPr>
        <w:t>um </w:t>
      </w:r>
      <w:r>
        <w:rPr/>
        <w:t>conjunto denominado de sistema de práticas aninhadas, e que estão diretamente relacionadas aos sistemas social, educativo e escolar. (SACRISTÁN,</w:t>
      </w:r>
      <w:r>
        <w:rPr>
          <w:spacing w:val="-15"/>
        </w:rPr>
        <w:t> </w:t>
      </w:r>
      <w:r>
        <w:rPr/>
        <w:t>1999).</w:t>
      </w:r>
    </w:p>
    <w:p>
      <w:pPr>
        <w:pStyle w:val="BodyText"/>
        <w:spacing w:line="360" w:lineRule="auto" w:before="2"/>
        <w:ind w:left="308" w:right="111" w:firstLine="710"/>
        <w:jc w:val="both"/>
      </w:pPr>
      <w:r>
        <w:rPr/>
        <w:t>As práticas educativas aninhadas podem ser compreendidas como de caráter antropológico, institucional, e concorrentes. As de caráter antropológico presente na cultura acumulada sobre as ações, das quais aquela se nutre, dizem dos costumes, crenças, valores e atitudes. É cristalização coletiva da experiência, e de acordo com Pinto “se expressa na forma de educar os filhos, com condutas validadas e partilhadas por um grupo de pessoas, que possibilitam a construção de uma prática cultural de educar”. (PINTO, 2011, p.43).</w:t>
      </w:r>
    </w:p>
    <w:p>
      <w:pPr>
        <w:pStyle w:val="BodyText"/>
        <w:spacing w:line="360" w:lineRule="auto" w:before="2"/>
        <w:ind w:left="308" w:right="98" w:firstLine="710"/>
        <w:jc w:val="both"/>
      </w:pPr>
      <w:r>
        <w:rPr/>
        <w:t>A prática educativa institucional refere-se à cultura escolar e envolve a profissão do professor. São práticas cujas regras e normas estabelecidas extrapolam sua decisão pessoal e sobre as quais possui autonomia limitada, uma vez que as regras coexistem antes mesmo do início de suas atividades como as que são relativas ao funcionamento do sistema escolar, como a seleção  de acesso a níveis de escolaridade; nesse âmbito existem ainda as práticas organizativas, que tratam da forma de trabalho de cada escola, dos professores quer sejam individuais ou coletivas, e também dizem da divisão de espaço e tempo de trabalho.</w:t>
      </w:r>
    </w:p>
    <w:p>
      <w:pPr>
        <w:pStyle w:val="BodyText"/>
        <w:spacing w:line="360" w:lineRule="auto" w:before="2"/>
        <w:ind w:left="308" w:right="106" w:firstLine="710"/>
        <w:jc w:val="both"/>
      </w:pPr>
      <w:r>
        <w:rPr/>
        <w:t>As práticas didáticas são relativas à ação imediata do professor. E estão compreendidas em três níveis ou contextos diferentes como as que se referem ao “contexto pedagógico-prático cotidiano da sala de aula; ao contexto profissional saberes técnicos que legitimam sua prática e ao contexto sociocultural valores e conteúdos considerados importantes”. (PINTO, 2011, p.43).</w:t>
      </w:r>
    </w:p>
    <w:p>
      <w:pPr>
        <w:pStyle w:val="BodyText"/>
        <w:spacing w:line="360" w:lineRule="auto" w:before="2"/>
        <w:ind w:left="308" w:right="108" w:firstLine="710"/>
        <w:jc w:val="both"/>
      </w:pPr>
      <w:r>
        <w:rPr/>
        <w:t>E por último, as práticas educativas concorrentes, que estão localizadas fora do contexto escolar, se caracterizam por materiais que professores consomem, tais como materiais didáticos, entre outros, os quais exercem influência na prática técnica dos professores. (SACRISTÁN, 1999).</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2" w:firstLine="710"/>
        <w:jc w:val="both"/>
      </w:pPr>
      <w:r>
        <w:rPr/>
        <w:t>A concepção de Sacristán (1995) da prática educativa como práticas aninhadas em que vários contextos internos e externos à escola influenciam-se reciprocamente, tanto alarga o conceito de prática como aponta necessidade de compreensão de contextos mais amplos para apreensão da realidade escolar, </w:t>
      </w:r>
      <w:r>
        <w:rPr>
          <w:spacing w:val="-3"/>
        </w:rPr>
        <w:t>uma </w:t>
      </w:r>
      <w:r>
        <w:rPr/>
        <w:t>vez que as práticas vistas assim, nas suas inter-relações tanto delimitam como influencia na ação dos sujeitos no interior da escola. Nesse aspecto, para compreender a prática educativa praticada pela escola é necessário estudar os vínculos do todo com as suas partes, e</w:t>
      </w:r>
      <w:r>
        <w:rPr>
          <w:spacing w:val="-14"/>
        </w:rPr>
        <w:t> </w:t>
      </w:r>
      <w:r>
        <w:rPr/>
        <w:t>vice-versa.</w:t>
      </w:r>
    </w:p>
    <w:p>
      <w:pPr>
        <w:pStyle w:val="BodyText"/>
        <w:spacing w:line="360" w:lineRule="auto" w:before="2"/>
        <w:ind w:left="308" w:right="102" w:firstLine="705"/>
        <w:jc w:val="both"/>
      </w:pPr>
      <w:r>
        <w:rPr/>
        <w:t>Para Sacristán (1999, p. 32), a educação não pode ser explicada sem a compreensão de outras “esferas do pensamento e da cultura, também as práticas educativas não podem ser compreendidas sem ver como outras práticas sociais projetam-se, incidem ou nelas provocam reações”, numa estreita vinculação da educação com sociedade que ressalta tanto o caráter formador como político- social da educação e da prática educativa; assim, como mantêm o que Franco, Libâneo e Pimenta (2011) denominam de tradição da especificidade da ciência pedagógica.</w:t>
      </w:r>
    </w:p>
    <w:p>
      <w:pPr>
        <w:pStyle w:val="BodyText"/>
        <w:spacing w:line="360" w:lineRule="auto" w:before="2"/>
        <w:ind w:left="308" w:right="109" w:firstLine="705"/>
        <w:jc w:val="both"/>
      </w:pPr>
      <w:r>
        <w:rPr/>
        <w:t>A prática educativa é </w:t>
      </w:r>
      <w:r>
        <w:rPr>
          <w:spacing w:val="-3"/>
        </w:rPr>
        <w:t>uma </w:t>
      </w:r>
      <w:r>
        <w:rPr/>
        <w:t>ação orientada com sentido e que depende da participação do sujeito como agente social. Configura-se, portanto, como  atividade prática do </w:t>
      </w:r>
      <w:r>
        <w:rPr>
          <w:spacing w:val="-3"/>
        </w:rPr>
        <w:t>homem, </w:t>
      </w:r>
      <w:r>
        <w:rPr/>
        <w:t>intelectual, na qual se articulam as dimensões do saber, do saber-fazer e da reflexão em torno dos seus objetivos enquanto prática social que se desenvolve por meio da interação, da comunicação, do movimento. Compreendê-la nessa perspectiva é pensá-la como </w:t>
      </w:r>
      <w:r>
        <w:rPr>
          <w:spacing w:val="2"/>
        </w:rPr>
        <w:t>um </w:t>
      </w:r>
      <w:r>
        <w:rPr/>
        <w:t>processo dialético, que está em constante movimento, num processo de práxis. (SACRISTÁN,</w:t>
      </w:r>
      <w:r>
        <w:rPr>
          <w:spacing w:val="-18"/>
        </w:rPr>
        <w:t> </w:t>
      </w:r>
      <w:r>
        <w:rPr/>
        <w:t>1999).</w:t>
      </w:r>
    </w:p>
    <w:p>
      <w:pPr>
        <w:pStyle w:val="BodyText"/>
        <w:spacing w:line="360" w:lineRule="auto" w:before="3"/>
        <w:ind w:left="308" w:right="112" w:firstLine="710"/>
        <w:jc w:val="both"/>
      </w:pPr>
      <w:r>
        <w:rPr/>
        <w:t>Compreender a educação e suas práticas educativas como práxis, implica em relacionar epistemologicamente teoria e prática, de forma dialética, para romper com a forma dominante da racionalidade técnica. (ZANCHET E GHIGGI, 2009).</w:t>
      </w:r>
    </w:p>
    <w:p>
      <w:pPr>
        <w:pStyle w:val="BodyText"/>
        <w:spacing w:line="360" w:lineRule="auto" w:before="3"/>
        <w:ind w:left="308" w:right="112" w:firstLine="710"/>
        <w:jc w:val="both"/>
      </w:pPr>
      <w:r>
        <w:rPr/>
        <w:t>Dias (2012, p. 11) citando Kosik (2002), diz que na “práxis, nada é dado, tudo é refletido e transformado. Não há verdade absoluta, tudo é passivo de transformações, tudo pode ser construído. A práxis é a esfera do ser humano”. Para o autor, a práxis é, portanto, o movimento dialético constante entre a ação e a reflexão. É o repensar a prática (replanejar), ação nova que pretende transformação, a superação da consciência comum, a que pensam os atos práticos, que se nutre de valores, juízos e preconceitos.</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8" w:firstLine="710"/>
        <w:jc w:val="both"/>
      </w:pPr>
      <w:r>
        <w:rPr/>
        <w:t>A práxis é ação ativa que transforma a realidade e é por ela transformada, porque envolve conhecer o objeto, estabelecer finalidades e realizar intervenção para que a realidade seja transformada. É a intencionalidade que confere  à prática caráter diferenciada da prática presente na racionalidade técnica instituída pelo paradigma dominante. É na intenção e na ação de transformar a realidade que conferem a prática educativa o caráter de práxis, relação teoria e prática para transformação da natureza e da sociedade. (PIMENTA, 2002).</w:t>
      </w:r>
    </w:p>
    <w:p>
      <w:pPr>
        <w:pStyle w:val="BodyText"/>
        <w:rPr>
          <w:sz w:val="26"/>
        </w:rPr>
      </w:pPr>
    </w:p>
    <w:p>
      <w:pPr>
        <w:pStyle w:val="BodyText"/>
        <w:rPr>
          <w:sz w:val="26"/>
        </w:rPr>
      </w:pPr>
    </w:p>
    <w:p>
      <w:pPr>
        <w:spacing w:line="240" w:lineRule="auto" w:before="234"/>
        <w:ind w:left="2574" w:right="105" w:firstLine="0"/>
        <w:jc w:val="both"/>
        <w:rPr>
          <w:sz w:val="20"/>
        </w:rPr>
      </w:pPr>
      <w:r>
        <w:rPr>
          <w:sz w:val="20"/>
        </w:rPr>
        <w:t>Em condições objetivas, quem pode agir diretamente sobre a realidade são os sujeitos conscientes. Estes têm sua ação pautada na consciência, em algum nível de reflexão, numa significação, seja ela ideológica interesseira ou utilitária, num processo que não é mecânico, automático, aleatório. Incessantemente, há na ação consciente dos sujeitos um nível de elaboração, um sentido, um fim, uma justificativa, uma  marca humana, que é a intencionalidade. (PINTO, 2011, p. 45).</w:t>
      </w:r>
    </w:p>
    <w:p>
      <w:pPr>
        <w:pStyle w:val="BodyText"/>
        <w:rPr>
          <w:sz w:val="22"/>
        </w:rPr>
      </w:pPr>
    </w:p>
    <w:p>
      <w:pPr>
        <w:pStyle w:val="BodyText"/>
        <w:rPr>
          <w:sz w:val="22"/>
        </w:rPr>
      </w:pPr>
    </w:p>
    <w:p>
      <w:pPr>
        <w:pStyle w:val="BodyText"/>
        <w:spacing w:before="11"/>
        <w:rPr>
          <w:sz w:val="27"/>
        </w:rPr>
      </w:pPr>
    </w:p>
    <w:p>
      <w:pPr>
        <w:pStyle w:val="BodyText"/>
        <w:spacing w:line="360" w:lineRule="auto"/>
        <w:ind w:left="308" w:right="98" w:firstLine="710"/>
        <w:jc w:val="both"/>
      </w:pPr>
      <w:r>
        <w:rPr/>
        <w:t>A intencionalidade é considerada como necessária a ação para “compreender esse elemento dinâmico e motor fundamental para qualquer educador, especialmente em um contexto de valores imprecisos e de rotinas estabelecidas diante de desafios importantes que exigem respostas comprometidas”. (SACRISTÁN, 1999, p.33).</w:t>
      </w:r>
    </w:p>
    <w:p>
      <w:pPr>
        <w:pStyle w:val="BodyText"/>
        <w:spacing w:line="360" w:lineRule="auto" w:before="7"/>
        <w:ind w:left="308" w:right="118" w:firstLine="710"/>
        <w:jc w:val="both"/>
      </w:pPr>
      <w:r>
        <w:rPr/>
        <w:t>Dessa forma, como práxis social, a prática educativa não se dá de forma isolada, está inserida na prática social global que se referência numa sociedade concreta e historicamente situada e organizada. (LIBÂNEO, 1998).</w:t>
      </w:r>
    </w:p>
    <w:p>
      <w:pPr>
        <w:pStyle w:val="BodyText"/>
        <w:spacing w:line="360" w:lineRule="auto" w:before="3"/>
        <w:ind w:left="308" w:right="101" w:firstLine="710"/>
        <w:jc w:val="both"/>
      </w:pPr>
      <w:r>
        <w:rPr/>
        <w:t>Nesse sentido, é oportuno esclarecer que para fim de localização em relação aos objetivos desse trabalho, por prática educativa será considerada toda ação realizada pela escola em seus diferentes aspectos, e o foco pretendido situa-se em duas dimensões, a saber: a dimensão do paradigma newtoniano- cartesiano, também considerado como paradigma dominante que se caracteriza por abordagens reprodutivas e conservadoras; e a dimensão do paradigma emergente (BEHRENS, 2006), que se caracteriza por referenciais teóricos que enfatizam a consciência, a inter-relação e a interdependência dos fenômenos, assim como as transcendências das fronteiras disciplinares e conceituais do conhecimento escolar.</w:t>
      </w:r>
    </w:p>
    <w:p>
      <w:pPr>
        <w:spacing w:after="0" w:line="360" w:lineRule="auto"/>
        <w:jc w:val="both"/>
        <w:sectPr>
          <w:pgSz w:w="11910" w:h="16840"/>
          <w:pgMar w:header="1133" w:footer="0" w:top="1340" w:bottom="280" w:left="1680" w:right="1020"/>
        </w:sectPr>
      </w:pPr>
    </w:p>
    <w:p>
      <w:pPr>
        <w:pStyle w:val="BodyText"/>
        <w:spacing w:before="10"/>
        <w:rPr>
          <w:sz w:val="20"/>
        </w:rPr>
      </w:pPr>
    </w:p>
    <w:p>
      <w:pPr>
        <w:pStyle w:val="Heading3"/>
        <w:numPr>
          <w:ilvl w:val="2"/>
          <w:numId w:val="7"/>
        </w:numPr>
        <w:tabs>
          <w:tab w:pos="922" w:val="left" w:leader="none"/>
        </w:tabs>
        <w:spacing w:line="362" w:lineRule="auto" w:before="92" w:after="0"/>
        <w:ind w:left="989" w:right="126" w:hanging="681"/>
        <w:jc w:val="left"/>
      </w:pPr>
      <w:bookmarkStart w:name="_TOC_250012" w:id="5"/>
      <w:bookmarkEnd w:id="5"/>
      <w:r>
        <w:rPr/>
        <w:t>O paradigma dominante: da racionalidade científica à fragmentação do ensino</w:t>
      </w:r>
    </w:p>
    <w:p>
      <w:pPr>
        <w:pStyle w:val="BodyText"/>
        <w:rPr>
          <w:b/>
          <w:sz w:val="26"/>
        </w:rPr>
      </w:pPr>
    </w:p>
    <w:p>
      <w:pPr>
        <w:pStyle w:val="BodyText"/>
        <w:rPr>
          <w:b/>
          <w:sz w:val="26"/>
        </w:rPr>
      </w:pPr>
    </w:p>
    <w:p>
      <w:pPr>
        <w:pStyle w:val="BodyText"/>
        <w:spacing w:line="360" w:lineRule="auto" w:before="233"/>
        <w:ind w:left="308" w:right="132" w:firstLine="710"/>
        <w:jc w:val="both"/>
      </w:pPr>
      <w:r>
        <w:rPr/>
        <w:t>Para melhor perceber o paradigma dominante e sua relação com a prática educativa e a escola, será feita inicialmente uma reflexão sobre o que se entende por paradigma e qual concepção subsidia as discussões que serão apresentadas ao longo do texto. Como termo, a palavra grega paradigma significa modelo, padrão ou exemplo, no entanto, historicamente o termo vem sendo utilizado de diferentes formas e aplicado em diferentes áreas do conhecimento.</w:t>
      </w:r>
    </w:p>
    <w:p>
      <w:pPr>
        <w:pStyle w:val="BodyText"/>
        <w:spacing w:line="360" w:lineRule="auto" w:before="3"/>
        <w:ind w:left="308" w:right="117" w:firstLine="710"/>
        <w:jc w:val="both"/>
      </w:pPr>
      <w:r>
        <w:rPr/>
        <w:t>Do ponto de vista filosófico, está relacionado à epistemologia, à forma de tratar a natureza, à origem e à validade do conhecimento em determinado momento, contexto ou situação. Marcondes (1997, p. 14), tratando sobre essa questão, diz que há uma concepção contemporânea cujo destaque sobre esse tema é a visão de Kuhn (2007), porque esse autor associa o termo paradigma a um conjunto de hábitos científicos, vinculado ao modo de pensar e agir que os membros de uma comunidade científica partilham, numa possessão coletiva, de um grupo, como se fosse um código de funcionamento.</w:t>
      </w:r>
    </w:p>
    <w:p>
      <w:pPr>
        <w:pStyle w:val="BodyText"/>
        <w:spacing w:line="360" w:lineRule="auto" w:before="2"/>
        <w:ind w:left="308" w:right="122" w:firstLine="705"/>
        <w:jc w:val="both"/>
      </w:pPr>
      <w:r>
        <w:rPr/>
        <w:t>Nesse aspecto, o paradigma possui uma função normativa, que estabelece limite e que determina como deve ser o agir dentro desse limite. É uma forma de educação oferecida pela comunidade científica aos seus membros que ensina a ver, a separar o que é relevante do que não é. (BOEIRA E KOSLOWSKI, 2009).</w:t>
      </w:r>
    </w:p>
    <w:p>
      <w:pPr>
        <w:pStyle w:val="BodyText"/>
        <w:spacing w:line="360" w:lineRule="auto" w:before="7"/>
        <w:ind w:left="308" w:right="122" w:firstLine="705"/>
        <w:jc w:val="both"/>
      </w:pPr>
      <w:r>
        <w:rPr/>
        <w:t>O entendimento apresentado por Kuhn (2007, p. 13), é de que paradigmas são “realizações científicas universalmente reconhecidas que, durante algum tempo, fornecem problemas e soluções modelares para </w:t>
      </w:r>
      <w:r>
        <w:rPr>
          <w:spacing w:val="-3"/>
        </w:rPr>
        <w:t>uma </w:t>
      </w:r>
      <w:r>
        <w:rPr/>
        <w:t>comunidade de praticantes de </w:t>
      </w:r>
      <w:r>
        <w:rPr>
          <w:spacing w:val="-3"/>
        </w:rPr>
        <w:t>uma </w:t>
      </w:r>
      <w:r>
        <w:rPr/>
        <w:t>ciência”. É um perceber educado pela teoria, diferente do perceber comum a todos os homens, </w:t>
      </w:r>
      <w:r>
        <w:rPr>
          <w:spacing w:val="-3"/>
        </w:rPr>
        <w:t>mas </w:t>
      </w:r>
      <w:r>
        <w:rPr/>
        <w:t>uma percepção condicionada por um tipo de educação, de modo que perceber/observar e o teorizar sejam </w:t>
      </w:r>
      <w:r>
        <w:rPr>
          <w:spacing w:val="5"/>
        </w:rPr>
        <w:t>dois </w:t>
      </w:r>
      <w:r>
        <w:rPr/>
        <w:t>lados de um mesmo</w:t>
      </w:r>
      <w:r>
        <w:rPr>
          <w:spacing w:val="-9"/>
        </w:rPr>
        <w:t> </w:t>
      </w:r>
      <w:r>
        <w:rPr/>
        <w:t>processo.</w:t>
      </w:r>
    </w:p>
    <w:p>
      <w:pPr>
        <w:pStyle w:val="BodyText"/>
        <w:spacing w:line="360" w:lineRule="auto" w:before="3"/>
        <w:ind w:left="308" w:right="134" w:firstLine="705"/>
        <w:jc w:val="both"/>
      </w:pPr>
      <w:r>
        <w:rPr/>
        <w:t>É nesse sentido, mais propriamente nas discussões de Santos Filho  (2003), Moraes (2004b) e Santos e Santos (2009) sobre esse assunto que estão as contribuições ao viés de compressão conceitual que faz sentido para esse trabalho, quando Santos Filho (2003) também subsidiado em Kuhn diz que paradigmas</w:t>
      </w:r>
      <w:r>
        <w:rPr>
          <w:spacing w:val="36"/>
        </w:rPr>
        <w:t> </w:t>
      </w:r>
      <w:r>
        <w:rPr/>
        <w:t>podem</w:t>
      </w:r>
      <w:r>
        <w:rPr>
          <w:spacing w:val="32"/>
        </w:rPr>
        <w:t> </w:t>
      </w:r>
      <w:r>
        <w:rPr/>
        <w:t>ser</w:t>
      </w:r>
      <w:r>
        <w:rPr>
          <w:spacing w:val="37"/>
        </w:rPr>
        <w:t> </w:t>
      </w:r>
      <w:r>
        <w:rPr/>
        <w:t>compreendidos</w:t>
      </w:r>
      <w:r>
        <w:rPr>
          <w:spacing w:val="36"/>
        </w:rPr>
        <w:t> </w:t>
      </w:r>
      <w:r>
        <w:rPr/>
        <w:t>como</w:t>
      </w:r>
      <w:r>
        <w:rPr>
          <w:spacing w:val="36"/>
        </w:rPr>
        <w:t> </w:t>
      </w:r>
      <w:r>
        <w:rPr/>
        <w:t>concepções</w:t>
      </w:r>
      <w:r>
        <w:rPr>
          <w:spacing w:val="36"/>
        </w:rPr>
        <w:t> </w:t>
      </w:r>
      <w:r>
        <w:rPr/>
        <w:t>sobre</w:t>
      </w:r>
      <w:r>
        <w:rPr>
          <w:spacing w:val="36"/>
        </w:rPr>
        <w:t> </w:t>
      </w:r>
      <w:r>
        <w:rPr/>
        <w:t>a</w:t>
      </w:r>
      <w:r>
        <w:rPr>
          <w:spacing w:val="36"/>
        </w:rPr>
        <w:t> </w:t>
      </w:r>
      <w:r>
        <w:rPr/>
        <w:t>realidade</w:t>
      </w:r>
      <w:r>
        <w:rPr>
          <w:spacing w:val="36"/>
        </w:rPr>
        <w:t> </w:t>
      </w:r>
      <w:r>
        <w:rPr/>
        <w:t>ou</w:t>
      </w:r>
    </w:p>
    <w:p>
      <w:pPr>
        <w:spacing w:after="0" w:line="360" w:lineRule="auto"/>
        <w:jc w:val="both"/>
        <w:sectPr>
          <w:pgSz w:w="11910" w:h="16840"/>
          <w:pgMar w:header="1133" w:footer="0" w:top="1340" w:bottom="280" w:left="1680" w:right="1000"/>
        </w:sectPr>
      </w:pPr>
    </w:p>
    <w:p>
      <w:pPr>
        <w:pStyle w:val="BodyText"/>
        <w:spacing w:before="3"/>
        <w:rPr>
          <w:sz w:val="21"/>
        </w:rPr>
      </w:pPr>
    </w:p>
    <w:p>
      <w:pPr>
        <w:pStyle w:val="BodyText"/>
        <w:spacing w:line="362" w:lineRule="auto" w:before="92"/>
        <w:ind w:left="308" w:right="169"/>
      </w:pPr>
      <w:r>
        <w:rPr/>
        <w:t>ainda, como métodos do conhecimento que são utilizados para balizar o acesso das pessoas ao conhecimento.</w:t>
      </w:r>
    </w:p>
    <w:p>
      <w:pPr>
        <w:pStyle w:val="BodyText"/>
        <w:spacing w:line="360" w:lineRule="auto"/>
        <w:ind w:left="308" w:right="114" w:firstLine="705"/>
        <w:jc w:val="both"/>
      </w:pPr>
      <w:r>
        <w:rPr/>
        <w:t>Sobre essa relação com conhecimento, Moraes (2004b), afirma que os paradigmas controlam os discursos, criam privilégios entre </w:t>
      </w:r>
      <w:r>
        <w:rPr>
          <w:spacing w:val="-3"/>
        </w:rPr>
        <w:t>uma </w:t>
      </w:r>
      <w:r>
        <w:rPr/>
        <w:t>relação lógica e outra, ou podem ainda, reger a forma de pensar, o modo de usar a lógica de ordem dos discursos, os pensamentos e as ações, pode ao </w:t>
      </w:r>
      <w:r>
        <w:rPr>
          <w:spacing w:val="-3"/>
        </w:rPr>
        <w:t>mesmo  </w:t>
      </w:r>
      <w:r>
        <w:rPr/>
        <w:t>tempo, revelar e ocultar, ser verdade e ou</w:t>
      </w:r>
      <w:r>
        <w:rPr>
          <w:spacing w:val="-14"/>
        </w:rPr>
        <w:t> </w:t>
      </w:r>
      <w:r>
        <w:rPr/>
        <w:t>não.</w:t>
      </w:r>
    </w:p>
    <w:p>
      <w:pPr>
        <w:pStyle w:val="BodyText"/>
        <w:spacing w:line="360" w:lineRule="auto" w:before="2"/>
        <w:ind w:left="308" w:right="102" w:firstLine="710"/>
        <w:jc w:val="both"/>
      </w:pPr>
      <w:r>
        <w:rPr/>
        <w:t>E em estudo mais recente, Santos e Santos (2009, p. 42), afirmam que os “paradigmas não existem apenas para explicar o mundo, mas para organizá-lo mediante o uso do poder [...]. Além de humanamente necessários, historicamente relativos e naturalmente seletivos, os paradigmas tendem a territorializar-se.</w:t>
      </w:r>
    </w:p>
    <w:p>
      <w:pPr>
        <w:pStyle w:val="BodyText"/>
        <w:spacing w:line="360" w:lineRule="auto" w:before="2"/>
        <w:ind w:left="308" w:right="105" w:firstLine="705"/>
        <w:jc w:val="both"/>
      </w:pPr>
      <w:r>
        <w:rPr/>
        <w:t>Essa característica mencionada por Santos e Santos (2009) possibilitou que o paradigma dominante se tornasse um modelo de racionalidade da ciência moderna, influenciando os diferentes aspectos da vida humana nas diferentes sociedades, principalmente a educação e a escola, conforme apontado nos estudos de Marcondes (1997), Boaventura de Souza Santos (1997 e 2006ª), Moraes (1997) e Cambi</w:t>
      </w:r>
      <w:r>
        <w:rPr>
          <w:spacing w:val="-13"/>
        </w:rPr>
        <w:t> </w:t>
      </w:r>
      <w:r>
        <w:rPr/>
        <w:t>(1999).</w:t>
      </w:r>
    </w:p>
    <w:p>
      <w:pPr>
        <w:pStyle w:val="BodyText"/>
        <w:spacing w:line="360" w:lineRule="auto" w:before="7"/>
        <w:ind w:left="308" w:right="100" w:firstLine="705"/>
        <w:jc w:val="both"/>
      </w:pPr>
      <w:r>
        <w:rPr/>
        <w:t>Portanto, nesses termos, entende-se por paradigma dominante o modelo de racionalidade desenvolvido nas ciências naturais a partir do conhecimento científico construído desde o século XVI por influência de cientistas como Newton, Darwin, Durkheim, Lavoisier ou Adam Smith entre outros, cujas regras metodológicas e princípios epistemológicos perfeitamente definidos tinham como características confiança de que estava em seu alcance a capacidade de previsão da ciência para explicar todos os fenômenos, de modo que o conhecimento fosse considerado como objetivo, universal e determinista e fosse amadurecendo e se consolidando nos aspectos epistemológicos, sócio – político - econômico e educacional com o passar dos</w:t>
      </w:r>
      <w:r>
        <w:rPr>
          <w:spacing w:val="-9"/>
        </w:rPr>
        <w:t> </w:t>
      </w:r>
      <w:r>
        <w:rPr/>
        <w:t>séculos.</w:t>
      </w:r>
    </w:p>
    <w:p>
      <w:pPr>
        <w:pStyle w:val="BodyText"/>
        <w:spacing w:line="360" w:lineRule="auto" w:before="2"/>
        <w:ind w:left="308" w:right="106" w:firstLine="705"/>
        <w:jc w:val="both"/>
      </w:pPr>
      <w:r>
        <w:rPr/>
        <w:t>Para perceber melhor como se deu esse processo e cada um dos aspectos mencionados, faz-se uso das ideias dos autores anteriormente mencionados, e também da análise que Rodrigues (2010), subsidiado em González (2005), faz de como epistemologicamente um paradigma se torna de fato paradigma.</w:t>
      </w:r>
    </w:p>
    <w:p>
      <w:pPr>
        <w:pStyle w:val="BodyText"/>
        <w:spacing w:line="360" w:lineRule="auto" w:before="2"/>
        <w:ind w:left="308" w:right="104" w:firstLine="705"/>
        <w:jc w:val="both"/>
      </w:pPr>
      <w:r>
        <w:rPr/>
        <w:t>Segundo Rodrigues (2010), para delimitar e consolidar um paradigma é necessário recorrer a diferentes aspectos e dimensões conceituais e delimitadoras,   das   quais   mencionam   as   de   caráter   sociológico, estrutural,</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right="270"/>
      </w:pPr>
      <w:r>
        <w:rPr/>
        <w:t>sistêmico, metodológico, linguístico, organizacional, instrumental, epistemológico  e prescritivo, que podem ser visualizadas no quadro 01 como</w:t>
      </w:r>
      <w:r>
        <w:rPr>
          <w:spacing w:val="-34"/>
        </w:rPr>
        <w:t> </w:t>
      </w:r>
      <w:r>
        <w:rPr/>
        <w:t>segue:</w:t>
      </w:r>
    </w:p>
    <w:p>
      <w:pPr>
        <w:pStyle w:val="BodyText"/>
        <w:rPr>
          <w:sz w:val="26"/>
        </w:rPr>
      </w:pPr>
    </w:p>
    <w:p>
      <w:pPr>
        <w:pStyle w:val="BodyText"/>
        <w:rPr>
          <w:sz w:val="26"/>
        </w:rPr>
      </w:pPr>
    </w:p>
    <w:p>
      <w:pPr>
        <w:spacing w:before="227" w:after="42"/>
        <w:ind w:left="625" w:right="0" w:firstLine="0"/>
        <w:jc w:val="left"/>
        <w:rPr>
          <w:b/>
          <w:sz w:val="20"/>
        </w:rPr>
      </w:pPr>
      <w:r>
        <w:rPr>
          <w:b/>
          <w:sz w:val="20"/>
        </w:rPr>
        <w:t>Quadro 01 – Delimitação e consolidação de um paradigma e seus diferentes aspectos</w:t>
      </w:r>
    </w:p>
    <w:tbl>
      <w:tblPr>
        <w:tblW w:w="0" w:type="auto"/>
        <w:jc w:val="left"/>
        <w:tblInd w:w="3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86"/>
        <w:gridCol w:w="5412"/>
      </w:tblGrid>
      <w:tr>
        <w:trPr>
          <w:trHeight w:val="238" w:hRule="exact"/>
        </w:trPr>
        <w:tc>
          <w:tcPr>
            <w:tcW w:w="3486" w:type="dxa"/>
            <w:shd w:val="clear" w:color="auto" w:fill="ADAAAA"/>
          </w:tcPr>
          <w:p>
            <w:pPr>
              <w:pStyle w:val="TableParagraph"/>
              <w:spacing w:line="222" w:lineRule="exact"/>
              <w:ind w:left="1262" w:right="1273"/>
              <w:rPr>
                <w:b/>
                <w:sz w:val="20"/>
              </w:rPr>
            </w:pPr>
            <w:r>
              <w:rPr>
                <w:b/>
                <w:sz w:val="20"/>
              </w:rPr>
              <w:t>Aspectos</w:t>
            </w:r>
          </w:p>
        </w:tc>
        <w:tc>
          <w:tcPr>
            <w:tcW w:w="5412" w:type="dxa"/>
            <w:shd w:val="clear" w:color="auto" w:fill="ADAAAA"/>
          </w:tcPr>
          <w:p>
            <w:pPr>
              <w:pStyle w:val="TableParagraph"/>
              <w:spacing w:line="222" w:lineRule="exact"/>
              <w:ind w:left="1967" w:right="1971"/>
              <w:rPr>
                <w:b/>
                <w:sz w:val="20"/>
              </w:rPr>
            </w:pPr>
            <w:r>
              <w:rPr>
                <w:b/>
                <w:sz w:val="20"/>
              </w:rPr>
              <w:t>Caracterização</w:t>
            </w:r>
          </w:p>
        </w:tc>
      </w:tr>
      <w:tr>
        <w:trPr>
          <w:trHeight w:val="293" w:hRule="exact"/>
        </w:trPr>
        <w:tc>
          <w:tcPr>
            <w:tcW w:w="3486" w:type="dxa"/>
          </w:tcPr>
          <w:p>
            <w:pPr>
              <w:pStyle w:val="TableParagraph"/>
              <w:spacing w:before="23"/>
              <w:ind w:left="100"/>
              <w:jc w:val="left"/>
              <w:rPr>
                <w:sz w:val="20"/>
              </w:rPr>
            </w:pPr>
            <w:r>
              <w:rPr>
                <w:sz w:val="20"/>
              </w:rPr>
              <w:t>1. Caráter sociológico</w:t>
            </w:r>
          </w:p>
        </w:tc>
        <w:tc>
          <w:tcPr>
            <w:tcW w:w="5412" w:type="dxa"/>
          </w:tcPr>
          <w:p>
            <w:pPr>
              <w:pStyle w:val="TableParagraph"/>
              <w:spacing w:before="23"/>
              <w:ind w:left="100"/>
              <w:jc w:val="left"/>
              <w:rPr>
                <w:sz w:val="20"/>
              </w:rPr>
            </w:pPr>
            <w:r>
              <w:rPr>
                <w:sz w:val="20"/>
              </w:rPr>
              <w:t>Referência da comunidade científica que o assume;</w:t>
            </w:r>
          </w:p>
        </w:tc>
      </w:tr>
      <w:tr>
        <w:trPr>
          <w:trHeight w:val="471" w:hRule="exact"/>
        </w:trPr>
        <w:tc>
          <w:tcPr>
            <w:tcW w:w="3486" w:type="dxa"/>
          </w:tcPr>
          <w:p>
            <w:pPr>
              <w:pStyle w:val="TableParagraph"/>
              <w:spacing w:before="115"/>
              <w:ind w:left="100"/>
              <w:jc w:val="left"/>
              <w:rPr>
                <w:sz w:val="20"/>
              </w:rPr>
            </w:pPr>
            <w:r>
              <w:rPr>
                <w:sz w:val="20"/>
              </w:rPr>
              <w:t>2. Exigência consensual</w:t>
            </w:r>
          </w:p>
        </w:tc>
        <w:tc>
          <w:tcPr>
            <w:tcW w:w="5412" w:type="dxa"/>
          </w:tcPr>
          <w:p>
            <w:pPr>
              <w:pStyle w:val="TableParagraph"/>
              <w:spacing w:line="226" w:lineRule="exact" w:before="7"/>
              <w:ind w:left="100" w:right="646"/>
              <w:jc w:val="left"/>
              <w:rPr>
                <w:sz w:val="20"/>
              </w:rPr>
            </w:pPr>
            <w:r>
              <w:rPr>
                <w:sz w:val="20"/>
              </w:rPr>
              <w:t>Necessidade de aceitação geral e não imposição de modos básicos de atuação;</w:t>
            </w:r>
          </w:p>
        </w:tc>
      </w:tr>
      <w:tr>
        <w:trPr>
          <w:trHeight w:val="240" w:hRule="exact"/>
        </w:trPr>
        <w:tc>
          <w:tcPr>
            <w:tcW w:w="3486" w:type="dxa"/>
          </w:tcPr>
          <w:p>
            <w:pPr>
              <w:pStyle w:val="TableParagraph"/>
              <w:spacing w:line="225" w:lineRule="exact"/>
              <w:ind w:left="100"/>
              <w:jc w:val="left"/>
              <w:rPr>
                <w:sz w:val="20"/>
              </w:rPr>
            </w:pPr>
            <w:r>
              <w:rPr>
                <w:sz w:val="20"/>
              </w:rPr>
              <w:t>3.Historicidade</w:t>
            </w:r>
          </w:p>
        </w:tc>
        <w:tc>
          <w:tcPr>
            <w:tcW w:w="5412" w:type="dxa"/>
          </w:tcPr>
          <w:p>
            <w:pPr>
              <w:pStyle w:val="TableParagraph"/>
              <w:spacing w:line="225" w:lineRule="exact"/>
              <w:ind w:left="100"/>
              <w:jc w:val="left"/>
              <w:rPr>
                <w:sz w:val="20"/>
              </w:rPr>
            </w:pPr>
            <w:r>
              <w:rPr>
                <w:sz w:val="20"/>
              </w:rPr>
              <w:t>Reconhecimento da vigência temporal;</w:t>
            </w:r>
          </w:p>
        </w:tc>
      </w:tr>
      <w:tr>
        <w:trPr>
          <w:trHeight w:val="470" w:hRule="exact"/>
        </w:trPr>
        <w:tc>
          <w:tcPr>
            <w:tcW w:w="3486" w:type="dxa"/>
          </w:tcPr>
          <w:p>
            <w:pPr>
              <w:pStyle w:val="TableParagraph"/>
              <w:spacing w:before="110"/>
              <w:ind w:left="100"/>
              <w:jc w:val="left"/>
              <w:rPr>
                <w:sz w:val="20"/>
              </w:rPr>
            </w:pPr>
            <w:r>
              <w:rPr>
                <w:sz w:val="20"/>
              </w:rPr>
              <w:t>4. Natureza estrutural e sistêmica</w:t>
            </w:r>
          </w:p>
        </w:tc>
        <w:tc>
          <w:tcPr>
            <w:tcW w:w="5412" w:type="dxa"/>
          </w:tcPr>
          <w:p>
            <w:pPr>
              <w:pStyle w:val="TableParagraph"/>
              <w:ind w:left="100" w:right="335"/>
              <w:jc w:val="left"/>
              <w:rPr>
                <w:sz w:val="20"/>
              </w:rPr>
            </w:pPr>
            <w:r>
              <w:rPr>
                <w:sz w:val="20"/>
              </w:rPr>
              <w:t>Refere-se a presença de uma organização harmoniosa, integrada e completa de diferentes componentes.</w:t>
            </w:r>
          </w:p>
        </w:tc>
      </w:tr>
      <w:tr>
        <w:trPr>
          <w:trHeight w:val="240" w:hRule="exact"/>
        </w:trPr>
        <w:tc>
          <w:tcPr>
            <w:tcW w:w="3486" w:type="dxa"/>
          </w:tcPr>
          <w:p>
            <w:pPr>
              <w:pStyle w:val="TableParagraph"/>
              <w:spacing w:line="225" w:lineRule="exact"/>
              <w:ind w:left="100"/>
              <w:jc w:val="left"/>
              <w:rPr>
                <w:sz w:val="20"/>
              </w:rPr>
            </w:pPr>
            <w:r>
              <w:rPr>
                <w:sz w:val="20"/>
              </w:rPr>
              <w:t>5. Instrumentalidade demarcadora</w:t>
            </w:r>
          </w:p>
        </w:tc>
        <w:tc>
          <w:tcPr>
            <w:tcW w:w="5412" w:type="dxa"/>
          </w:tcPr>
          <w:p>
            <w:pPr>
              <w:pStyle w:val="TableParagraph"/>
              <w:spacing w:line="225" w:lineRule="exact"/>
              <w:ind w:left="100"/>
              <w:jc w:val="left"/>
              <w:rPr>
                <w:sz w:val="20"/>
              </w:rPr>
            </w:pPr>
            <w:r>
              <w:rPr>
                <w:sz w:val="20"/>
              </w:rPr>
              <w:t>Delimitação de um âmbito de estudo.</w:t>
            </w:r>
          </w:p>
        </w:tc>
      </w:tr>
      <w:tr>
        <w:trPr>
          <w:trHeight w:val="471" w:hRule="exact"/>
        </w:trPr>
        <w:tc>
          <w:tcPr>
            <w:tcW w:w="3486" w:type="dxa"/>
          </w:tcPr>
          <w:p>
            <w:pPr>
              <w:pStyle w:val="TableParagraph"/>
              <w:spacing w:before="110"/>
              <w:ind w:left="100"/>
              <w:jc w:val="left"/>
              <w:rPr>
                <w:sz w:val="20"/>
              </w:rPr>
            </w:pPr>
            <w:r>
              <w:rPr>
                <w:sz w:val="20"/>
              </w:rPr>
              <w:t>6. Estatuto metodológico</w:t>
            </w:r>
          </w:p>
        </w:tc>
        <w:tc>
          <w:tcPr>
            <w:tcW w:w="5412" w:type="dxa"/>
          </w:tcPr>
          <w:p>
            <w:pPr>
              <w:pStyle w:val="TableParagraph"/>
              <w:ind w:left="100" w:right="234"/>
              <w:jc w:val="left"/>
              <w:rPr>
                <w:sz w:val="20"/>
              </w:rPr>
            </w:pPr>
            <w:r>
              <w:rPr>
                <w:sz w:val="20"/>
              </w:rPr>
              <w:t>Organização dos meios para estudar a realidade em que se tem interesse.</w:t>
            </w:r>
          </w:p>
        </w:tc>
      </w:tr>
      <w:tr>
        <w:trPr>
          <w:trHeight w:val="470" w:hRule="exact"/>
        </w:trPr>
        <w:tc>
          <w:tcPr>
            <w:tcW w:w="3486" w:type="dxa"/>
          </w:tcPr>
          <w:p>
            <w:pPr>
              <w:pStyle w:val="TableParagraph"/>
              <w:spacing w:before="110"/>
              <w:ind w:left="100"/>
              <w:jc w:val="left"/>
              <w:rPr>
                <w:sz w:val="20"/>
              </w:rPr>
            </w:pPr>
            <w:r>
              <w:rPr>
                <w:sz w:val="20"/>
              </w:rPr>
              <w:t>7. Contexto de legitimação</w:t>
            </w:r>
          </w:p>
        </w:tc>
        <w:tc>
          <w:tcPr>
            <w:tcW w:w="5412" w:type="dxa"/>
          </w:tcPr>
          <w:p>
            <w:pPr>
              <w:pStyle w:val="TableParagraph"/>
              <w:ind w:left="100" w:right="835"/>
              <w:jc w:val="left"/>
              <w:rPr>
                <w:sz w:val="20"/>
              </w:rPr>
            </w:pPr>
            <w:r>
              <w:rPr>
                <w:sz w:val="20"/>
              </w:rPr>
              <w:t>Critérios para avaliar as propostas de solução aos problemas estudados.</w:t>
            </w:r>
          </w:p>
        </w:tc>
      </w:tr>
      <w:tr>
        <w:trPr>
          <w:trHeight w:val="470" w:hRule="exact"/>
        </w:trPr>
        <w:tc>
          <w:tcPr>
            <w:tcW w:w="3486" w:type="dxa"/>
          </w:tcPr>
          <w:p>
            <w:pPr>
              <w:pStyle w:val="TableParagraph"/>
              <w:spacing w:before="110"/>
              <w:ind w:left="100"/>
              <w:jc w:val="left"/>
              <w:rPr>
                <w:sz w:val="20"/>
              </w:rPr>
            </w:pPr>
            <w:r>
              <w:rPr>
                <w:sz w:val="20"/>
              </w:rPr>
              <w:t>8. Linguagem</w:t>
            </w:r>
          </w:p>
        </w:tc>
        <w:tc>
          <w:tcPr>
            <w:tcW w:w="5412" w:type="dxa"/>
          </w:tcPr>
          <w:p>
            <w:pPr>
              <w:pStyle w:val="TableParagraph"/>
              <w:ind w:left="100" w:right="1269"/>
              <w:jc w:val="left"/>
              <w:rPr>
                <w:sz w:val="20"/>
              </w:rPr>
            </w:pPr>
            <w:r>
              <w:rPr>
                <w:sz w:val="20"/>
              </w:rPr>
              <w:t>Modos e meios de expressão e comunicação convencionalmente aceitos.</w:t>
            </w:r>
          </w:p>
        </w:tc>
      </w:tr>
      <w:tr>
        <w:trPr>
          <w:trHeight w:val="470" w:hRule="exact"/>
        </w:trPr>
        <w:tc>
          <w:tcPr>
            <w:tcW w:w="3486" w:type="dxa"/>
          </w:tcPr>
          <w:p>
            <w:pPr>
              <w:pStyle w:val="TableParagraph"/>
              <w:spacing w:before="110"/>
              <w:ind w:left="100"/>
              <w:jc w:val="left"/>
              <w:rPr>
                <w:sz w:val="20"/>
              </w:rPr>
            </w:pPr>
            <w:r>
              <w:rPr>
                <w:sz w:val="20"/>
              </w:rPr>
              <w:t>9. Aspecto organizacional</w:t>
            </w:r>
          </w:p>
        </w:tc>
        <w:tc>
          <w:tcPr>
            <w:tcW w:w="5412" w:type="dxa"/>
          </w:tcPr>
          <w:p>
            <w:pPr>
              <w:pStyle w:val="TableParagraph"/>
              <w:ind w:left="100" w:right="1647"/>
              <w:jc w:val="left"/>
              <w:rPr>
                <w:sz w:val="20"/>
              </w:rPr>
            </w:pPr>
            <w:r>
              <w:rPr>
                <w:sz w:val="20"/>
              </w:rPr>
              <w:t>Sistema de hierarquias e relações inter e intracomunitárias.</w:t>
            </w:r>
          </w:p>
        </w:tc>
      </w:tr>
      <w:tr>
        <w:trPr>
          <w:trHeight w:val="471" w:hRule="exact"/>
        </w:trPr>
        <w:tc>
          <w:tcPr>
            <w:tcW w:w="3486" w:type="dxa"/>
          </w:tcPr>
          <w:p>
            <w:pPr>
              <w:pStyle w:val="TableParagraph"/>
              <w:spacing w:before="110"/>
              <w:ind w:left="100"/>
              <w:jc w:val="left"/>
              <w:rPr>
                <w:sz w:val="20"/>
              </w:rPr>
            </w:pPr>
            <w:r>
              <w:rPr>
                <w:sz w:val="20"/>
              </w:rPr>
              <w:t>10. Natureza epistemológica</w:t>
            </w:r>
          </w:p>
        </w:tc>
        <w:tc>
          <w:tcPr>
            <w:tcW w:w="5412" w:type="dxa"/>
          </w:tcPr>
          <w:p>
            <w:pPr>
              <w:pStyle w:val="TableParagraph"/>
              <w:ind w:left="100" w:right="535"/>
              <w:jc w:val="left"/>
              <w:rPr>
                <w:sz w:val="20"/>
              </w:rPr>
            </w:pPr>
            <w:r>
              <w:rPr>
                <w:sz w:val="20"/>
              </w:rPr>
              <w:t>Modos para produzir saberes privilegiados no seio da comunidade.</w:t>
            </w:r>
          </w:p>
        </w:tc>
      </w:tr>
      <w:tr>
        <w:trPr>
          <w:trHeight w:val="470" w:hRule="exact"/>
        </w:trPr>
        <w:tc>
          <w:tcPr>
            <w:tcW w:w="3486" w:type="dxa"/>
          </w:tcPr>
          <w:p>
            <w:pPr>
              <w:pStyle w:val="TableParagraph"/>
              <w:spacing w:before="110"/>
              <w:ind w:left="100"/>
              <w:jc w:val="left"/>
              <w:rPr>
                <w:sz w:val="20"/>
              </w:rPr>
            </w:pPr>
            <w:r>
              <w:rPr>
                <w:sz w:val="20"/>
              </w:rPr>
              <w:t>11. Caráter prescritivo</w:t>
            </w:r>
          </w:p>
        </w:tc>
        <w:tc>
          <w:tcPr>
            <w:tcW w:w="5412" w:type="dxa"/>
          </w:tcPr>
          <w:p>
            <w:pPr>
              <w:pStyle w:val="TableParagraph"/>
              <w:ind w:left="100" w:right="457"/>
              <w:jc w:val="left"/>
              <w:rPr>
                <w:sz w:val="20"/>
              </w:rPr>
            </w:pPr>
            <w:r>
              <w:rPr>
                <w:sz w:val="20"/>
              </w:rPr>
              <w:t>Normas de atuação combinadas entre os membros da comunidade científica.</w:t>
            </w:r>
          </w:p>
        </w:tc>
      </w:tr>
    </w:tbl>
    <w:p>
      <w:pPr>
        <w:spacing w:before="0"/>
        <w:ind w:left="308" w:right="0" w:firstLine="0"/>
        <w:jc w:val="left"/>
        <w:rPr>
          <w:sz w:val="20"/>
        </w:rPr>
      </w:pPr>
      <w:r>
        <w:rPr>
          <w:sz w:val="20"/>
        </w:rPr>
        <w:t>Fonte: Gonsález (2005) citado por Rodrigues (2010).</w:t>
      </w:r>
    </w:p>
    <w:p>
      <w:pPr>
        <w:pStyle w:val="BodyText"/>
        <w:rPr>
          <w:sz w:val="22"/>
        </w:rPr>
      </w:pPr>
    </w:p>
    <w:p>
      <w:pPr>
        <w:pStyle w:val="BodyText"/>
        <w:rPr>
          <w:sz w:val="22"/>
        </w:rPr>
      </w:pPr>
    </w:p>
    <w:p>
      <w:pPr>
        <w:pStyle w:val="BodyText"/>
        <w:rPr>
          <w:sz w:val="22"/>
        </w:rPr>
      </w:pPr>
    </w:p>
    <w:p>
      <w:pPr>
        <w:pStyle w:val="BodyText"/>
        <w:spacing w:line="360" w:lineRule="auto" w:before="183"/>
        <w:ind w:left="308" w:right="240" w:firstLine="705"/>
        <w:jc w:val="both"/>
      </w:pPr>
      <w:r>
        <w:rPr/>
        <w:t>Os aspectos apontados no quadro 01 são relevantes e mostram que o processo de amadurecimento e consolidação de um paradigma no campo epistemológico necessita de três ações fundamentais, a saber:</w:t>
      </w:r>
    </w:p>
    <w:p>
      <w:pPr>
        <w:pStyle w:val="ListParagraph"/>
        <w:numPr>
          <w:ilvl w:val="3"/>
          <w:numId w:val="7"/>
        </w:numPr>
        <w:tabs>
          <w:tab w:pos="3295" w:val="left" w:leader="none"/>
        </w:tabs>
        <w:spacing w:line="360" w:lineRule="auto" w:before="2" w:after="0"/>
        <w:ind w:left="3294" w:right="236" w:hanging="360"/>
        <w:jc w:val="both"/>
        <w:rPr>
          <w:sz w:val="24"/>
        </w:rPr>
      </w:pPr>
      <w:r>
        <w:rPr>
          <w:sz w:val="24"/>
        </w:rPr>
        <w:t>Aceitação e reconhecimento por </w:t>
      </w:r>
      <w:r>
        <w:rPr>
          <w:spacing w:val="-3"/>
          <w:sz w:val="24"/>
        </w:rPr>
        <w:t>uma </w:t>
      </w:r>
      <w:r>
        <w:rPr>
          <w:sz w:val="24"/>
        </w:rPr>
        <w:t>comunidade científica;</w:t>
      </w:r>
    </w:p>
    <w:p>
      <w:pPr>
        <w:pStyle w:val="ListParagraph"/>
        <w:numPr>
          <w:ilvl w:val="3"/>
          <w:numId w:val="7"/>
        </w:numPr>
        <w:tabs>
          <w:tab w:pos="3295" w:val="left" w:leader="none"/>
        </w:tabs>
        <w:spacing w:line="360" w:lineRule="auto" w:before="2" w:after="0"/>
        <w:ind w:left="3294" w:right="230" w:hanging="360"/>
        <w:jc w:val="both"/>
        <w:rPr>
          <w:sz w:val="24"/>
        </w:rPr>
      </w:pPr>
      <w:r>
        <w:rPr>
          <w:sz w:val="24"/>
        </w:rPr>
        <w:t>Organização dos seus diferentes componentes dos quais podem ser mencionados a delimitação de estudo e seus respectivos meios, os critérios de avaliação das propostas de solução aos problemas estudados, a convenção da linguagem e da comunicação e o modo de produção dos</w:t>
      </w:r>
      <w:r>
        <w:rPr>
          <w:spacing w:val="-13"/>
          <w:sz w:val="24"/>
        </w:rPr>
        <w:t> </w:t>
      </w:r>
      <w:r>
        <w:rPr>
          <w:sz w:val="24"/>
        </w:rPr>
        <w:t>saberes;</w:t>
      </w:r>
    </w:p>
    <w:p>
      <w:pPr>
        <w:pStyle w:val="ListParagraph"/>
        <w:numPr>
          <w:ilvl w:val="3"/>
          <w:numId w:val="7"/>
        </w:numPr>
        <w:tabs>
          <w:tab w:pos="3295" w:val="left" w:leader="none"/>
        </w:tabs>
        <w:spacing w:line="360" w:lineRule="auto" w:before="2" w:after="0"/>
        <w:ind w:left="3294" w:right="230" w:hanging="360"/>
        <w:jc w:val="both"/>
        <w:rPr>
          <w:sz w:val="24"/>
        </w:rPr>
      </w:pPr>
      <w:r>
        <w:rPr>
          <w:sz w:val="24"/>
        </w:rPr>
        <w:t>Normatização da atuação, pelos membros da comunidade científica que</w:t>
      </w:r>
      <w:r>
        <w:rPr>
          <w:spacing w:val="-17"/>
          <w:sz w:val="24"/>
        </w:rPr>
        <w:t> </w:t>
      </w:r>
      <w:r>
        <w:rPr>
          <w:sz w:val="24"/>
        </w:rPr>
        <w:t>pertence.</w:t>
      </w:r>
    </w:p>
    <w:p>
      <w:pPr>
        <w:pStyle w:val="BodyText"/>
        <w:spacing w:line="362" w:lineRule="auto" w:before="2"/>
        <w:ind w:left="308" w:right="233" w:firstLine="705"/>
        <w:jc w:val="both"/>
      </w:pPr>
      <w:r>
        <w:rPr/>
        <w:t>A maturação desse processo confere ao paradigma o fortalecimento de  que</w:t>
      </w:r>
      <w:r>
        <w:rPr>
          <w:spacing w:val="41"/>
        </w:rPr>
        <w:t> </w:t>
      </w:r>
      <w:r>
        <w:rPr/>
        <w:t>precisa</w:t>
      </w:r>
      <w:r>
        <w:rPr>
          <w:spacing w:val="41"/>
        </w:rPr>
        <w:t> </w:t>
      </w:r>
      <w:r>
        <w:rPr/>
        <w:t>para</w:t>
      </w:r>
      <w:r>
        <w:rPr>
          <w:spacing w:val="41"/>
        </w:rPr>
        <w:t> </w:t>
      </w:r>
      <w:r>
        <w:rPr/>
        <w:t>se</w:t>
      </w:r>
      <w:r>
        <w:rPr>
          <w:spacing w:val="41"/>
        </w:rPr>
        <w:t> </w:t>
      </w:r>
      <w:r>
        <w:rPr/>
        <w:t>estabelecer</w:t>
      </w:r>
      <w:r>
        <w:rPr>
          <w:spacing w:val="42"/>
        </w:rPr>
        <w:t> </w:t>
      </w:r>
      <w:r>
        <w:rPr/>
        <w:t>no</w:t>
      </w:r>
      <w:r>
        <w:rPr>
          <w:spacing w:val="41"/>
        </w:rPr>
        <w:t> </w:t>
      </w:r>
      <w:r>
        <w:rPr/>
        <w:t>meio</w:t>
      </w:r>
      <w:r>
        <w:rPr>
          <w:spacing w:val="41"/>
        </w:rPr>
        <w:t> </w:t>
      </w:r>
      <w:r>
        <w:rPr/>
        <w:t>científico</w:t>
      </w:r>
      <w:r>
        <w:rPr>
          <w:spacing w:val="41"/>
        </w:rPr>
        <w:t> </w:t>
      </w:r>
      <w:r>
        <w:rPr/>
        <w:t>porque</w:t>
      </w:r>
      <w:r>
        <w:rPr>
          <w:spacing w:val="41"/>
        </w:rPr>
        <w:t> </w:t>
      </w:r>
      <w:r>
        <w:rPr/>
        <w:t>possibilita,</w:t>
      </w:r>
      <w:r>
        <w:rPr>
          <w:spacing w:val="41"/>
        </w:rPr>
        <w:t> </w:t>
      </w:r>
      <w:r>
        <w:rPr/>
        <w:t>segundo</w:t>
      </w:r>
    </w:p>
    <w:p>
      <w:pPr>
        <w:spacing w:after="0" w:line="362" w:lineRule="auto"/>
        <w:jc w:val="both"/>
        <w:sectPr>
          <w:pgSz w:w="11910" w:h="16840"/>
          <w:pgMar w:header="1133" w:footer="0" w:top="1340" w:bottom="280" w:left="1680" w:right="900"/>
        </w:sectPr>
      </w:pPr>
    </w:p>
    <w:p>
      <w:pPr>
        <w:pStyle w:val="BodyText"/>
        <w:spacing w:before="3"/>
        <w:rPr>
          <w:sz w:val="21"/>
        </w:rPr>
      </w:pPr>
    </w:p>
    <w:p>
      <w:pPr>
        <w:pStyle w:val="BodyText"/>
        <w:spacing w:line="360" w:lineRule="auto" w:before="92"/>
        <w:ind w:left="308" w:right="111"/>
        <w:jc w:val="both"/>
      </w:pPr>
      <w:r>
        <w:rPr/>
        <w:t>Pereira (2002), a construção e a justificação de sua epistemologia, via método único e universal, modo semelhante ao que pode ser atribuído ao processo de crescimento e fortalecimento epistemológico do paradigma dominante  no percurso que fez a partir do século XVI.</w:t>
      </w:r>
    </w:p>
    <w:p>
      <w:pPr>
        <w:pStyle w:val="BodyText"/>
        <w:spacing w:line="360" w:lineRule="auto" w:before="2"/>
        <w:ind w:left="308" w:right="111" w:firstLine="705"/>
        <w:jc w:val="both"/>
      </w:pPr>
      <w:r>
        <w:rPr/>
        <w:t>Nos aspectos sociais políticos e econômicos o paradigma dominante foi se consolidando a partir do que Caraça (2006) atribui como sendo resultado de processos societais que foram se modificando a partir do momento em a burguesia apropriou-se do discurso racionalista para minar as bases do poder feudal e, depois, para perpetuar-se hegemonicamente por meio da  dinâmica social das mercadorias e na postulação de controle para tudo, desde a arte à vida íntima das pessoas, como destaca Cocho (2006).</w:t>
      </w:r>
    </w:p>
    <w:p>
      <w:pPr>
        <w:pStyle w:val="BodyText"/>
        <w:spacing w:line="360" w:lineRule="auto" w:before="2"/>
        <w:ind w:left="308" w:right="106" w:firstLine="705"/>
        <w:jc w:val="right"/>
      </w:pPr>
      <w:r>
        <w:rPr/>
        <w:t>Esse processo associado ao desenvolvimento do capitalismo e das ideias de</w:t>
      </w:r>
      <w:r>
        <w:rPr>
          <w:spacing w:val="52"/>
        </w:rPr>
        <w:t> </w:t>
      </w:r>
      <w:r>
        <w:rPr/>
        <w:t>mercado</w:t>
      </w:r>
      <w:r>
        <w:rPr>
          <w:spacing w:val="52"/>
        </w:rPr>
        <w:t> </w:t>
      </w:r>
      <w:r>
        <w:rPr/>
        <w:t>que</w:t>
      </w:r>
      <w:r>
        <w:rPr>
          <w:spacing w:val="52"/>
        </w:rPr>
        <w:t> </w:t>
      </w:r>
      <w:r>
        <w:rPr/>
        <w:t>se</w:t>
      </w:r>
      <w:r>
        <w:rPr>
          <w:spacing w:val="52"/>
        </w:rPr>
        <w:t> </w:t>
      </w:r>
      <w:r>
        <w:rPr/>
        <w:t>desenvolveram ao</w:t>
      </w:r>
      <w:r>
        <w:rPr>
          <w:spacing w:val="52"/>
        </w:rPr>
        <w:t> </w:t>
      </w:r>
      <w:r>
        <w:rPr/>
        <w:t>longo</w:t>
      </w:r>
      <w:r>
        <w:rPr>
          <w:spacing w:val="52"/>
        </w:rPr>
        <w:t> </w:t>
      </w:r>
      <w:r>
        <w:rPr/>
        <w:t>dos</w:t>
      </w:r>
      <w:r>
        <w:rPr>
          <w:spacing w:val="51"/>
        </w:rPr>
        <w:t> </w:t>
      </w:r>
      <w:r>
        <w:rPr/>
        <w:t>séculos</w:t>
      </w:r>
      <w:r>
        <w:rPr>
          <w:spacing w:val="51"/>
        </w:rPr>
        <w:t> </w:t>
      </w:r>
      <w:r>
        <w:rPr/>
        <w:t>XVII</w:t>
      </w:r>
      <w:r>
        <w:rPr>
          <w:spacing w:val="52"/>
        </w:rPr>
        <w:t> </w:t>
      </w:r>
      <w:r>
        <w:rPr/>
        <w:t>a</w:t>
      </w:r>
      <w:r>
        <w:rPr>
          <w:spacing w:val="52"/>
        </w:rPr>
        <w:t> </w:t>
      </w:r>
      <w:r>
        <w:rPr/>
        <w:t>XIX</w:t>
      </w:r>
      <w:r>
        <w:rPr>
          <w:spacing w:val="50"/>
        </w:rPr>
        <w:t> </w:t>
      </w:r>
      <w:r>
        <w:rPr/>
        <w:t>(Santos</w:t>
      </w:r>
      <w:r>
        <w:rPr>
          <w:w w:val="100"/>
        </w:rPr>
        <w:t> </w:t>
      </w:r>
      <w:r>
        <w:rPr/>
        <w:t>2006b) provocou mudanças de profunda repercussão nos diferentes</w:t>
      </w:r>
      <w:r>
        <w:rPr>
          <w:spacing w:val="61"/>
        </w:rPr>
        <w:t> </w:t>
      </w:r>
      <w:r>
        <w:rPr/>
        <w:t>campos,</w:t>
      </w:r>
      <w:r>
        <w:rPr>
          <w:w w:val="100"/>
        </w:rPr>
        <w:t> </w:t>
      </w:r>
      <w:r>
        <w:rPr/>
        <w:t>lógico epistemológico, o que inclui a política, a ética, a estética, assim como nos demais setores da sociedade em razão da riqueza e diversidade das</w:t>
      </w:r>
      <w:r>
        <w:rPr>
          <w:spacing w:val="60"/>
        </w:rPr>
        <w:t> </w:t>
      </w:r>
      <w:r>
        <w:rPr/>
        <w:t>ideias, das novas perspectivas e articulações existentes entre elas num projeto sócio-cultural.</w:t>
      </w:r>
      <w:r>
        <w:rPr>
          <w:w w:val="100"/>
        </w:rPr>
        <w:t> </w:t>
      </w:r>
      <w:r>
        <w:rPr/>
        <w:t>Para Cambi (1999), </w:t>
      </w:r>
      <w:r>
        <w:rPr>
          <w:spacing w:val="-3"/>
        </w:rPr>
        <w:t>foi uma </w:t>
      </w:r>
      <w:r>
        <w:rPr/>
        <w:t>ruptura que provocou revoluções em </w:t>
      </w:r>
      <w:r>
        <w:rPr>
          <w:spacing w:val="2"/>
        </w:rPr>
        <w:t>âmbitos</w:t>
      </w:r>
      <w:r>
        <w:rPr>
          <w:w w:val="100"/>
        </w:rPr>
        <w:t> </w:t>
      </w:r>
      <w:r>
        <w:rPr/>
        <w:t>geográficos, econômicos, políticos, sociais, ideológicos, culturais e pedagógicos e</w:t>
      </w:r>
      <w:r>
        <w:rPr>
          <w:w w:val="99"/>
        </w:rPr>
        <w:t> </w:t>
      </w:r>
      <w:r>
        <w:rPr/>
        <w:t>que mudou as relações entre etnias e culturas, </w:t>
      </w:r>
      <w:r>
        <w:rPr>
          <w:spacing w:val="-3"/>
        </w:rPr>
        <w:t>uma </w:t>
      </w:r>
      <w:r>
        <w:rPr/>
        <w:t>vez que delineou</w:t>
      </w:r>
      <w:r>
        <w:rPr>
          <w:spacing w:val="65"/>
        </w:rPr>
        <w:t> </w:t>
      </w:r>
      <w:r>
        <w:rPr/>
        <w:t>duas transformações. A primeira foi </w:t>
      </w:r>
      <w:r>
        <w:rPr>
          <w:spacing w:val="-3"/>
        </w:rPr>
        <w:t>uma </w:t>
      </w:r>
      <w:r>
        <w:rPr/>
        <w:t>concepção de mundo laica, que</w:t>
      </w:r>
      <w:r>
        <w:rPr>
          <w:spacing w:val="56"/>
        </w:rPr>
        <w:t> </w:t>
      </w:r>
      <w:r>
        <w:rPr/>
        <w:t>emancipou a</w:t>
      </w:r>
      <w:r>
        <w:rPr>
          <w:w w:val="99"/>
        </w:rPr>
        <w:t> </w:t>
      </w:r>
      <w:r>
        <w:rPr/>
        <w:t>mentalidade da visão religiosa e ligou o homem à história e a direção do seu</w:t>
      </w:r>
      <w:r>
        <w:rPr>
          <w:w w:val="99"/>
        </w:rPr>
        <w:t> </w:t>
      </w:r>
      <w:r>
        <w:rPr/>
        <w:t>processo vinculado às ideias de liberdade e progresso; e a segunda </w:t>
      </w:r>
      <w:r>
        <w:rPr>
          <w:spacing w:val="-3"/>
        </w:rPr>
        <w:t>foi</w:t>
      </w:r>
      <w:r>
        <w:rPr>
          <w:spacing w:val="60"/>
        </w:rPr>
        <w:t> </w:t>
      </w:r>
      <w:r>
        <w:rPr>
          <w:spacing w:val="-3"/>
        </w:rPr>
        <w:t>uma</w:t>
      </w:r>
      <w:r>
        <w:rPr>
          <w:w w:val="99"/>
        </w:rPr>
        <w:t> </w:t>
      </w:r>
      <w:r>
        <w:rPr/>
        <w:t>racionalização que produziu profunda revolução nos saberes, no uso da</w:t>
      </w:r>
      <w:r>
        <w:rPr>
          <w:spacing w:val="56"/>
        </w:rPr>
        <w:t> </w:t>
      </w:r>
      <w:r>
        <w:rPr/>
        <w:t>livre</w:t>
      </w:r>
      <w:r>
        <w:rPr>
          <w:w w:val="99"/>
        </w:rPr>
        <w:t> </w:t>
      </w:r>
      <w:r>
        <w:rPr/>
        <w:t>razão, que seguiam a vínculos lógicos e científicos, com características  analíticas</w:t>
      </w:r>
    </w:p>
    <w:p>
      <w:pPr>
        <w:pStyle w:val="BodyText"/>
        <w:spacing w:before="2"/>
        <w:ind w:left="308"/>
        <w:jc w:val="both"/>
      </w:pPr>
      <w:r>
        <w:rPr/>
        <w:t>ou experimentais.</w:t>
      </w:r>
    </w:p>
    <w:p>
      <w:pPr>
        <w:pStyle w:val="BodyText"/>
        <w:spacing w:line="360" w:lineRule="auto" w:before="141"/>
        <w:ind w:left="308" w:right="105" w:firstLine="705"/>
        <w:jc w:val="both"/>
      </w:pPr>
      <w:r>
        <w:rPr/>
        <w:t>Foi o que Moraes (1997) denominou de revolução científica, </w:t>
      </w:r>
      <w:r>
        <w:rPr>
          <w:spacing w:val="-3"/>
        </w:rPr>
        <w:t>cuja </w:t>
      </w:r>
      <w:r>
        <w:rPr/>
        <w:t>relevância e predominância têm como destaque a descrição matemática e abordagem empírica de Galileu, a teoria do pensamento indutivo de Bacon, o  método  analítico de Descartes e a concepção mecanicista de</w:t>
      </w:r>
      <w:r>
        <w:rPr>
          <w:spacing w:val="-25"/>
        </w:rPr>
        <w:t> </w:t>
      </w:r>
      <w:r>
        <w:rPr/>
        <w:t>Newton.</w:t>
      </w:r>
    </w:p>
    <w:p>
      <w:pPr>
        <w:pStyle w:val="BodyText"/>
        <w:spacing w:line="360" w:lineRule="auto" w:before="7"/>
        <w:ind w:left="308" w:right="113" w:firstLine="705"/>
        <w:jc w:val="both"/>
      </w:pPr>
      <w:r>
        <w:rPr/>
        <w:t>A autora ainda destaca que a revolução científica, o Iluminismo e a Revolução Industrial entre outras correntes do pensamento ocidental que estiveram presentes entre XVII e XIX, são os valores que contribuíram para a consolidação  do  paradigma  moderno  de  ciência  e  de  conhecimento,  que em</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right="103"/>
        <w:jc w:val="both"/>
      </w:pPr>
      <w:r>
        <w:rPr/>
        <w:t>resumo, baseava-se na objetividade do conhecimento adquirido pela experimentação e observação controlada, cujo critério de verdade pautava-se na experimentação (sensação) e na lógica matemática (razão).</w:t>
      </w:r>
    </w:p>
    <w:p>
      <w:pPr>
        <w:pStyle w:val="BodyText"/>
        <w:spacing w:line="360" w:lineRule="auto"/>
        <w:ind w:left="308" w:right="101" w:firstLine="705"/>
        <w:jc w:val="both"/>
      </w:pPr>
      <w:r>
        <w:rPr/>
        <w:t>Para Boaventura de Souza Santos (2006a), esse pensamento ampliou e aprofundou o que considera de mecanicismo, que ganhou forma a partir do século XVIII na Europa, por se caracterizar como um conhecimento utilitário e funcional</w:t>
      </w:r>
      <w:r>
        <w:rPr>
          <w:sz w:val="20"/>
        </w:rPr>
        <w:t>, </w:t>
      </w:r>
      <w:r>
        <w:rPr/>
        <w:t>ou seja, por reduzir toda complexidade da ordem cósmica e converter a ciência moderna num modelo hegemônico de racionalidade determinista e mecanicista do mundo físico que se estenderam ao mundo social, onde se sustentou por </w:t>
      </w:r>
      <w:r>
        <w:rPr>
          <w:spacing w:val="3"/>
        </w:rPr>
        <w:t>meio </w:t>
      </w:r>
      <w:r>
        <w:rPr/>
        <w:t>dois princípios que estavam presentes e ligados um ao outro no projeto da modernidade desde o século XVI: os pilares da regulação constituídos pelo princípio do estado, do mercado e da comunidade e o pilar da emancipação constituído pela racionalidade estético-expressiva da arte e da literatura, a racionalidade da moral-prática da ética e do direito e a racionalidade cognitivo instrumental, evidenciando, segundo Boaventura de Souza Santos (2006a) a correspondência do desenvolvimento da ciência com os princípios de mercado e  a conversão da ciência como forma</w:t>
      </w:r>
      <w:r>
        <w:rPr>
          <w:spacing w:val="-16"/>
        </w:rPr>
        <w:t> </w:t>
      </w:r>
      <w:r>
        <w:rPr/>
        <w:t>produtiva.</w:t>
      </w:r>
    </w:p>
    <w:p>
      <w:pPr>
        <w:pStyle w:val="BodyText"/>
        <w:spacing w:line="360" w:lineRule="auto" w:before="8"/>
        <w:ind w:left="308" w:right="107" w:firstLine="705"/>
        <w:jc w:val="right"/>
      </w:pPr>
      <w:r>
        <w:rPr/>
        <w:t>Relação que também é mencionada por Pereira (2002) quando diz que a</w:t>
      </w:r>
      <w:r>
        <w:rPr>
          <w:w w:val="99"/>
        </w:rPr>
        <w:t> </w:t>
      </w:r>
      <w:r>
        <w:rPr/>
        <w:t>“ciência moderna ascendeu e alcançou domínio sobre as demais formas de</w:t>
      </w:r>
      <w:r>
        <w:rPr>
          <w:w w:val="99"/>
        </w:rPr>
        <w:t> </w:t>
      </w:r>
      <w:r>
        <w:rPr/>
        <w:t>conhecimento porque o seu projeto paradigmático remete aos aspectos societal e</w:t>
      </w:r>
      <w:r>
        <w:rPr>
          <w:w w:val="99"/>
        </w:rPr>
        <w:t> </w:t>
      </w:r>
      <w:r>
        <w:rPr/>
        <w:t>político-cultural, além dos epistemológicos e científicos” (PEREIRA, 2002,</w:t>
      </w:r>
      <w:r>
        <w:rPr>
          <w:spacing w:val="61"/>
        </w:rPr>
        <w:t> </w:t>
      </w:r>
      <w:r>
        <w:rPr/>
        <w:t>p. 33).</w:t>
      </w:r>
      <w:r>
        <w:rPr>
          <w:w w:val="100"/>
        </w:rPr>
        <w:t> </w:t>
      </w:r>
      <w:r>
        <w:rPr/>
        <w:t>Assim, </w:t>
      </w:r>
      <w:r>
        <w:rPr>
          <w:spacing w:val="2"/>
        </w:rPr>
        <w:t>em </w:t>
      </w:r>
      <w:r>
        <w:rPr/>
        <w:t>razão das características que o modelo mecanicista foi assumindo,</w:t>
      </w:r>
      <w:r>
        <w:rPr>
          <w:w w:val="100"/>
        </w:rPr>
        <w:t> </w:t>
      </w:r>
      <w:r>
        <w:rPr/>
        <w:t>Boaventura de Souza Santos (2006a), identifica o paradigma dominante como um</w:t>
      </w:r>
    </w:p>
    <w:p>
      <w:pPr>
        <w:pStyle w:val="BodyText"/>
        <w:rPr>
          <w:sz w:val="26"/>
        </w:rPr>
      </w:pPr>
    </w:p>
    <w:p>
      <w:pPr>
        <w:pStyle w:val="BodyText"/>
        <w:rPr>
          <w:sz w:val="26"/>
        </w:rPr>
      </w:pPr>
    </w:p>
    <w:p>
      <w:pPr>
        <w:spacing w:before="230"/>
        <w:ind w:left="2574" w:right="106" w:firstLine="0"/>
        <w:jc w:val="both"/>
        <w:rPr>
          <w:sz w:val="20"/>
        </w:rPr>
      </w:pPr>
      <w:r>
        <w:rPr>
          <w:sz w:val="20"/>
        </w:rPr>
        <w:t>modelo global de racionalidade científica que admite variedade interna, mas que </w:t>
      </w:r>
      <w:r>
        <w:rPr>
          <w:spacing w:val="-3"/>
          <w:sz w:val="20"/>
        </w:rPr>
        <w:t>se </w:t>
      </w:r>
      <w:r>
        <w:rPr>
          <w:sz w:val="20"/>
        </w:rPr>
        <w:t>distingue e defende, por via de fronteiras ostensivas e ostensivamente policiadas, de duas formas de conhecimento não científico (e, portanto irracional), potencialmente perturbadoras e intrusas: o senso comum e as chamadas humanidades ou estudos humanísticos em que </w:t>
      </w:r>
      <w:r>
        <w:rPr>
          <w:spacing w:val="-3"/>
          <w:sz w:val="20"/>
        </w:rPr>
        <w:t>se </w:t>
      </w:r>
      <w:r>
        <w:rPr>
          <w:sz w:val="20"/>
        </w:rPr>
        <w:t>incluíam, entre outros, os estudos históricos, filosóficos, jurídicos. Literários e teológicos. (SANTOS, 2006a, p.</w:t>
      </w:r>
      <w:r>
        <w:rPr>
          <w:spacing w:val="-19"/>
          <w:sz w:val="20"/>
        </w:rPr>
        <w:t> </w:t>
      </w:r>
      <w:r>
        <w:rPr>
          <w:sz w:val="20"/>
        </w:rPr>
        <w:t>21).</w:t>
      </w:r>
    </w:p>
    <w:p>
      <w:pPr>
        <w:pStyle w:val="BodyText"/>
        <w:rPr>
          <w:sz w:val="22"/>
        </w:rPr>
      </w:pPr>
    </w:p>
    <w:p>
      <w:pPr>
        <w:pStyle w:val="BodyText"/>
        <w:rPr>
          <w:sz w:val="22"/>
        </w:rPr>
      </w:pPr>
    </w:p>
    <w:p>
      <w:pPr>
        <w:pStyle w:val="BodyText"/>
        <w:spacing w:before="10"/>
        <w:rPr>
          <w:sz w:val="27"/>
        </w:rPr>
      </w:pPr>
    </w:p>
    <w:p>
      <w:pPr>
        <w:pStyle w:val="BodyText"/>
        <w:spacing w:line="360" w:lineRule="auto" w:before="1"/>
        <w:ind w:left="308" w:right="115" w:firstLine="705"/>
        <w:jc w:val="both"/>
      </w:pPr>
      <w:r>
        <w:rPr/>
        <w:t>Para Boaventura de Souza Santos (2006a), esse </w:t>
      </w:r>
      <w:r>
        <w:rPr>
          <w:spacing w:val="-3"/>
        </w:rPr>
        <w:t>mesmo </w:t>
      </w:r>
      <w:r>
        <w:rPr/>
        <w:t>pensamento construiu as condições para as emergências das ciências sociais no século XIX, assim como a sua afirmação como modelo mecanicista desenvolveu e </w:t>
      </w:r>
      <w:r>
        <w:rPr>
          <w:spacing w:val="56"/>
        </w:rPr>
        <w:t> </w:t>
      </w:r>
      <w:r>
        <w:rPr/>
        <w:t>fortaleceu</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2"/>
        <w:jc w:val="both"/>
      </w:pPr>
      <w:r>
        <w:rPr/>
        <w:t>a previsibilidade como forma de entender e explicar a realidade e por meio dela cimentou o conhecimento e a ideia de ordem e estabilidade do mundo, tornando- se um modelo totalitário, que </w:t>
      </w:r>
      <w:r>
        <w:rPr>
          <w:spacing w:val="-3"/>
        </w:rPr>
        <w:t>se </w:t>
      </w:r>
      <w:r>
        <w:rPr/>
        <w:t>caracterizou como única visão de mundo e da  vida e, portanto, criou duas distinções fundamentais “entre o conhecimento científico e o conhecimento do senso comum, por </w:t>
      </w:r>
      <w:r>
        <w:rPr>
          <w:spacing w:val="2"/>
        </w:rPr>
        <w:t>um </w:t>
      </w:r>
      <w:r>
        <w:rPr/>
        <w:t>lado, e entre a natureza e pessoa humana, por outro.” (SANTOS, 2006a,</w:t>
      </w:r>
      <w:r>
        <w:rPr>
          <w:spacing w:val="-24"/>
        </w:rPr>
        <w:t> </w:t>
      </w:r>
      <w:r>
        <w:rPr/>
        <w:t>p.24).</w:t>
      </w:r>
    </w:p>
    <w:p>
      <w:pPr>
        <w:pStyle w:val="BodyText"/>
        <w:spacing w:line="360" w:lineRule="auto" w:before="2"/>
        <w:ind w:left="308" w:right="99" w:firstLine="710"/>
        <w:jc w:val="both"/>
      </w:pPr>
      <w:r>
        <w:rPr/>
        <w:t>O último aspecto sobre a consolidação do paradigma dominante diz respeito à educação e à escola, e implica em situar a pedagogia e a </w:t>
      </w:r>
      <w:r>
        <w:rPr>
          <w:spacing w:val="2"/>
        </w:rPr>
        <w:t>escola </w:t>
      </w:r>
      <w:r>
        <w:rPr/>
        <w:t>em </w:t>
      </w:r>
      <w:r>
        <w:rPr>
          <w:spacing w:val="-3"/>
        </w:rPr>
        <w:t>uma </w:t>
      </w:r>
      <w:r>
        <w:rPr/>
        <w:t>concepção de conhecimento que as sustentam a uma lógica política própria das estruturas de poder da sociedade, como o processo construção dos ideais da modernidade, no período entre séculos XV e XVII, cuja efervescência modificou  as formas de viver em sociedade e configurou a educação e a pedagogia.  (CAMBI,</w:t>
      </w:r>
      <w:r>
        <w:rPr>
          <w:spacing w:val="-7"/>
        </w:rPr>
        <w:t> </w:t>
      </w:r>
      <w:r>
        <w:rPr/>
        <w:t>1999).</w:t>
      </w:r>
    </w:p>
    <w:p>
      <w:pPr>
        <w:pStyle w:val="BodyText"/>
        <w:spacing w:line="360" w:lineRule="auto" w:before="7"/>
        <w:ind w:left="308" w:right="108" w:firstLine="710"/>
        <w:jc w:val="both"/>
      </w:pPr>
      <w:r>
        <w:rPr/>
        <w:t>Trindade e Menezes (2009) abordando sobre esse processo enfatizam que nesse período o surgimento do estado moderno também foi determinante para a organização da educação na família, na escola e nas associações com propósito, entre outros, de envolvimento e conformação do indivíduo por meio de sistemas de controle de </w:t>
      </w:r>
      <w:r>
        <w:rPr>
          <w:spacing w:val="-3"/>
        </w:rPr>
        <w:t>uma </w:t>
      </w:r>
      <w:r>
        <w:rPr/>
        <w:t>sociedade com características disciplinares e</w:t>
      </w:r>
      <w:r>
        <w:rPr>
          <w:spacing w:val="-23"/>
        </w:rPr>
        <w:t> </w:t>
      </w:r>
      <w:r>
        <w:rPr/>
        <w:t>repressoras.</w:t>
      </w:r>
    </w:p>
    <w:p>
      <w:pPr>
        <w:pStyle w:val="BodyText"/>
        <w:spacing w:line="360" w:lineRule="auto" w:before="3"/>
        <w:ind w:left="308" w:right="106" w:firstLine="710"/>
        <w:jc w:val="both"/>
      </w:pPr>
      <w:r>
        <w:rPr/>
        <w:t>Esses processos sociais de racionalização promoveram os mitos da mentalidade que a laicização precisava imprimir no processo de formação dos indivíduos (Estado, Poder, Dinheiro, Razão, Progresso, Revolução, Trabalho e Infância), destacados por Cambi (1999), como demarcadores nas revoluções pedagógicas do século XVI e XVII, que conferiram a pedagogia o status  de ciência, de pensamento elaborado com base na teoria do conhecimento.</w:t>
      </w:r>
    </w:p>
    <w:p>
      <w:pPr>
        <w:pStyle w:val="BodyText"/>
        <w:spacing w:line="360" w:lineRule="auto" w:before="2"/>
        <w:ind w:left="308" w:right="98" w:firstLine="710"/>
        <w:jc w:val="both"/>
      </w:pPr>
      <w:r>
        <w:rPr/>
        <w:t>Esse cenário dá origem ao sistema escolar e à escola moderna, que submetidos ao controle público e estatizados, também se renovam em relação à organização, aos programas de ensino e à didática e reproduzem a ideologia social e as competências laborativas, com processos de ensino mais científicos, de caráter menos humanista, com papel disciplinar e formativo por meio de diferentes rituais que visavam adequar o homem-cidadão às regras de comportamento social, estilo de vida e uso correto do corpo e das  relações sociais. E assim, a história da pedagogia nasce ideologicamente orientada, distante dos processos educativos reais e suas diferentes características, sem aproximação  com as  instituições  em que  se  desenvolviam como  a  família,  as</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right="116"/>
        <w:jc w:val="both"/>
      </w:pPr>
      <w:r>
        <w:rPr/>
        <w:t>oficinas artesanais, a fábrica; e também distante do conhecimento dos processos formativos, por pouco considerar as contribuições das ciências humanas. (CAMBI, 1999).</w:t>
      </w:r>
    </w:p>
    <w:p>
      <w:pPr>
        <w:pStyle w:val="BodyText"/>
        <w:spacing w:line="360" w:lineRule="auto"/>
        <w:ind w:left="308" w:right="116" w:firstLine="710"/>
        <w:jc w:val="both"/>
      </w:pPr>
      <w:r>
        <w:rPr/>
        <w:t>Esses modelos ideológicos dão à escola o papel instrutivo, planificado e controlado, institucionalizando um sistema de vigilância, controle e repressão sobre o indivíduo uma vez que</w:t>
      </w:r>
    </w:p>
    <w:p>
      <w:pPr>
        <w:pStyle w:val="BodyText"/>
        <w:rPr>
          <w:sz w:val="26"/>
        </w:rPr>
      </w:pPr>
    </w:p>
    <w:p>
      <w:pPr>
        <w:pStyle w:val="BodyText"/>
        <w:rPr>
          <w:sz w:val="26"/>
        </w:rPr>
      </w:pPr>
    </w:p>
    <w:p>
      <w:pPr>
        <w:spacing w:before="230"/>
        <w:ind w:left="2574" w:right="104" w:firstLine="0"/>
        <w:jc w:val="both"/>
        <w:rPr>
          <w:sz w:val="20"/>
        </w:rPr>
      </w:pPr>
      <w:r>
        <w:rPr>
          <w:sz w:val="20"/>
        </w:rPr>
        <w:t>a decomposição da qualidade de ensino </w:t>
      </w:r>
      <w:r>
        <w:rPr>
          <w:spacing w:val="-3"/>
          <w:sz w:val="20"/>
        </w:rPr>
        <w:t>se </w:t>
      </w:r>
      <w:r>
        <w:rPr>
          <w:sz w:val="20"/>
        </w:rPr>
        <w:t>generalizou na sociedade burguesa, também como resultado de um processo que comprometeu a qualidade de vida dos homens em </w:t>
      </w:r>
      <w:r>
        <w:rPr>
          <w:spacing w:val="-3"/>
          <w:sz w:val="20"/>
        </w:rPr>
        <w:t>seu </w:t>
      </w:r>
      <w:r>
        <w:rPr>
          <w:sz w:val="20"/>
        </w:rPr>
        <w:t>todo. Não </w:t>
      </w:r>
      <w:r>
        <w:rPr>
          <w:spacing w:val="-3"/>
          <w:sz w:val="20"/>
        </w:rPr>
        <w:t>só </w:t>
      </w:r>
      <w:r>
        <w:rPr>
          <w:sz w:val="20"/>
        </w:rPr>
        <w:t>a educação sofre o influxo negativo de uma sociedade que já não mais encarna a razão histórica. Tudo </w:t>
      </w:r>
      <w:r>
        <w:rPr>
          <w:spacing w:val="-3"/>
          <w:sz w:val="20"/>
        </w:rPr>
        <w:t>se </w:t>
      </w:r>
      <w:r>
        <w:rPr>
          <w:sz w:val="20"/>
        </w:rPr>
        <w:t>decompõe: a escola, a saúde, a habitação, a família, os transportes, o meio ambiente, a cultura, as cidades tornaram-se inadministráveis. (ALVES, 2005, p.</w:t>
      </w:r>
      <w:r>
        <w:rPr>
          <w:spacing w:val="-11"/>
          <w:sz w:val="20"/>
        </w:rPr>
        <w:t> </w:t>
      </w:r>
      <w:r>
        <w:rPr>
          <w:sz w:val="20"/>
        </w:rPr>
        <w:t>257).</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11" w:firstLine="705"/>
        <w:jc w:val="both"/>
      </w:pPr>
      <w:r>
        <w:rPr/>
        <w:t>Boaventura de Souza Santos (1997), diz que esses aspectos foram incorporados, socializados e consolidados ao longo dos séculos, pelas práticas pedagógicas nas suas múltiplas relações no interior da escola, de modo que suas influências perpassaram os séculos e chegaram até século XXI.</w:t>
      </w:r>
    </w:p>
    <w:p>
      <w:pPr>
        <w:pStyle w:val="BodyText"/>
        <w:spacing w:line="360" w:lineRule="auto" w:before="2"/>
        <w:ind w:left="308" w:right="104" w:firstLine="705"/>
        <w:jc w:val="both"/>
      </w:pPr>
      <w:r>
        <w:rPr/>
        <w:t>Esse pensamento é reforçado pela análise de Alves (2005) ao identificar esses traços históricos de distanciamento provocado pela falta de diálogo e pela burocratização na escola do final do século XX. O reflexo, dessa forma manufatureira de organizar a escola, foi na simplificação do trabalho didático, o controle das ações do professor que lhe subtraiu a visão de totalidade, favorecendo assim uma prática educativa conservadora presa a uma didática anacrônica e descomprometida com o conhecimento. (ALVES, 2005).</w:t>
      </w:r>
    </w:p>
    <w:p>
      <w:pPr>
        <w:pStyle w:val="BodyText"/>
        <w:spacing w:line="360" w:lineRule="auto" w:before="2"/>
        <w:ind w:left="308" w:right="111" w:firstLine="705"/>
        <w:jc w:val="both"/>
      </w:pPr>
      <w:r>
        <w:rPr/>
        <w:t>Um fenômeno pode ser identificado em diferentes sociedades e países, dentre eles o Brasil, onde a educação escolar e suas respectivas práticas educativas consolidaram, ao longo dos anos, representações sociais e produções materiais cada vez mais fragmentadas e dicotômicas (JODELET apud  MAZZOTTI,</w:t>
      </w:r>
      <w:r>
        <w:rPr>
          <w:spacing w:val="-9"/>
        </w:rPr>
        <w:t> </w:t>
      </w:r>
      <w:r>
        <w:rPr/>
        <w:t>1994).</w:t>
      </w:r>
    </w:p>
    <w:p>
      <w:pPr>
        <w:pStyle w:val="BodyText"/>
        <w:spacing w:line="360" w:lineRule="auto" w:before="2"/>
        <w:ind w:left="308" w:right="110" w:firstLine="705"/>
        <w:jc w:val="both"/>
      </w:pPr>
      <w:r>
        <w:rPr/>
        <w:t>Em resumo, os fatores destacados não só contribuíram para definir </w:t>
      </w:r>
      <w:r>
        <w:rPr>
          <w:spacing w:val="2"/>
        </w:rPr>
        <w:t>um </w:t>
      </w:r>
      <w:r>
        <w:rPr/>
        <w:t>método de orientação dos procedimentos investigativos, </w:t>
      </w:r>
      <w:r>
        <w:rPr>
          <w:spacing w:val="-3"/>
        </w:rPr>
        <w:t>mas </w:t>
      </w:r>
      <w:r>
        <w:rPr/>
        <w:t>também para o controle dos mecanismos de sua produção, estabelecendo </w:t>
      </w:r>
      <w:r>
        <w:rPr>
          <w:spacing w:val="-3"/>
        </w:rPr>
        <w:t>uma </w:t>
      </w:r>
      <w:r>
        <w:rPr/>
        <w:t>relação clara entre  conhecimento  e  poder  (CUNHA,  1998),  a  qual  repercutiu  em</w:t>
      </w:r>
      <w:r>
        <w:rPr>
          <w:spacing w:val="-21"/>
        </w:rPr>
        <w:t> </w:t>
      </w:r>
      <w:r>
        <w:rPr/>
        <w:t>diferentes</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right="112"/>
        <w:jc w:val="both"/>
      </w:pPr>
      <w:r>
        <w:rPr/>
        <w:t>áreas da vida humana, como ciência, cultura, economia, política, educação, e fez a ciência moderna ascender ao status de paradigma e alcançar domínio exclusivo como dominante.</w:t>
      </w:r>
    </w:p>
    <w:p>
      <w:pPr>
        <w:pStyle w:val="BodyText"/>
        <w:spacing w:line="360" w:lineRule="auto"/>
        <w:ind w:left="308" w:right="106" w:firstLine="705"/>
        <w:jc w:val="both"/>
      </w:pPr>
      <w:r>
        <w:rPr/>
        <w:t>Dessa forma, o paradigma dominante se consolidou e trouxe profundas consequências à vida social, cultural e econômica do mundo ocidental, porque ao indicar um único método de investigação, das ciências naturais para as ciências sociais e humanas, valorizou assim, uma visão racionalista, dualista, fragmentada e estruturada em explicações unidimensionais e compartimentadas.</w:t>
      </w:r>
    </w:p>
    <w:p>
      <w:pPr>
        <w:pStyle w:val="BodyText"/>
        <w:spacing w:line="360" w:lineRule="auto" w:before="3"/>
        <w:ind w:left="308" w:right="107" w:firstLine="705"/>
        <w:jc w:val="both"/>
      </w:pPr>
      <w:r>
        <w:rPr/>
        <w:t>Vale frisar que o paradigma dominante provocou entre outros aspectos: o reforço à organização sistêmica da vida moderna; o condicionamento a maneira de pensar, o modo de usar a lógica, de ordem dos discursos, dos pensamentos e das ações; um saber pronto, fechado e </w:t>
      </w:r>
      <w:r>
        <w:rPr>
          <w:spacing w:val="-3"/>
        </w:rPr>
        <w:t>si </w:t>
      </w:r>
      <w:r>
        <w:rPr>
          <w:spacing w:val="-2"/>
        </w:rPr>
        <w:t>mesmo, </w:t>
      </w:r>
      <w:r>
        <w:rPr/>
        <w:t>capaz de conformar a mente humana, e também fez com que se interpretasse o mundo </w:t>
      </w:r>
      <w:r>
        <w:rPr>
          <w:spacing w:val="2"/>
        </w:rPr>
        <w:t>em </w:t>
      </w:r>
      <w:r>
        <w:rPr/>
        <w:t>termos polares e reducionistas (SOMMERMAN et al, 2009), o que promoveu a fragmentação do conhecimento, ou no dizer de Santos e Santos (2012, p.202), promoveu uma construção mental, abstrata e conceitual que termina aprisionando o sujeito que levanta fronteiras epistemológicas para assegurar sua caminhada nessa</w:t>
      </w:r>
      <w:r>
        <w:rPr>
          <w:spacing w:val="-32"/>
        </w:rPr>
        <w:t> </w:t>
      </w:r>
      <w:r>
        <w:rPr/>
        <w:t>vida.</w:t>
      </w:r>
    </w:p>
    <w:p>
      <w:pPr>
        <w:pStyle w:val="BodyText"/>
        <w:spacing w:line="360" w:lineRule="auto" w:before="7"/>
        <w:ind w:left="308" w:right="105" w:firstLine="705"/>
        <w:jc w:val="both"/>
      </w:pPr>
      <w:r>
        <w:rPr/>
        <w:t>Em suma, o paradigma dominante transformou-se numa racionalidade disciplinadora e geradora de realidades irracionais e ao longo de três séculos se mostrou capaz de promover a harmonia parcial entre os seus elementos por  vezes contraditórios, rearticulando-se e reorganizando-se ante os fluxos maiores de contradição, de modo a ampliar o seu domínio (PEREIRA,</w:t>
      </w:r>
      <w:r>
        <w:rPr>
          <w:spacing w:val="-29"/>
        </w:rPr>
        <w:t> </w:t>
      </w:r>
      <w:r>
        <w:rPr/>
        <w:t>2002).</w:t>
      </w:r>
    </w:p>
    <w:p>
      <w:pPr>
        <w:pStyle w:val="BodyText"/>
        <w:spacing w:line="360" w:lineRule="auto" w:before="7"/>
        <w:ind w:left="308" w:right="101" w:firstLine="705"/>
        <w:jc w:val="both"/>
      </w:pPr>
      <w:r>
        <w:rPr/>
        <w:t>Nesse percurso, diante de </w:t>
      </w:r>
      <w:r>
        <w:rPr>
          <w:spacing w:val="-3"/>
        </w:rPr>
        <w:t>uma </w:t>
      </w:r>
      <w:r>
        <w:rPr/>
        <w:t>sociedade cada vez mais técnica e disciplinada, emergiram contingências e contradições internas (AMORIM; SILVA, 2013) que não contiveram a eminência de </w:t>
      </w:r>
      <w:r>
        <w:rPr>
          <w:spacing w:val="-4"/>
        </w:rPr>
        <w:t>uma </w:t>
      </w:r>
      <w:r>
        <w:rPr/>
        <w:t>crise, que </w:t>
      </w:r>
      <w:r>
        <w:rPr>
          <w:spacing w:val="-3"/>
        </w:rPr>
        <w:t>foi </w:t>
      </w:r>
      <w:r>
        <w:rPr/>
        <w:t>se construindo e se descontruindo, no interior das suas bases epistemológicas e provocando tensões e dilemas no campo teórico-social que marcaram o final do século XIX e início do Século XX (ALMEIDA, 2009), das quais podem ser mencionadas as novas formas de explicar os fenômenos como as teorias da mecânica quântica de Bohr e Heisenberg na microfísica, da teoria da relatividade de Einstein na microfísica,  que revolucionaram as concepções de tempo e de espaço</w:t>
      </w:r>
      <w:r>
        <w:rPr>
          <w:spacing w:val="-26"/>
        </w:rPr>
        <w:t> </w:t>
      </w:r>
      <w:r>
        <w:rPr/>
        <w:t>absolutos.</w:t>
      </w:r>
    </w:p>
    <w:p>
      <w:pPr>
        <w:pStyle w:val="BodyText"/>
        <w:spacing w:line="360" w:lineRule="auto" w:before="3"/>
        <w:ind w:left="308" w:right="113" w:firstLine="705"/>
        <w:jc w:val="both"/>
      </w:pPr>
      <w:r>
        <w:rPr/>
        <w:t>Os sintomas que foram emergindo ao longo do século XX, se acentuando nos debates dos anos 80, os quais estão associados a diferentes formas de desenvolvimento    que    “interrogavam    criticamente    e    transversalmente   os</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2"/>
        <w:jc w:val="both"/>
      </w:pPr>
      <w:r>
        <w:rPr/>
        <w:t>postulados gerais de ciência moderna como projeto unificador e os postulados específicos das diferentes ciências” (NUNES, 2006, p. 59), e as consequências da própria crise e das possibilidades do surgimento de saberes emergentes,  de outras formas de explicar os fenômenos de fazer ciência.</w:t>
      </w:r>
    </w:p>
    <w:p>
      <w:pPr>
        <w:pStyle w:val="BodyText"/>
        <w:spacing w:line="360" w:lineRule="auto" w:before="2"/>
        <w:ind w:left="308" w:right="102" w:firstLine="705"/>
        <w:jc w:val="both"/>
      </w:pPr>
      <w:r>
        <w:rPr/>
        <w:t>Para Boaventura de Souza Santos (2006b), a crise é desencadeada tanto por fatores endógenos quanto exógenos à ciência e </w:t>
      </w:r>
      <w:r>
        <w:rPr>
          <w:spacing w:val="2"/>
        </w:rPr>
        <w:t>que </w:t>
      </w:r>
      <w:r>
        <w:rPr/>
        <w:t>se entrecruzam </w:t>
      </w:r>
      <w:r>
        <w:rPr>
          <w:spacing w:val="3"/>
        </w:rPr>
        <w:t>num </w:t>
      </w:r>
      <w:r>
        <w:rPr/>
        <w:t>emaranhado de relações que enfocaram aspectos epistemológico metodológicos, sociais, educacionais, políticos e econômicos. Estes últimos consolidaram o modelo científico da ciência moderna até meados do século XX, considerando  que o “projeto sócio cultural da modernidade é um projeto muito rico, capaz de infinitas possibilidades e, como tal, muito complexo e sujeito a desenvolvimentos contrários”.  (SANTOS, 1997, p.</w:t>
      </w:r>
      <w:r>
        <w:rPr>
          <w:spacing w:val="-14"/>
        </w:rPr>
        <w:t> </w:t>
      </w:r>
      <w:r>
        <w:rPr/>
        <w:t>77).</w:t>
      </w:r>
    </w:p>
    <w:p>
      <w:pPr>
        <w:pStyle w:val="BodyText"/>
        <w:spacing w:line="360" w:lineRule="auto" w:before="2"/>
        <w:ind w:left="308" w:right="98" w:firstLine="705"/>
        <w:jc w:val="both"/>
      </w:pPr>
      <w:r>
        <w:rPr/>
        <w:t>Nesse contexto, a crítica ao modelo dominante materializa-se, justamente pelo fato de que a crise vem forçando progressivamente a emersão de uma nova ordem epistemológica. Diante desse fato, o conceito de crise se impõe tanto ao paradigma científico moderno e sua ordenação epistemológica, quanto à ordenação da estrutura das ciências sociais e, no âmbito desta, ao próprio paradigma educacional, em seus modelos institucionais/escolarizados. Assim, para Nunes a expressão crise que designa o colapso das ciências modernas, mas a abertura de “espaços e oportunidades para intervenções transformadoras, sem que o resultado destas esteja antecipadamente garantido. ” (NUNES, 2006, p. 59- 60).</w:t>
      </w:r>
    </w:p>
    <w:p>
      <w:pPr>
        <w:pStyle w:val="BodyText"/>
        <w:spacing w:line="360" w:lineRule="auto" w:before="7"/>
        <w:ind w:left="308" w:right="98" w:firstLine="705"/>
        <w:jc w:val="both"/>
      </w:pPr>
      <w:r>
        <w:rPr/>
        <w:t>Entende-se assim como a emergência do novo paradigma no contexto da crise que gerou por sua vez uma situação de transição paradigmática. Desse modo, essa condição permite traçar algumas reflexões sobre a sua configuração. Uma delas vem da compreensão de que as mudanças que ocorreram no mundo nos últimos séculos, e o progresso científico das últimas décadas mexeram com as bases do paradigma dominante de ciência, gerando instabilidade nesse sistema, provocando declínio da confiança epistemológica e gerando a sensação de perda porque colocou o próprio conhecimento em xeque.</w:t>
      </w:r>
    </w:p>
    <w:p>
      <w:pPr>
        <w:pStyle w:val="BodyText"/>
        <w:spacing w:line="360" w:lineRule="auto" w:before="7"/>
        <w:ind w:left="308" w:right="112" w:firstLine="710"/>
        <w:jc w:val="both"/>
      </w:pPr>
      <w:r>
        <w:rPr/>
        <w:t>Outra reflexão, diz respeito ao fato de que o capitalismo passou por inúmeras transformações, ainda assim, não deixou de ser capitalismo nem é possível prever se tal fato ocorrerá, embora seja possível identificar dois efeitos complementares nesses processos de mudanças: o esgotamento do projeto de</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7"/>
        <w:jc w:val="both"/>
      </w:pPr>
      <w:r>
        <w:rPr/>
        <w:t>modernidade e a perpetuação do próprio capitalismo a partir dos ciclos evolutivos do fenômeno da colonização ao fenômeno da mundialização, suas consequências e principalmente das mudanças provocadas nos diferentes setores da sociedade, como discutem amplamente os estudos de Santos Filhos (2003), Martins de Sá (2003), Destro (2003) e Ianni (1999).</w:t>
      </w:r>
    </w:p>
    <w:p>
      <w:pPr>
        <w:pStyle w:val="BodyText"/>
        <w:spacing w:line="360" w:lineRule="auto" w:before="7"/>
        <w:ind w:left="308" w:right="103" w:firstLine="710"/>
        <w:jc w:val="both"/>
      </w:pPr>
      <w:r>
        <w:rPr/>
        <w:t>O que se perceber, e o que também caracteriza a crise, é que houve um agravamento, dos quais decorre também a administração da liberdade pelo automatismo tecnológico e a neutralização ética da ciência moderna, que conferem ao final do século XX e ao início do século XXI uma rigidez global do sistema social, político e cultural que pode conviver e alimentar-se de múltiplos locais e infinitas escolhas ao mesmo tempo (SANTOS, 1991).</w:t>
      </w:r>
    </w:p>
    <w:p>
      <w:pPr>
        <w:pStyle w:val="BodyText"/>
        <w:spacing w:line="360" w:lineRule="auto" w:before="2"/>
        <w:ind w:left="308" w:right="109" w:firstLine="710"/>
        <w:jc w:val="both"/>
      </w:pPr>
      <w:r>
        <w:rPr/>
        <w:t>Esse cenário sinaliza um período de transição de paradigma, que segundo Nunes (1996, p.13) é o nome que designa “a condição emergente dessas dinâmicas e transformações epistemológicas e societais que lhe são associadas”, cuja relação, para Boaventura de Souza Santos (1997) dá-se de forma contraditória, porque nem é de total ruptura nem de linear continuidade.</w:t>
      </w:r>
    </w:p>
    <w:p>
      <w:pPr>
        <w:pStyle w:val="BodyText"/>
        <w:spacing w:line="360" w:lineRule="auto" w:before="2"/>
        <w:ind w:left="308" w:right="108" w:firstLine="710"/>
        <w:jc w:val="both"/>
      </w:pPr>
      <w:r>
        <w:rPr/>
        <w:t>Nessa compreensão, Boaventura de Souza Santos (2011) argumenta que definir o que significa transição nesse contexto implica em definir as lutas que aprofundam a crise do paradigma dominante e aceleram o processo de transição para “o paradigma ou paradigmas emergentes” (SANTOS, 2011, p. 19), e aponta para </w:t>
      </w:r>
      <w:r>
        <w:rPr>
          <w:spacing w:val="-3"/>
        </w:rPr>
        <w:t>uma </w:t>
      </w:r>
      <w:r>
        <w:rPr/>
        <w:t>sociedade em crise sistêmica, cuja realidade social e histórica  presencia problemas com os conceitos, as categorias, as leis ou interpretações disponíveis parecem insuficientes (IANNI, 1999), inclusive no que se refere à educação e a</w:t>
      </w:r>
      <w:r>
        <w:rPr>
          <w:spacing w:val="-7"/>
        </w:rPr>
        <w:t> </w:t>
      </w:r>
      <w:r>
        <w:rPr/>
        <w:t>escola.</w:t>
      </w:r>
    </w:p>
    <w:p>
      <w:pPr>
        <w:pStyle w:val="BodyText"/>
        <w:spacing w:line="360" w:lineRule="auto" w:before="2"/>
        <w:ind w:left="308" w:right="111" w:firstLine="710"/>
        <w:jc w:val="both"/>
      </w:pPr>
      <w:r>
        <w:rPr/>
        <w:t>A escola como instituição também faz parte da trama de situações e contextos que envolvem a conjuntura da sociedade globalizada e não está imune a crise paradigmática e a necessidade de repensar o seu ambiente e as suas práticas educativas.</w:t>
      </w:r>
    </w:p>
    <w:p>
      <w:pPr>
        <w:pStyle w:val="BodyText"/>
        <w:spacing w:line="360" w:lineRule="auto" w:before="2"/>
        <w:ind w:left="308" w:right="103" w:firstLine="705"/>
        <w:jc w:val="both"/>
      </w:pPr>
      <w:r>
        <w:rPr/>
        <w:t>No contexto da transição paradigmática, a escola tem se configurado como </w:t>
      </w:r>
      <w:r>
        <w:rPr>
          <w:spacing w:val="-3"/>
        </w:rPr>
        <w:t>uma </w:t>
      </w:r>
      <w:r>
        <w:rPr/>
        <w:t>instituição </w:t>
      </w:r>
      <w:r>
        <w:rPr>
          <w:spacing w:val="-3"/>
        </w:rPr>
        <w:t>cujo </w:t>
      </w:r>
      <w:r>
        <w:rPr/>
        <w:t>rumo tem sido, de modo mais global, afetado pelas  mudanças provocadas pelas crises da produção e da economia na sociedade globalizada e nesse contexto, suas decisões pedagógicas que nem sempre são autônomas, são, segundo Cunha (2006, p. 21), “dependentes historicamente das relações da educação com a</w:t>
      </w:r>
      <w:r>
        <w:rPr>
          <w:spacing w:val="-11"/>
        </w:rPr>
        <w:t> </w:t>
      </w:r>
      <w:r>
        <w:rPr/>
        <w:t>produção”.</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23" w:firstLine="710"/>
        <w:jc w:val="both"/>
      </w:pPr>
      <w:r>
        <w:rPr/>
        <w:t>Para Santos (2009), a cristalização, a subdivisão do conhecimento e a delimitação por fronteiras epistemológicas e grades curriculares que funcionam como esquemas mentais que impedem o fluxo existente entre as áreas e disciplinas que conferem as escolas, aos cursos e departamentos a descontextualização do agir pedagógico. Uma característica de visão simplificadora, que divide e fragmenta, mas que tem sido difundida, segundo a autora, de forma “hegemônica ao longo dos últimos 400 anos” pela ciência moderna. (SANTOS, 2009, p.18).</w:t>
      </w:r>
    </w:p>
    <w:p>
      <w:pPr>
        <w:pStyle w:val="BodyText"/>
        <w:spacing w:line="362" w:lineRule="auto" w:before="2"/>
        <w:ind w:left="308" w:right="132" w:firstLine="710"/>
        <w:jc w:val="both"/>
      </w:pPr>
      <w:r>
        <w:rPr/>
        <w:t>O resultado é um sistema de ensino reprodutor, com modelos de ensino que se distanciam cada vez mais das necessidades da sociedade atual e dos sujeitos, visto que</w:t>
      </w:r>
    </w:p>
    <w:p>
      <w:pPr>
        <w:pStyle w:val="BodyText"/>
        <w:rPr>
          <w:sz w:val="26"/>
        </w:rPr>
      </w:pPr>
    </w:p>
    <w:p>
      <w:pPr>
        <w:pStyle w:val="BodyText"/>
        <w:rPr>
          <w:sz w:val="26"/>
        </w:rPr>
      </w:pPr>
    </w:p>
    <w:p>
      <w:pPr>
        <w:spacing w:line="240" w:lineRule="auto" w:before="231"/>
        <w:ind w:left="2574" w:right="126" w:firstLine="0"/>
        <w:jc w:val="both"/>
        <w:rPr>
          <w:sz w:val="20"/>
        </w:rPr>
      </w:pPr>
      <w:r>
        <w:rPr>
          <w:sz w:val="20"/>
        </w:rPr>
        <w:t>São modelos que projetados para o acúmulo de informações em vez do desenvolvimento da pessoa como um todo, </w:t>
      </w:r>
      <w:r>
        <w:rPr>
          <w:spacing w:val="-3"/>
          <w:sz w:val="20"/>
        </w:rPr>
        <w:t>com </w:t>
      </w:r>
      <w:r>
        <w:rPr>
          <w:sz w:val="20"/>
        </w:rPr>
        <w:t>os diferentes potenciais de cada um. Os sistemas de acompanhamento e avaliação que enfatizam a aprendizagem de instrução, </w:t>
      </w:r>
      <w:r>
        <w:rPr>
          <w:spacing w:val="-4"/>
          <w:sz w:val="20"/>
        </w:rPr>
        <w:t>em </w:t>
      </w:r>
      <w:r>
        <w:rPr>
          <w:spacing w:val="2"/>
          <w:sz w:val="20"/>
        </w:rPr>
        <w:t>vez </w:t>
      </w:r>
      <w:r>
        <w:rPr>
          <w:sz w:val="20"/>
        </w:rPr>
        <w:t>de desenvolver o pensamento, crítico, reflexivo, criativo e centrado mais nos saberes do que em </w:t>
      </w:r>
      <w:r>
        <w:rPr>
          <w:spacing w:val="-2"/>
          <w:sz w:val="20"/>
        </w:rPr>
        <w:t>atitudes, </w:t>
      </w:r>
      <w:r>
        <w:rPr>
          <w:sz w:val="20"/>
        </w:rPr>
        <w:t>valores e autoconhecimento. </w:t>
      </w:r>
      <w:r>
        <w:rPr>
          <w:sz w:val="24"/>
        </w:rPr>
        <w:t>(</w:t>
      </w:r>
      <w:r>
        <w:rPr>
          <w:sz w:val="20"/>
        </w:rPr>
        <w:t>TORRE E PUJOL, 2013, P.</w:t>
      </w:r>
      <w:r>
        <w:rPr>
          <w:spacing w:val="3"/>
          <w:sz w:val="20"/>
        </w:rPr>
        <w:t> </w:t>
      </w:r>
      <w:r>
        <w:rPr>
          <w:sz w:val="20"/>
        </w:rPr>
        <w:t>16).</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30" w:firstLine="710"/>
        <w:jc w:val="both"/>
      </w:pPr>
      <w:r>
        <w:rPr/>
        <w:t>Para Torre e Pujol (2013), essa é </w:t>
      </w:r>
      <w:r>
        <w:rPr>
          <w:spacing w:val="-3"/>
        </w:rPr>
        <w:t>uma </w:t>
      </w:r>
      <w:r>
        <w:rPr/>
        <w:t>clara demonstração de que os sistemas educacionais atuais não foram concebidos para os desafios da atualidade porque mantêm características que se reportam aos padrões típicos da revolução industrial do século XIX, em outras palavras, “nem o progresso da ciência, nem a difusão das tecnologias, nem a sociedade do conhecimento, mudaram significativamente os processos de formação”. (TORRE E PUJOL,  2013, p.</w:t>
      </w:r>
      <w:r>
        <w:rPr>
          <w:spacing w:val="-4"/>
        </w:rPr>
        <w:t> </w:t>
      </w:r>
      <w:r>
        <w:rPr/>
        <w:t>22).</w:t>
      </w:r>
    </w:p>
    <w:p>
      <w:pPr>
        <w:pStyle w:val="BodyText"/>
        <w:spacing w:line="360" w:lineRule="auto" w:before="7"/>
        <w:ind w:left="308" w:right="117" w:firstLine="705"/>
        <w:jc w:val="both"/>
      </w:pPr>
      <w:r>
        <w:rPr/>
        <w:t>São questões como essas que suscitam uma série de reflexões sobre os caminhos que a escola deve seguir nessa nova realidade social e o que de fato pode se esperar de sua atuação e de seus profissionais no emaranhado </w:t>
      </w:r>
      <w:r>
        <w:rPr>
          <w:spacing w:val="8"/>
        </w:rPr>
        <w:t>de</w:t>
      </w:r>
      <w:r>
        <w:rPr>
          <w:spacing w:val="82"/>
        </w:rPr>
        <w:t> </w:t>
      </w:r>
      <w:r>
        <w:rPr/>
        <w:t>crises, conflitos e alternativas que a sociedade global faz emergir de suas relações, gerando </w:t>
      </w:r>
      <w:r>
        <w:rPr>
          <w:spacing w:val="-3"/>
        </w:rPr>
        <w:t>uma </w:t>
      </w:r>
      <w:r>
        <w:rPr/>
        <w:t>pluralidade de dimensões com as quais a escola precisa lidar diariamente, como as que afetam diferentes campos da atividade humana, dos quais podem ser citados: desafios pessoais, técnicos, científicos, éticos, profissionais, étnicos, geracionais e</w:t>
      </w:r>
      <w:r>
        <w:rPr>
          <w:spacing w:val="-22"/>
        </w:rPr>
        <w:t> </w:t>
      </w:r>
      <w:r>
        <w:rPr/>
        <w:t>epistemológicos.</w:t>
      </w:r>
    </w:p>
    <w:p>
      <w:pPr>
        <w:spacing w:after="0" w:line="360" w:lineRule="auto"/>
        <w:jc w:val="both"/>
        <w:sectPr>
          <w:pgSz w:w="11910" w:h="16840"/>
          <w:pgMar w:header="1133" w:footer="0" w:top="1340" w:bottom="280" w:left="1680" w:right="1000"/>
        </w:sectPr>
      </w:pPr>
    </w:p>
    <w:p>
      <w:pPr>
        <w:pStyle w:val="BodyText"/>
        <w:spacing w:before="3"/>
        <w:rPr>
          <w:sz w:val="21"/>
        </w:rPr>
      </w:pPr>
    </w:p>
    <w:p>
      <w:pPr>
        <w:pStyle w:val="BodyText"/>
        <w:spacing w:line="360" w:lineRule="auto" w:before="92"/>
        <w:ind w:left="308" w:right="111" w:firstLine="705"/>
        <w:jc w:val="both"/>
      </w:pPr>
      <w:r>
        <w:rPr/>
        <w:t>E ainda, o que Baumann (2001), considera como o grande desafio da educação nos tempos atuais, que consiste na dificuldade de se adaptar as circunstâncias mutáveis como fazia no passado quando o que denomina de modernidade sólida explicada por um estado racional e organizado, capaz de resolver os problemas a partir de um sistema de conhecimento que produzia segurança.</w:t>
      </w:r>
    </w:p>
    <w:p>
      <w:pPr>
        <w:pStyle w:val="BodyText"/>
        <w:spacing w:line="360" w:lineRule="auto" w:before="2"/>
        <w:ind w:left="308" w:right="109" w:firstLine="705"/>
        <w:jc w:val="both"/>
      </w:pPr>
      <w:r>
        <w:rPr/>
        <w:t>Em outro estudo, Baumann (2010), diz que a sociedade passou por mudanças que estão </w:t>
      </w:r>
      <w:r>
        <w:rPr>
          <w:spacing w:val="2"/>
        </w:rPr>
        <w:t>em </w:t>
      </w:r>
      <w:r>
        <w:rPr/>
        <w:t>curso há pelo menos dois séculos, configurando sua passagem da modernidade sólida para a modernidade líquida, ao contrário da sociedade anterior que foi estimulada pelo conhecimento determinista e mecanicista. Assim, a sociedade atual se apresenta marcada por falta de solidez  e</w:t>
      </w:r>
      <w:r>
        <w:rPr>
          <w:spacing w:val="-4"/>
        </w:rPr>
        <w:t> </w:t>
      </w:r>
      <w:r>
        <w:rPr/>
        <w:t>durabilidade.</w:t>
      </w:r>
    </w:p>
    <w:p>
      <w:pPr>
        <w:pStyle w:val="BodyText"/>
        <w:spacing w:line="360" w:lineRule="auto" w:before="2"/>
        <w:ind w:left="308" w:right="110" w:firstLine="710"/>
        <w:jc w:val="both"/>
      </w:pPr>
      <w:r>
        <w:rPr/>
        <w:t>Assim sendo, nesse contexto, a educação escolar moderno/sólida fornecia um conhecimento de valor duradouro e adaptado ao mundo sólido e indiferente a novidade. Bauman (2010) percebe que as mudanças atuais são muito diferentes daquelas do passado e que os princípios associados à tarefa educativa se encontram em apuros porque de acordo com Bauman,</w:t>
      </w:r>
    </w:p>
    <w:p>
      <w:pPr>
        <w:pStyle w:val="BodyText"/>
        <w:rPr>
          <w:sz w:val="26"/>
        </w:rPr>
      </w:pPr>
    </w:p>
    <w:p>
      <w:pPr>
        <w:pStyle w:val="BodyText"/>
        <w:rPr>
          <w:sz w:val="26"/>
        </w:rPr>
      </w:pPr>
    </w:p>
    <w:p>
      <w:pPr>
        <w:pStyle w:val="BodyText"/>
        <w:spacing w:before="4"/>
        <w:rPr>
          <w:sz w:val="20"/>
        </w:rPr>
      </w:pPr>
    </w:p>
    <w:p>
      <w:pPr>
        <w:spacing w:before="0"/>
        <w:ind w:left="2574" w:right="101" w:firstLine="0"/>
        <w:jc w:val="both"/>
        <w:rPr>
          <w:sz w:val="20"/>
        </w:rPr>
      </w:pPr>
      <w:r>
        <w:rPr>
          <w:spacing w:val="-3"/>
          <w:sz w:val="20"/>
        </w:rPr>
        <w:t>Em </w:t>
      </w:r>
      <w:r>
        <w:rPr>
          <w:sz w:val="20"/>
        </w:rPr>
        <w:t>nenhum dos momentos decisivos da história humana os educadores enfrentaram </w:t>
      </w:r>
      <w:r>
        <w:rPr>
          <w:spacing w:val="-4"/>
          <w:sz w:val="20"/>
        </w:rPr>
        <w:t>um </w:t>
      </w:r>
      <w:r>
        <w:rPr>
          <w:sz w:val="20"/>
        </w:rPr>
        <w:t>desafio comparável ao que representa este ponto limite. Nunca antes nos deparamos com situação semelhante. A arte de viver num mundo hipersaturado de informação ainda não foi aprendida. E o mesmo vale também para a arte ainda mais difícil de preparar os  homens para esse tipo de vida. (BAUMANN, 2010, </w:t>
      </w:r>
      <w:r>
        <w:rPr>
          <w:spacing w:val="-4"/>
          <w:sz w:val="20"/>
        </w:rPr>
        <w:t>p.</w:t>
      </w:r>
      <w:r>
        <w:rPr>
          <w:spacing w:val="3"/>
          <w:sz w:val="20"/>
        </w:rPr>
        <w:t> </w:t>
      </w:r>
      <w:r>
        <w:rPr>
          <w:spacing w:val="-3"/>
          <w:sz w:val="20"/>
        </w:rPr>
        <w:t>60).</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08" w:firstLine="710"/>
        <w:jc w:val="both"/>
      </w:pPr>
      <w:r>
        <w:rPr/>
        <w:t>Baumann (2001) ainda exemplifica essa dificuldade dizendo que o mundo da escola cresceu diferente do mundo fora da escola, que fez da liquidez sua referência, bem diferente da ordem social, sólida e imutável dos processos formativos escolarizados cheios de rotina e ordem que ainda se vive nas instituições, e que necessitam de um novo significado diante das atuais circunstâncias sociais.</w:t>
      </w:r>
    </w:p>
    <w:p>
      <w:pPr>
        <w:pStyle w:val="BodyText"/>
        <w:spacing w:line="360" w:lineRule="auto" w:before="3"/>
        <w:ind w:left="308" w:right="104" w:firstLine="710"/>
        <w:jc w:val="both"/>
      </w:pPr>
      <w:r>
        <w:rPr/>
        <w:t>Moraes (1997) referindo-se à procura de um novo referencial para instituição escolar diz que a dificuldade da mudança é enfrentada por todos os profissionais que exercem suas atividades na escola ao tentar vivenciar uma nova</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cultura de trabalho, que segundo a autora, requer profunda revisão da maneira de ensinar e aprender.</w:t>
      </w:r>
    </w:p>
    <w:p>
      <w:pPr>
        <w:pStyle w:val="BodyText"/>
        <w:spacing w:line="360" w:lineRule="auto"/>
        <w:ind w:left="308" w:right="104" w:firstLine="705"/>
        <w:jc w:val="both"/>
      </w:pPr>
      <w:r>
        <w:rPr/>
        <w:t>Nesse mesmo sentido, Alves (2005, p. 230) afirma que os educadores da atualidade possuem uma árdua tarefa que é a “produção de uma nova instituição educacional pública” para que homem saiba acerca do funcionamento da sociedade e compreenda o social pelo acesso ao pensamento da totalidade, compreenda a si, ao outro e o sentido da vida em sociedade.</w:t>
      </w:r>
    </w:p>
    <w:p>
      <w:pPr>
        <w:pStyle w:val="BodyText"/>
        <w:spacing w:line="360" w:lineRule="auto" w:before="2"/>
        <w:ind w:left="308" w:right="103" w:firstLine="705"/>
        <w:jc w:val="both"/>
      </w:pPr>
      <w:r>
        <w:rPr/>
        <w:t>E que supere o que Libâneo (2011) denomina de desinstitucionalização, desvalorização e desintegração. Três mutações provocadas pelo capitalismo globalizado, tecnológico, que impõe para as instituições escolares uma pedagogia de resultados, para cumprir metas econômicas e burocráticas.</w:t>
      </w:r>
    </w:p>
    <w:p>
      <w:pPr>
        <w:pStyle w:val="BodyText"/>
        <w:rPr>
          <w:sz w:val="26"/>
        </w:rPr>
      </w:pPr>
    </w:p>
    <w:p>
      <w:pPr>
        <w:pStyle w:val="BodyText"/>
        <w:rPr>
          <w:sz w:val="26"/>
        </w:rPr>
      </w:pPr>
    </w:p>
    <w:p>
      <w:pPr>
        <w:spacing w:line="240" w:lineRule="auto" w:before="233"/>
        <w:ind w:left="2574" w:right="103" w:firstLine="0"/>
        <w:jc w:val="both"/>
        <w:rPr>
          <w:sz w:val="20"/>
        </w:rPr>
      </w:pPr>
      <w:r>
        <w:rPr>
          <w:sz w:val="20"/>
        </w:rPr>
        <w:t>Com a desinstitucionalização, a escola se transforma em prestadora de serviços, sujeita a gerenciamento tipo empresarial e obrigação de atingir resultados. Com a desvalorização (apesar dos  discursos enobrecedores), suas finalidades de transmissão de cultura e dos elementos simbólicos com função emancipadora são substituídas pelos imperativos da eficácia produtiva e da inserção profissional, quando não de substituição de sua missão pedagógica pela missão social. Com a desintegração em decorrência dos mecanismos de mercado nelas introduzidos, têm seus objetivos educativos  distorcidos.  (LIBÂNEO, 2011, p. 89).</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10" w:firstLine="710"/>
        <w:jc w:val="both"/>
      </w:pPr>
      <w:r>
        <w:rPr/>
        <w:t>A escola precisa repensar sua condição e municiar-se de mecanismo que a possibilite fazer reflexão crítica ao mesmo modelo paradigmático existente, e buscar alternativas para uma prática educativa e social mais concreta, que considere as emergências de valores de solidariedade, liberdade e igualdade (GARCIA, 1997), que por muito tempo teve seus espaços reduzidos em razão do processo de consolidação do fenômeno da globalização.</w:t>
      </w:r>
    </w:p>
    <w:p>
      <w:pPr>
        <w:pStyle w:val="BodyText"/>
        <w:spacing w:line="360" w:lineRule="auto" w:before="8"/>
        <w:ind w:left="308" w:right="108" w:firstLine="710"/>
        <w:jc w:val="both"/>
      </w:pPr>
      <w:r>
        <w:rPr/>
        <w:t>Pensar outro paradigma nesse atual contexto é oportunidade para a criatividade teórica e para a transgressão metodológica e epistemológica, que surge na </w:t>
      </w:r>
      <w:r>
        <w:rPr>
          <w:spacing w:val="-3"/>
        </w:rPr>
        <w:t>forma </w:t>
      </w:r>
      <w:r>
        <w:rPr/>
        <w:t>de especulação, porque reflete um momento de transição, ou  seja, a relação entre o moderno e o pós-moderno, que é </w:t>
      </w:r>
      <w:r>
        <w:rPr>
          <w:spacing w:val="-3"/>
        </w:rPr>
        <w:t>uma </w:t>
      </w:r>
      <w:r>
        <w:rPr/>
        <w:t>relação de contradições, em que não há ruptura total do moderno e nem continuidade linear. (SANTOS,</w:t>
      </w:r>
      <w:r>
        <w:rPr>
          <w:spacing w:val="-4"/>
        </w:rPr>
        <w:t> </w:t>
      </w:r>
      <w:r>
        <w:rPr/>
        <w:t>1997).</w:t>
      </w:r>
    </w:p>
    <w:p>
      <w:pPr>
        <w:spacing w:after="0" w:line="360" w:lineRule="auto"/>
        <w:jc w:val="both"/>
        <w:sectPr>
          <w:pgSz w:w="11910" w:h="16840"/>
          <w:pgMar w:header="1133" w:footer="0" w:top="1340" w:bottom="280" w:left="1680" w:right="1020"/>
        </w:sectPr>
      </w:pPr>
    </w:p>
    <w:p>
      <w:pPr>
        <w:pStyle w:val="BodyText"/>
        <w:spacing w:before="10"/>
        <w:rPr>
          <w:sz w:val="20"/>
        </w:rPr>
      </w:pPr>
    </w:p>
    <w:p>
      <w:pPr>
        <w:pStyle w:val="Heading3"/>
        <w:numPr>
          <w:ilvl w:val="2"/>
          <w:numId w:val="7"/>
        </w:numPr>
        <w:tabs>
          <w:tab w:pos="951" w:val="left" w:leader="none"/>
        </w:tabs>
        <w:spacing w:line="362" w:lineRule="auto" w:before="92" w:after="0"/>
        <w:ind w:left="1018" w:right="110" w:hanging="710"/>
        <w:jc w:val="left"/>
      </w:pPr>
      <w:r>
        <w:rPr/>
        <w:t>O paradigma emergente e a ressiginificação do conhecimento e dos saberes da</w:t>
      </w:r>
      <w:r>
        <w:rPr>
          <w:spacing w:val="-8"/>
        </w:rPr>
        <w:t> </w:t>
      </w:r>
      <w:r>
        <w:rPr/>
        <w:t>escola</w:t>
      </w:r>
    </w:p>
    <w:p>
      <w:pPr>
        <w:pStyle w:val="BodyText"/>
        <w:rPr>
          <w:b/>
          <w:sz w:val="26"/>
        </w:rPr>
      </w:pPr>
    </w:p>
    <w:p>
      <w:pPr>
        <w:pStyle w:val="BodyText"/>
        <w:rPr>
          <w:b/>
          <w:sz w:val="26"/>
        </w:rPr>
      </w:pPr>
    </w:p>
    <w:p>
      <w:pPr>
        <w:pStyle w:val="BodyText"/>
        <w:spacing w:line="360" w:lineRule="auto" w:before="233"/>
        <w:ind w:left="308" w:right="101" w:firstLine="710"/>
        <w:jc w:val="both"/>
      </w:pPr>
      <w:r>
        <w:rPr/>
        <w:t>Apontar a possibilidade de um novo paradigma torna-se, no contexto da transição um diálogo, possível também para escola, porque de acordo com Boaventura de Souza Santos “o paradigma a emergir dela não pode ser apenas um paradigma científico (o paradigma de um conhecimento prudente), tem de ser também um paradigma social (para uma vida decente). ” (SANTOS, 1997, 91).</w:t>
      </w:r>
    </w:p>
    <w:p>
      <w:pPr>
        <w:pStyle w:val="BodyText"/>
        <w:spacing w:line="360" w:lineRule="auto" w:before="7"/>
        <w:ind w:left="308" w:right="111" w:firstLine="710"/>
        <w:jc w:val="both"/>
      </w:pPr>
      <w:r>
        <w:rPr/>
        <w:t>É um paradigma prudente à medida que se propõe romper com a lógica de estrutura formal da disciplinaridade e superar o processo de padronização da cegueira epistemológica valorativa que Cunha (2006, p.14), classifica como epistemicídio ou morte do conhecimento, aqui representada pela adoção de uma só forma de conhecimento, uma única alternativa para formação, conforme discutido anteriormente.</w:t>
      </w:r>
    </w:p>
    <w:p>
      <w:pPr>
        <w:pStyle w:val="BodyText"/>
        <w:spacing w:line="360" w:lineRule="auto" w:before="2"/>
        <w:ind w:left="308" w:right="106" w:firstLine="710"/>
        <w:jc w:val="both"/>
      </w:pPr>
      <w:r>
        <w:rPr/>
        <w:t>Entende-se assim que o paradigma emergente torna-se necessário como a base para construção de novos referenciais, ontológicos, epistemológicos e metodológicos de ciência e de conhecimento que possibilitem principalmente a educação e a escola irem além das propostas e estruturas tradicionais e cartesianas de educação e da prática educativa.</w:t>
      </w:r>
    </w:p>
    <w:p>
      <w:pPr>
        <w:pStyle w:val="BodyText"/>
        <w:spacing w:line="360" w:lineRule="auto" w:before="2"/>
        <w:ind w:left="308" w:right="112" w:firstLine="705"/>
        <w:jc w:val="both"/>
      </w:pPr>
      <w:r>
        <w:rPr/>
        <w:t>Não se trata de desqualificar a ciência e os paradigmas em razão dos outros modos de conhecimentos, trata-se de compreender as formas de articulação que existe entres eles em função do contexto e do lugar. São momentos de ruptura, de transição de modelo, de renovação de um novo pensar, que segundo Moraes (1997, p. 55), ruptura significa “rompimento, suspensão, corte. Trata-se de uma cisão, uma transformação na forma de compreender as coisas” e requer um pensar sobre o contexto global, uma renovação positiva, de criação, e aponta a necessidade de uma educação inovadora e  criativa  que auxilie na formação das novas gerações.</w:t>
      </w:r>
    </w:p>
    <w:p>
      <w:pPr>
        <w:pStyle w:val="BodyText"/>
        <w:spacing w:line="360" w:lineRule="auto" w:before="2"/>
        <w:ind w:left="308" w:right="104" w:firstLine="710"/>
        <w:jc w:val="both"/>
      </w:pPr>
      <w:r>
        <w:rPr/>
        <w:t>Nesse aspecto, para explicar como o paradigma emergente se  fundamenta, Boaventura de Souza Santos (2006a; 2006b), apresenta  um  conjunto de quatro teses, sobre o conhecimento, sustentadas nas seguintes perspectivas: a) todo conhecimento científico-natural  é científico-social; b)    </w:t>
      </w:r>
      <w:r>
        <w:rPr>
          <w:spacing w:val="23"/>
        </w:rPr>
        <w:t> </w:t>
      </w:r>
      <w:r>
        <w:rPr/>
        <w:t>todo</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conhecimento é autoconhecimento; c) todo conhecimento é local e total; d) todo conhecimento científico visa constituir-se em senso comum.</w:t>
      </w:r>
    </w:p>
    <w:p>
      <w:pPr>
        <w:pStyle w:val="BodyText"/>
        <w:spacing w:line="360" w:lineRule="auto"/>
        <w:ind w:left="308" w:right="113" w:firstLine="710"/>
        <w:jc w:val="both"/>
      </w:pPr>
      <w:r>
        <w:rPr/>
        <w:t>A primeira tese de que todo conhecimento cientifico natural é também científico-social, defende que não há razão para existir a distinção entre a ciência natural e a ciência social, entre o homem e a natureza, o orgânico e o inorgânico, a consciência e a realidade física externa, uma vez que</w:t>
      </w:r>
    </w:p>
    <w:p>
      <w:pPr>
        <w:pStyle w:val="BodyText"/>
        <w:rPr>
          <w:sz w:val="26"/>
        </w:rPr>
      </w:pPr>
    </w:p>
    <w:p>
      <w:pPr>
        <w:pStyle w:val="BodyText"/>
        <w:rPr>
          <w:sz w:val="26"/>
        </w:rPr>
      </w:pPr>
    </w:p>
    <w:p>
      <w:pPr>
        <w:spacing w:before="229"/>
        <w:ind w:left="2574" w:right="103" w:firstLine="0"/>
        <w:jc w:val="both"/>
        <w:rPr>
          <w:sz w:val="20"/>
        </w:rPr>
      </w:pPr>
      <w:r>
        <w:rPr>
          <w:sz w:val="20"/>
        </w:rPr>
        <w:t>estudos de ciência, tecnologia e sociedade têm mostrado que mesmo as ciências modernas são o resultado emergente e situado na intersecção e articulação dinâmica de atores humanos, entidades vivas não humanas, materiais de vários tipos, instrumentos, competências diversas, recursos institucionais e financeiros. (SANTOS, 2006b, p. 67).</w:t>
      </w:r>
    </w:p>
    <w:p>
      <w:pPr>
        <w:pStyle w:val="BodyText"/>
        <w:rPr>
          <w:sz w:val="22"/>
        </w:rPr>
      </w:pPr>
    </w:p>
    <w:p>
      <w:pPr>
        <w:pStyle w:val="BodyText"/>
        <w:rPr>
          <w:sz w:val="22"/>
        </w:rPr>
      </w:pPr>
    </w:p>
    <w:p>
      <w:pPr>
        <w:pStyle w:val="BodyText"/>
        <w:spacing w:before="9"/>
        <w:rPr>
          <w:sz w:val="27"/>
        </w:rPr>
      </w:pPr>
    </w:p>
    <w:p>
      <w:pPr>
        <w:pStyle w:val="BodyText"/>
        <w:spacing w:line="360" w:lineRule="auto"/>
        <w:ind w:left="308" w:right="102" w:firstLine="710"/>
        <w:jc w:val="both"/>
      </w:pPr>
      <w:r>
        <w:rPr/>
        <w:t>É uma construção, um processo de articulação que dá origem ao que não existia antes, </w:t>
      </w:r>
      <w:r>
        <w:rPr>
          <w:spacing w:val="-3"/>
        </w:rPr>
        <w:t>mas </w:t>
      </w:r>
      <w:r>
        <w:rPr/>
        <w:t>que não se limita somente a somar elementos existentes, </w:t>
      </w:r>
      <w:r>
        <w:rPr>
          <w:spacing w:val="-3"/>
        </w:rPr>
        <w:t>uma </w:t>
      </w:r>
      <w:r>
        <w:rPr/>
        <w:t>vez que existem muitos terrenos férteis para a educação e para o ensino, cujos objetos são ao </w:t>
      </w:r>
      <w:r>
        <w:rPr>
          <w:spacing w:val="-3"/>
        </w:rPr>
        <w:t>mesmo </w:t>
      </w:r>
      <w:r>
        <w:rPr/>
        <w:t>tempo “naturais e sociais, que têm levado a nova articulação dos saberes e a colaborações e aproximações entre investigadores de áreas tradicionalmente separadas pela grande separação das culturas”. (SANTOS</w:t>
      </w:r>
      <w:r>
        <w:rPr>
          <w:b/>
        </w:rPr>
        <w:t>, </w:t>
      </w:r>
      <w:r>
        <w:rPr/>
        <w:t>2006b, p.</w:t>
      </w:r>
      <w:r>
        <w:rPr>
          <w:spacing w:val="-6"/>
        </w:rPr>
        <w:t> </w:t>
      </w:r>
      <w:r>
        <w:rPr/>
        <w:t>68).</w:t>
      </w:r>
    </w:p>
    <w:p>
      <w:pPr>
        <w:pStyle w:val="BodyText"/>
        <w:spacing w:line="360" w:lineRule="auto" w:before="7"/>
        <w:ind w:left="308" w:right="112" w:firstLine="710"/>
        <w:jc w:val="both"/>
      </w:pPr>
      <w:r>
        <w:rPr/>
        <w:t>A segunda tese defende que todo conhecimento é autoconhecimento, porque “incentiva os conceitos e as teorias desenvolvidos localmente a emigram para outros lugares cognitivos, e possibilitam sua utilização fora de seu contexto de origem” (SANTOS</w:t>
      </w:r>
      <w:r>
        <w:rPr>
          <w:b/>
        </w:rPr>
        <w:t>, </w:t>
      </w:r>
      <w:r>
        <w:rPr/>
        <w:t>2006a, p. 77), e também a pluralidade metodológica como forma de garantir o conhecimento sobre as condições de possibilidades, assim, amplia a criatividade, melhora a iniciativa para resolução de problemas reais do cotidiano, porque considera que</w:t>
      </w:r>
    </w:p>
    <w:p>
      <w:pPr>
        <w:pStyle w:val="BodyText"/>
        <w:rPr>
          <w:sz w:val="26"/>
        </w:rPr>
      </w:pPr>
    </w:p>
    <w:p>
      <w:pPr>
        <w:pStyle w:val="BodyText"/>
        <w:rPr>
          <w:sz w:val="26"/>
        </w:rPr>
      </w:pPr>
    </w:p>
    <w:p>
      <w:pPr>
        <w:spacing w:before="230"/>
        <w:ind w:left="2574" w:right="104" w:firstLine="0"/>
        <w:jc w:val="both"/>
        <w:rPr>
          <w:sz w:val="20"/>
        </w:rPr>
      </w:pPr>
      <w:r>
        <w:rPr>
          <w:sz w:val="20"/>
        </w:rPr>
        <w:t>O conhecimento resulta do enredamento dos aspectos do físico, do biológico e do social, considerados inseparáveis e simultâneos. Tudo o que existe no ambiente influencia o ser, que o capta e integra no processo mental de interação e construção. Nesse caso, impõe-se a necessidade de ressignificar, também, o próprio conceito de percepção. (SANTOS, 2009, p. 33).</w:t>
      </w:r>
    </w:p>
    <w:p>
      <w:pPr>
        <w:spacing w:after="0"/>
        <w:jc w:val="both"/>
        <w:rPr>
          <w:sz w:val="20"/>
        </w:rPr>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7" w:firstLine="710"/>
        <w:jc w:val="both"/>
      </w:pPr>
      <w:r>
        <w:rPr/>
        <w:t>Dessa forma, articula sujeito/objeto, sujeito/saber, numa perspectiva de conhecimento como instrumento para leitura do mundo, como conhecimento que constrói conhecimento, numa atividade de auto-organização produtora de diferenças, decorrentes de diversidades das relações humanas e da própria vida.</w:t>
      </w:r>
    </w:p>
    <w:p>
      <w:pPr>
        <w:pStyle w:val="BodyText"/>
        <w:spacing w:line="360" w:lineRule="auto" w:before="2"/>
        <w:ind w:left="308" w:right="106" w:firstLine="710"/>
        <w:jc w:val="both"/>
      </w:pPr>
      <w:r>
        <w:rPr/>
        <w:t>A terceira tese considera que todo conhecimento é local e total, porque utilizam conceitos e teorias, cujas aplicações podem ser postas em prática dentro e fora do seu contexto, condição visível nas </w:t>
      </w:r>
      <w:r>
        <w:rPr>
          <w:spacing w:val="-2"/>
        </w:rPr>
        <w:t>formas </w:t>
      </w:r>
      <w:r>
        <w:rPr/>
        <w:t>de produção de  conhecimento, fortalecidas pelas ideias de trajetórias de vida, de valores e  crenças que se articulam entre os diferentes tipos de saberes, quer sejam: analíticos e formais, técnicos, práticos, locais e articulações de racionalidade e de razoabilidade, que configuram o conhecimento prudente para </w:t>
      </w:r>
      <w:r>
        <w:rPr>
          <w:spacing w:val="-3"/>
        </w:rPr>
        <w:t>uma </w:t>
      </w:r>
      <w:r>
        <w:rPr/>
        <w:t>vida decente. (SANTOS</w:t>
      </w:r>
      <w:r>
        <w:rPr>
          <w:b/>
        </w:rPr>
        <w:t>,</w:t>
      </w:r>
      <w:r>
        <w:rPr>
          <w:b/>
          <w:spacing w:val="-2"/>
        </w:rPr>
        <w:t> </w:t>
      </w:r>
      <w:r>
        <w:rPr/>
        <w:t>2006b).</w:t>
      </w:r>
    </w:p>
    <w:p>
      <w:pPr>
        <w:pStyle w:val="BodyText"/>
        <w:spacing w:line="360" w:lineRule="auto" w:before="7"/>
        <w:ind w:left="308" w:right="98" w:firstLine="710"/>
        <w:jc w:val="both"/>
      </w:pPr>
      <w:r>
        <w:rPr/>
        <w:t>A quarta e última tese, trata sobre todo conhecimento científico constituir- se </w:t>
      </w:r>
      <w:r>
        <w:rPr>
          <w:spacing w:val="2"/>
        </w:rPr>
        <w:t>em </w:t>
      </w:r>
      <w:r>
        <w:rPr/>
        <w:t>senso comum, ou que o autor considera como retorno ao senso comum. Diz da relação entre as ciências e o senso comum e da capacidade que o paradigma emergente possui para reabilitar o senso comum, pelo reconhecimento e valorização que qualifique as várias formas de conhecimento e enriquecem a relação do ser humano com o mundo. Nesse aspecto, o senso comum a que se refere é diferenciado e esclarecido, diferente do senso comum anterior ao rompimento com a ciência moderna. (SANTOS,</w:t>
      </w:r>
      <w:r>
        <w:rPr>
          <w:spacing w:val="-24"/>
        </w:rPr>
        <w:t> </w:t>
      </w:r>
      <w:r>
        <w:rPr/>
        <w:t>2006a).</w:t>
      </w:r>
    </w:p>
    <w:p>
      <w:pPr>
        <w:pStyle w:val="BodyText"/>
        <w:spacing w:line="360" w:lineRule="auto" w:before="2"/>
        <w:ind w:left="308" w:right="100" w:firstLine="710"/>
        <w:jc w:val="both"/>
      </w:pPr>
      <w:r>
        <w:rPr/>
        <w:t>A relação esperada é que, realmente, exista o diálogo entre o  conhecimento científico e o conhecimento do senso comum, que aponte para formas eficazes de adquirir competências científicas sem desperdiçar outras formas de conhecimento e de experiências, as quais possibilitem a ciência enriquecer suas relações para ganhar o domínio público e tornar-se um saber popular. Nessa perspectiva, o autor explica que o paradigma emergente alarga infinitamente a concepção de ciência, porque concebe a ciência como ato  humano que admite a não neutralidade e supera as distinções óbvias, tais como: “natureza/cultura, natural/artificial, vivo/animado, observador/observado, subjetivo/objetivo, coletivo/individual”. (SANTOS, 2006b, p.</w:t>
      </w:r>
      <w:r>
        <w:rPr>
          <w:spacing w:val="-25"/>
        </w:rPr>
        <w:t> </w:t>
      </w:r>
      <w:r>
        <w:rPr/>
        <w:t>39).</w:t>
      </w:r>
    </w:p>
    <w:p>
      <w:pPr>
        <w:pStyle w:val="BodyText"/>
        <w:spacing w:line="360" w:lineRule="auto" w:before="7"/>
        <w:ind w:left="308" w:right="106" w:firstLine="710"/>
        <w:jc w:val="both"/>
      </w:pPr>
      <w:r>
        <w:rPr/>
        <w:t>A emergência de um novo paradigma é também </w:t>
      </w:r>
      <w:r>
        <w:rPr>
          <w:spacing w:val="2"/>
        </w:rPr>
        <w:t>um </w:t>
      </w:r>
      <w:r>
        <w:rPr/>
        <w:t>convite à mudança na visão e nas práticas educativas da escola com maior coerência às necessidades que as crises nos diferentes aspectos, apontam. Há uma necessidade social de que a educação ofertada nas instituições escolares seja mais humana, criativa  </w:t>
      </w:r>
      <w:r>
        <w:rPr>
          <w:spacing w:val="56"/>
        </w:rPr>
        <w:t> </w:t>
      </w:r>
      <w:r>
        <w:rPr/>
        <w:t>e</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transformadora, e amplie a consciência da pessoa para uma cultura de transformação. (TORRE; PUNJOL, 2013).</w:t>
      </w:r>
    </w:p>
    <w:p>
      <w:pPr>
        <w:pStyle w:val="BodyText"/>
        <w:spacing w:line="360" w:lineRule="auto"/>
        <w:ind w:left="308" w:right="101" w:firstLine="710"/>
        <w:jc w:val="both"/>
      </w:pPr>
      <w:r>
        <w:rPr/>
        <w:t>Para Plastino (1997), na conjuntura já apontada para crise e respectiva emergência paradigmática, é importante dizer que construir um novo paradigma não se trata de substituir um paradigma por outro, antes sim, trata-se de redefinir pressupostos éticos e políticos do trabalho científico e suas consequências globais, superar encastelamento das disciplinas, democratização política de financiamento das áreas para superação dos privilégios, notadamente de algumas em detrimento a outras, de repensar as relações entre as pessoas e das pessoas para com a vida, o mundo nos diferentes espaços, principalmente nos espaços escolares, de modo que se tornem ambientes que considerem as diversas dimensões do fenômeno educativo, seus aspectos físico, biológico, mental, psicológico, cultural e social. O importante é avançar para além das práticas reprodutivas e tentar construir novos caminhos que levem o homem da sociedade global a uma convivência planetária melhor e mais solidária.</w:t>
      </w:r>
    </w:p>
    <w:p>
      <w:pPr>
        <w:pStyle w:val="BodyText"/>
        <w:spacing w:line="360" w:lineRule="auto" w:before="2"/>
        <w:ind w:left="308" w:right="102" w:firstLine="710"/>
        <w:jc w:val="both"/>
      </w:pPr>
      <w:r>
        <w:rPr/>
        <w:t>Nesse aspecto, Moraes (1997) expõe a respeito do papel fundamental da educação em desenvolver uma visão de contexto: que reconheça a totalidade e a multidimensionalidade do processo educativo; que enfatize a consciência da inter- relação, da interdependência entre todos os fenômenos da natureza e as interligações entre os conceitos; que conceba a realidade a ser transformada, e desenvolva organizações sociais e educativas compatíveis com esses princípios.</w:t>
      </w:r>
    </w:p>
    <w:p>
      <w:pPr>
        <w:pStyle w:val="BodyText"/>
        <w:rPr>
          <w:sz w:val="26"/>
        </w:rPr>
      </w:pPr>
    </w:p>
    <w:p>
      <w:pPr>
        <w:pStyle w:val="BodyText"/>
        <w:rPr>
          <w:sz w:val="26"/>
        </w:rPr>
      </w:pPr>
    </w:p>
    <w:p>
      <w:pPr>
        <w:pStyle w:val="BodyText"/>
        <w:spacing w:before="4"/>
        <w:rPr>
          <w:sz w:val="20"/>
        </w:rPr>
      </w:pPr>
    </w:p>
    <w:p>
      <w:pPr>
        <w:spacing w:line="240" w:lineRule="auto" w:before="0"/>
        <w:ind w:left="2574" w:right="104" w:firstLine="0"/>
        <w:jc w:val="both"/>
        <w:rPr>
          <w:sz w:val="20"/>
        </w:rPr>
      </w:pPr>
      <w:r>
        <w:rPr>
          <w:sz w:val="20"/>
        </w:rPr>
        <w:t>Um paradigma que reconhecesse a interdependência existente entre os processos de pensamento e de construção do conhecimento e o ambiente geral, que colaborasse para resgatar a visão de contexto, que não separasse o indivíduo do mundo em que vive e de seus relacionamentos, que promovesse como seres interdependentes, reconhecendo a vida humana entrelaçada com o mundo natural (MORAES, 1997, p. 17).</w:t>
      </w:r>
    </w:p>
    <w:p>
      <w:pPr>
        <w:pStyle w:val="BodyText"/>
        <w:rPr>
          <w:sz w:val="22"/>
        </w:rPr>
      </w:pPr>
    </w:p>
    <w:p>
      <w:pPr>
        <w:pStyle w:val="BodyText"/>
        <w:rPr>
          <w:sz w:val="22"/>
        </w:rPr>
      </w:pPr>
    </w:p>
    <w:p>
      <w:pPr>
        <w:pStyle w:val="BodyText"/>
        <w:spacing w:before="3"/>
        <w:rPr>
          <w:sz w:val="28"/>
        </w:rPr>
      </w:pPr>
    </w:p>
    <w:p>
      <w:pPr>
        <w:pStyle w:val="BodyText"/>
        <w:spacing w:line="360" w:lineRule="auto"/>
        <w:ind w:left="308" w:right="109" w:firstLine="705"/>
        <w:jc w:val="both"/>
      </w:pPr>
      <w:r>
        <w:rPr/>
        <w:t>Assim sendo, é pensar a educação para além dos moldes de uma pedagogia rígida conceitualmente, que desenvolva nos sujeitos aspectos que os possibilitem adquirir conhecimentos e autonomias para além daquelas exigidas em função da produtividade da sociedade atual, que percebam a totalidade da natureza   humana,   a   dinamicidade   do   conhecimento   e   a   necessidade</w:t>
      </w:r>
      <w:r>
        <w:rPr>
          <w:spacing w:val="27"/>
        </w:rPr>
        <w:t> </w:t>
      </w:r>
      <w:r>
        <w:rPr/>
        <w:t>da</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ressignificação e que vejam a renovação como um risco necessário (SANTOS, 2009).</w:t>
      </w:r>
    </w:p>
    <w:p>
      <w:pPr>
        <w:pStyle w:val="BodyText"/>
        <w:spacing w:line="360" w:lineRule="auto"/>
        <w:ind w:left="308" w:right="103" w:firstLine="705"/>
        <w:jc w:val="both"/>
      </w:pPr>
      <w:r>
        <w:rPr/>
        <w:t>É uma transformação conceitual necessária em todos os aspectos da vida, no dizer de Boaventura de Souza Santos (1997), valorização do conhecimento emancipação, ou seja, contra o saber, criar saber e contra os saberes, contra saberes. Em suma, uma educação que objetive um ser mais consciente, mais ético, mais completo e que atue, tanto nos diferentes níveis do real, como na dimensão dos opostos no nível de articulação e diálogo entre os saberes, no sentido de ressignificar o sujeito e suas práticas no processo educativo.</w:t>
      </w:r>
    </w:p>
    <w:p>
      <w:pPr>
        <w:pStyle w:val="BodyText"/>
        <w:spacing w:line="360" w:lineRule="auto" w:before="7"/>
        <w:ind w:left="308" w:right="104" w:firstLine="705"/>
        <w:jc w:val="both"/>
      </w:pPr>
      <w:r>
        <w:rPr/>
        <w:t>A transição paradigmática é, portanto uma condição necessária à mudança e a ruptura, é um momento que Koff (2012) define como o ressignificar da escola, para que ela fale a língua do seu espaço – tempo, condição que passa, segundo autora pelo debate do</w:t>
      </w:r>
    </w:p>
    <w:p>
      <w:pPr>
        <w:pStyle w:val="BodyText"/>
        <w:rPr>
          <w:sz w:val="26"/>
        </w:rPr>
      </w:pPr>
    </w:p>
    <w:p>
      <w:pPr>
        <w:pStyle w:val="BodyText"/>
        <w:rPr>
          <w:sz w:val="26"/>
        </w:rPr>
      </w:pPr>
    </w:p>
    <w:p>
      <w:pPr>
        <w:pStyle w:val="BodyText"/>
        <w:spacing w:before="4"/>
        <w:rPr>
          <w:sz w:val="20"/>
        </w:rPr>
      </w:pPr>
    </w:p>
    <w:p>
      <w:pPr>
        <w:spacing w:line="240" w:lineRule="auto" w:before="0"/>
        <w:ind w:left="2574" w:right="103" w:firstLine="0"/>
        <w:jc w:val="both"/>
        <w:rPr>
          <w:sz w:val="24"/>
        </w:rPr>
      </w:pPr>
      <w:r>
        <w:rPr>
          <w:sz w:val="20"/>
        </w:rPr>
        <w:t>Seu próprio papel, as suas concepções e/ou abordagens pedagógicas, os seus currículos e as suas práticas educativas, refletindo sobre o ressignificando aspectos como organização espaço-temporal, concepções de processo ensino aprendizagem, papel dos (as) professores (as), oficio dos (as) alunos (as), natureza das relações, saberes, conhecimentos e valores, métodos, técnicas e recursos, linguagens, planejamentos, avaliação, formas de gestão, estratégias da formação em serviço entre vários outros estruturantes que a configuram. (KOFF, 2012, p.</w:t>
      </w:r>
      <w:r>
        <w:rPr>
          <w:spacing w:val="-4"/>
          <w:sz w:val="20"/>
        </w:rPr>
        <w:t> </w:t>
      </w:r>
      <w:r>
        <w:rPr>
          <w:sz w:val="20"/>
        </w:rPr>
        <w:t>304</w:t>
      </w:r>
      <w:r>
        <w:rPr>
          <w:sz w:val="24"/>
        </w:rPr>
        <w:t>).</w:t>
      </w:r>
    </w:p>
    <w:p>
      <w:pPr>
        <w:pStyle w:val="BodyText"/>
        <w:rPr>
          <w:sz w:val="26"/>
        </w:rPr>
      </w:pPr>
    </w:p>
    <w:p>
      <w:pPr>
        <w:pStyle w:val="BodyText"/>
        <w:rPr>
          <w:sz w:val="26"/>
        </w:rPr>
      </w:pPr>
    </w:p>
    <w:p>
      <w:pPr>
        <w:pStyle w:val="BodyText"/>
        <w:spacing w:line="360" w:lineRule="auto" w:before="230"/>
        <w:ind w:left="308" w:right="111" w:firstLine="705"/>
        <w:jc w:val="both"/>
      </w:pPr>
      <w:r>
        <w:rPr/>
        <w:t>E ainda, completa autora, citando Candau (2003), quando evidencia a necessidade de que educação compreenda os processos educacionais como historicamente situados, se articule com outros processos sociais e trabalhe a relação teoria-prática, para que dessa forma favoreça e estimule a</w:t>
      </w:r>
    </w:p>
    <w:p>
      <w:pPr>
        <w:pStyle w:val="BodyText"/>
        <w:rPr>
          <w:sz w:val="26"/>
        </w:rPr>
      </w:pPr>
    </w:p>
    <w:p>
      <w:pPr>
        <w:pStyle w:val="BodyText"/>
        <w:rPr>
          <w:sz w:val="26"/>
        </w:rPr>
      </w:pPr>
    </w:p>
    <w:p>
      <w:pPr>
        <w:pStyle w:val="BodyText"/>
        <w:spacing w:before="4"/>
        <w:rPr>
          <w:sz w:val="20"/>
        </w:rPr>
      </w:pPr>
    </w:p>
    <w:p>
      <w:pPr>
        <w:spacing w:line="240" w:lineRule="auto" w:before="0"/>
        <w:ind w:left="2574" w:right="106" w:firstLine="0"/>
        <w:jc w:val="both"/>
        <w:rPr>
          <w:sz w:val="20"/>
        </w:rPr>
      </w:pPr>
      <w:r>
        <w:rPr>
          <w:sz w:val="20"/>
        </w:rPr>
        <w:t>construção de sujeitos autônomos, competentes, solidários capazes de ser sujeitos de direito plano pessoal e coletivo, capazes de construir histórias e apostar em um mundo e em uma sociedade diferentes, de utilizar metodologias ativas, participativas, personalizadas e multidimensionais, articuladoras das dimensões cognitivas, afetivas, lúdica, cultural, social, econômica e política da educação. (KOFF, 2012, p.305).</w:t>
      </w:r>
    </w:p>
    <w:p>
      <w:pPr>
        <w:spacing w:after="0" w:line="240" w:lineRule="auto"/>
        <w:jc w:val="both"/>
        <w:rPr>
          <w:sz w:val="20"/>
        </w:rPr>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18" w:firstLine="710"/>
        <w:jc w:val="both"/>
      </w:pPr>
      <w:r>
        <w:rPr/>
        <w:t>Enfim, é uma postura que sugere outras possibilidades pedagógicas para o trabalho da escola em que a integração, a articulação e continuidade, tanto na parte teórica quanto na práxis são estimuladas pela reforma do pensamento sustentadas no pensamento complexo. (SUANNO, 2013c).</w:t>
      </w:r>
    </w:p>
    <w:p>
      <w:pPr>
        <w:pStyle w:val="BodyText"/>
        <w:rPr>
          <w:sz w:val="26"/>
        </w:rPr>
      </w:pPr>
    </w:p>
    <w:p>
      <w:pPr>
        <w:pStyle w:val="BodyText"/>
        <w:rPr>
          <w:sz w:val="26"/>
        </w:rPr>
      </w:pPr>
    </w:p>
    <w:p>
      <w:pPr>
        <w:pStyle w:val="Heading3"/>
        <w:numPr>
          <w:ilvl w:val="2"/>
          <w:numId w:val="7"/>
        </w:numPr>
        <w:tabs>
          <w:tab w:pos="912" w:val="left" w:leader="none"/>
        </w:tabs>
        <w:spacing w:line="240" w:lineRule="auto" w:before="230" w:after="0"/>
        <w:ind w:left="911" w:right="0" w:hanging="603"/>
        <w:jc w:val="left"/>
      </w:pPr>
      <w:bookmarkStart w:name="_TOC_250011" w:id="6"/>
      <w:r>
        <w:rPr/>
        <w:t>O pensamento complexo na</w:t>
      </w:r>
      <w:r>
        <w:rPr>
          <w:spacing w:val="-22"/>
        </w:rPr>
        <w:t> </w:t>
      </w:r>
      <w:bookmarkEnd w:id="6"/>
      <w:r>
        <w:rPr/>
        <w:t>escola</w:t>
      </w:r>
    </w:p>
    <w:p>
      <w:pPr>
        <w:pStyle w:val="BodyText"/>
        <w:rPr>
          <w:b/>
          <w:sz w:val="26"/>
        </w:rPr>
      </w:pPr>
    </w:p>
    <w:p>
      <w:pPr>
        <w:pStyle w:val="BodyText"/>
        <w:rPr>
          <w:b/>
          <w:sz w:val="26"/>
        </w:rPr>
      </w:pPr>
    </w:p>
    <w:p>
      <w:pPr>
        <w:pStyle w:val="BodyText"/>
        <w:spacing w:before="5"/>
        <w:rPr>
          <w:b/>
          <w:sz w:val="32"/>
        </w:rPr>
      </w:pPr>
    </w:p>
    <w:p>
      <w:pPr>
        <w:pStyle w:val="BodyText"/>
        <w:spacing w:line="360" w:lineRule="auto"/>
        <w:ind w:left="308" w:right="111" w:firstLine="710"/>
        <w:jc w:val="both"/>
      </w:pPr>
      <w:r>
        <w:rPr/>
        <w:t>No pano de fundo para compreensão sobre o pensamento complexo proposto por Edgar Morin (2005), é possível destacar entre outras questões, a crítica à razão cartesiana, abordada anteriormente nesse trabalho, aos estudos que tratam da ruptura epistemológica entre a ciência contemporânea e o senso comum.</w:t>
      </w:r>
    </w:p>
    <w:p>
      <w:pPr>
        <w:pStyle w:val="BodyText"/>
        <w:spacing w:line="360" w:lineRule="auto" w:before="2"/>
        <w:ind w:left="308" w:right="103" w:firstLine="710"/>
        <w:jc w:val="both"/>
      </w:pPr>
      <w:r>
        <w:rPr/>
        <w:t>Por complexidade entende-se a concepção teórica “construída a partir do pensamento complexo de Edgar Morin, das implicações epistemológicas  da  Física Quântica e da Teoria Autopoiética de Maturana e Varela na educação”. (MORAES, 2013,</w:t>
      </w:r>
      <w:r>
        <w:rPr>
          <w:spacing w:val="-8"/>
        </w:rPr>
        <w:t> </w:t>
      </w:r>
      <w:r>
        <w:rPr/>
        <w:t>p.56).</w:t>
      </w:r>
    </w:p>
    <w:p>
      <w:pPr>
        <w:pStyle w:val="BodyText"/>
        <w:rPr>
          <w:sz w:val="26"/>
        </w:rPr>
      </w:pPr>
    </w:p>
    <w:p>
      <w:pPr>
        <w:pStyle w:val="BodyText"/>
        <w:rPr>
          <w:sz w:val="26"/>
        </w:rPr>
      </w:pPr>
    </w:p>
    <w:p>
      <w:pPr>
        <w:spacing w:before="229"/>
        <w:ind w:left="2574" w:right="103" w:firstLine="0"/>
        <w:jc w:val="both"/>
        <w:rPr>
          <w:sz w:val="20"/>
        </w:rPr>
      </w:pPr>
      <w:r>
        <w:rPr>
          <w:sz w:val="20"/>
        </w:rPr>
        <w:t>[...] a complexidade é </w:t>
      </w:r>
      <w:r>
        <w:rPr>
          <w:spacing w:val="-4"/>
          <w:sz w:val="20"/>
        </w:rPr>
        <w:t>um </w:t>
      </w:r>
      <w:r>
        <w:rPr>
          <w:sz w:val="20"/>
        </w:rPr>
        <w:t>tecido (complexus: o que é tecido junto) de constituintes heterogêneas inseparavelmente associadas: ela coloca o paradoxo do uno e do múltiplo. </w:t>
      </w:r>
      <w:r>
        <w:rPr>
          <w:spacing w:val="-3"/>
          <w:sz w:val="20"/>
        </w:rPr>
        <w:t>Num segundo </w:t>
      </w:r>
      <w:r>
        <w:rPr>
          <w:sz w:val="20"/>
        </w:rPr>
        <w:t>momento, a complexidade é efetivamente o tecido de acontecimentos, ações, interações, retroações, determinações, acasos, que constituem </w:t>
      </w:r>
      <w:r>
        <w:rPr>
          <w:spacing w:val="-3"/>
          <w:sz w:val="20"/>
        </w:rPr>
        <w:t>nosso </w:t>
      </w:r>
      <w:r>
        <w:rPr>
          <w:sz w:val="20"/>
        </w:rPr>
        <w:t>mundo fenomênico. (MORIN, 2005, p.</w:t>
      </w:r>
      <w:r>
        <w:rPr>
          <w:spacing w:val="1"/>
          <w:sz w:val="20"/>
        </w:rPr>
        <w:t> </w:t>
      </w:r>
      <w:r>
        <w:rPr>
          <w:spacing w:val="-3"/>
          <w:sz w:val="20"/>
        </w:rPr>
        <w:t>13).</w:t>
      </w:r>
    </w:p>
    <w:p>
      <w:pPr>
        <w:pStyle w:val="BodyText"/>
        <w:rPr>
          <w:sz w:val="22"/>
        </w:rPr>
      </w:pPr>
    </w:p>
    <w:p>
      <w:pPr>
        <w:pStyle w:val="BodyText"/>
        <w:rPr>
          <w:sz w:val="22"/>
        </w:rPr>
      </w:pPr>
    </w:p>
    <w:p>
      <w:pPr>
        <w:pStyle w:val="BodyText"/>
        <w:spacing w:before="9"/>
        <w:rPr>
          <w:sz w:val="27"/>
        </w:rPr>
      </w:pPr>
    </w:p>
    <w:p>
      <w:pPr>
        <w:pStyle w:val="BodyText"/>
        <w:spacing w:line="360" w:lineRule="auto" w:before="1"/>
        <w:ind w:left="308" w:right="106" w:firstLine="710"/>
        <w:jc w:val="both"/>
      </w:pPr>
      <w:r>
        <w:rPr/>
        <w:t>A complexidade </w:t>
      </w:r>
      <w:r>
        <w:rPr>
          <w:spacing w:val="-4"/>
        </w:rPr>
        <w:t>como</w:t>
      </w:r>
      <w:r>
        <w:rPr>
          <w:spacing w:val="58"/>
        </w:rPr>
        <w:t> </w:t>
      </w:r>
      <w:r>
        <w:rPr/>
        <w:t>concepção está relacionada ao pensamento complexo, que para além das ideias reducionistas </w:t>
      </w:r>
      <w:r>
        <w:rPr>
          <w:spacing w:val="5"/>
        </w:rPr>
        <w:t>do </w:t>
      </w:r>
      <w:r>
        <w:rPr/>
        <w:t>paradigma dominante, amplia o saber, promove melhor entendimento, justamente porque contextualiza e interliga os problemas cotidianos. Dessa forma, tem contribuído para superação da cegueira do conhecimento, a fragmentação do campo de saber e para mudança paradigmática. (ZWIEREWICZ,</w:t>
      </w:r>
      <w:r>
        <w:rPr>
          <w:spacing w:val="-21"/>
        </w:rPr>
        <w:t> </w:t>
      </w:r>
      <w:r>
        <w:rPr/>
        <w:t>2014b).</w:t>
      </w:r>
    </w:p>
    <w:p>
      <w:pPr>
        <w:pStyle w:val="BodyText"/>
        <w:spacing w:line="360" w:lineRule="auto" w:before="7"/>
        <w:ind w:left="308" w:right="112" w:firstLine="710"/>
        <w:jc w:val="both"/>
      </w:pPr>
      <w:r>
        <w:rPr/>
        <w:t>De acordo com Moraes a complexidade em sua concepção apresenta duas naturezas, uma organizacional e outra lógica,</w:t>
      </w:r>
    </w:p>
    <w:p>
      <w:pPr>
        <w:spacing w:after="0" w:line="360" w:lineRule="auto"/>
        <w:jc w:val="both"/>
        <w:sectPr>
          <w:pgSz w:w="11910" w:h="16840"/>
          <w:pgMar w:header="1133" w:footer="0" w:top="1340" w:bottom="280" w:left="1680" w:right="1020"/>
        </w:sectPr>
      </w:pPr>
    </w:p>
    <w:p>
      <w:pPr>
        <w:pStyle w:val="BodyText"/>
        <w:spacing w:before="11"/>
        <w:rPr>
          <w:sz w:val="20"/>
        </w:rPr>
      </w:pPr>
    </w:p>
    <w:p>
      <w:pPr>
        <w:spacing w:before="95"/>
        <w:ind w:left="2574" w:right="104" w:firstLine="0"/>
        <w:jc w:val="both"/>
        <w:rPr>
          <w:sz w:val="20"/>
        </w:rPr>
      </w:pPr>
      <w:r>
        <w:rPr>
          <w:sz w:val="20"/>
        </w:rPr>
        <w:t>uma complexidade de natureza organizacional como consequência da trama existente entre os mundos macrofísicos e microfísicos presentes nos fenômenos biológicos, psicológicos, sociais, culturais, etc.[..] uma complexidade de natureza lógica, que afeta e exige uma renovação conceitual em relação ao objeto e uma mudança epistemológica relacionada ao sujeito e ao papel desempenhado pelo observador científico, que já não pode distanciar-se do objeto para descrever os mecanismos da natureza.(MORAES, 2011, p.21).</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08" w:firstLine="710"/>
        <w:jc w:val="both"/>
      </w:pPr>
      <w:r>
        <w:rPr/>
        <w:t>Assim, a complexidade deve ser compreendida como um  princípio regulador do pensamento e da ação que “não perde vista a realidade dos fenômenos, que não se separa sujeito e objeto e não exclui o espírito humano, o sujeito, a cultura e a sociedade. (MORIN, 1996 APUD MORAES, 2011, p.22).</w:t>
      </w:r>
    </w:p>
    <w:p>
      <w:pPr>
        <w:pStyle w:val="BodyText"/>
        <w:rPr>
          <w:sz w:val="26"/>
        </w:rPr>
      </w:pPr>
    </w:p>
    <w:p>
      <w:pPr>
        <w:pStyle w:val="BodyText"/>
        <w:rPr>
          <w:sz w:val="26"/>
        </w:rPr>
      </w:pPr>
    </w:p>
    <w:p>
      <w:pPr>
        <w:pStyle w:val="BodyText"/>
        <w:spacing w:before="4"/>
        <w:rPr>
          <w:sz w:val="20"/>
        </w:rPr>
      </w:pPr>
    </w:p>
    <w:p>
      <w:pPr>
        <w:spacing w:line="240" w:lineRule="auto" w:before="0"/>
        <w:ind w:left="2574" w:right="101" w:firstLine="0"/>
        <w:jc w:val="both"/>
        <w:rPr>
          <w:sz w:val="20"/>
        </w:rPr>
      </w:pPr>
      <w:r>
        <w:rPr>
          <w:sz w:val="20"/>
        </w:rPr>
        <w:t>A complexidade é efetivamente uma rede de eventos, ações, interações, retroações, determinações que sustentam nosso mundo fenomenológico [...]. O que é complexo [...] recupera, por um lado, o mundo empírico, a incerteza, a incapacidade de se atingir a certeza, de formular uma lei eterna, de conceder uma ordem absoluta. Por outro, recupera alguma coisa que diz respeito à lógica, ou seja, à incapacidade de evitar contradições. (MORIN; CIURANA; MOTTA, 2009, apud ZWIEREWICZ, 2014b, p.37b).</w:t>
      </w:r>
    </w:p>
    <w:p>
      <w:pPr>
        <w:pStyle w:val="BodyText"/>
        <w:rPr>
          <w:sz w:val="22"/>
        </w:rPr>
      </w:pPr>
    </w:p>
    <w:p>
      <w:pPr>
        <w:pStyle w:val="BodyText"/>
        <w:rPr>
          <w:sz w:val="22"/>
        </w:rPr>
      </w:pPr>
    </w:p>
    <w:p>
      <w:pPr>
        <w:pStyle w:val="BodyText"/>
        <w:spacing w:before="10"/>
        <w:rPr>
          <w:sz w:val="27"/>
        </w:rPr>
      </w:pPr>
    </w:p>
    <w:p>
      <w:pPr>
        <w:pStyle w:val="BodyText"/>
        <w:ind w:left="1018"/>
      </w:pPr>
      <w:r>
        <w:rPr/>
        <w:t>Num sentido mais amplo, Morin (2003), ainda esclarece que</w:t>
      </w:r>
    </w:p>
    <w:p>
      <w:pPr>
        <w:pStyle w:val="BodyText"/>
        <w:rPr>
          <w:sz w:val="26"/>
        </w:rPr>
      </w:pPr>
    </w:p>
    <w:p>
      <w:pPr>
        <w:pStyle w:val="BodyText"/>
        <w:rPr>
          <w:sz w:val="26"/>
        </w:rPr>
      </w:pPr>
    </w:p>
    <w:p>
      <w:pPr>
        <w:pStyle w:val="BodyText"/>
        <w:spacing w:before="11"/>
        <w:rPr>
          <w:sz w:val="31"/>
        </w:rPr>
      </w:pPr>
    </w:p>
    <w:p>
      <w:pPr>
        <w:spacing w:before="0"/>
        <w:ind w:left="2574" w:right="102" w:firstLine="0"/>
        <w:jc w:val="both"/>
        <w:rPr>
          <w:sz w:val="20"/>
        </w:rPr>
      </w:pPr>
      <w:r>
        <w:rPr>
          <w:sz w:val="20"/>
        </w:rPr>
        <w:t>Há complexidade quando elementos diferentes são inseparáveis constitutivos do todo (como o econômico, o político, o sociológico, o psicológico, o afetivo, o mitológico), e há um tecido independente, interativo e inter-retroativo entre o objeto de conhecimento e seus contextos, as partes e o todo, o todo e as partes, as partes entre si. (MORIN, 2003, p.38).</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01" w:firstLine="710"/>
        <w:jc w:val="both"/>
      </w:pPr>
      <w:r>
        <w:rPr/>
        <w:t>Vista assim, e articulada à visão sistêmica, a complexidade contribui para retorno “à ideia de que o significado do todo é mais que um conjunto das partes que o constituem” (ZWIEREWICZ, 2014a, p.41), contribui para despertar a consciência diante dos padrões de percepção sobre a realidade e colabora com a prática de outra forma de relação com o conhecimento. Na concepção de Santos apresenta-se “sob forma de rede, o que sugere mudança conceitual e princípios</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right="169"/>
      </w:pPr>
      <w:r>
        <w:rPr/>
        <w:t>mais adequados ao estágio atual de desenvolvimento da ciência. ” (SANTOS, 2009, p.17).</w:t>
      </w:r>
    </w:p>
    <w:p>
      <w:pPr>
        <w:pStyle w:val="BodyText"/>
        <w:spacing w:line="360" w:lineRule="auto"/>
        <w:ind w:left="308" w:right="103" w:firstLine="710"/>
        <w:jc w:val="both"/>
      </w:pPr>
      <w:r>
        <w:rPr/>
        <w:t>Os princípios da complexidade possuem potencial para resgatar a prática de fragmentação do conhecimento ao servirem de instrumento para observação da realidade, e na prática efetiva do magistério como novo referencial, representa “uma mudança epistemológica e vem sugerindo reconceitualizações  de  categorias analíticas” (SANTOS, 2009, p.17), que pela admissão da existência do jogo dialógico coexistem </w:t>
      </w:r>
      <w:r>
        <w:rPr>
          <w:spacing w:val="2"/>
        </w:rPr>
        <w:t>em </w:t>
      </w:r>
      <w:r>
        <w:rPr/>
        <w:t>uma mesma realidade em contextos e situações simultâneas, complementares e antagônicas. (MORIN; ALMEIDA; CARVALHO 2005).</w:t>
      </w:r>
    </w:p>
    <w:p>
      <w:pPr>
        <w:pStyle w:val="BodyText"/>
        <w:spacing w:line="360" w:lineRule="auto" w:before="3"/>
        <w:ind w:left="308" w:right="110" w:firstLine="710"/>
        <w:jc w:val="both"/>
      </w:pPr>
      <w:r>
        <w:rPr/>
        <w:t>A complexidade sugere uma reforma do pensamento pela instituição do princípio da religação e por meio do rompimento da causalidade linear em que efeitos e produtos são necessários a sua produção e causação. Não se trata de situar o fato num contexto, mas de buscar suas conexões, relações, contradições, suas interações, as relações recíprocas de todas as partes. (MORIN; ALMEIDA; CARVALHO, 2005).</w:t>
      </w:r>
    </w:p>
    <w:p>
      <w:pPr>
        <w:pStyle w:val="BodyText"/>
        <w:spacing w:line="360" w:lineRule="auto" w:before="2"/>
        <w:ind w:left="308" w:right="106" w:firstLine="710"/>
        <w:jc w:val="both"/>
      </w:pPr>
      <w:r>
        <w:rPr/>
        <w:t>Para facilitar a compreensão sobre a complexidade, Morin (2007) aborda alguns princípios, que funcionam como operadores cognitivos, dos quais destaca três que serão explicitados a seguir. São eles: princípio dialógico que garante a sobrevivência e ao </w:t>
      </w:r>
      <w:r>
        <w:rPr>
          <w:spacing w:val="-3"/>
        </w:rPr>
        <w:t>mesmo </w:t>
      </w:r>
      <w:r>
        <w:rPr/>
        <w:t>tempo a reprodução para a continuidade da espécie; princípio de recursão organizacional no qual o sistema aberto permite que  produtor e produto sejam </w:t>
      </w:r>
      <w:r>
        <w:rPr>
          <w:spacing w:val="2"/>
        </w:rPr>
        <w:t>um </w:t>
      </w:r>
      <w:r>
        <w:rPr/>
        <w:t>só; princípio holográfico no qual a mais infinitesimal parte contém todos os elementos do todo. Diante do princípio de complexidade dialógico/opostos, o problema é unir as “noções antagônicas para pensar os processos organizadores, produtivos e criadores no mundo complexo da vida e da história humana. ” (MORIN, 2000, p.</w:t>
      </w:r>
      <w:r>
        <w:rPr>
          <w:spacing w:val="-13"/>
        </w:rPr>
        <w:t> </w:t>
      </w:r>
      <w:r>
        <w:rPr/>
        <w:t>204).</w:t>
      </w:r>
    </w:p>
    <w:p>
      <w:pPr>
        <w:pStyle w:val="BodyText"/>
        <w:spacing w:line="360" w:lineRule="auto" w:before="7"/>
        <w:ind w:left="308" w:right="106" w:firstLine="710"/>
        <w:jc w:val="both"/>
      </w:pPr>
      <w:r>
        <w:rPr/>
        <w:t>Ou seja, trata da “coexistência de duas formas, aparentemente incompatíveis e mutuamente exclusivas, de descrever o </w:t>
      </w:r>
      <w:r>
        <w:rPr>
          <w:spacing w:val="-3"/>
        </w:rPr>
        <w:t>mesmo </w:t>
      </w:r>
      <w:r>
        <w:rPr/>
        <w:t>fenômeno” (SOMMERMAN, et al, 2009, p.101), tem como proposta a articulação dos pares binários, naturalmente considerados opostos na perspectiva cartesiana e ainda tão comuns na realidade do homem</w:t>
      </w:r>
      <w:r>
        <w:rPr>
          <w:spacing w:val="-19"/>
        </w:rPr>
        <w:t> </w:t>
      </w:r>
      <w:r>
        <w:rPr/>
        <w:t>contemporâneo.</w:t>
      </w:r>
    </w:p>
    <w:p>
      <w:pPr>
        <w:pStyle w:val="BodyText"/>
        <w:spacing w:line="360" w:lineRule="auto" w:before="3"/>
        <w:ind w:left="308" w:right="108" w:firstLine="710"/>
        <w:jc w:val="both"/>
      </w:pPr>
      <w:r>
        <w:rPr/>
        <w:t>A teoria da complementaridade se articula com outros princípios da complexidade e “remete o olhar para o nível de realidade integrada de razão e emoção, indivíduo e sociedade, saúde e doença, subjetivo e objetivo, sapiens e</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demens, bem e mal, clausura e abertura das crenças ou das teorias”. (SANTOS, 2009, p.27).</w:t>
      </w:r>
    </w:p>
    <w:p>
      <w:pPr>
        <w:pStyle w:val="BodyText"/>
        <w:spacing w:line="360" w:lineRule="auto"/>
        <w:ind w:left="308" w:right="101" w:firstLine="710"/>
        <w:jc w:val="both"/>
      </w:pPr>
      <w:r>
        <w:rPr/>
        <w:t>Para autora, ordem e desordem são termos que se articulam numa relação simbiótica de interdependência por que estão estritamente associados, da mesma forma que os binários dependência e autonomia, certeza e incerteza, constituindo um jogo dialógico, uma unidade na diversidade ou unidade múltipla, que em relação a interação dos opostos representa um outro nível de  realidade, o  que não implica que o nível superior esteja superado, mas que os “opostos coexistem neste outro nível”. (SANTOS, et al, 2013, p.113).</w:t>
      </w:r>
    </w:p>
    <w:p>
      <w:pPr>
        <w:pStyle w:val="BodyText"/>
        <w:spacing w:line="360" w:lineRule="auto" w:before="7"/>
        <w:ind w:left="308" w:right="100" w:firstLine="710"/>
        <w:jc w:val="both"/>
      </w:pPr>
      <w:r>
        <w:rPr/>
        <w:t>O princípio da autopoiese ou recursivo refere à capacidade que os seres vivos têm de autorregeneração, de autoprodução, de automanutenção da vida, como forma de responder às mudanças e desafios impostos pelo ambiente pela auto-organização, um ajuste regulador que possibilita adaptação e continuidade da vida no ambiente. Para Morin (2000, p.204), esse princípio “é um círculo gerador no qual os produtos e os efeitos são eles próprios produtores e causadores daquilo que os produz”. Exemplo, segundo autor, da própria sociedade que é produção e produto dos indivíduos humanos. A esse respeito, Moraes (2004b) explica que todos os organismos vivos são dotados da capacidade de</w:t>
      </w:r>
      <w:r>
        <w:rPr>
          <w:spacing w:val="-11"/>
        </w:rPr>
        <w:t> </w:t>
      </w:r>
      <w:r>
        <w:rPr/>
        <w:t>auto-organização,</w:t>
      </w:r>
    </w:p>
    <w:p>
      <w:pPr>
        <w:pStyle w:val="BodyText"/>
        <w:rPr>
          <w:sz w:val="26"/>
        </w:rPr>
      </w:pPr>
    </w:p>
    <w:p>
      <w:pPr>
        <w:pStyle w:val="BodyText"/>
        <w:rPr>
          <w:sz w:val="26"/>
        </w:rPr>
      </w:pPr>
    </w:p>
    <w:p>
      <w:pPr>
        <w:spacing w:before="229"/>
        <w:ind w:left="2574" w:right="104" w:firstLine="0"/>
        <w:jc w:val="both"/>
        <w:rPr>
          <w:sz w:val="20"/>
        </w:rPr>
      </w:pPr>
      <w:r>
        <w:rPr>
          <w:sz w:val="20"/>
        </w:rPr>
        <w:t>Esta se refere à maneira como o sistema vivo reage às interferências do meio, às alterações inesperadas provocadas pelo ambiente, à maneira como os intercâmbios ocorrem, ou como ele é capaz de reagir e sobreviver conservando sua identidade organizacional. Para que um sistema vivo possa passar para um novo estado, ele necessita reorganizar a totalidade do sistema, sinalizando que no processo de auto-organização, o sistema modifica-se como um todo, transforma-se por inteiro. (MORAES, 2004b, p.33).</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07" w:firstLine="710"/>
        <w:jc w:val="both"/>
      </w:pPr>
      <w:r>
        <w:rPr/>
        <w:t>Trazendo essa referência para o aspecto educacional, o conhecimento pode ser compreendido como um processo de auto-organização do indivíduo, que se realiza por meio das próprias relações que constrói com o meio, no  seu entorno, nas atividades mentais que Demo (2002) denominou de dentro para fora, auto-referência  e  reconstrutiva,  não  reproduz  a  realidade  externa  ou  interna,</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reconstrução, que se confronta com objetivismo que diz da mente captar a realidade assim como ela e a reprodução da realidade assim como ela é.</w:t>
      </w:r>
    </w:p>
    <w:p>
      <w:pPr>
        <w:pStyle w:val="BodyText"/>
        <w:spacing w:line="360" w:lineRule="auto"/>
        <w:ind w:left="308" w:right="105" w:firstLine="710"/>
        <w:jc w:val="both"/>
      </w:pPr>
      <w:r>
        <w:rPr/>
        <w:t>Assim sendo, a autopoiese sugere que os seres vivos, incluindo os humanos, são capazes de construir sua autonomia por meio do próprio desenvolvimento e aprendizagem, e se tornarem cada dia mais autor de </w:t>
      </w:r>
      <w:r>
        <w:rPr>
          <w:spacing w:val="-3"/>
        </w:rPr>
        <w:t>si </w:t>
      </w:r>
      <w:r>
        <w:rPr/>
        <w:t>mesmo.</w:t>
      </w:r>
    </w:p>
    <w:p>
      <w:pPr>
        <w:pStyle w:val="BodyText"/>
        <w:rPr>
          <w:sz w:val="26"/>
        </w:rPr>
      </w:pPr>
    </w:p>
    <w:p>
      <w:pPr>
        <w:pStyle w:val="BodyText"/>
        <w:rPr>
          <w:sz w:val="26"/>
        </w:rPr>
      </w:pPr>
    </w:p>
    <w:p>
      <w:pPr>
        <w:spacing w:before="229"/>
        <w:ind w:left="2574" w:right="101" w:firstLine="0"/>
        <w:jc w:val="both"/>
        <w:rPr>
          <w:sz w:val="20"/>
        </w:rPr>
      </w:pPr>
      <w:r>
        <w:rPr>
          <w:sz w:val="20"/>
        </w:rPr>
        <w:t>O ser humano aprende tendo por base conhecimentos já estruturados, não apenas conhecimentos objetivos, mas também as sensações, as emoções e as intuições [...] é uma organização viva e contextualizada; um sistema aberto que possui uma estrutura própria de auto-regulação [...] a aprendizagem é um processo progressivo [...] que não visa acumulação de conhecimentos, mas pretende que os alunos dialoguem com os conhecimentos.  (SANTOS, 2009, p.35).</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07" w:firstLine="710"/>
        <w:jc w:val="both"/>
      </w:pPr>
      <w:r>
        <w:rPr/>
        <w:t>Em outras palavras, é um processo de dentro pra fora e de fora  para dentro, ou seja, o sujeito por sua capacidade auto - organizativa e criativa interage com o meio físico e social e “frente às informações, negocia, adapta essas informações segundo suas características e expectativas pessoais” (SANTOS, et al, 2013, p.92).</w:t>
      </w:r>
    </w:p>
    <w:p>
      <w:pPr>
        <w:pStyle w:val="BodyText"/>
        <w:spacing w:line="360" w:lineRule="auto" w:before="3"/>
        <w:ind w:left="308" w:right="103" w:firstLine="710"/>
        <w:jc w:val="both"/>
      </w:pPr>
      <w:r>
        <w:rPr/>
        <w:t>Ainda sobre os princípios destacados por Morin (2007), o princípio holográfico </w:t>
      </w:r>
      <w:r>
        <w:rPr>
          <w:spacing w:val="-3"/>
        </w:rPr>
        <w:t>afirma </w:t>
      </w:r>
      <w:r>
        <w:rPr/>
        <w:t>que a parte não somente está dentro do todo, como o próprio todo também está dentro das partes. Ressalte-se, com isso, o paradoxo do uno e do múltiplo, ou </w:t>
      </w:r>
      <w:r>
        <w:rPr>
          <w:spacing w:val="-3"/>
        </w:rPr>
        <w:t>seja, </w:t>
      </w:r>
      <w:r>
        <w:rPr/>
        <w:t>da íntima relação e interdependência entre os dois termos que se polarizaram na era moderna. Assim, o princípio holográfico remete à articulação dos pares binários: parte-todo, simples-complexo, local-global, unidade-diversidade, particular-universal. Morin acrescenta que o princípio holográfico “coloca em evidência esse aparente paradoxo de certos sistemas nos quais não somente a parte está no todo, mas o todo está na parte. ” (MORIN, 2000, p.</w:t>
      </w:r>
      <w:r>
        <w:rPr>
          <w:spacing w:val="-1"/>
        </w:rPr>
        <w:t> </w:t>
      </w:r>
      <w:r>
        <w:rPr/>
        <w:t>205).</w:t>
      </w:r>
    </w:p>
    <w:p>
      <w:pPr>
        <w:pStyle w:val="BodyText"/>
        <w:spacing w:line="360" w:lineRule="auto" w:before="2"/>
        <w:ind w:left="308" w:right="104" w:firstLine="710"/>
        <w:jc w:val="both"/>
      </w:pPr>
      <w:r>
        <w:rPr/>
        <w:t>Compreende-se, portanto, que a relação de interdependência entre as partes e o todo e “remete à articulação dos pares binários: parte-todo, simples complexo, local-global, unidade-diversidade, particular-universal” (Santos, 2009, p.19). É um princípio que segundo a autora, abre novas perspectivas para pesquisadores na área educacional, pois de acordo com Santos,</w:t>
      </w:r>
    </w:p>
    <w:p>
      <w:pPr>
        <w:spacing w:after="0" w:line="360" w:lineRule="auto"/>
        <w:jc w:val="both"/>
        <w:sectPr>
          <w:pgSz w:w="11910" w:h="16840"/>
          <w:pgMar w:header="1133" w:footer="0" w:top="1340" w:bottom="280" w:left="1680" w:right="1020"/>
        </w:sectPr>
      </w:pPr>
    </w:p>
    <w:p>
      <w:pPr>
        <w:pStyle w:val="BodyText"/>
        <w:spacing w:before="11"/>
        <w:rPr>
          <w:sz w:val="20"/>
        </w:rPr>
      </w:pPr>
    </w:p>
    <w:p>
      <w:pPr>
        <w:spacing w:before="95"/>
        <w:ind w:left="2574" w:right="104" w:firstLine="0"/>
        <w:jc w:val="both"/>
        <w:rPr>
          <w:sz w:val="20"/>
        </w:rPr>
      </w:pPr>
      <w:r>
        <w:rPr>
          <w:sz w:val="20"/>
        </w:rPr>
        <w:t>Não se trata somente de inverter o foco do binário parte-todo, mas de acrescentar o movimento de religação ao conjunto desmontado, à totalidade fragmentada. Trata-se de atuar em duas direções opostas: contexto e unidade simples (todo e parte), estabelecendo a interligação dinâmica. (SANTOS, 2009, p.19).</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09" w:firstLine="710"/>
        <w:jc w:val="both"/>
      </w:pPr>
      <w:r>
        <w:rPr/>
        <w:t>Nesse sentido, “ressalta a multiplicidade de elementos interagentes que, na medida da sua integração, revela a existência de diversos níveis de realidade, abrindo possibilidade de novas visões sobre a mesma realidade” (SANTOS, p.20), de forma que rompa com os esquemas simplificadores sustentados pelo paradigma dominante à medida que compreende que parte e todo formam uma única realidade, como um holograma.</w:t>
      </w:r>
    </w:p>
    <w:p>
      <w:pPr>
        <w:pStyle w:val="BodyText"/>
        <w:spacing w:line="360" w:lineRule="auto" w:before="2"/>
        <w:ind w:left="308" w:right="119" w:firstLine="710"/>
        <w:jc w:val="both"/>
      </w:pPr>
      <w:r>
        <w:rPr/>
        <w:t>Do mesmo modo, a “sociedade, entendida como um todo, também se encontra presente em nosso próprio interior, porque somos portadores de sua linguagem e de sua cultura” (MORIN; ALMEIDA; CARVALHO, 2005, p.67).</w:t>
      </w:r>
    </w:p>
    <w:p>
      <w:pPr>
        <w:pStyle w:val="BodyText"/>
        <w:spacing w:line="360" w:lineRule="auto" w:before="7"/>
        <w:ind w:left="308" w:right="113" w:firstLine="710"/>
        <w:jc w:val="both"/>
      </w:pPr>
      <w:r>
        <w:rPr/>
        <w:t>Os princípios apresentados aqui como reflexão evidenciam as características identificadas por Demo (2002) quando diz que a complexidade tem caráter dinâmico, não-linear, reconstrutivo e dialógico, pois auxiliam a pensar o conhecimento e a aprendizagem de forma diferente a da simplificação, e levam a entender que epistemologicamente a complexidade implica em uma</w:t>
      </w:r>
    </w:p>
    <w:p>
      <w:pPr>
        <w:pStyle w:val="BodyText"/>
        <w:rPr>
          <w:sz w:val="26"/>
        </w:rPr>
      </w:pPr>
    </w:p>
    <w:p>
      <w:pPr>
        <w:pStyle w:val="BodyText"/>
        <w:rPr>
          <w:sz w:val="26"/>
        </w:rPr>
      </w:pPr>
    </w:p>
    <w:p>
      <w:pPr>
        <w:spacing w:before="229"/>
        <w:ind w:left="2574" w:right="105" w:firstLine="0"/>
        <w:jc w:val="both"/>
        <w:rPr>
          <w:sz w:val="20"/>
        </w:rPr>
      </w:pPr>
      <w:r>
        <w:rPr>
          <w:sz w:val="20"/>
        </w:rPr>
        <w:t>atitude que requer um novo olhar sobre o objeto do conhecimento. Um olhar que nos leve a encontrar uma abertura epistemológica capaz de estender a noção de sistema um pouco além da física biológica, na tentativa de compreender não apenas a natureza ordenada/desordenada da matéria e o funcionamento dos sistemas vivos, mas também as organizações sociais como sistemas complexos e, dessa forma, a educação. (MORAES, 2011, p. 22).</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00" w:firstLine="710"/>
        <w:jc w:val="both"/>
      </w:pPr>
      <w:r>
        <w:rPr/>
        <w:t>A adoção de uma epistemologia que de fato desvele o caráter complexo do conhecimento e estabeleças parâmetros indutores de práticas pedagógicas mais dinâmicas e integradoras são implicações da teoria da complexidade para educação. Para autora, a complexidade em sua dimensão epistemológica possibilita compreender que “aprendizagem e conhecimento implicam propriedades emergentes, tanto em nível individual como coletivo”. (MORAES, 2011, p.33).</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11" w:firstLine="710"/>
        <w:jc w:val="both"/>
      </w:pPr>
      <w:r>
        <w:rPr/>
        <w:t>Isso sinaliza que pensar as escolas a partir da teoria da complexidade parece adequado, porque se configura como um marco para pensar as organizações sociais e as escolas, pois são para os autores, sistemas ou conjunto de elementos fortemente relacionados entre si, cujo “principal componente é o humano, os sujeitos, e estes são por si só, sistemas dinâmicos e, portanto, complexos. ” (TORRE, 2009, p.108).</w:t>
      </w:r>
    </w:p>
    <w:p>
      <w:pPr>
        <w:pStyle w:val="BodyText"/>
        <w:spacing w:line="360" w:lineRule="auto" w:before="2"/>
        <w:ind w:left="308" w:right="104" w:firstLine="710"/>
        <w:jc w:val="both"/>
      </w:pPr>
      <w:r>
        <w:rPr/>
        <w:t>Nesse contexto, o currículo deve ser compreendido para além das práticas reprodutivistas, deve ser concebido como </w:t>
      </w:r>
      <w:r>
        <w:rPr>
          <w:spacing w:val="-4"/>
        </w:rPr>
        <w:t>uma </w:t>
      </w:r>
      <w:r>
        <w:rPr/>
        <w:t>estrutura aberta, em processo de negociação e renegociação, contextualizado, vivo e flexível, diferentes das  escolas que “mantêm currículos fechados, que ensinam conhecimentos fragmentados em disciplinas, desconectados da vida, das questões e dos problemas que afligem a contemporaneidade. ” (SUANNO; TORRE; SUANNO, 2014,</w:t>
      </w:r>
      <w:r>
        <w:rPr>
          <w:spacing w:val="-5"/>
        </w:rPr>
        <w:t> </w:t>
      </w:r>
      <w:r>
        <w:rPr/>
        <w:t>p.16).</w:t>
      </w:r>
    </w:p>
    <w:p>
      <w:pPr>
        <w:pStyle w:val="BodyText"/>
        <w:rPr>
          <w:sz w:val="26"/>
        </w:rPr>
      </w:pPr>
    </w:p>
    <w:p>
      <w:pPr>
        <w:pStyle w:val="BodyText"/>
        <w:rPr>
          <w:sz w:val="26"/>
        </w:rPr>
      </w:pPr>
    </w:p>
    <w:p>
      <w:pPr>
        <w:pStyle w:val="BodyText"/>
        <w:spacing w:before="4"/>
        <w:rPr>
          <w:sz w:val="20"/>
        </w:rPr>
      </w:pPr>
    </w:p>
    <w:p>
      <w:pPr>
        <w:spacing w:before="0"/>
        <w:ind w:left="2574" w:right="101" w:firstLine="0"/>
        <w:jc w:val="both"/>
        <w:rPr>
          <w:sz w:val="20"/>
        </w:rPr>
      </w:pPr>
      <w:r>
        <w:rPr>
          <w:sz w:val="20"/>
        </w:rPr>
        <w:t>No processo educativo, a teoria da complexidade contribui para estimular a religação dos saberes, ultrapassando os limites impostos pelas disciplinas. Nesse processo, constitui-se em um passo para ‘além- conteúdo’, estimulando uma aprendizagem, na qual estão implicadas questões não definidas exclusivamente pela ciência. (ZWIEREWICZ; TORRE, 2014, p.47).</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10" w:firstLine="710"/>
        <w:jc w:val="both"/>
      </w:pPr>
      <w:r>
        <w:rPr/>
        <w:t>A religação dos saberes, em contraposição à lógica clássica da modernidade, sugere que o conhecimento, a escola e a prática educativa sejam percebidos a partir da perspectiva diálogo, em interlocuções que promovam a flexibilidade das fronteiras disciplinares, cujas articulações transgridam as leis, a lógica e os conceitos que estruturam e fundamentam a fragmentação do conhecimento além de impedir a experiência de uma didática que supere a organização educacional existentes nos sistemas de ensino e nas escolas.</w:t>
      </w:r>
    </w:p>
    <w:p>
      <w:pPr>
        <w:pStyle w:val="BodyText"/>
        <w:spacing w:line="360" w:lineRule="auto" w:before="6"/>
        <w:ind w:left="308" w:right="102" w:firstLine="710"/>
        <w:jc w:val="both"/>
      </w:pPr>
      <w:r>
        <w:rPr/>
        <w:t>Para Santos et al (2013, p.98), os princípios da complexidade quando “aplicados para compreender a vivência pedagógica, representam atitudes radicalmente diferentes. Permitem fazer diferenciação no modo de tratamento e processamento de novos conhecimentos”, que a partir da dialógica estabelece uma dinâmica interativa que coloca os interlocutores do processo educativo em condições de igualdade.</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1" w:firstLine="705"/>
        <w:jc w:val="both"/>
      </w:pPr>
      <w:r>
        <w:rPr/>
        <w:t>Pensar a educação e a prática escolar de forma complexa é acreditar que em processos de ensino que priorizem a formação para cidadania. Assim sendo, no lugar do ensino linear, fragmentado e descontextualizado surge um ensino que articula conceito, busca conhecer a complexidade real e construir um novo corpo de saber que reorganiza e ressignifica conhecimentos religados (SUANNO, 2013c).</w:t>
      </w:r>
    </w:p>
    <w:p>
      <w:pPr>
        <w:pStyle w:val="BodyText"/>
        <w:spacing w:line="360" w:lineRule="auto" w:before="2"/>
        <w:ind w:left="308" w:right="108" w:firstLine="705"/>
        <w:jc w:val="both"/>
      </w:pPr>
      <w:r>
        <w:rPr/>
        <w:t>A escola torna-se, na perspectiva do pensamento complexo, um instrumento de transformação da consciência do homem, e de acordo com Alves “carece de entendimento acerca de como funciona a sociedade. Como o ser da sociedade é o ser do próprio homem, a compreensão do social pelo acesso do pensamento à totalidade é a condição necessária para que o ser pensante compreenda a si mesmo. ” (ALVES, 2005, p. 237).</w:t>
      </w:r>
    </w:p>
    <w:p>
      <w:pPr>
        <w:pStyle w:val="BodyText"/>
        <w:rPr>
          <w:sz w:val="26"/>
        </w:rPr>
      </w:pPr>
    </w:p>
    <w:p>
      <w:pPr>
        <w:pStyle w:val="BodyText"/>
        <w:rPr>
          <w:sz w:val="26"/>
        </w:rPr>
      </w:pPr>
    </w:p>
    <w:p>
      <w:pPr>
        <w:pStyle w:val="BodyText"/>
        <w:spacing w:before="4"/>
        <w:rPr>
          <w:sz w:val="20"/>
        </w:rPr>
      </w:pPr>
    </w:p>
    <w:p>
      <w:pPr>
        <w:spacing w:line="240" w:lineRule="auto" w:before="0"/>
        <w:ind w:left="2574" w:right="100" w:firstLine="0"/>
        <w:jc w:val="both"/>
        <w:rPr>
          <w:sz w:val="20"/>
        </w:rPr>
      </w:pPr>
      <w:r>
        <w:rPr>
          <w:sz w:val="20"/>
        </w:rPr>
        <w:t>Totalidade não quer dizer todos os fatos e </w:t>
      </w:r>
      <w:r>
        <w:rPr>
          <w:spacing w:val="-3"/>
          <w:sz w:val="20"/>
        </w:rPr>
        <w:t>nem </w:t>
      </w:r>
      <w:r>
        <w:rPr>
          <w:sz w:val="20"/>
        </w:rPr>
        <w:t>soma de </w:t>
      </w:r>
      <w:r>
        <w:rPr>
          <w:spacing w:val="-3"/>
          <w:sz w:val="20"/>
        </w:rPr>
        <w:t>partes. </w:t>
      </w:r>
      <w:r>
        <w:rPr>
          <w:sz w:val="20"/>
        </w:rPr>
        <w:t>O conhecimento de todos os fatos e o exaurismo de todos os aspectos é algo que o conhecimento humano não atinge e nem é tal o sentindo da totalidade. O Conceito de totalidade implica uma complexidade em que cada fenômeno </w:t>
      </w:r>
      <w:r>
        <w:rPr>
          <w:spacing w:val="-3"/>
          <w:sz w:val="20"/>
        </w:rPr>
        <w:t>só </w:t>
      </w:r>
      <w:r>
        <w:rPr>
          <w:sz w:val="20"/>
        </w:rPr>
        <w:t>pode </w:t>
      </w:r>
      <w:r>
        <w:rPr>
          <w:spacing w:val="4"/>
          <w:sz w:val="20"/>
        </w:rPr>
        <w:t>vir </w:t>
      </w:r>
      <w:r>
        <w:rPr>
          <w:sz w:val="20"/>
        </w:rPr>
        <w:t>a </w:t>
      </w:r>
      <w:r>
        <w:rPr>
          <w:spacing w:val="-3"/>
          <w:sz w:val="20"/>
        </w:rPr>
        <w:t>ser </w:t>
      </w:r>
      <w:r>
        <w:rPr>
          <w:sz w:val="20"/>
        </w:rPr>
        <w:t>compreendido como </w:t>
      </w:r>
      <w:r>
        <w:rPr>
          <w:spacing w:val="-4"/>
          <w:sz w:val="20"/>
        </w:rPr>
        <w:t>um </w:t>
      </w:r>
      <w:r>
        <w:rPr>
          <w:sz w:val="20"/>
        </w:rPr>
        <w:t>momento definido </w:t>
      </w:r>
      <w:r>
        <w:rPr>
          <w:spacing w:val="-4"/>
          <w:sz w:val="20"/>
        </w:rPr>
        <w:t>em </w:t>
      </w:r>
      <w:r>
        <w:rPr>
          <w:sz w:val="20"/>
        </w:rPr>
        <w:t>relação a </w:t>
      </w:r>
      <w:r>
        <w:rPr>
          <w:spacing w:val="-3"/>
          <w:sz w:val="20"/>
        </w:rPr>
        <w:t>si </w:t>
      </w:r>
      <w:r>
        <w:rPr>
          <w:sz w:val="20"/>
        </w:rPr>
        <w:t>e </w:t>
      </w:r>
      <w:r>
        <w:rPr>
          <w:spacing w:val="-4"/>
          <w:sz w:val="20"/>
        </w:rPr>
        <w:t>em </w:t>
      </w:r>
      <w:r>
        <w:rPr>
          <w:sz w:val="20"/>
        </w:rPr>
        <w:t>relação aos outros fenômenos. A  totalidade, então, </w:t>
      </w:r>
      <w:r>
        <w:rPr>
          <w:spacing w:val="-3"/>
          <w:sz w:val="20"/>
        </w:rPr>
        <w:t>só </w:t>
      </w:r>
      <w:r>
        <w:rPr>
          <w:sz w:val="20"/>
        </w:rPr>
        <w:t>é apresentável através das partes e da relação  entre elas. (CURY, 1992,</w:t>
      </w:r>
      <w:r>
        <w:rPr>
          <w:spacing w:val="-4"/>
          <w:sz w:val="20"/>
        </w:rPr>
        <w:t> </w:t>
      </w:r>
      <w:r>
        <w:rPr>
          <w:sz w:val="20"/>
        </w:rPr>
        <w:t>p.36).</w:t>
      </w:r>
    </w:p>
    <w:p>
      <w:pPr>
        <w:pStyle w:val="BodyText"/>
        <w:rPr>
          <w:sz w:val="22"/>
        </w:rPr>
      </w:pPr>
    </w:p>
    <w:p>
      <w:pPr>
        <w:pStyle w:val="BodyText"/>
        <w:rPr>
          <w:sz w:val="22"/>
        </w:rPr>
      </w:pPr>
    </w:p>
    <w:p>
      <w:pPr>
        <w:pStyle w:val="BodyText"/>
        <w:spacing w:before="4"/>
        <w:rPr>
          <w:sz w:val="28"/>
        </w:rPr>
      </w:pPr>
    </w:p>
    <w:p>
      <w:pPr>
        <w:pStyle w:val="BodyText"/>
        <w:spacing w:line="360" w:lineRule="auto"/>
        <w:ind w:left="308" w:right="111" w:firstLine="710"/>
        <w:jc w:val="both"/>
      </w:pPr>
      <w:r>
        <w:rPr/>
        <w:t>Apropriar-se do pensamento da totalidade implica em perceber o movimento da reprodução das relações sociais da produção e da contradição que se dão no espaço dialetizado, onde acontecem as transformações sociais por meio da mediação crítica do real. É ver para além da aparência do fenômeno e buscar a essência da totalidade concreta (PUZIOL; SOUZA E SILVA, 2011), e assim, conhecer as próprias condições efetivas de vida, como é que faz e porque faz. Se reconhecer como sujeito ativo no processo histórico e estabelecer as relações possíveis para um desvelar da realidade, em outras palavras, ser consciente de si e da sua condição como sujeito.</w:t>
      </w:r>
    </w:p>
    <w:p>
      <w:pPr>
        <w:pStyle w:val="BodyText"/>
        <w:spacing w:line="360" w:lineRule="auto" w:before="2"/>
        <w:ind w:left="308" w:right="102" w:firstLine="710"/>
        <w:jc w:val="both"/>
      </w:pPr>
      <w:r>
        <w:rPr/>
        <w:t>A consciência é o que faz o homem a ver-se na história, a conceituar-se como sujeito, a perceber a ligação entre o modo de pensar, o conhecimento e a estrutura da sociedade em que vive, pois é um elemento humano,  historicamente</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construído e modificado, a partir das bases materiais de produção da vida e das ações humanas nessa produção.</w:t>
      </w:r>
    </w:p>
    <w:p>
      <w:pPr>
        <w:pStyle w:val="BodyText"/>
        <w:spacing w:line="360" w:lineRule="auto"/>
        <w:ind w:left="308" w:right="101" w:firstLine="710"/>
        <w:jc w:val="both"/>
      </w:pPr>
      <w:r>
        <w:rPr/>
        <w:t>Para Felden e Cunha (2011), a consciência é a capacidade de produzir novas formas de existência, de humanização, ou no dizer de Marx e Engels (1998), não é preciso uma inteligência excepcional para perceber que se houver mudança nas condições de vida, nas relações sociais (e educacionais) e existência social, mudam-se também as suas representações, as suas concepções, os seus conceitos e a sua consciência.</w:t>
      </w:r>
    </w:p>
    <w:p>
      <w:pPr>
        <w:pStyle w:val="BodyText"/>
        <w:rPr>
          <w:sz w:val="26"/>
        </w:rPr>
      </w:pPr>
    </w:p>
    <w:p>
      <w:pPr>
        <w:pStyle w:val="BodyText"/>
        <w:rPr>
          <w:sz w:val="26"/>
        </w:rPr>
      </w:pPr>
    </w:p>
    <w:p>
      <w:pPr>
        <w:pStyle w:val="BodyText"/>
        <w:spacing w:before="4"/>
        <w:rPr>
          <w:sz w:val="20"/>
        </w:rPr>
      </w:pPr>
    </w:p>
    <w:p>
      <w:pPr>
        <w:spacing w:line="240" w:lineRule="auto" w:before="0"/>
        <w:ind w:left="2574" w:right="101" w:firstLine="0"/>
        <w:jc w:val="both"/>
        <w:rPr>
          <w:sz w:val="20"/>
        </w:rPr>
      </w:pPr>
      <w:r>
        <w:rPr>
          <w:sz w:val="20"/>
        </w:rPr>
        <w:t>O processo educativo precisa se desenvolver de modo a permitir que o educando seja percebido como sujeito complexo, o protagonista de sua própria história, consciente de si mesmo, capaz de si perceber, de compreender como pensa, sente, reage, vive e convive. É fundamental debruçar-se sobre si mesmo e sobre o contexto histórico-sócio-político- cultural-ambiental em que seu ser se constitui com o conjunto de valores, ideias, desejos, saberes, conhecimentos, expectativas e compromisso frente a sua existência e à vida social, bem como à tomada de consciência do seu pertencimento a um todo articulado e em interação. (SUANNO, 2013a, p. 27).</w:t>
      </w:r>
    </w:p>
    <w:p>
      <w:pPr>
        <w:pStyle w:val="BodyText"/>
        <w:rPr>
          <w:sz w:val="22"/>
        </w:rPr>
      </w:pPr>
    </w:p>
    <w:p>
      <w:pPr>
        <w:pStyle w:val="BodyText"/>
        <w:rPr>
          <w:sz w:val="22"/>
        </w:rPr>
      </w:pPr>
    </w:p>
    <w:p>
      <w:pPr>
        <w:pStyle w:val="BodyText"/>
        <w:spacing w:before="9"/>
        <w:rPr>
          <w:sz w:val="27"/>
        </w:rPr>
      </w:pPr>
    </w:p>
    <w:p>
      <w:pPr>
        <w:pStyle w:val="BodyText"/>
        <w:ind w:left="1018"/>
      </w:pPr>
      <w:r>
        <w:rPr/>
        <w:t>O que implica em assumir a postura de considerar possível que</w:t>
      </w:r>
    </w:p>
    <w:p>
      <w:pPr>
        <w:pStyle w:val="BodyText"/>
        <w:rPr>
          <w:sz w:val="26"/>
        </w:rPr>
      </w:pPr>
    </w:p>
    <w:p>
      <w:pPr>
        <w:pStyle w:val="BodyText"/>
        <w:rPr>
          <w:sz w:val="26"/>
        </w:rPr>
      </w:pPr>
    </w:p>
    <w:p>
      <w:pPr>
        <w:pStyle w:val="BodyText"/>
        <w:rPr>
          <w:sz w:val="32"/>
        </w:rPr>
      </w:pPr>
    </w:p>
    <w:p>
      <w:pPr>
        <w:spacing w:before="0"/>
        <w:ind w:left="2574" w:right="102" w:firstLine="0"/>
        <w:jc w:val="both"/>
        <w:rPr>
          <w:sz w:val="20"/>
        </w:rPr>
      </w:pPr>
      <w:r>
        <w:rPr>
          <w:sz w:val="20"/>
        </w:rPr>
        <w:t>Os diferentes modos de conhecimentos sejam avaliados em função dos contextos e situações em que </w:t>
      </w:r>
      <w:r>
        <w:rPr>
          <w:spacing w:val="-3"/>
          <w:sz w:val="20"/>
        </w:rPr>
        <w:t>são </w:t>
      </w:r>
      <w:r>
        <w:rPr>
          <w:sz w:val="20"/>
        </w:rPr>
        <w:t>mobilizados e dos objetivos daqueles que os mobilizam, </w:t>
      </w:r>
      <w:r>
        <w:rPr>
          <w:spacing w:val="-3"/>
          <w:sz w:val="20"/>
        </w:rPr>
        <w:t>sem </w:t>
      </w:r>
      <w:r>
        <w:rPr>
          <w:sz w:val="20"/>
        </w:rPr>
        <w:t>subordinação a imperativos globais de racionalidade que ignoram o caráter situado da produção e apropriação de todas as formas de conhecimento e das suas consequências para pessoas e lugares com uma singularidade de que lhe é conferida pela </w:t>
      </w:r>
      <w:r>
        <w:rPr>
          <w:spacing w:val="-3"/>
          <w:sz w:val="20"/>
        </w:rPr>
        <w:t>sua </w:t>
      </w:r>
      <w:r>
        <w:rPr>
          <w:sz w:val="20"/>
        </w:rPr>
        <w:t>história. (NUNES, 2006, p.</w:t>
      </w:r>
      <w:r>
        <w:rPr>
          <w:spacing w:val="5"/>
          <w:sz w:val="20"/>
        </w:rPr>
        <w:t> </w:t>
      </w:r>
      <w:r>
        <w:rPr>
          <w:sz w:val="20"/>
        </w:rPr>
        <w:t>62).</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14" w:firstLine="705"/>
        <w:jc w:val="both"/>
      </w:pPr>
      <w:r>
        <w:rPr/>
        <w:t>Na prática pedagógica o trabalho a ser realizado com crianças e jovens pela escola e seus profissionais consiste em fazer mediação entre a sociedade e os alunos, para que eles desenvolvam a capacidade de reflexão, e que adquiram a sabedoria necessária a permanente construção do humano. (PIMENTA,</w:t>
      </w:r>
      <w:r>
        <w:rPr>
          <w:spacing w:val="-26"/>
        </w:rPr>
        <w:t> </w:t>
      </w:r>
      <w:r>
        <w:rPr/>
        <w:t>2006).</w:t>
      </w:r>
    </w:p>
    <w:p>
      <w:pPr>
        <w:pStyle w:val="BodyText"/>
        <w:spacing w:line="360" w:lineRule="auto" w:before="2"/>
        <w:ind w:left="308" w:right="116" w:firstLine="710"/>
        <w:jc w:val="both"/>
      </w:pPr>
      <w:r>
        <w:rPr/>
        <w:t>Nesse sentindo, a emergência é de reforma do pensamento para a ressignificação do conhecimento, para que se torne também um conhecimento pertinente.  A  pertinência  do  conhecimento  é  conferida  na     contextualização,</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porque os dados e as informações tratadas, divulgadas ou ensinados de forma isolada são insuficientes para eficácia do funcionamento cognitivo.</w:t>
      </w:r>
    </w:p>
    <w:p>
      <w:pPr>
        <w:pStyle w:val="BodyText"/>
        <w:spacing w:line="360" w:lineRule="auto"/>
        <w:ind w:left="308" w:right="107" w:firstLine="710"/>
        <w:jc w:val="both"/>
      </w:pPr>
      <w:r>
        <w:rPr/>
        <w:t>A consequência da não contextualização do conhecimento é, segundo Santos (2009), uma prática pedagógica que se organiza no que considera como disjunção dos pares binários, que cristalizou a divisão do conhecimento em áreas e delimitou fronteiras epistemológicas, para as quais os princípios de fragmentação, divisão e redução promovem a descontextualização do agir pedagógico.</w:t>
      </w:r>
    </w:p>
    <w:p>
      <w:pPr>
        <w:pStyle w:val="BodyText"/>
        <w:spacing w:line="360" w:lineRule="auto" w:before="2"/>
        <w:ind w:left="308" w:right="103" w:firstLine="710"/>
        <w:jc w:val="both"/>
      </w:pPr>
      <w:r>
        <w:rPr/>
        <w:t>Zemelman (2006), tratando sobre a vinculação do sujeito ao conhecimento que constrói, define como importante discutir essa questão inicialmente pela função do sujeito no processo de construção do conhecimento, porque considera ser central a incorporação do sujeito ao próprio discurso, do colocar-se perante as circunstâncias, abrir-se ao inédito, saber pensar a partir do desconhecido e construir relação com o conhecimento.</w:t>
      </w:r>
    </w:p>
    <w:p>
      <w:pPr>
        <w:pStyle w:val="BodyText"/>
        <w:spacing w:line="360" w:lineRule="auto" w:before="2"/>
        <w:ind w:left="308" w:right="109" w:firstLine="710"/>
        <w:jc w:val="both"/>
      </w:pPr>
      <w:r>
        <w:rPr/>
        <w:t>Consiste no que autor intitula de pensamento categorial, “um pensamento que, partindo dos universos de significação estabelecidos nos corpora teóricos, possa transcendê-los no esforço de ressignificar ou significar o não significado”, em outras palavras, explorar novas formas de relação com o conhecimento, de modo que transcenda a função cognitiva de explicação a partir da lógica dos objetos e, assim, possibilite a recuperação de um nível de pensamento que não esteja circunscrito aos códigos teóricos (ZEMELMAN, 2006, p. 462).</w:t>
      </w:r>
    </w:p>
    <w:p>
      <w:pPr>
        <w:pStyle w:val="BodyText"/>
        <w:spacing w:line="360" w:lineRule="auto" w:before="2"/>
        <w:ind w:left="308" w:right="110" w:firstLine="710"/>
        <w:jc w:val="both"/>
      </w:pPr>
      <w:r>
        <w:rPr/>
        <w:t>A contextualização é necessária porque explica, confere e dá sentido aos fenômenos isolados, uma vez que as partes só podem ser compreendidas nas inter-relações com a “dinâmica do todo, ressaltando a multiplicidades de elementos interagentes que, desde que sua integração revela a existência de diversos níveis de realidade, abrindo a possibilidade de novas visões sobre a mesma realidade”. (SANTOS, 2009, p. 20).</w:t>
      </w:r>
    </w:p>
    <w:p>
      <w:pPr>
        <w:pStyle w:val="BodyText"/>
        <w:spacing w:line="360" w:lineRule="auto" w:before="3"/>
        <w:ind w:left="308" w:right="115" w:firstLine="705"/>
        <w:jc w:val="both"/>
      </w:pPr>
      <w:r>
        <w:rPr/>
        <w:t>Para Santos e Santos (2009), a contextualização, está associada ao conceito de totalidade e depende do universo conteudístico, porque tanto</w:t>
      </w:r>
    </w:p>
    <w:p>
      <w:pPr>
        <w:pStyle w:val="BodyText"/>
        <w:rPr>
          <w:sz w:val="26"/>
        </w:rPr>
      </w:pPr>
    </w:p>
    <w:p>
      <w:pPr>
        <w:pStyle w:val="BodyText"/>
        <w:rPr>
          <w:sz w:val="26"/>
        </w:rPr>
      </w:pPr>
    </w:p>
    <w:p>
      <w:pPr>
        <w:pStyle w:val="BodyText"/>
        <w:spacing w:before="4"/>
        <w:rPr>
          <w:sz w:val="20"/>
        </w:rPr>
      </w:pPr>
    </w:p>
    <w:p>
      <w:pPr>
        <w:spacing w:before="1"/>
        <w:ind w:left="2574" w:right="102" w:firstLine="0"/>
        <w:jc w:val="both"/>
        <w:rPr>
          <w:sz w:val="20"/>
        </w:rPr>
      </w:pPr>
      <w:r>
        <w:rPr>
          <w:sz w:val="20"/>
        </w:rPr>
        <w:t>pode reproduzir o sistema como pode tomar a direção da transformação do olhar; ela depende dos conteúdos e conceitos considerados” dessa forma, se não “se trabalha a consciência da necessidade de uma transformação do nosso arcabouço conceitual, ela certamente   resultará</w:t>
      </w:r>
    </w:p>
    <w:p>
      <w:pPr>
        <w:spacing w:after="0"/>
        <w:jc w:val="both"/>
        <w:rPr>
          <w:sz w:val="20"/>
        </w:rPr>
        <w:sectPr>
          <w:pgSz w:w="11910" w:h="16840"/>
          <w:pgMar w:header="1133" w:footer="0" w:top="1340" w:bottom="280" w:left="1680" w:right="1020"/>
        </w:sectPr>
      </w:pPr>
    </w:p>
    <w:p>
      <w:pPr>
        <w:pStyle w:val="BodyText"/>
        <w:spacing w:before="11"/>
        <w:rPr>
          <w:sz w:val="20"/>
        </w:rPr>
      </w:pPr>
    </w:p>
    <w:p>
      <w:pPr>
        <w:spacing w:before="95"/>
        <w:ind w:left="2574" w:right="0" w:firstLine="0"/>
        <w:jc w:val="left"/>
        <w:rPr>
          <w:sz w:val="20"/>
        </w:rPr>
      </w:pPr>
      <w:r>
        <w:rPr>
          <w:sz w:val="20"/>
        </w:rPr>
        <w:t>em um processo reprodutivo do sistema. (SANTOS E SANTOS, 2009, p. 70).</w:t>
      </w:r>
    </w:p>
    <w:p>
      <w:pPr>
        <w:pStyle w:val="BodyText"/>
        <w:rPr>
          <w:sz w:val="22"/>
        </w:rPr>
      </w:pPr>
    </w:p>
    <w:p>
      <w:pPr>
        <w:pStyle w:val="BodyText"/>
        <w:rPr>
          <w:sz w:val="22"/>
        </w:rPr>
      </w:pPr>
    </w:p>
    <w:p>
      <w:pPr>
        <w:pStyle w:val="BodyText"/>
        <w:spacing w:before="4"/>
        <w:rPr>
          <w:sz w:val="28"/>
        </w:rPr>
      </w:pPr>
    </w:p>
    <w:p>
      <w:pPr>
        <w:pStyle w:val="BodyText"/>
        <w:spacing w:line="360" w:lineRule="auto"/>
        <w:ind w:left="308" w:right="103" w:firstLine="710"/>
      </w:pPr>
      <w:r>
        <w:rPr/>
        <w:t>O conhecimento quando contextualizado opera reforma do pensamento, propicia situações para aprender ao longo da vida, que no dizer de Navarra (2012,</w:t>
      </w:r>
    </w:p>
    <w:p>
      <w:pPr>
        <w:pStyle w:val="BodyText"/>
        <w:spacing w:line="360" w:lineRule="auto" w:before="2"/>
        <w:ind w:left="308" w:right="108"/>
        <w:jc w:val="both"/>
      </w:pPr>
      <w:r>
        <w:rPr/>
        <w:t>p. 83) os dois tipos de conhecimento, o humanista como o científico, os quais são necessários para humanizar, porque há necessidade de transmitir valores como “responsabilidade, compromisso, solidariedade em uma cidadania global,  a prática cotidiana no esforço do estudo e do trabalho”. (NAVARRA, 2012, p. 83 e 84).</w:t>
      </w:r>
    </w:p>
    <w:p>
      <w:pPr>
        <w:pStyle w:val="BodyText"/>
        <w:spacing w:line="360" w:lineRule="auto" w:before="3"/>
        <w:ind w:left="308" w:right="102" w:firstLine="710"/>
        <w:jc w:val="both"/>
      </w:pPr>
      <w:r>
        <w:rPr/>
        <w:t>Ensinar um conhecimento contextualizado para o sujeito que aprende é considerar que a vivência significa entre outras coisas, “conhecer e compreender o significado e os sentidos dos acontecimentos escolares a eles relacionados. Inclui conhecer as pessoas envolvidas e também o significado e o sentido que  eles dão aos acontecimentos vivenciados” (PENIN, 2008, p. 657), nesse aspecto, o ensino trata sobre a condição humana e a identificação das origens, dos erros e ilusões no processo de</w:t>
      </w:r>
      <w:r>
        <w:rPr>
          <w:spacing w:val="-16"/>
        </w:rPr>
        <w:t> </w:t>
      </w:r>
      <w:r>
        <w:rPr/>
        <w:t>conhecimento.</w:t>
      </w:r>
    </w:p>
    <w:p>
      <w:pPr>
        <w:pStyle w:val="BodyText"/>
        <w:spacing w:line="360" w:lineRule="auto" w:before="3"/>
        <w:ind w:left="308" w:right="111" w:firstLine="705"/>
        <w:jc w:val="both"/>
      </w:pPr>
      <w:r>
        <w:rPr/>
        <w:t>Dessa forma, o desafio na construção de um conhecimento implica </w:t>
      </w:r>
      <w:r>
        <w:rPr>
          <w:spacing w:val="2"/>
        </w:rPr>
        <w:t>em </w:t>
      </w:r>
      <w:r>
        <w:rPr/>
        <w:t>deslocar o olhar para outro ponto de vista, em que a inteligência, a afetividade, a curiosidade e a paixão não se separam, estão interligados, estão na </w:t>
      </w:r>
      <w:r>
        <w:rPr>
          <w:spacing w:val="-3"/>
        </w:rPr>
        <w:t>mesma </w:t>
      </w:r>
      <w:r>
        <w:rPr/>
        <w:t>tessitura, e o reconhecimento da diversidade do “modo de pensar, tanto na história do conhecimento humano como na diversidade cultural contemporânea, é o passo principal para a transformação do pensar do modo de ser e situar na sociedade” (SANTOS E SANTOS, 2009, p. 41), para compreender</w:t>
      </w:r>
      <w:r>
        <w:rPr>
          <w:spacing w:val="-31"/>
        </w:rPr>
        <w:t> </w:t>
      </w:r>
      <w:r>
        <w:rPr/>
        <w:t>e</w:t>
      </w:r>
    </w:p>
    <w:p>
      <w:pPr>
        <w:pStyle w:val="BodyText"/>
        <w:rPr>
          <w:sz w:val="26"/>
        </w:rPr>
      </w:pPr>
    </w:p>
    <w:p>
      <w:pPr>
        <w:pStyle w:val="BodyText"/>
        <w:rPr>
          <w:sz w:val="26"/>
        </w:rPr>
      </w:pPr>
    </w:p>
    <w:p>
      <w:pPr>
        <w:spacing w:before="229"/>
        <w:ind w:left="2574" w:right="100" w:firstLine="0"/>
        <w:jc w:val="both"/>
        <w:rPr>
          <w:sz w:val="20"/>
        </w:rPr>
      </w:pPr>
      <w:r>
        <w:rPr>
          <w:sz w:val="20"/>
        </w:rPr>
        <w:t>apreender o significado de </w:t>
      </w:r>
      <w:r>
        <w:rPr>
          <w:spacing w:val="-4"/>
          <w:sz w:val="20"/>
        </w:rPr>
        <w:t>um </w:t>
      </w:r>
      <w:r>
        <w:rPr>
          <w:sz w:val="20"/>
        </w:rPr>
        <w:t>objeto ou de </w:t>
      </w:r>
      <w:r>
        <w:rPr>
          <w:spacing w:val="-4"/>
          <w:sz w:val="20"/>
        </w:rPr>
        <w:t>um </w:t>
      </w:r>
      <w:r>
        <w:rPr>
          <w:sz w:val="20"/>
        </w:rPr>
        <w:t>acontecimento; é vê-lo  em </w:t>
      </w:r>
      <w:r>
        <w:rPr>
          <w:spacing w:val="-3"/>
          <w:sz w:val="20"/>
        </w:rPr>
        <w:t>suas </w:t>
      </w:r>
      <w:r>
        <w:rPr>
          <w:sz w:val="20"/>
        </w:rPr>
        <w:t>relações com outros objetos ou acontecimentos. Os significados constituem, </w:t>
      </w:r>
      <w:r>
        <w:rPr>
          <w:spacing w:val="-3"/>
          <w:sz w:val="20"/>
        </w:rPr>
        <w:t>pois, </w:t>
      </w:r>
      <w:r>
        <w:rPr>
          <w:sz w:val="20"/>
        </w:rPr>
        <w:t>feixes de relações que por sua </w:t>
      </w:r>
      <w:r>
        <w:rPr>
          <w:spacing w:val="2"/>
          <w:sz w:val="20"/>
        </w:rPr>
        <w:t>vez </w:t>
      </w:r>
      <w:r>
        <w:rPr>
          <w:spacing w:val="-3"/>
          <w:sz w:val="20"/>
        </w:rPr>
        <w:t>se </w:t>
      </w:r>
      <w:r>
        <w:rPr>
          <w:sz w:val="20"/>
        </w:rPr>
        <w:t>entretecem, </w:t>
      </w:r>
      <w:r>
        <w:rPr>
          <w:spacing w:val="-3"/>
          <w:sz w:val="20"/>
        </w:rPr>
        <w:t>se </w:t>
      </w:r>
      <w:r>
        <w:rPr>
          <w:sz w:val="20"/>
        </w:rPr>
        <w:t>articulam </w:t>
      </w:r>
      <w:r>
        <w:rPr>
          <w:spacing w:val="-4"/>
          <w:sz w:val="20"/>
        </w:rPr>
        <w:t>em </w:t>
      </w:r>
      <w:r>
        <w:rPr>
          <w:sz w:val="20"/>
        </w:rPr>
        <w:t>teias, </w:t>
      </w:r>
      <w:r>
        <w:rPr>
          <w:spacing w:val="-4"/>
          <w:sz w:val="20"/>
        </w:rPr>
        <w:t>em </w:t>
      </w:r>
      <w:r>
        <w:rPr>
          <w:sz w:val="20"/>
        </w:rPr>
        <w:t>redes, construídas socialmente e individualmente, em permanente estado de atualização. (ANASTASIOU, 2003, p.</w:t>
      </w:r>
      <w:r>
        <w:rPr>
          <w:spacing w:val="-18"/>
          <w:sz w:val="20"/>
        </w:rPr>
        <w:t> </w:t>
      </w:r>
      <w:r>
        <w:rPr>
          <w:sz w:val="20"/>
        </w:rPr>
        <w:t>16).</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11" w:firstLine="710"/>
        <w:jc w:val="both"/>
      </w:pPr>
      <w:r>
        <w:rPr/>
        <w:t>Olhar e perceber o objeto, a partir das suas relações e articulações, colabora para definição de propostas educativas alternativas ao modelo de fragmentação que ai está posto (SANTOS et al, 2013), pressupõe alternativas</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metodológicas que não considerem os passos a serem seguidos, mas os momentos a serem construídos pelos sujeitos da ação.</w:t>
      </w:r>
    </w:p>
    <w:p>
      <w:pPr>
        <w:pStyle w:val="BodyText"/>
        <w:spacing w:line="360" w:lineRule="auto"/>
        <w:ind w:left="308" w:right="109" w:firstLine="710"/>
        <w:jc w:val="both"/>
      </w:pPr>
      <w:r>
        <w:rPr/>
        <w:t>Nesse aspecto a escola provoca rupturas e transformações epistemológicas, compreende as relações e desenvolve </w:t>
      </w:r>
      <w:r>
        <w:rPr>
          <w:spacing w:val="-3"/>
        </w:rPr>
        <w:t>uma </w:t>
      </w:r>
      <w:r>
        <w:rPr/>
        <w:t>prática educativa que trabalha a relação com o sujeito, e tudo ao seu redor, do processo cognitivo (SANTOS, 2009) porque se possibilita pensar metodologicamente numa perspectiva que entenda o homem como ser ativo e de relações e perceba o conhecimento como algo a ser construído pelo sujeito na sua relação com outros e com o mundo (ANASTASIOU,</w:t>
      </w:r>
      <w:r>
        <w:rPr>
          <w:spacing w:val="-17"/>
        </w:rPr>
        <w:t> </w:t>
      </w:r>
      <w:r>
        <w:rPr/>
        <w:t>2003).</w:t>
      </w:r>
    </w:p>
    <w:p>
      <w:pPr>
        <w:pStyle w:val="BodyText"/>
        <w:spacing w:line="360" w:lineRule="auto" w:before="7"/>
        <w:ind w:left="308" w:right="110" w:firstLine="710"/>
        <w:jc w:val="both"/>
      </w:pPr>
      <w:r>
        <w:rPr/>
        <w:t>Agindo assim, torna-se uma instituição que estimula o desenvolvimento da consciência, transcende nas suas concepções e contribui com a transformação das pessoas, dos projetos, dos processos escolares, dos contextos e da realidade social a sua volta (SUANNO; TORRE; SUANNO, 2014), porque geram novas práticas educativas, ressignifica o conhecimento e religa os saberes.</w:t>
      </w:r>
    </w:p>
    <w:p>
      <w:pPr>
        <w:pStyle w:val="BodyText"/>
        <w:rPr>
          <w:sz w:val="26"/>
        </w:rPr>
      </w:pPr>
    </w:p>
    <w:p>
      <w:pPr>
        <w:pStyle w:val="BodyText"/>
        <w:rPr>
          <w:sz w:val="26"/>
        </w:rPr>
      </w:pPr>
    </w:p>
    <w:p>
      <w:pPr>
        <w:pStyle w:val="ListParagraph"/>
        <w:numPr>
          <w:ilvl w:val="1"/>
          <w:numId w:val="8"/>
        </w:numPr>
        <w:tabs>
          <w:tab w:pos="711" w:val="left" w:leader="none"/>
        </w:tabs>
        <w:spacing w:line="240" w:lineRule="auto" w:before="230" w:after="0"/>
        <w:ind w:left="710" w:right="0" w:hanging="402"/>
        <w:jc w:val="left"/>
        <w:rPr>
          <w:sz w:val="24"/>
        </w:rPr>
      </w:pPr>
      <w:r>
        <w:rPr>
          <w:sz w:val="24"/>
        </w:rPr>
        <w:t>A PRÁTICA EDUCATIVA COMO AÇÃO CRIATIVA E</w:t>
      </w:r>
      <w:r>
        <w:rPr>
          <w:spacing w:val="-24"/>
          <w:sz w:val="24"/>
        </w:rPr>
        <w:t> </w:t>
      </w:r>
      <w:r>
        <w:rPr>
          <w:sz w:val="24"/>
        </w:rPr>
        <w:t>INOVADORA</w:t>
      </w:r>
    </w:p>
    <w:p>
      <w:pPr>
        <w:pStyle w:val="BodyText"/>
        <w:rPr>
          <w:sz w:val="26"/>
        </w:rPr>
      </w:pPr>
    </w:p>
    <w:p>
      <w:pPr>
        <w:pStyle w:val="BodyText"/>
        <w:rPr>
          <w:sz w:val="26"/>
        </w:rPr>
      </w:pPr>
    </w:p>
    <w:p>
      <w:pPr>
        <w:pStyle w:val="BodyText"/>
        <w:spacing w:before="1"/>
        <w:rPr>
          <w:sz w:val="32"/>
        </w:rPr>
      </w:pPr>
    </w:p>
    <w:p>
      <w:pPr>
        <w:pStyle w:val="BodyText"/>
        <w:spacing w:line="360" w:lineRule="auto"/>
        <w:ind w:left="308" w:right="112" w:firstLine="710"/>
        <w:jc w:val="both"/>
      </w:pPr>
      <w:r>
        <w:rPr/>
        <w:t>A inovação na prática educativa escolar pode ser compreendida como adesão à mudança paradigmática e ao reconhecimento de outras formas de produção de saberes, numa percepção de totalidade, que reconhece a legitimidade de diferentes fontes de saber e a da integração do ser humano e da natureza, como sugere o pensamento complexo.</w:t>
      </w:r>
    </w:p>
    <w:p>
      <w:pPr>
        <w:pStyle w:val="BodyText"/>
        <w:spacing w:line="360" w:lineRule="auto" w:before="2"/>
        <w:ind w:left="308" w:right="106" w:firstLine="710"/>
        <w:jc w:val="both"/>
      </w:pPr>
      <w:r>
        <w:rPr/>
        <w:t>Pressupõe a superação da prática educativa cartesiana a partir da ação de sujeitos conscientes que ao agir intencionalmente contribuem para </w:t>
      </w:r>
      <w:r>
        <w:rPr>
          <w:spacing w:val="-3"/>
        </w:rPr>
        <w:t>uma </w:t>
      </w:r>
      <w:r>
        <w:rPr/>
        <w:t>nova  visão do mundo por meio da visão crítica, reflexiva e transformadora na educação proposta pelo paradigma emergente, o qual exige a interconexão de múltiplas abordagens, visões e abrangências que “demandam uma revisão na visão de mundo, sociedade e de homem”. (BEHRENS, 2006,</w:t>
      </w:r>
      <w:r>
        <w:rPr>
          <w:spacing w:val="-24"/>
        </w:rPr>
        <w:t> </w:t>
      </w:r>
      <w:r>
        <w:rPr/>
        <w:t>p.12).</w:t>
      </w:r>
    </w:p>
    <w:p>
      <w:pPr>
        <w:pStyle w:val="BodyText"/>
        <w:spacing w:line="360" w:lineRule="auto" w:before="7"/>
        <w:ind w:left="308" w:right="113" w:firstLine="710"/>
        <w:jc w:val="both"/>
      </w:pPr>
      <w:r>
        <w:rPr/>
        <w:t>Ainda, de acordo com a visão da autora (Idem, p.20), “os paradigmas inovadores são fortemente enfocados na visão de totalidade, de interconexão, de inter-relacionamento, na superação da visão fragmentada do universo”, e trazem “mudanças profundas no que se refere à visão de mundo, de homem, de  </w:t>
      </w:r>
      <w:r>
        <w:rPr>
          <w:spacing w:val="52"/>
        </w:rPr>
        <w:t> </w:t>
      </w:r>
      <w:r>
        <w:rPr/>
        <w:t>tempo,</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4"/>
        <w:jc w:val="both"/>
      </w:pPr>
      <w:r>
        <w:rPr/>
        <w:t>de espaço, entre outras” afetando a educação e a prática educativa em todos os níveis, principalmente em relação à transmissão e repetição do conhecimento que levam ao pensamento simplificado e reducionista ainda tão comum na escola contemporânea.</w:t>
      </w:r>
    </w:p>
    <w:p>
      <w:pPr>
        <w:pStyle w:val="BodyText"/>
        <w:spacing w:line="360" w:lineRule="auto" w:before="2"/>
        <w:ind w:left="308" w:right="110" w:firstLine="705"/>
        <w:jc w:val="both"/>
      </w:pPr>
      <w:r>
        <w:rPr/>
        <w:t>Nesse aspecto, é significativo compreender o conceito de inovação de forma abrangente e com possibilidade de se desenvolver em diferentes ambientes, organizações e distintos processos articulando-a imediatamente à criatividade, sem a qual não existe. (WECHSLER,</w:t>
      </w:r>
      <w:r>
        <w:rPr>
          <w:spacing w:val="-16"/>
        </w:rPr>
        <w:t> </w:t>
      </w:r>
      <w:r>
        <w:rPr/>
        <w:t>2011).</w:t>
      </w:r>
    </w:p>
    <w:p>
      <w:pPr>
        <w:pStyle w:val="BodyText"/>
        <w:spacing w:line="360" w:lineRule="auto" w:before="2"/>
        <w:ind w:left="308" w:right="98" w:firstLine="705"/>
        <w:jc w:val="both"/>
      </w:pPr>
      <w:r>
        <w:rPr/>
        <w:t>Por criatividade, entende-se a produção de algo novo, aceito como útil e satisfatório por um número considerável de pessoas, num determinado momento ou determinada situação (PRAUN; GONÇALVES, 2009). Ou ainda, no dizer de Torre (2005), é energia transformadora, que possibilita às pessoas encontrar algo novo naquilo que para os outros é idêntico, por meio da atitude diante do fato. A criatividade como ação humana é indispensável ao processo educativo porque é “a capacidade criativa que distingue o homem dos outros animais [...] e dever ser elemento norteador de todo sistema educativo” (PRAUN; GONÇALVES, 2009, p.143).</w:t>
      </w:r>
    </w:p>
    <w:p>
      <w:pPr>
        <w:pStyle w:val="BodyText"/>
        <w:spacing w:line="360" w:lineRule="auto" w:before="7"/>
        <w:ind w:left="308" w:right="110" w:firstLine="705"/>
        <w:jc w:val="both"/>
      </w:pPr>
      <w:r>
        <w:rPr/>
        <w:t>Para Moraes (1997), a criatividade é </w:t>
      </w:r>
      <w:r>
        <w:rPr>
          <w:spacing w:val="-4"/>
        </w:rPr>
        <w:t>uma</w:t>
      </w:r>
      <w:r>
        <w:rPr>
          <w:spacing w:val="58"/>
        </w:rPr>
        <w:t> </w:t>
      </w:r>
      <w:r>
        <w:rPr/>
        <w:t>característica inerente à natureza, </w:t>
      </w:r>
      <w:r>
        <w:rPr>
          <w:spacing w:val="-3"/>
        </w:rPr>
        <w:t>mas </w:t>
      </w:r>
      <w:r>
        <w:rPr/>
        <w:t>precisa encontrar lugar favorável para sua expressão. A Autora cita Leite (1994) para explicar a criatividade como</w:t>
      </w:r>
    </w:p>
    <w:p>
      <w:pPr>
        <w:pStyle w:val="BodyText"/>
        <w:rPr>
          <w:sz w:val="26"/>
        </w:rPr>
      </w:pPr>
    </w:p>
    <w:p>
      <w:pPr>
        <w:pStyle w:val="BodyText"/>
        <w:rPr>
          <w:sz w:val="26"/>
        </w:rPr>
      </w:pPr>
    </w:p>
    <w:p>
      <w:pPr>
        <w:pStyle w:val="BodyText"/>
        <w:spacing w:before="4"/>
        <w:rPr>
          <w:sz w:val="20"/>
        </w:rPr>
      </w:pPr>
    </w:p>
    <w:p>
      <w:pPr>
        <w:spacing w:line="240" w:lineRule="auto" w:before="0"/>
        <w:ind w:left="2574" w:right="103" w:firstLine="0"/>
        <w:jc w:val="both"/>
        <w:rPr>
          <w:sz w:val="20"/>
        </w:rPr>
      </w:pPr>
      <w:r>
        <w:rPr>
          <w:sz w:val="20"/>
        </w:rPr>
        <w:t>Uma dimensão da natureza humana que evidencia o potencial do indivíduo para mudar, crescer e aprender ao longo da vida. Manifesta-se na capacidade de realizar novas combinações, com base em elementos conhecidos resultantes de experiências anteriores ou informações conhecidas. A capacidade criadora estaria diretamente associada ao processo de viver e organizar as experiências vividas, ampliando o repertório existencial dos indivíduos. (MORAES, 1997, p.164).</w:t>
      </w:r>
    </w:p>
    <w:p>
      <w:pPr>
        <w:pStyle w:val="BodyText"/>
        <w:rPr>
          <w:sz w:val="22"/>
        </w:rPr>
      </w:pPr>
    </w:p>
    <w:p>
      <w:pPr>
        <w:pStyle w:val="BodyText"/>
        <w:rPr>
          <w:sz w:val="22"/>
        </w:rPr>
      </w:pPr>
    </w:p>
    <w:p>
      <w:pPr>
        <w:pStyle w:val="BodyText"/>
        <w:spacing w:before="3"/>
        <w:rPr>
          <w:sz w:val="28"/>
        </w:rPr>
      </w:pPr>
    </w:p>
    <w:p>
      <w:pPr>
        <w:pStyle w:val="BodyText"/>
        <w:spacing w:line="360" w:lineRule="auto" w:before="1"/>
        <w:ind w:left="308" w:right="108" w:firstLine="705"/>
        <w:jc w:val="both"/>
      </w:pPr>
      <w:r>
        <w:rPr/>
        <w:t>Nesse aspecto, Vazquez (1977, p. 248) expõe que o homem cria por necessidade, “cria para adaptar-se a novas situações ou para satisfazer novas necessidades. Repete-se, portanto, enquanto não se vê obrigado a criar”. Assim, continua o autor, a práxis existe em diferentes níveis, que distingue </w:t>
      </w:r>
      <w:r>
        <w:rPr>
          <w:spacing w:val="-4"/>
        </w:rPr>
        <w:t>como </w:t>
      </w:r>
      <w:r>
        <w:rPr/>
        <w:t>a práxis criadora</w:t>
      </w:r>
      <w:r>
        <w:rPr>
          <w:spacing w:val="56"/>
        </w:rPr>
        <w:t> </w:t>
      </w:r>
      <w:r>
        <w:rPr/>
        <w:t>(reflexiva)</w:t>
      </w:r>
      <w:r>
        <w:rPr>
          <w:spacing w:val="57"/>
        </w:rPr>
        <w:t> </w:t>
      </w:r>
      <w:r>
        <w:rPr/>
        <w:t>e</w:t>
      </w:r>
      <w:r>
        <w:rPr>
          <w:spacing w:val="56"/>
        </w:rPr>
        <w:t> </w:t>
      </w:r>
      <w:r>
        <w:rPr/>
        <w:t>a</w:t>
      </w:r>
      <w:r>
        <w:rPr>
          <w:spacing w:val="56"/>
        </w:rPr>
        <w:t> </w:t>
      </w:r>
      <w:r>
        <w:rPr/>
        <w:t>reiterativa</w:t>
      </w:r>
      <w:r>
        <w:rPr>
          <w:spacing w:val="56"/>
        </w:rPr>
        <w:t> </w:t>
      </w:r>
      <w:r>
        <w:rPr/>
        <w:t>ou</w:t>
      </w:r>
      <w:r>
        <w:rPr>
          <w:spacing w:val="56"/>
        </w:rPr>
        <w:t> </w:t>
      </w:r>
      <w:r>
        <w:rPr/>
        <w:t>imitativa</w:t>
      </w:r>
      <w:r>
        <w:rPr>
          <w:spacing w:val="56"/>
        </w:rPr>
        <w:t> </w:t>
      </w:r>
      <w:r>
        <w:rPr/>
        <w:t>(espontânea),</w:t>
      </w:r>
      <w:r>
        <w:rPr>
          <w:spacing w:val="56"/>
        </w:rPr>
        <w:t> </w:t>
      </w:r>
      <w:r>
        <w:rPr/>
        <w:t>que</w:t>
      </w:r>
      <w:r>
        <w:rPr>
          <w:spacing w:val="56"/>
        </w:rPr>
        <w:t> </w:t>
      </w:r>
      <w:r>
        <w:rPr/>
        <w:t>se</w:t>
      </w:r>
      <w:r>
        <w:rPr>
          <w:spacing w:val="56"/>
        </w:rPr>
        <w:t> </w:t>
      </w:r>
      <w:r>
        <w:rPr/>
        <w:t>dão</w:t>
      </w:r>
      <w:r>
        <w:rPr>
          <w:spacing w:val="56"/>
        </w:rPr>
        <w:t> </w:t>
      </w:r>
      <w:r>
        <w:rPr/>
        <w:t>num</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contexto de práxis total determinada por um tipo peculiar de relação social, e, portanto possuem vínculos mútuos entre si.</w:t>
      </w:r>
    </w:p>
    <w:p>
      <w:pPr>
        <w:pStyle w:val="BodyText"/>
        <w:spacing w:line="360" w:lineRule="auto"/>
        <w:ind w:left="308" w:right="101" w:firstLine="705"/>
        <w:jc w:val="both"/>
      </w:pPr>
      <w:r>
        <w:rPr/>
        <w:t>Por práxis criadora, reflexiva ou inovadora, compreende-se aquela que não se adapta a uma lei previamente traçada, mas é determinante porque permite o enfrentamento de novas necessidades e novas situações. Para o autor, o homem precisa inventar ou criar constantemente novas situações, novas necessidades para enfrentar a vida e suas novas exigências, que ao surgirem, comumente invalidam as criações anteriores, cujo tempo de validade depende do tempo em que cada uma delas se mantém válida, ou, “enquanto a vida não reclama uma nova criação”. (VAZQUEZ, 1997, p. 247-248).</w:t>
      </w:r>
    </w:p>
    <w:p>
      <w:pPr>
        <w:pStyle w:val="BodyText"/>
        <w:spacing w:line="360" w:lineRule="auto" w:before="3"/>
        <w:ind w:left="308" w:right="102" w:firstLine="705"/>
        <w:jc w:val="both"/>
      </w:pPr>
      <w:r>
        <w:rPr/>
        <w:t>Enquanto a práxis reiterativa, imitativa ou espontânea tem por base umas práxis criadora já existente. É o tipo de práxis que manifesta componentes da criação (uma vez que uma se relaciona dialeticamente à outra) e corresponde como atividade relativa, transitória, sempre aberta à possibilidade de substituição. Segundo o autor (Idem, p. 252), “o espontâneo não está isento de elementos de criação e o reflexivo pode estar a serviço de uma práxis reiterativa, visto que o sujeito e o objeto apresentam-se em unidade indissolúvel na relação prática”, cuja atividade fundamental tem poder criador.</w:t>
      </w:r>
    </w:p>
    <w:p>
      <w:pPr>
        <w:pStyle w:val="BodyText"/>
        <w:rPr>
          <w:sz w:val="26"/>
        </w:rPr>
      </w:pPr>
    </w:p>
    <w:p>
      <w:pPr>
        <w:pStyle w:val="BodyText"/>
        <w:rPr>
          <w:sz w:val="26"/>
        </w:rPr>
      </w:pPr>
    </w:p>
    <w:p>
      <w:pPr>
        <w:spacing w:before="229"/>
        <w:ind w:left="2574" w:right="100" w:firstLine="0"/>
        <w:jc w:val="both"/>
        <w:rPr>
          <w:sz w:val="20"/>
        </w:rPr>
      </w:pPr>
      <w:r>
        <w:rPr>
          <w:sz w:val="20"/>
        </w:rPr>
        <w:t>A práxis imitativa ou reiterativa tem por </w:t>
      </w:r>
      <w:r>
        <w:rPr>
          <w:spacing w:val="-3"/>
          <w:sz w:val="20"/>
        </w:rPr>
        <w:t>base </w:t>
      </w:r>
      <w:r>
        <w:rPr>
          <w:sz w:val="20"/>
        </w:rPr>
        <w:t>uma práxis criadora já existente da qual toma a lei que a rege. </w:t>
      </w:r>
      <w:r>
        <w:rPr>
          <w:spacing w:val="-3"/>
          <w:sz w:val="20"/>
        </w:rPr>
        <w:t>Esse </w:t>
      </w:r>
      <w:r>
        <w:rPr>
          <w:sz w:val="20"/>
        </w:rPr>
        <w:t>lado negativo, porém, não exclui </w:t>
      </w:r>
      <w:r>
        <w:rPr>
          <w:spacing w:val="-4"/>
          <w:sz w:val="20"/>
        </w:rPr>
        <w:t>um </w:t>
      </w:r>
      <w:r>
        <w:rPr>
          <w:sz w:val="20"/>
        </w:rPr>
        <w:t>lado positivo que é ampliar o já criado. Mas por positiva que seja a práxis reiterativa do homem uma determinada circunstância, chega um momento </w:t>
      </w:r>
      <w:r>
        <w:rPr>
          <w:spacing w:val="-4"/>
          <w:sz w:val="20"/>
        </w:rPr>
        <w:t>em </w:t>
      </w:r>
      <w:r>
        <w:rPr>
          <w:sz w:val="20"/>
        </w:rPr>
        <w:t>que tem de ceder caminho - no mesmo campo  de atividade - a uma práxis criadora. </w:t>
      </w:r>
      <w:r>
        <w:rPr>
          <w:spacing w:val="-3"/>
          <w:sz w:val="20"/>
        </w:rPr>
        <w:t>Em </w:t>
      </w:r>
      <w:r>
        <w:rPr>
          <w:sz w:val="20"/>
        </w:rPr>
        <w:t>virtude da historicidade fundamental do </w:t>
      </w:r>
      <w:r>
        <w:rPr>
          <w:spacing w:val="-3"/>
          <w:sz w:val="20"/>
        </w:rPr>
        <w:t>ser </w:t>
      </w:r>
      <w:r>
        <w:rPr>
          <w:sz w:val="20"/>
        </w:rPr>
        <w:t>humano, o aspecto criador </w:t>
      </w:r>
      <w:r>
        <w:rPr>
          <w:spacing w:val="-4"/>
          <w:sz w:val="20"/>
        </w:rPr>
        <w:t>de </w:t>
      </w:r>
      <w:r>
        <w:rPr>
          <w:spacing w:val="-3"/>
          <w:sz w:val="20"/>
        </w:rPr>
        <w:t>sua </w:t>
      </w:r>
      <w:r>
        <w:rPr>
          <w:sz w:val="20"/>
        </w:rPr>
        <w:t>práxis é o determinante. (VÁZQUEZ, 1977,</w:t>
      </w:r>
      <w:r>
        <w:rPr>
          <w:spacing w:val="-7"/>
          <w:sz w:val="20"/>
        </w:rPr>
        <w:t> </w:t>
      </w:r>
      <w:r>
        <w:rPr>
          <w:sz w:val="20"/>
        </w:rPr>
        <w:t>p.258).</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04" w:firstLine="710"/>
        <w:jc w:val="both"/>
      </w:pPr>
      <w:r>
        <w:rPr/>
        <w:t>Numa perspectiva de práxis educativa como já explicitado, e partir da compreensão de Vazquez (1977) sobre os níveis da práxis, compreende-se que a criatividade e inovação realizam-se num contexto histórico e social, em determinado lugar, tempo e circunstância sobre um ambiente ou meio social. Para Cunha (2001, p.128) “não é possível pensar processos criativos sem levar em conta seu caráter histórico social”.</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9" w:firstLine="710"/>
        <w:jc w:val="both"/>
      </w:pPr>
      <w:r>
        <w:rPr/>
        <w:t>A inovação não é tão somente uma mera produção externa, bem como não pode ser considerada </w:t>
      </w:r>
      <w:r>
        <w:rPr>
          <w:spacing w:val="-3"/>
        </w:rPr>
        <w:t>uma </w:t>
      </w:r>
      <w:r>
        <w:rPr/>
        <w:t>produção ingênua, e nem novidades técnicas e tecnológicas modernizantes. Pelo contrário, resulta de tensões das relações com o contexto político social mais amplo. </w:t>
      </w:r>
      <w:r>
        <w:rPr>
          <w:spacing w:val="-4"/>
        </w:rPr>
        <w:t>Como </w:t>
      </w:r>
      <w:r>
        <w:rPr/>
        <w:t>prática humana a inovação tem caráter intencional e relaciona-se às mudanças no ambiente educacional de </w:t>
      </w:r>
      <w:r>
        <w:rPr>
          <w:spacing w:val="-3"/>
        </w:rPr>
        <w:t>forma </w:t>
      </w:r>
      <w:r>
        <w:rPr/>
        <w:t>contextualizada, na concretude do contexto educativo sob a responsabilidade da comunidade</w:t>
      </w:r>
      <w:r>
        <w:rPr>
          <w:spacing w:val="-7"/>
        </w:rPr>
        <w:t> </w:t>
      </w:r>
      <w:r>
        <w:rPr/>
        <w:t>escolar.</w:t>
      </w:r>
    </w:p>
    <w:p>
      <w:pPr>
        <w:pStyle w:val="BodyText"/>
        <w:spacing w:line="360" w:lineRule="auto" w:before="2"/>
        <w:ind w:left="308" w:right="104" w:firstLine="710"/>
        <w:jc w:val="both"/>
      </w:pPr>
      <w:r>
        <w:rPr/>
        <w:t>Entende-se assim, que as atitudes e práticas inovadoras no âmbito escolar implicam em pensar aprendizagem como fenômeno interpretativo, que segundo Demo (2000), trata da construção, desconstrução e reconstrução do conhecimento, para além das práticas instrucionais.</w:t>
      </w:r>
    </w:p>
    <w:p>
      <w:pPr>
        <w:pStyle w:val="BodyText"/>
        <w:spacing w:line="360" w:lineRule="auto" w:before="2"/>
        <w:ind w:left="308" w:right="103" w:firstLine="710"/>
        <w:jc w:val="both"/>
      </w:pPr>
      <w:r>
        <w:rPr/>
        <w:t>Vale destacar que a prática educativa numa perspectiva criativa e inovadora refere-se a “vivenciar o conhecimento, transformá-lo em nossas estruturas mentais, reconstruí-lo fisicamente” (MORAES, 2004b, p. 46). Assim, conceber a prática educativa como práxis, implica pensar os diferentes aspectos de institucionalização em que ela pode atuar no reconhecimento de “formas alternativas de saberes e experiências, nas quais imbricam objetividade e subjetividade, senso comum e ciência, teoria e prática, cultura e natureza, anulando dicotomias e procurando gerar novos conhecimentos”. (CUNHA, 2008, p.</w:t>
      </w:r>
      <w:r>
        <w:rPr>
          <w:spacing w:val="1"/>
        </w:rPr>
        <w:t> </w:t>
      </w:r>
      <w:r>
        <w:rPr/>
        <w:t>4).</w:t>
      </w:r>
    </w:p>
    <w:p>
      <w:pPr>
        <w:pStyle w:val="BodyText"/>
        <w:spacing w:line="360" w:lineRule="auto" w:before="2"/>
        <w:ind w:left="308" w:right="106" w:firstLine="710"/>
        <w:jc w:val="both"/>
      </w:pPr>
      <w:r>
        <w:rPr/>
        <w:t>Assim sendo, no aspecto institucional organizativo, a prática educativa criativa e inovadora identifica a realidade educacional como sendo complexa, polivalente, interativa, construtiva, e transcendente (MORAES, 2004), cujas relações são construídas a partir do diálogo, da partilha e da colaboração, concebendo a aprendizagem e o currículo como não linear, tecido numa concepção de teoria e prática como processos sincronizados.</w:t>
      </w:r>
    </w:p>
    <w:p>
      <w:pPr>
        <w:pStyle w:val="BodyText"/>
        <w:rPr>
          <w:sz w:val="26"/>
        </w:rPr>
      </w:pPr>
    </w:p>
    <w:p>
      <w:pPr>
        <w:pStyle w:val="BodyText"/>
        <w:rPr>
          <w:sz w:val="26"/>
        </w:rPr>
      </w:pPr>
    </w:p>
    <w:p>
      <w:pPr>
        <w:pStyle w:val="BodyText"/>
        <w:spacing w:before="4"/>
        <w:rPr>
          <w:sz w:val="20"/>
        </w:rPr>
      </w:pPr>
    </w:p>
    <w:p>
      <w:pPr>
        <w:spacing w:before="0"/>
        <w:ind w:left="2574" w:right="103" w:firstLine="0"/>
        <w:jc w:val="both"/>
        <w:rPr>
          <w:sz w:val="20"/>
        </w:rPr>
      </w:pPr>
      <w:r>
        <w:rPr>
          <w:sz w:val="20"/>
        </w:rPr>
        <w:t>A visão de totalidade, o pensamento sistêmico aplicado à educação, nos impõe a tarefa de substituir compartimentação por integração, desarticulação por articulação, descontinuidade por continuidade, tanto na parte teórica quanto na práxis da educação. Em termos de macro- planejamento, esse pensamento evita a concepção de uma política fragmentada, desarticulada, descontínua e compartimentada. (MORAES, 2013, p. 14).</w:t>
      </w:r>
    </w:p>
    <w:p>
      <w:pPr>
        <w:spacing w:after="0"/>
        <w:jc w:val="both"/>
        <w:rPr>
          <w:sz w:val="20"/>
        </w:rPr>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6" w:firstLine="710"/>
        <w:jc w:val="both"/>
      </w:pPr>
      <w:r>
        <w:rPr/>
        <w:t>Vale ressaltar que, referente ao aspecto didático, a prática educativa busca novas formas de mediação pedagógica que, realmente, possam cultivar atitudes de “corresponsabilidade, cooperação e solidariedade, com ênfase nas estratégias cooperativas de aprendizagem, nas cooperações mútuas e na valorização de propostas coletivas”. Para autora, deve ser dada atenção especial às metodologias que fomentam a “criatividade, a criticidade, a tematização do cotidiano, a vivência de valores e o indivíduo como pesquisador”. (MORAES, 2004b, p.</w:t>
      </w:r>
      <w:r>
        <w:rPr>
          <w:spacing w:val="-5"/>
        </w:rPr>
        <w:t> </w:t>
      </w:r>
      <w:r>
        <w:rPr/>
        <w:t>47-48).</w:t>
      </w:r>
    </w:p>
    <w:p>
      <w:pPr>
        <w:pStyle w:val="BodyText"/>
        <w:spacing w:line="360" w:lineRule="auto" w:before="2"/>
        <w:ind w:left="308" w:right="103" w:firstLine="710"/>
        <w:jc w:val="both"/>
      </w:pPr>
      <w:r>
        <w:rPr/>
        <w:t>Nessa perspectiva, a práxis educativa criativa e inovadora pressupõe também uma profunda revisão na maneira de ensinar e aprender, sob a ótica de outro paradigma que seja capaz de conciliar as mudanças que ocorrem no mundo da ciência e respectivos avanços científicos e tecnológicos com a necessidade permanente de desenvolvimento, transcendência e criação tão inerentes ao ser humano. (MORAES, 1997).</w:t>
      </w:r>
    </w:p>
    <w:p>
      <w:pPr>
        <w:pStyle w:val="BodyText"/>
        <w:spacing w:line="360" w:lineRule="auto" w:before="3"/>
        <w:ind w:left="308" w:right="108" w:firstLine="710"/>
        <w:jc w:val="both"/>
      </w:pPr>
      <w:r>
        <w:rPr/>
        <w:t>Torre, Zwierewicz e Furlanetto (2011, p.10-11) tratando sobre a mudança paradigmática afirmam que a ciência e a educação precisam mudar  e argumentam que um novo paradigma tem seu foco na consciência e “nos valores transcendentes, sociais e ambientais, na bondade do ser humano e nos  potenciais latentes de pessoas e comunidades que emergem </w:t>
      </w:r>
      <w:r>
        <w:rPr>
          <w:spacing w:val="2"/>
        </w:rPr>
        <w:t>em </w:t>
      </w:r>
      <w:r>
        <w:rPr/>
        <w:t>momentos de adversidades e</w:t>
      </w:r>
      <w:r>
        <w:rPr>
          <w:spacing w:val="-7"/>
        </w:rPr>
        <w:t> </w:t>
      </w:r>
      <w:r>
        <w:rPr/>
        <w:t>crise”.</w:t>
      </w:r>
    </w:p>
    <w:p>
      <w:pPr>
        <w:pStyle w:val="BodyText"/>
        <w:spacing w:line="360" w:lineRule="auto" w:before="3"/>
        <w:ind w:left="308" w:right="106" w:firstLine="710"/>
        <w:jc w:val="both"/>
      </w:pPr>
      <w:r>
        <w:rPr/>
        <w:t>O desafio da sociedade e da educação é tecer novas expectativas ao ter e possuir (conhecimentos, poder, finanças, domínio, controle, competências), no sentido de valorizar o ser, nas dimensões pessoais, relacionais e transcendentais. Segundo Santos, Santos e Sommerman (2009), pelo diálogo dos saberes é possível trabalhar práticas educativas, respectivas metodologias e posturas pedagógicas em outro nível de percepção, que não o da fragmentação assente na perspectiva cartesiana dominante, </w:t>
      </w:r>
      <w:r>
        <w:rPr>
          <w:spacing w:val="-3"/>
        </w:rPr>
        <w:t>mas </w:t>
      </w:r>
      <w:r>
        <w:rPr/>
        <w:t>na perspectiva da articulação e  construção de conhecimentos, de práticas e de</w:t>
      </w:r>
      <w:r>
        <w:rPr>
          <w:spacing w:val="-19"/>
        </w:rPr>
        <w:t> </w:t>
      </w:r>
      <w:r>
        <w:rPr/>
        <w:t>diálogos.</w:t>
      </w:r>
    </w:p>
    <w:p>
      <w:pPr>
        <w:pStyle w:val="BodyText"/>
        <w:spacing w:line="360" w:lineRule="auto" w:before="3"/>
        <w:ind w:left="308" w:right="110" w:firstLine="705"/>
        <w:jc w:val="both"/>
      </w:pPr>
      <w:r>
        <w:rPr/>
        <w:t>Para Cunha (2001, 2006, 2009), a inovação exige a implementação de uma revisão cultural; uma mudança epistemológica, filosófica e cultural e implica no âmbito da prática educativa em romper com a forma tradicional de aprender; na gestão participativa; reconfiguração dos saberes com a dissolução das diferenças e dicotomização da cisão de totalidade entre as dualidades: saber científico/senso comum,  educação/trabalho,  teoria/prática,  entre  outros  pares  binários também</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9"/>
        <w:jc w:val="both"/>
      </w:pPr>
      <w:r>
        <w:rPr/>
        <w:t>citados por Santos (2009); mudança de postura frente aos sujeitos, com relação ao estabelecimento de respeito mútuo e participação dos alunos nas decisões pedagógicas, valorização da produção pessoal e estímulo a processos  intelectuais mais complexos, criativos e menos</w:t>
      </w:r>
      <w:r>
        <w:rPr>
          <w:spacing w:val="-22"/>
        </w:rPr>
        <w:t> </w:t>
      </w:r>
      <w:r>
        <w:rPr/>
        <w:t>repetitivos.</w:t>
      </w:r>
    </w:p>
    <w:p>
      <w:pPr>
        <w:pStyle w:val="BodyText"/>
        <w:spacing w:line="362" w:lineRule="auto" w:before="2"/>
        <w:ind w:left="308" w:right="114" w:firstLine="710"/>
        <w:jc w:val="both"/>
      </w:pPr>
      <w:r>
        <w:rPr/>
        <w:t>São nesse contexto que se insere as experiências das escolas, consideradas como criativas estudadas por Torre e Zwierewicz (2009) entre outros, e que será tratada nessa parte do texto.</w:t>
      </w:r>
    </w:p>
    <w:p>
      <w:pPr>
        <w:pStyle w:val="BodyText"/>
        <w:rPr>
          <w:sz w:val="26"/>
        </w:rPr>
      </w:pPr>
    </w:p>
    <w:p>
      <w:pPr>
        <w:pStyle w:val="BodyText"/>
        <w:rPr>
          <w:sz w:val="26"/>
        </w:rPr>
      </w:pPr>
    </w:p>
    <w:p>
      <w:pPr>
        <w:pStyle w:val="ListParagraph"/>
        <w:numPr>
          <w:ilvl w:val="1"/>
          <w:numId w:val="8"/>
        </w:numPr>
        <w:tabs>
          <w:tab w:pos="779" w:val="left" w:leader="none"/>
        </w:tabs>
        <w:spacing w:line="240" w:lineRule="auto" w:before="232" w:after="0"/>
        <w:ind w:left="778" w:right="0" w:hanging="470"/>
        <w:jc w:val="both"/>
        <w:rPr>
          <w:sz w:val="24"/>
        </w:rPr>
      </w:pPr>
      <w:r>
        <w:rPr>
          <w:sz w:val="24"/>
        </w:rPr>
        <w:t>A ESCOLA</w:t>
      </w:r>
      <w:r>
        <w:rPr>
          <w:spacing w:val="-11"/>
          <w:sz w:val="24"/>
        </w:rPr>
        <w:t> </w:t>
      </w:r>
      <w:r>
        <w:rPr>
          <w:sz w:val="24"/>
        </w:rPr>
        <w:t>CRIATIVA</w:t>
      </w:r>
    </w:p>
    <w:p>
      <w:pPr>
        <w:pStyle w:val="BodyText"/>
        <w:rPr>
          <w:sz w:val="26"/>
        </w:rPr>
      </w:pPr>
    </w:p>
    <w:p>
      <w:pPr>
        <w:pStyle w:val="BodyText"/>
        <w:rPr>
          <w:sz w:val="26"/>
        </w:rPr>
      </w:pPr>
    </w:p>
    <w:p>
      <w:pPr>
        <w:pStyle w:val="BodyText"/>
        <w:spacing w:before="8"/>
        <w:rPr>
          <w:sz w:val="31"/>
        </w:rPr>
      </w:pPr>
    </w:p>
    <w:p>
      <w:pPr>
        <w:pStyle w:val="BodyText"/>
        <w:spacing w:line="360" w:lineRule="auto"/>
        <w:ind w:left="308" w:right="113" w:firstLine="705"/>
        <w:jc w:val="both"/>
      </w:pPr>
      <w:r>
        <w:rPr/>
        <w:t>Desenvolver a criatividade e promover a inovação no contexto da prática educativa implica em pensar as organizações educativas </w:t>
      </w:r>
      <w:r>
        <w:rPr>
          <w:spacing w:val="-4"/>
        </w:rPr>
        <w:t>como </w:t>
      </w:r>
      <w:r>
        <w:rPr/>
        <w:t>a escola, </w:t>
      </w:r>
      <w:r>
        <w:rPr>
          <w:spacing w:val="-4"/>
        </w:rPr>
        <w:t>como</w:t>
      </w:r>
      <w:r>
        <w:rPr>
          <w:spacing w:val="58"/>
        </w:rPr>
        <w:t> </w:t>
      </w:r>
      <w:r>
        <w:rPr/>
        <w:t>espaços de clima criativo que estimule o aparecimento de pessoas criativas. Para Torre (2012), nesse aspecto, a criatividade torna-se causa e efeito ao mesmo tempo. Entendida assim, não só dos indivíduos, </w:t>
      </w:r>
      <w:r>
        <w:rPr>
          <w:spacing w:val="-3"/>
        </w:rPr>
        <w:t>mas </w:t>
      </w:r>
      <w:r>
        <w:rPr/>
        <w:t>das organizações, comunidades, povos e culturas, como potencial onde há condições apropriadas para o surgimento de novas ideias.</w:t>
      </w:r>
    </w:p>
    <w:p>
      <w:pPr>
        <w:pStyle w:val="BodyText"/>
        <w:spacing w:line="360" w:lineRule="auto" w:before="2"/>
        <w:ind w:left="308" w:right="102" w:firstLine="705"/>
        <w:jc w:val="both"/>
      </w:pPr>
      <w:r>
        <w:rPr/>
        <w:t>É nesse contexto que </w:t>
      </w:r>
      <w:r>
        <w:rPr>
          <w:spacing w:val="-3"/>
        </w:rPr>
        <w:t>se </w:t>
      </w:r>
      <w:r>
        <w:rPr/>
        <w:t>insere a escola </w:t>
      </w:r>
      <w:r>
        <w:rPr>
          <w:spacing w:val="-4"/>
        </w:rPr>
        <w:t>como </w:t>
      </w:r>
      <w:r>
        <w:rPr/>
        <w:t>agente social educativo, cujas características são, segundo Zwierewcz e Torre (2009), de complexidade das metas compartilhadas, da liderança transformadora e do caráter ético, além de que, numa perspectiva de criatividade, como potencial humano para gerar novas ideias, as escolas criativas são também, aquelas onde há potencialmente, como organização criativa, a possibilidade de gerar novos recursos e formas de cultura ao seu redor, cujas características são a convivência com projetos, as relações heterogêneas e  desenvolvimento contínuos, entre</w:t>
      </w:r>
      <w:r>
        <w:rPr>
          <w:spacing w:val="-33"/>
        </w:rPr>
        <w:t> </w:t>
      </w:r>
      <w:r>
        <w:rPr/>
        <w:t>outras.</w:t>
      </w:r>
    </w:p>
    <w:p>
      <w:pPr>
        <w:pStyle w:val="BodyText"/>
        <w:spacing w:line="360" w:lineRule="auto" w:before="2"/>
        <w:ind w:left="308" w:right="98" w:firstLine="705"/>
        <w:jc w:val="both"/>
      </w:pPr>
      <w:r>
        <w:rPr/>
        <w:t>As escolas e as práticas educativas criativas tem sido motivo de estudo desde 1980 pelo Grupo de Pesquisa e Assessoramento Didático - GIAD, da Universidade de Barcelona, com a contribuição inicial de Torre (GIAD), Maria Antonia Punjol (GIAD), José Tejada (UAB), Maria Cândida Mores (UCB / Brasilia/Brasil), Marlene Zwierewicz (UNIBAVE e INCAS/ Brasil), Maris Gloria Dittrich (UNIVALI/Brasil), José Miguel Gonzales (EMI/Bolívia), Tereza Salinas (URP/ Peru), entre outros.</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98" w:firstLine="705"/>
        <w:jc w:val="both"/>
      </w:pPr>
      <w:r>
        <w:rPr/>
        <w:t>Segundo Torre (2013, p.143), foram realizados inúmeros “encontros sobre criatividade e inovação, cursos de formação, disciplinas na universidade e  projetos de pesquisa, tanto do âmbito universitário, </w:t>
      </w:r>
      <w:r>
        <w:rPr>
          <w:spacing w:val="-4"/>
        </w:rPr>
        <w:t>como </w:t>
      </w:r>
      <w:r>
        <w:rPr/>
        <w:t>não universitário”, e produzidos inúmeros documentos dos quais podem ser mencionados nove números da Revista de Asocrea Creatividad y Sociedad, editados pela Universidade de Barcelona, os anais dos congressos internacionais de  criatividade e trabalhos publicados em periódicos científicos. Conta-se também com o desenvolvimento de projetos de formação de professores como projetos de estratégias didáticas inovadoras para formação inicial de docentes-EDIFID (2002- 2005), o Projeto Rede de Formação Universitária Transdisciplinar-REDFUD, dos quais participaram seis universidades de países como a Espanha, Brasil, Peru e Bolívia e o projeto Hispano brasileiro de parceria entre o GIAD e o ECOTRANSD, grupo de pesquisa coordenado pela professora Doutora Maria Cândida Moraes (UCB/BSB/Brasil), e registrado no</w:t>
      </w:r>
      <w:r>
        <w:rPr>
          <w:spacing w:val="-11"/>
        </w:rPr>
        <w:t> </w:t>
      </w:r>
      <w:r>
        <w:rPr/>
        <w:t>CNPq.</w:t>
      </w:r>
    </w:p>
    <w:p>
      <w:pPr>
        <w:pStyle w:val="BodyText"/>
        <w:spacing w:line="360" w:lineRule="auto" w:before="2"/>
        <w:ind w:left="308" w:right="115" w:firstLine="705"/>
        <w:jc w:val="both"/>
      </w:pPr>
      <w:r>
        <w:rPr/>
        <w:t>Há ainda, nessa trajetória, histórico de colaboração com outros grupos e países a “criação de algumas redes em torno da criatividade, como a Rede Ecologia dos Saberes e a Rede de Escolas Criativas” (TORRE, 2013, p.144), surgida e cultivada na sucessão de cinco congressos de Transdisciplinaridade e Ecoformação e quatro Fóruns sobre Inovação e Criatividade.</w:t>
      </w:r>
    </w:p>
    <w:p>
      <w:pPr>
        <w:pStyle w:val="BodyText"/>
        <w:spacing w:line="360" w:lineRule="auto" w:before="2"/>
        <w:ind w:left="308" w:right="99" w:firstLine="705"/>
        <w:jc w:val="both"/>
      </w:pPr>
      <w:r>
        <w:rPr/>
        <w:t>Na dinâmica dos acontecimentos, uma importante referência foi o Parlamento Europeu, em 2008, ter declarado o ano de 2009 </w:t>
      </w:r>
      <w:r>
        <w:rPr>
          <w:spacing w:val="-4"/>
        </w:rPr>
        <w:t>como </w:t>
      </w:r>
      <w:r>
        <w:rPr/>
        <w:t>o </w:t>
      </w:r>
      <w:r>
        <w:rPr>
          <w:spacing w:val="5"/>
        </w:rPr>
        <w:t>ano </w:t>
      </w:r>
      <w:r>
        <w:rPr/>
        <w:t>europeu da criatividade e inovação, junto ao reconhecimento do conselho europeu de que a inovação “é de suma importância para que os países europeus pudessem responder aos desafios da globalização”, iniciativa que evidenciou o valor social e cultural da criatividade. (TORRE, 2013,</w:t>
      </w:r>
      <w:r>
        <w:rPr>
          <w:spacing w:val="-19"/>
        </w:rPr>
        <w:t> </w:t>
      </w:r>
      <w:r>
        <w:rPr/>
        <w:t>p.145).</w:t>
      </w:r>
    </w:p>
    <w:p>
      <w:pPr>
        <w:pStyle w:val="BodyText"/>
        <w:spacing w:line="360" w:lineRule="auto" w:before="2"/>
        <w:ind w:left="308" w:right="103" w:firstLine="705"/>
        <w:jc w:val="both"/>
      </w:pPr>
      <w:r>
        <w:rPr/>
        <w:t>O avanço no debate encontrou solo fértil em terras brasileiras pela publicação da obra “Uma escola para século XXI: escolas criativas e resiliência para educação, fruto da parceria entre Torre e Marlene Zwierewicz, que descreve as escolas criativas e a ideia da rede”. Essa parceria rendeu outros trabalhos como o desenvolvido na Unibave e pela Escola Barriga Verde em Orleans e Gravatal, Santa Catarina. Foi em território brasileiro que foi realizado pela primeira vez a entrega do título de professor criativo ao professor responsável pelo Projeto Criativo Ecoformador – PCE (2011) também em Gravatal, e entrega do certificado</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de Reconhecimento de Escola Criativa à escola Básica Visconde de Taunay, em Blumenau (2013).</w:t>
      </w:r>
    </w:p>
    <w:p>
      <w:pPr>
        <w:pStyle w:val="BodyText"/>
        <w:spacing w:line="360" w:lineRule="auto"/>
        <w:ind w:left="308" w:right="109" w:firstLine="705"/>
        <w:jc w:val="both"/>
      </w:pPr>
      <w:r>
        <w:rPr/>
        <w:t>Torre (2013) considera como primeiro broto da semente plantada no sul do Brasil o IV Fórum sobre inovação e Criatividade, organizado pelo GIAD em Barcelona, em junho de 2012, quando propõe a criação da Rede Internacional de escolas Criativas – RIEC, pautada nas produções e experiências acumuladas na Espanha e nas terras catarinenses.</w:t>
      </w:r>
    </w:p>
    <w:p>
      <w:pPr>
        <w:pStyle w:val="BodyText"/>
        <w:rPr>
          <w:sz w:val="26"/>
        </w:rPr>
      </w:pPr>
    </w:p>
    <w:p>
      <w:pPr>
        <w:pStyle w:val="BodyText"/>
        <w:rPr>
          <w:sz w:val="26"/>
        </w:rPr>
      </w:pPr>
    </w:p>
    <w:p>
      <w:pPr>
        <w:pStyle w:val="BodyText"/>
        <w:spacing w:before="4"/>
        <w:rPr>
          <w:sz w:val="20"/>
        </w:rPr>
      </w:pPr>
    </w:p>
    <w:p>
      <w:pPr>
        <w:spacing w:line="240" w:lineRule="auto" w:before="0"/>
        <w:ind w:left="2574" w:right="104" w:firstLine="0"/>
        <w:jc w:val="both"/>
        <w:rPr>
          <w:sz w:val="20"/>
        </w:rPr>
      </w:pPr>
      <w:r>
        <w:rPr>
          <w:sz w:val="20"/>
        </w:rPr>
        <w:t>A RIEC como expressão do Movimento das escolas Criativas tem três metas centrais: a) criar uma consciência coletiva de transformação; b) gerar ações transformadoras; c) promover ações de pesquisa e polinizadoras. Sua principal intenção é criar uma consciência coletiva de mudança na educação, a partir de centros pioneiros, inovadores e criativos, para promover educação transformadora, </w:t>
      </w:r>
      <w:r>
        <w:rPr>
          <w:spacing w:val="-3"/>
          <w:sz w:val="20"/>
        </w:rPr>
        <w:t>baseada </w:t>
      </w:r>
      <w:r>
        <w:rPr>
          <w:sz w:val="20"/>
        </w:rPr>
        <w:t>em valores, potencialidades humanas e competências para a vida e, dessa forma, construir </w:t>
      </w:r>
      <w:r>
        <w:rPr>
          <w:spacing w:val="-3"/>
          <w:sz w:val="20"/>
        </w:rPr>
        <w:t>bases </w:t>
      </w:r>
      <w:r>
        <w:rPr>
          <w:sz w:val="20"/>
        </w:rPr>
        <w:t>para futuras reformas, a partir do diálogo entre o novo </w:t>
      </w:r>
      <w:r>
        <w:rPr>
          <w:spacing w:val="-3"/>
          <w:sz w:val="20"/>
        </w:rPr>
        <w:t>saber </w:t>
      </w:r>
      <w:r>
        <w:rPr>
          <w:sz w:val="20"/>
        </w:rPr>
        <w:t>e o saber pedagógico inter e transdisciplinar, a experiência  docente e a gestão administrativa. (TORRE, 2013, p.</w:t>
      </w:r>
      <w:r>
        <w:rPr>
          <w:spacing w:val="-6"/>
          <w:sz w:val="20"/>
        </w:rPr>
        <w:t> </w:t>
      </w:r>
      <w:r>
        <w:rPr>
          <w:spacing w:val="-3"/>
          <w:sz w:val="20"/>
        </w:rPr>
        <w:t>150).</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07" w:firstLine="705"/>
        <w:jc w:val="both"/>
      </w:pPr>
      <w:r>
        <w:rPr/>
        <w:t>Os caminhos dessa decisão levaram à criação do grupo de trabalho das Escolas Criativas, vinculado ao GIAD e ao Instituto de Ciências da Educação da Universidade de Barcelona – ICE-UB, que é onde fica a sede e possui núcleos de referência em outros países como o Peru, por meio do Instituto de Pensamento Complexo-IPC, coordenado pela professora Doutora Teresa Salinas, vinculado à Universidade Ricardo Palma.</w:t>
      </w:r>
    </w:p>
    <w:p>
      <w:pPr>
        <w:pStyle w:val="BodyText"/>
        <w:spacing w:line="360" w:lineRule="auto" w:before="8"/>
        <w:ind w:left="308" w:right="101" w:firstLine="705"/>
        <w:jc w:val="both"/>
      </w:pPr>
      <w:r>
        <w:rPr/>
        <w:t>No Brasil, os núcleos de pesquisas vinculados à Rede Internacional de Escolas Criativas são coordenado por Marlene Zwierewicz nas regiões Oeste e Sul de Santa Catarina e por Vera Lúcia de Souza em Blumenau e o trabalho da Rede Arte na Escola, da UNIVILLE-Joinville/SC; no Estado de Goiás, com a adesão; a adesão à RIEC das Universidades Federal e Estadual de Goiás, sob a coordenação de Marilza Vanessa Suanno e João Henrique Suanno, assim como  a pesquisa realizada por João Henrique Suanno no Colégio</w:t>
      </w:r>
      <w:r>
        <w:rPr>
          <w:spacing w:val="-34"/>
        </w:rPr>
        <w:t> </w:t>
      </w:r>
      <w:r>
        <w:rPr/>
        <w:t>Logosófico.</w:t>
      </w:r>
    </w:p>
    <w:p>
      <w:pPr>
        <w:pStyle w:val="BodyText"/>
        <w:spacing w:line="360" w:lineRule="auto" w:before="3"/>
        <w:ind w:left="308" w:right="107" w:firstLine="705"/>
        <w:jc w:val="both"/>
      </w:pPr>
      <w:r>
        <w:rPr/>
        <w:t>A experiência transdisciplinar da Escola Vila de Fortaleza no estado do Ceará; a Escola Tarsila do Amaral em São Paulo; e a recente adesão da Universidade Federal do Tocantins à RIEC, em parceria com as instituições do estado de Goiás, em projeto de pesquisa coordenado pela Professora Doutora</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11"/>
        <w:jc w:val="both"/>
      </w:pPr>
      <w:r>
        <w:rPr/>
        <w:t>Maria José de Pinho por meio do grupo de pesquisa que desenvolve os projetos Escolas Criativas: Reconhecer e difundir o potencial inovador e criativo da escola do século XXI Criatividade e Ensino: Investigação sobre práticas inovadoras da escola do século XXI com atuação nos municípios de Palmas, Araguaína e Gurupi, no estado do</w:t>
      </w:r>
      <w:r>
        <w:rPr>
          <w:spacing w:val="-8"/>
        </w:rPr>
        <w:t> </w:t>
      </w:r>
      <w:r>
        <w:rPr/>
        <w:t>Tocantins.</w:t>
      </w:r>
    </w:p>
    <w:p>
      <w:pPr>
        <w:pStyle w:val="BodyText"/>
        <w:spacing w:line="360" w:lineRule="auto" w:before="7"/>
        <w:ind w:left="308" w:right="99" w:firstLine="705"/>
        <w:jc w:val="both"/>
      </w:pPr>
      <w:r>
        <w:rPr/>
        <w:t>Esse conjunto de pesquisadores e instituições brasileiras faz do Brasil o terreno, na atualidade, mais propício ao desenvolvimento da Rede Internacional de Escolas Criativas e, em decorrência disso, </w:t>
      </w:r>
      <w:r>
        <w:rPr>
          <w:spacing w:val="-3"/>
        </w:rPr>
        <w:t>já </w:t>
      </w:r>
      <w:r>
        <w:rPr/>
        <w:t>está firmado que, no </w:t>
      </w:r>
      <w:r>
        <w:rPr>
          <w:spacing w:val="-3"/>
        </w:rPr>
        <w:t>mês </w:t>
      </w:r>
      <w:r>
        <w:rPr/>
        <w:t>de setembro do ano de 2015, o VII Fórum Internacional de Inovação e Criatividade – VII Fórum INCREA, acontecerá no Brasil, na cidade de Goiânia, sob a coordenação geral do Professor João Henrique Suanno, doutor e pós-doutor em inovação e criatividade na</w:t>
      </w:r>
      <w:r>
        <w:rPr>
          <w:spacing w:val="-14"/>
        </w:rPr>
        <w:t> </w:t>
      </w:r>
      <w:r>
        <w:rPr/>
        <w:t>educação.</w:t>
      </w:r>
    </w:p>
    <w:p>
      <w:pPr>
        <w:pStyle w:val="BodyText"/>
        <w:spacing w:line="360" w:lineRule="auto" w:before="2"/>
        <w:ind w:left="308" w:right="112" w:firstLine="705"/>
        <w:jc w:val="both"/>
      </w:pPr>
      <w:r>
        <w:rPr/>
        <w:t>O grupo de trabalho atua na transformação dos parâmetros das escolas Criativas em instrumentos avaliativos, como o VADECRIE, documento de valorização do potencial criativo das escolas, utilizado como instrumento de diagnóstico nessa pesquisa. Assim, as Escolas Criativas são,</w:t>
      </w:r>
    </w:p>
    <w:p>
      <w:pPr>
        <w:pStyle w:val="BodyText"/>
        <w:rPr>
          <w:sz w:val="26"/>
        </w:rPr>
      </w:pPr>
    </w:p>
    <w:p>
      <w:pPr>
        <w:pStyle w:val="BodyText"/>
        <w:rPr>
          <w:sz w:val="26"/>
        </w:rPr>
      </w:pPr>
    </w:p>
    <w:p>
      <w:pPr>
        <w:spacing w:line="240" w:lineRule="auto" w:before="233"/>
        <w:ind w:left="2574" w:right="105" w:firstLine="0"/>
        <w:jc w:val="both"/>
        <w:rPr>
          <w:sz w:val="20"/>
        </w:rPr>
      </w:pPr>
      <w:r>
        <w:rPr>
          <w:sz w:val="20"/>
        </w:rPr>
        <w:t>Instituições que </w:t>
      </w:r>
      <w:r>
        <w:rPr>
          <w:spacing w:val="2"/>
          <w:sz w:val="20"/>
        </w:rPr>
        <w:t>vão </w:t>
      </w:r>
      <w:r>
        <w:rPr>
          <w:sz w:val="20"/>
        </w:rPr>
        <w:t>mais adiante do lugar do qual partem  (transcendem), que dão mais do que têm e ultrapassam o que delas se espera (recriam), que reconhecem o melhor de </w:t>
      </w:r>
      <w:r>
        <w:rPr>
          <w:spacing w:val="-3"/>
          <w:sz w:val="20"/>
        </w:rPr>
        <w:t>seus </w:t>
      </w:r>
      <w:r>
        <w:rPr>
          <w:sz w:val="20"/>
        </w:rPr>
        <w:t>estudantes e professores (valorizam), que crescem por dentro e </w:t>
      </w:r>
      <w:r>
        <w:rPr>
          <w:spacing w:val="-3"/>
          <w:sz w:val="20"/>
        </w:rPr>
        <w:t>por </w:t>
      </w:r>
      <w:r>
        <w:rPr>
          <w:sz w:val="20"/>
        </w:rPr>
        <w:t>fora,  buscando em tudo a qualidade e a melhora (transformam). (TORRE, 2013,</w:t>
      </w:r>
      <w:r>
        <w:rPr>
          <w:spacing w:val="-17"/>
          <w:sz w:val="20"/>
        </w:rPr>
        <w:t> </w:t>
      </w:r>
      <w:r>
        <w:rPr>
          <w:sz w:val="20"/>
        </w:rPr>
        <w:t>p.153).</w:t>
      </w:r>
    </w:p>
    <w:p>
      <w:pPr>
        <w:pStyle w:val="BodyText"/>
        <w:rPr>
          <w:sz w:val="22"/>
        </w:rPr>
      </w:pPr>
    </w:p>
    <w:p>
      <w:pPr>
        <w:pStyle w:val="BodyText"/>
        <w:rPr>
          <w:sz w:val="22"/>
        </w:rPr>
      </w:pPr>
    </w:p>
    <w:p>
      <w:pPr>
        <w:pStyle w:val="BodyText"/>
        <w:spacing w:before="3"/>
        <w:rPr>
          <w:sz w:val="28"/>
        </w:rPr>
      </w:pPr>
    </w:p>
    <w:p>
      <w:pPr>
        <w:pStyle w:val="BodyText"/>
        <w:spacing w:line="360" w:lineRule="auto"/>
        <w:ind w:left="308" w:right="98" w:firstLine="705"/>
        <w:jc w:val="both"/>
      </w:pPr>
      <w:r>
        <w:rPr/>
        <w:t>Escolas Criativas compreendem as instituições escolares </w:t>
      </w:r>
      <w:r>
        <w:rPr>
          <w:spacing w:val="-3"/>
        </w:rPr>
        <w:t>como </w:t>
      </w:r>
      <w:r>
        <w:rPr/>
        <w:t>organizações vivas que aprendem e que transformam, têm a criatividade </w:t>
      </w:r>
      <w:r>
        <w:rPr>
          <w:spacing w:val="-4"/>
        </w:rPr>
        <w:t>como</w:t>
      </w:r>
      <w:r>
        <w:rPr>
          <w:spacing w:val="58"/>
        </w:rPr>
        <w:t> </w:t>
      </w:r>
      <w:r>
        <w:rPr/>
        <w:t>consciência e valor, têm os valores e o desenvolvimento como referenciais que superam a fragmentação do conhecimento por propostas mais integradoras em forma de projetos, oficinas, espaços e cenários de trabalhos e de  desenvolvimento de estratégias criativas, considerando que a mudança inovadora não é só um aspecto da prática educativa, da ação pedagógica, </w:t>
      </w:r>
      <w:r>
        <w:rPr>
          <w:spacing w:val="-3"/>
        </w:rPr>
        <w:t>mas </w:t>
      </w:r>
      <w:r>
        <w:rPr/>
        <w:t>a instituição como </w:t>
      </w:r>
      <w:r>
        <w:rPr>
          <w:spacing w:val="3"/>
        </w:rPr>
        <w:t>um </w:t>
      </w:r>
      <w:r>
        <w:rPr/>
        <w:t>todo e seu</w:t>
      </w:r>
      <w:r>
        <w:rPr>
          <w:spacing w:val="-19"/>
        </w:rPr>
        <w:t> </w:t>
      </w:r>
      <w:r>
        <w:rPr/>
        <w:t>entorno.</w:t>
      </w:r>
    </w:p>
    <w:p>
      <w:pPr>
        <w:pStyle w:val="BodyText"/>
        <w:spacing w:line="360" w:lineRule="auto" w:before="7"/>
        <w:ind w:left="308" w:right="103" w:firstLine="705"/>
        <w:jc w:val="both"/>
      </w:pPr>
      <w:r>
        <w:rPr/>
        <w:t>São organizações com forte base nos valores humanos, para as quais valores como: liberdade, igualdade, paz, defesa do meio ambiente, respeito à vida,  possuem significado  especial,  assim como  a  cultura  de  colaboração  e</w:t>
      </w:r>
      <w:r>
        <w:rPr>
          <w:spacing w:val="18"/>
        </w:rPr>
        <w:t> </w:t>
      </w:r>
      <w:r>
        <w:rPr/>
        <w:t>a</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utilização do potencial coletivo são direcionados à promoção da liderança compartilhada.</w:t>
      </w:r>
    </w:p>
    <w:p>
      <w:pPr>
        <w:pStyle w:val="BodyText"/>
        <w:spacing w:line="360" w:lineRule="auto"/>
        <w:ind w:left="308" w:right="116" w:firstLine="705"/>
        <w:jc w:val="both"/>
      </w:pPr>
      <w:r>
        <w:rPr/>
        <w:t>Os fundamentos que subsidiam a identificação de escolas como organizações criativas apontam que a complexidade e seus princípios como adequados para pensar escolas com tais características, porque as mesmas se revelam como “sistemas abertos, adaptativos, interativos e com capacidade de autodesenvolvimento.” (TORRE, 2009, p. 108).</w:t>
      </w:r>
    </w:p>
    <w:p>
      <w:pPr>
        <w:pStyle w:val="BodyText"/>
        <w:spacing w:line="360" w:lineRule="auto" w:before="2"/>
        <w:ind w:left="308" w:right="100" w:firstLine="705"/>
        <w:jc w:val="both"/>
      </w:pPr>
      <w:r>
        <w:rPr/>
        <w:t>Esse capítulo apresentou reflexões sobre a prática educativa e a escola no contexto da transição paradigmática. Nesse aspecto, buscou conceituar e compreender o termo paradigma, assim como situar a crise existente e denunciada por diferentes autores, que apontam para emergência de novos caminhos para escola, da necessidade de articulação dos saberes e da  superação do ensino fragmentado, cartesiano e</w:t>
      </w:r>
      <w:r>
        <w:rPr>
          <w:spacing w:val="-33"/>
        </w:rPr>
        <w:t> </w:t>
      </w:r>
      <w:r>
        <w:rPr/>
        <w:t>descontextualizado.</w:t>
      </w:r>
    </w:p>
    <w:p>
      <w:pPr>
        <w:pStyle w:val="BodyText"/>
        <w:spacing w:line="360" w:lineRule="auto" w:before="7"/>
        <w:ind w:left="308" w:right="104" w:firstLine="705"/>
        <w:jc w:val="both"/>
      </w:pPr>
      <w:r>
        <w:rPr/>
        <w:t>Nesse caminho, sinaliza a escola criativa </w:t>
      </w:r>
      <w:r>
        <w:rPr>
          <w:spacing w:val="-4"/>
        </w:rPr>
        <w:t>como </w:t>
      </w:r>
      <w:r>
        <w:rPr/>
        <w:t>uma alternativa possível para a construção de </w:t>
      </w:r>
      <w:r>
        <w:rPr>
          <w:spacing w:val="-3"/>
        </w:rPr>
        <w:t>uma </w:t>
      </w:r>
      <w:r>
        <w:rPr/>
        <w:t>nova forma de pensar e organizar o conhecimento de modo que ajude a ser e contribua para </w:t>
      </w:r>
      <w:r>
        <w:rPr>
          <w:spacing w:val="-3"/>
        </w:rPr>
        <w:t>uma </w:t>
      </w:r>
      <w:r>
        <w:rPr/>
        <w:t>educação que estimule e desenvolva a consciência, os valores, a criatividade e a “formação de pessoas resilientes, socialmente empreendedoras e criativas, capazes de transformar as situações adversas em oportunidades para o bem-estar da comunidade local e global”. (TORRE; ZWIEREWICZ, 2012, p.</w:t>
      </w:r>
      <w:r>
        <w:rPr>
          <w:spacing w:val="-12"/>
        </w:rPr>
        <w:t> </w:t>
      </w:r>
      <w:r>
        <w:rPr/>
        <w:t>56).</w:t>
      </w:r>
    </w:p>
    <w:p>
      <w:pPr>
        <w:pStyle w:val="BodyText"/>
        <w:spacing w:line="360" w:lineRule="auto" w:before="2"/>
        <w:ind w:left="308" w:right="111" w:firstLine="705"/>
        <w:jc w:val="both"/>
      </w:pPr>
      <w:r>
        <w:rPr/>
        <w:t>Nesse sentido, conhecer e investigar o que há de criativo e inovador é um desafio e uma grande responsabilidade para essa pesquisa em razão da importância da temática e também do pioneirismo do trabalho sobre escolas criativas no Brasil, e respectivamente no Tocantins. Desse modo, o capítulo seguinte apresenta o percurso metodológico realizado para efetivação desse estudo.</w:t>
      </w:r>
    </w:p>
    <w:p>
      <w:pPr>
        <w:spacing w:after="0" w:line="360" w:lineRule="auto"/>
        <w:jc w:val="both"/>
        <w:sectPr>
          <w:pgSz w:w="11910" w:h="16840"/>
          <w:pgMar w:header="1133" w:footer="0" w:top="1340" w:bottom="280" w:left="1680" w:right="1020"/>
        </w:sectPr>
      </w:pPr>
    </w:p>
    <w:p>
      <w:pPr>
        <w:pStyle w:val="BodyText"/>
        <w:spacing w:before="10"/>
        <w:rPr>
          <w:sz w:val="20"/>
        </w:rPr>
      </w:pPr>
    </w:p>
    <w:p>
      <w:pPr>
        <w:pStyle w:val="Heading3"/>
        <w:numPr>
          <w:ilvl w:val="0"/>
          <w:numId w:val="8"/>
        </w:numPr>
        <w:tabs>
          <w:tab w:pos="510" w:val="left" w:leader="none"/>
        </w:tabs>
        <w:spacing w:line="240" w:lineRule="auto" w:before="92" w:after="0"/>
        <w:ind w:left="509" w:right="0" w:hanging="201"/>
        <w:jc w:val="left"/>
      </w:pPr>
      <w:bookmarkStart w:name="_TOC_250010" w:id="7"/>
      <w:r>
        <w:rPr/>
        <w:t>PERCURSO METODOLÓGICO DA PESQUISA: UM FIO NO</w:t>
      </w:r>
      <w:r>
        <w:rPr>
          <w:spacing w:val="-26"/>
        </w:rPr>
        <w:t> </w:t>
      </w:r>
      <w:bookmarkEnd w:id="7"/>
      <w:r>
        <w:rPr/>
        <w:t>LABIRITO</w:t>
      </w:r>
    </w:p>
    <w:p>
      <w:pPr>
        <w:pStyle w:val="BodyText"/>
        <w:rPr>
          <w:b/>
          <w:sz w:val="26"/>
        </w:rPr>
      </w:pPr>
    </w:p>
    <w:p>
      <w:pPr>
        <w:pStyle w:val="BodyText"/>
        <w:rPr>
          <w:b/>
          <w:sz w:val="26"/>
        </w:rPr>
      </w:pPr>
    </w:p>
    <w:p>
      <w:pPr>
        <w:pStyle w:val="BodyText"/>
        <w:spacing w:before="6"/>
        <w:rPr>
          <w:b/>
          <w:sz w:val="32"/>
        </w:rPr>
      </w:pPr>
    </w:p>
    <w:p>
      <w:pPr>
        <w:pStyle w:val="BodyText"/>
        <w:spacing w:line="352" w:lineRule="auto"/>
        <w:ind w:left="308" w:right="107" w:firstLine="705"/>
        <w:jc w:val="both"/>
      </w:pPr>
      <w:r>
        <w:rPr/>
        <w:t>Esse capítulo atende ao objetivo de conhecer as práticas educativas criativas e inovadoras desenvolvidas por </w:t>
      </w:r>
      <w:r>
        <w:rPr>
          <w:spacing w:val="-3"/>
        </w:rPr>
        <w:t>uma </w:t>
      </w:r>
      <w:r>
        <w:rPr/>
        <w:t>escola pública de anos iniciais do ensino fundamental em Gurupi - TO</w:t>
      </w:r>
      <w:r>
        <w:rPr>
          <w:position w:val="11"/>
          <w:sz w:val="16"/>
        </w:rPr>
        <w:t>10</w:t>
      </w:r>
      <w:r>
        <w:rPr/>
        <w:t>, e trata sobre o caminho da pesquisa, sua abordagem metodológica, a descrição do objeto, dos sujeitos, assim como dos procedimentos realizados na coleta de dados e na técnica utilizada na análise para obtenção dos resultados da</w:t>
      </w:r>
      <w:r>
        <w:rPr>
          <w:spacing w:val="-22"/>
        </w:rPr>
        <w:t> </w:t>
      </w:r>
      <w:r>
        <w:rPr/>
        <w:t>investigação.</w:t>
      </w:r>
    </w:p>
    <w:p>
      <w:pPr>
        <w:pStyle w:val="BodyText"/>
        <w:spacing w:line="360" w:lineRule="auto" w:before="15"/>
        <w:ind w:left="308" w:right="107" w:firstLine="710"/>
        <w:jc w:val="both"/>
      </w:pPr>
      <w:r>
        <w:rPr/>
        <w:t>A prática da pesquisa contribui de forma significativa na produção do conhecimento, na inovação dos conceitos, na formação inicial e continuada dos profissionais, assim como propicia à sociedade explicações e soluções para as suas diversas perguntas e os seus problemas. Segundo Triviños (2006, p.170), coerência, consistência, originalidade e objetivação são condições para que a pesquisa tenha valor científico, e paralelamente, constitua critérios internos e externos de verdade e subjetividade. Ambos devem estar presentes no “trabalho do pesquisador, o qual pretende apresentar contribuições científicas às ciências humanas”.</w:t>
      </w:r>
    </w:p>
    <w:p>
      <w:pPr>
        <w:pStyle w:val="BodyText"/>
        <w:spacing w:line="360" w:lineRule="auto" w:before="3"/>
        <w:ind w:left="308" w:right="106" w:firstLine="705"/>
        <w:jc w:val="both"/>
      </w:pPr>
      <w:r>
        <w:rPr/>
        <w:t>Nesse sentido, captar e explicitar as necessidades, os desafios e contextos relacionados à educação e a prática educativa desenvolvida pela escola, requer construir um desenho de pesquisa que permita apropriação da realidade de forma ética e consistente.</w:t>
      </w:r>
    </w:p>
    <w:p>
      <w:pPr>
        <w:pStyle w:val="BodyText"/>
        <w:spacing w:line="360" w:lineRule="auto" w:before="7"/>
        <w:ind w:left="308" w:right="106" w:firstLine="710"/>
        <w:jc w:val="both"/>
      </w:pPr>
      <w:r>
        <w:rPr/>
        <w:t>Inicialmente o método escolhido para pesquisa foi materialismo histórico dialético porque como método coloca a produção da realidade no homem, haja vista que “homem produz a </w:t>
      </w:r>
      <w:r>
        <w:rPr>
          <w:spacing w:val="-3"/>
        </w:rPr>
        <w:t>si mesmo </w:t>
      </w:r>
      <w:r>
        <w:rPr/>
        <w:t>na ação que exerce a realidade, eleva a educação, bem como todas as suas práticas sociais, a </w:t>
      </w:r>
      <w:r>
        <w:rPr>
          <w:spacing w:val="-3"/>
        </w:rPr>
        <w:t>uma </w:t>
      </w:r>
      <w:r>
        <w:rPr/>
        <w:t>estrutura de  prioridade no pensamento filosófico” (WACHOWICZ 1991, p. 26), e compreende os fenômenos na sua processualidade e totalidade, busca explicações coerentes, lógicas e racionais para os fenômenos da natureza, da sociedade e do pensamento (TRIVIÑOS, 2006), os quais encontram respaldo apenas na dialética entre singularidade particularidade-universalidade, cujo nexo existente entre </w:t>
      </w:r>
      <w:r>
        <w:rPr>
          <w:spacing w:val="5"/>
        </w:rPr>
        <w:t> </w:t>
      </w:r>
      <w:r>
        <w:rPr/>
        <w:t>elas,</w:t>
      </w:r>
    </w:p>
    <w:p>
      <w:pPr>
        <w:pStyle w:val="BodyText"/>
        <w:rPr>
          <w:sz w:val="20"/>
        </w:rPr>
      </w:pPr>
    </w:p>
    <w:p>
      <w:pPr>
        <w:pStyle w:val="BodyText"/>
        <w:spacing w:before="6"/>
        <w:rPr>
          <w:sz w:val="28"/>
        </w:rPr>
      </w:pPr>
      <w:r>
        <w:rPr/>
        <w:pict>
          <v:line style="position:absolute;mso-position-horizontal-relative:page;mso-position-vertical-relative:paragraph;z-index:1288;mso-wrap-distance-left:0;mso-wrap-distance-right:0" from="99.407997pt,18.736885pt" to="243.457997pt,18.736885pt" stroked="true" strokeweight=".72003pt" strokecolor="#000000">
            <v:stroke dashstyle="solid"/>
            <w10:wrap type="topAndBottom"/>
          </v:line>
        </w:pict>
      </w:r>
    </w:p>
    <w:p>
      <w:pPr>
        <w:spacing w:before="47"/>
        <w:ind w:left="452" w:right="0" w:hanging="145"/>
        <w:jc w:val="left"/>
        <w:rPr>
          <w:sz w:val="20"/>
        </w:rPr>
      </w:pPr>
      <w:r>
        <w:rPr>
          <w:rFonts w:ascii="Times New Roman" w:hAnsi="Times New Roman"/>
          <w:position w:val="9"/>
          <w:sz w:val="13"/>
        </w:rPr>
        <w:t>10 </w:t>
      </w:r>
      <w:r>
        <w:rPr>
          <w:sz w:val="20"/>
        </w:rPr>
        <w:t>De acordo com a Lei 9394/96 - LDB, no ensino fundamental os anos iniciais correspondem ao ensino de 1º ao 5º ano.</w:t>
      </w:r>
    </w:p>
    <w:p>
      <w:pPr>
        <w:spacing w:after="0"/>
        <w:jc w:val="left"/>
        <w:rPr>
          <w:sz w:val="20"/>
        </w:rPr>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sustenta e fundamenta a verdadeira aproximação da realidade e torna possível a construção do conhecimento concreto.</w:t>
      </w:r>
    </w:p>
    <w:p>
      <w:pPr>
        <w:pStyle w:val="BodyText"/>
        <w:spacing w:line="360" w:lineRule="auto"/>
        <w:ind w:left="308" w:right="103" w:firstLine="705"/>
        <w:jc w:val="both"/>
      </w:pPr>
      <w:r>
        <w:rPr/>
        <w:t>No entanto, à medida que se avançou nos estudos propostos, a pesquisadora percebeu que o enfoque metodológico  materialista  histórico dialético por si só não daria conta da abrangência proposta pela pesquisa cujo objetivo propõe analisar a prática educativa da escola pública dos anos iniciais do ensino fundamental à luz dos referenciais teóricos que fundamentam a Escola Criativa.</w:t>
      </w:r>
    </w:p>
    <w:p>
      <w:pPr>
        <w:pStyle w:val="BodyText"/>
        <w:spacing w:line="360" w:lineRule="auto" w:before="2"/>
        <w:ind w:left="308" w:right="103" w:firstLine="710"/>
        <w:jc w:val="both"/>
      </w:pPr>
      <w:r>
        <w:rPr/>
        <w:t>Com essa compreensão, durante o estudo a pesquisadora percebeu que para explicitar a realidade e os contextos captados na escola pesquisada, com base nos referenciais teóricos utilizados, a proposta inicial de utilizar o materialismo histórico dialético como método e as categorias de totalidade  e práxis deveriam, em uma perspectiva de religação de conhecimento, situá-las no contexto do paradigma emergente e no pensamento sistêmico e complexo (SANTOS 2006a, 2006b), de modo que pudessem melhor contribuir com os objetivos do estudo.</w:t>
      </w:r>
    </w:p>
    <w:p>
      <w:pPr>
        <w:pStyle w:val="BodyText"/>
        <w:spacing w:line="360" w:lineRule="auto" w:before="2"/>
        <w:ind w:left="308" w:right="105" w:firstLine="705"/>
        <w:jc w:val="both"/>
      </w:pPr>
      <w:r>
        <w:rPr/>
        <w:t>A reflexão realizada nesse sentido identificou que a despeito das muitas críticas a Marx e da crise anunciada do marxismo e a refutações as noções de estrutura, totalidade e agentes históricos que marcaram o final do </w:t>
      </w:r>
      <w:r>
        <w:rPr>
          <w:spacing w:val="2"/>
        </w:rPr>
        <w:t>século </w:t>
      </w:r>
      <w:r>
        <w:rPr/>
        <w:t>XX Catani (1996), Freitag e Pinheiro (1993) e Dias (2012), a proposta da pesquisadora de interação teórica da dialética marxista e os referenciais do paradigma emergente pareceu possível porque as categorias utilizadas por Marx, ainda se mostram importantes nesse processo de compreensão da educação e  da escola no contexto da transição</w:t>
      </w:r>
      <w:r>
        <w:rPr>
          <w:spacing w:val="-13"/>
        </w:rPr>
        <w:t> </w:t>
      </w:r>
      <w:r>
        <w:rPr/>
        <w:t>paradigmática.</w:t>
      </w:r>
    </w:p>
    <w:p>
      <w:pPr>
        <w:pStyle w:val="BodyText"/>
        <w:spacing w:line="360" w:lineRule="auto" w:before="2"/>
        <w:ind w:left="308" w:right="112" w:firstLine="705"/>
        <w:jc w:val="both"/>
      </w:pPr>
      <w:r>
        <w:rPr/>
        <w:t>Para isso, a pesquisa passou a considerar três aspectos para estabelecer essa aproximação questão: o primeiro baseado em Catani (1996) e Ianni (1999) quando destacam a permanência da natureza do capitalismo, mesmo diante da multiplicidade de formas adquiridas nos seus processos de renovação, que incluem as crises sistêmicas da sociedade atual.</w:t>
      </w:r>
    </w:p>
    <w:p>
      <w:pPr>
        <w:pStyle w:val="BodyText"/>
        <w:spacing w:line="360" w:lineRule="auto" w:before="2"/>
        <w:ind w:left="308" w:right="99" w:firstLine="705"/>
        <w:jc w:val="both"/>
      </w:pPr>
      <w:r>
        <w:rPr/>
        <w:t>O segundo, subsidiado no reconhecimento das contribuições de Marx em relação ao método de análise de sua realidade concreta, como pistas iniciais para compreender a realidade atual e os respectivos processos educativos, conforme Boaventura de Souza Santos (1997, p.147), diz que mesmo considerando que o marxismo  pouco  pôde  contribuir  com  as  orientações  epistemológicas    nesse</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7"/>
        <w:jc w:val="both"/>
      </w:pPr>
      <w:r>
        <w:rPr/>
        <w:t>processo de transição paradigmática, reconhece a vocação de globalidade transdisciplinar da teoria marxista e considera que em relação à constituição de sujeitos sociais emancipatórios e “parece hoje irrecusável, </w:t>
      </w:r>
      <w:r>
        <w:rPr>
          <w:spacing w:val="-3"/>
        </w:rPr>
        <w:t>mas </w:t>
      </w:r>
      <w:r>
        <w:rPr/>
        <w:t>deve ser  articulada com a profunda intuição de Marx de que a construção das identidades sociais tem sempre lugar no interior de relações sociais</w:t>
      </w:r>
      <w:r>
        <w:rPr>
          <w:spacing w:val="-26"/>
        </w:rPr>
        <w:t> </w:t>
      </w:r>
      <w:r>
        <w:rPr/>
        <w:t>antagônicas”.</w:t>
      </w:r>
    </w:p>
    <w:p>
      <w:pPr>
        <w:pStyle w:val="BodyText"/>
        <w:spacing w:line="360" w:lineRule="auto" w:before="7"/>
        <w:ind w:left="308" w:right="109" w:firstLine="705"/>
        <w:jc w:val="both"/>
      </w:pPr>
      <w:r>
        <w:rPr/>
        <w:t>E em Plastino (1997) quando diz que nos últimos cinquenta anos, em qualquer análise séria da evolução das Ciências Sociais e da História, é impossível negar a importância e a significação da teoria Marxista e das práticas sociais por elas inspiradas; e que depois de Marx, é impossível fazer qualquer análise social sem levar em consideração as relações existentes entre reprodução da vida material e qualquer outro fenômeno social.</w:t>
      </w:r>
    </w:p>
    <w:p>
      <w:pPr>
        <w:pStyle w:val="BodyText"/>
        <w:spacing w:line="360" w:lineRule="auto" w:before="2"/>
        <w:ind w:left="308" w:right="115" w:firstLine="705"/>
        <w:jc w:val="both"/>
      </w:pPr>
      <w:r>
        <w:rPr/>
        <w:t>E o terceiro aspecto, trata da valorização dos conhecimentos já existentes como fonte necessária a articulação de novos conhecimentos evidenciada por Ianni (1999) quando valoriza o patrimônio teórico existente, suas conquistas, conceitos, categorias e codificações, e chama atenção para necessidade que o momento histórico atual tem de renovação e do repensar a partir de micro, macro e meta interpretações.</w:t>
      </w:r>
    </w:p>
    <w:p>
      <w:pPr>
        <w:pStyle w:val="BodyText"/>
        <w:spacing w:line="360" w:lineRule="auto" w:before="7"/>
        <w:ind w:left="308" w:right="105" w:firstLine="710"/>
        <w:jc w:val="both"/>
      </w:pPr>
      <w:r>
        <w:rPr/>
        <w:t>Nesse mesmo sentido, Cunha (1998) diz que o novo não se constrói sem o velho, e Plastino (1997) afirma que “a emergência do não - determinado, do radicalmente novo na história obviamente não anula a possibilidade  de estabelecer regularidade” entre os fenômenos.</w:t>
      </w:r>
    </w:p>
    <w:p>
      <w:pPr>
        <w:pStyle w:val="BodyText"/>
        <w:spacing w:line="360" w:lineRule="auto" w:before="3"/>
        <w:ind w:left="308" w:right="106" w:firstLine="710"/>
        <w:jc w:val="both"/>
      </w:pPr>
      <w:r>
        <w:rPr/>
        <w:t>É o que Suanno (2013c, p. 69) se refere como conhecimento multirreferencial porque religa “conhecimentos fragmentados advindos de diferentes abordagens teóricas e/ou diferentes áreas de conhecimento" e que segundo autora, caracterizam processos de construção do conhecimento transdisciplinar.</w:t>
      </w:r>
    </w:p>
    <w:p>
      <w:pPr>
        <w:pStyle w:val="BodyText"/>
        <w:spacing w:line="360" w:lineRule="auto" w:before="7"/>
        <w:ind w:left="308" w:right="108" w:firstLine="705"/>
        <w:jc w:val="both"/>
      </w:pPr>
      <w:r>
        <w:rPr/>
        <w:t>Na tentativa de estabelecer essa interação, o estudo identificou nos autores que tratam da temática sobre o paradigma emergente e escola criativa referencias que sinalizam a dialética, a totalidade e a consciência como elementos necessários nesse processo compreensão e construção da redefinição paradigmática, como estudos de:</w:t>
      </w:r>
    </w:p>
    <w:p>
      <w:pPr>
        <w:pStyle w:val="ListParagraph"/>
        <w:numPr>
          <w:ilvl w:val="0"/>
          <w:numId w:val="9"/>
        </w:numPr>
        <w:tabs>
          <w:tab w:pos="2863" w:val="left" w:leader="none"/>
        </w:tabs>
        <w:spacing w:line="360" w:lineRule="auto" w:before="2" w:after="0"/>
        <w:ind w:left="2862" w:right="108" w:hanging="288"/>
        <w:jc w:val="both"/>
        <w:rPr>
          <w:sz w:val="24"/>
        </w:rPr>
      </w:pPr>
      <w:r>
        <w:rPr>
          <w:sz w:val="24"/>
        </w:rPr>
        <w:t>Sommerman, Santos e Santos et al (2009) ao tratar sobre o papel da consciência na superação das fronteiras epistemológicas;</w:t>
      </w:r>
    </w:p>
    <w:p>
      <w:pPr>
        <w:spacing w:after="0" w:line="360" w:lineRule="auto"/>
        <w:jc w:val="both"/>
        <w:rPr>
          <w:sz w:val="24"/>
        </w:rPr>
        <w:sectPr>
          <w:pgSz w:w="11910" w:h="16840"/>
          <w:pgMar w:header="1133" w:footer="0" w:top="1340" w:bottom="280" w:left="1680" w:right="1020"/>
        </w:sectPr>
      </w:pPr>
    </w:p>
    <w:p>
      <w:pPr>
        <w:pStyle w:val="BodyText"/>
        <w:spacing w:before="3"/>
        <w:rPr>
          <w:sz w:val="21"/>
        </w:rPr>
      </w:pPr>
    </w:p>
    <w:p>
      <w:pPr>
        <w:pStyle w:val="ListParagraph"/>
        <w:numPr>
          <w:ilvl w:val="0"/>
          <w:numId w:val="9"/>
        </w:numPr>
        <w:tabs>
          <w:tab w:pos="2863" w:val="left" w:leader="none"/>
        </w:tabs>
        <w:spacing w:line="362" w:lineRule="auto" w:before="92" w:after="0"/>
        <w:ind w:left="2862" w:right="109" w:hanging="288"/>
        <w:jc w:val="both"/>
        <w:rPr>
          <w:sz w:val="24"/>
        </w:rPr>
      </w:pPr>
      <w:r>
        <w:rPr>
          <w:sz w:val="24"/>
        </w:rPr>
        <w:t>Zwierewicz e Torre (2009) quando abordam a consciência como temática dentre outras, essencial para as escolas que denominam de</w:t>
      </w:r>
      <w:r>
        <w:rPr>
          <w:spacing w:val="-10"/>
          <w:sz w:val="24"/>
        </w:rPr>
        <w:t> </w:t>
      </w:r>
      <w:r>
        <w:rPr>
          <w:sz w:val="24"/>
        </w:rPr>
        <w:t>criativas;</w:t>
      </w:r>
    </w:p>
    <w:p>
      <w:pPr>
        <w:pStyle w:val="ListParagraph"/>
        <w:numPr>
          <w:ilvl w:val="0"/>
          <w:numId w:val="9"/>
        </w:numPr>
        <w:tabs>
          <w:tab w:pos="2863" w:val="left" w:leader="none"/>
        </w:tabs>
        <w:spacing w:line="360" w:lineRule="auto" w:before="0" w:after="0"/>
        <w:ind w:left="2862" w:right="103" w:hanging="288"/>
        <w:jc w:val="both"/>
        <w:rPr>
          <w:sz w:val="24"/>
        </w:rPr>
      </w:pPr>
      <w:r>
        <w:rPr>
          <w:sz w:val="24"/>
        </w:rPr>
        <w:t>Suanno (2013a) ao referir-se ao despertar da consciência do educando como protagonista de sua própria história,  do seu pertencimento a um todo articulado no sentido de superação da realidade historicamente</w:t>
      </w:r>
      <w:r>
        <w:rPr>
          <w:spacing w:val="-18"/>
          <w:sz w:val="24"/>
        </w:rPr>
        <w:t> </w:t>
      </w:r>
      <w:r>
        <w:rPr>
          <w:sz w:val="24"/>
        </w:rPr>
        <w:t>construída;</w:t>
      </w:r>
    </w:p>
    <w:p>
      <w:pPr>
        <w:pStyle w:val="ListParagraph"/>
        <w:numPr>
          <w:ilvl w:val="0"/>
          <w:numId w:val="9"/>
        </w:numPr>
        <w:tabs>
          <w:tab w:pos="2863" w:val="left" w:leader="none"/>
        </w:tabs>
        <w:spacing w:line="360" w:lineRule="auto" w:before="3" w:after="0"/>
        <w:ind w:left="2862" w:right="104" w:hanging="288"/>
        <w:jc w:val="both"/>
        <w:rPr>
          <w:sz w:val="24"/>
        </w:rPr>
      </w:pPr>
      <w:r>
        <w:rPr>
          <w:sz w:val="24"/>
        </w:rPr>
        <w:t>Santos et al (2013) quando discutem as similaridades entre a dialética e totalidade marxista e o pensamento dialógico aprofundado por Morin e Nicolescu com base nas evidências e contribuições da física</w:t>
      </w:r>
      <w:r>
        <w:rPr>
          <w:spacing w:val="-17"/>
          <w:sz w:val="24"/>
        </w:rPr>
        <w:t> </w:t>
      </w:r>
      <w:r>
        <w:rPr>
          <w:sz w:val="24"/>
        </w:rPr>
        <w:t>quântica.</w:t>
      </w:r>
    </w:p>
    <w:p>
      <w:pPr>
        <w:pStyle w:val="BodyText"/>
        <w:spacing w:line="360" w:lineRule="auto" w:before="2"/>
        <w:ind w:left="308" w:right="103" w:firstLine="705"/>
        <w:jc w:val="both"/>
      </w:pPr>
      <w:r>
        <w:rPr/>
        <w:t>Diante do exposto, a totalidade e a práxis serão tratadas a partir da contextualização e do aprofundamento realizados por Morin e discutidas por Santos et al (2013) como mencionado no parágrafo anterior, em que a dialógica é apontada como similar às categorias marxistas aqui mencionadas quando  afirmam que o conceito defendidos pela dialética sobre a provisoriedade do momento histórico que assume constantemente novas formas, a permanente transformação da realidade que se apresenta de </w:t>
      </w:r>
      <w:r>
        <w:rPr>
          <w:spacing w:val="-3"/>
        </w:rPr>
        <w:t>forma </w:t>
      </w:r>
      <w:r>
        <w:rPr/>
        <w:t>contraditória “ são compatíveis com a lógica do terceiro termo incluído [...] cuja fundamentação tem como base o conhecimento como </w:t>
      </w:r>
      <w:r>
        <w:rPr>
          <w:spacing w:val="2"/>
        </w:rPr>
        <w:t>um </w:t>
      </w:r>
      <w:r>
        <w:rPr/>
        <w:t>processo, também considerado na sua provisoriedade”.</w:t>
      </w:r>
    </w:p>
    <w:p>
      <w:pPr>
        <w:pStyle w:val="BodyText"/>
        <w:spacing w:line="360" w:lineRule="auto" w:before="2"/>
        <w:ind w:left="308" w:right="112" w:firstLine="772"/>
        <w:jc w:val="both"/>
      </w:pPr>
      <w:r>
        <w:rPr/>
        <w:t>Para Morin, Almeida e Carvalho (2005, p.61), “a dialógica significa que duas ou várias lógicas diferentes estão ligadas em uma unidade, de forma complexa (complementar, concorrente e antagônica) sem que a dualidade se perca na unidade”.</w:t>
      </w:r>
    </w:p>
    <w:p>
      <w:pPr>
        <w:pStyle w:val="BodyText"/>
        <w:spacing w:line="360" w:lineRule="auto" w:before="2"/>
        <w:ind w:left="308" w:right="101" w:firstLine="705"/>
        <w:jc w:val="both"/>
      </w:pPr>
      <w:r>
        <w:rPr/>
        <w:t>A dialógica e a dialética se aproximam quando na dialógica, o “todo não é somente mais do que a soma das partes, senão que é simultaneamente, mais e menos do que a soma das partes. Trata-se de </w:t>
      </w:r>
      <w:r>
        <w:rPr>
          <w:spacing w:val="-3"/>
        </w:rPr>
        <w:t>uma </w:t>
      </w:r>
      <w:r>
        <w:rPr/>
        <w:t>operação dinâmica e não mecânica” (SANTOS et al, 2013, p.108), ainda mais quando se torna possível perceber correlação entre a visão de conjunto – totalidade e seus diferentes níveis de abrangência com o princípio hologramático e dialógico elaborado por Morin e a distinção dos diferentes níveis de realidade desenvolvidos por Nicolescu, conforme esclarecem os</w:t>
      </w:r>
      <w:r>
        <w:rPr>
          <w:spacing w:val="-10"/>
        </w:rPr>
        <w:t> </w:t>
      </w:r>
      <w:r>
        <w:rPr/>
        <w:t>autores:</w:t>
      </w:r>
    </w:p>
    <w:p>
      <w:pPr>
        <w:spacing w:after="0" w:line="360" w:lineRule="auto"/>
        <w:jc w:val="both"/>
        <w:sectPr>
          <w:pgSz w:w="11910" w:h="16840"/>
          <w:pgMar w:header="1133" w:footer="0" w:top="1340" w:bottom="280" w:left="1680" w:right="1020"/>
        </w:sectPr>
      </w:pPr>
    </w:p>
    <w:p>
      <w:pPr>
        <w:pStyle w:val="BodyText"/>
        <w:spacing w:before="11"/>
        <w:rPr>
          <w:sz w:val="20"/>
        </w:rPr>
      </w:pPr>
    </w:p>
    <w:p>
      <w:pPr>
        <w:spacing w:before="95"/>
        <w:ind w:left="2574" w:right="105" w:firstLine="0"/>
        <w:jc w:val="both"/>
        <w:rPr>
          <w:sz w:val="20"/>
        </w:rPr>
      </w:pPr>
      <w:r>
        <w:rPr>
          <w:sz w:val="20"/>
        </w:rPr>
        <w:t>Estruturado uma metodologia da pesquisa transdisciplinar assente em três pilares: (1) vários níveis de realidade; (2) lógica do terceiro termo incluído e (3) complexidade [...] segundo autor, a mudança de nível para outro depende das leis, lógicas e conceitos próprios de cada nível, isto é, cada nível é regido por leis, lógica e conceitos diferentes. (SANTOS ET AL, 2013, p.109).</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04" w:firstLine="705"/>
        <w:jc w:val="both"/>
      </w:pPr>
      <w:r>
        <w:rPr/>
        <w:t>Assim, tratar as categorias anteriormente propostas, nessa nova perspectiva, faz-se necessário juntar princípios, ideias e noções que parecem opor-se umas às outras, como forma de “afrontar realidades profundas que, exatamente, unem verdades aparentemente contraditórias”. (MORIN, ALMEIDA E CARVALHO, 2005, p.62), possível a partir do pensamento sistêmico que reconhece a complexidade como olhar necessário para compreensão  da realidade dos fenômenos no contexto de transição paradigmática. (MORAES, 2004a).</w:t>
      </w:r>
    </w:p>
    <w:p>
      <w:pPr>
        <w:pStyle w:val="BodyText"/>
        <w:spacing w:line="360" w:lineRule="auto" w:before="2"/>
        <w:ind w:left="308" w:right="116" w:firstLine="705"/>
        <w:jc w:val="both"/>
      </w:pPr>
      <w:r>
        <w:rPr/>
        <w:t>A abordagem escolhida para pesquisa foi qualitativa, que no contexto da investigação busca captar não só a “aparência do fenômeno como também sua essência” (TRIVIÑOS, 2006, p.129), o que possibilitará melhor e maior aproximação da realidade estabelecendo uma compreensão mais esclarecedora do objeto da pesquisa. (BOGDAN; BIKLEN, 1994).</w:t>
      </w:r>
    </w:p>
    <w:p>
      <w:pPr>
        <w:pStyle w:val="BodyText"/>
        <w:spacing w:line="360" w:lineRule="auto" w:before="2"/>
        <w:ind w:left="308" w:right="111" w:firstLine="710"/>
        <w:jc w:val="both"/>
      </w:pPr>
      <w:r>
        <w:rPr/>
        <w:t>Na pesquisa qualitativa, os fatos e relações sociais são prioridades inerentes que devem ser interpretadas e analisadas considerando os seus significados, motivos, aspirações, crenças, valores e atitudes, que correspondem a um espaço mais profundo das relações, dos processos e dos fenômenos, que não podem ser reduzidos à operacionalização de variáveis. (MINAYO,</w:t>
      </w:r>
      <w:r>
        <w:rPr>
          <w:spacing w:val="-29"/>
        </w:rPr>
        <w:t> </w:t>
      </w:r>
      <w:r>
        <w:rPr/>
        <w:t>2003)</w:t>
      </w:r>
    </w:p>
    <w:p>
      <w:pPr>
        <w:pStyle w:val="BodyText"/>
        <w:spacing w:line="360" w:lineRule="auto" w:before="6"/>
        <w:ind w:left="308" w:right="104" w:firstLine="710"/>
        <w:jc w:val="both"/>
      </w:pPr>
      <w:r>
        <w:rPr/>
        <w:t>Nesse aspecto, considerando que o foco da pesquisa é analisar as práticas educativas de uma determinada escola numa dada realidade, a tipologia que melhor se ajusta à proposta de investigação é a do estudo de caso, que consiste num dos mais relevantes tipos de pesquisa qualitativa, porque configura “uma categoria de pesquisa cujo objeto é uma unidade que se analisa profundamente”. (TRIVIÑOS, 2006, p. 133)</w:t>
      </w:r>
    </w:p>
    <w:p>
      <w:pPr>
        <w:pStyle w:val="BodyText"/>
        <w:spacing w:line="360" w:lineRule="auto" w:before="2"/>
        <w:ind w:left="308" w:right="110" w:firstLine="710"/>
        <w:jc w:val="both"/>
      </w:pPr>
      <w:r>
        <w:rPr/>
        <w:t>O caso corresponde a um estudo profundo de um objeto, organizando e reunindo informações de forma detalhadas em diferentes análises, relacionando os dados observados com a dimensão temporal </w:t>
      </w:r>
      <w:r>
        <w:rPr>
          <w:spacing w:val="2"/>
        </w:rPr>
        <w:t>em </w:t>
      </w:r>
      <w:r>
        <w:rPr/>
        <w:t>que </w:t>
      </w:r>
      <w:r>
        <w:rPr>
          <w:spacing w:val="2"/>
        </w:rPr>
        <w:t>ocorre </w:t>
      </w:r>
      <w:r>
        <w:rPr/>
        <w:t>o fenômeno, permitindo</w:t>
      </w:r>
      <w:r>
        <w:rPr>
          <w:spacing w:val="41"/>
        </w:rPr>
        <w:t> </w:t>
      </w:r>
      <w:r>
        <w:rPr/>
        <w:t>assim,</w:t>
      </w:r>
      <w:r>
        <w:rPr>
          <w:spacing w:val="41"/>
        </w:rPr>
        <w:t> </w:t>
      </w:r>
      <w:r>
        <w:rPr/>
        <w:t>analisá-lo</w:t>
      </w:r>
      <w:r>
        <w:rPr>
          <w:spacing w:val="41"/>
        </w:rPr>
        <w:t> </w:t>
      </w:r>
      <w:r>
        <w:rPr/>
        <w:t>tanto</w:t>
      </w:r>
      <w:r>
        <w:rPr>
          <w:spacing w:val="42"/>
        </w:rPr>
        <w:t> </w:t>
      </w:r>
      <w:r>
        <w:rPr/>
        <w:t>na</w:t>
      </w:r>
      <w:r>
        <w:rPr>
          <w:spacing w:val="41"/>
        </w:rPr>
        <w:t> </w:t>
      </w:r>
      <w:r>
        <w:rPr/>
        <w:t>sua</w:t>
      </w:r>
      <w:r>
        <w:rPr>
          <w:spacing w:val="41"/>
        </w:rPr>
        <w:t> </w:t>
      </w:r>
      <w:r>
        <w:rPr/>
        <w:t>natureza</w:t>
      </w:r>
      <w:r>
        <w:rPr>
          <w:spacing w:val="41"/>
        </w:rPr>
        <w:t> </w:t>
      </w:r>
      <w:r>
        <w:rPr/>
        <w:t>como</w:t>
      </w:r>
      <w:r>
        <w:rPr>
          <w:spacing w:val="41"/>
        </w:rPr>
        <w:t> </w:t>
      </w:r>
      <w:r>
        <w:rPr/>
        <w:t>na</w:t>
      </w:r>
      <w:r>
        <w:rPr>
          <w:spacing w:val="41"/>
        </w:rPr>
        <w:t> </w:t>
      </w:r>
      <w:r>
        <w:rPr/>
        <w:t>sua</w:t>
      </w:r>
      <w:r>
        <w:rPr>
          <w:spacing w:val="41"/>
        </w:rPr>
        <w:t> </w:t>
      </w:r>
      <w:r>
        <w:rPr/>
        <w:t>profundidade,</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9"/>
        <w:jc w:val="both"/>
      </w:pPr>
      <w:r>
        <w:rPr/>
        <w:t>possibilitando maior abrangência na abordagem do problema, cuja complexidade será assegurada pelo suporte do referencial teórico e a utilização de múltiplas fontes de evidências, que, segundo Yin (2005), se constitui em entrevistas, observações, documentos e reportagens.</w:t>
      </w:r>
    </w:p>
    <w:p>
      <w:pPr>
        <w:pStyle w:val="BodyText"/>
        <w:spacing w:line="360" w:lineRule="auto" w:before="2"/>
        <w:ind w:left="308" w:right="103" w:firstLine="710"/>
        <w:jc w:val="both"/>
      </w:pPr>
      <w:r>
        <w:rPr/>
        <w:t>Para o autor, o estudo de caso se classifica em três estratégias ou possibilidades que podem ser: (1) exploratório, (2) descritivo, e (3) explanatório, o primeiro tipo é utilizado para conhecer com mais profundidade questões pouco conhecidas; o segundo tipo utiliza-se para descrever situações e o terceiro tipo para estratégia de explicações de causas.</w:t>
      </w:r>
    </w:p>
    <w:p>
      <w:pPr>
        <w:pStyle w:val="BodyText"/>
        <w:spacing w:line="360" w:lineRule="auto" w:before="7"/>
        <w:ind w:left="308" w:right="101" w:firstLine="705"/>
        <w:jc w:val="both"/>
      </w:pPr>
      <w:r>
        <w:rPr/>
        <w:t>O autor afirma que essas classificações não possuem caráter ou peso hierárquico e que são estratégias que muitas vezes se sobrepõem, sem limitação objetiva entre elas, pelo contrário, a possibilidade da colaboração favorece no estudo do caso, situação que se aplica à pesquisa em questão quando se propôs inicialmente diagnosticar os indícios de criatividade e inovação da escola de anos iniciais do ensino fundamental, para então compreendê-los na realidade investigada e seus respectivos contextos.</w:t>
      </w:r>
    </w:p>
    <w:p>
      <w:pPr>
        <w:pStyle w:val="BodyText"/>
        <w:rPr>
          <w:sz w:val="26"/>
        </w:rPr>
      </w:pPr>
    </w:p>
    <w:p>
      <w:pPr>
        <w:pStyle w:val="BodyText"/>
        <w:rPr>
          <w:sz w:val="26"/>
        </w:rPr>
      </w:pPr>
    </w:p>
    <w:p>
      <w:pPr>
        <w:pStyle w:val="BodyText"/>
        <w:spacing w:before="5"/>
        <w:rPr>
          <w:sz w:val="20"/>
        </w:rPr>
      </w:pPr>
    </w:p>
    <w:p>
      <w:pPr>
        <w:pStyle w:val="BodyText"/>
        <w:ind w:left="308"/>
        <w:jc w:val="both"/>
      </w:pPr>
      <w:r>
        <w:rPr/>
        <w:t>3.1 CONTEXTUALIZANDO A PESQUISA</w:t>
      </w:r>
    </w:p>
    <w:p>
      <w:pPr>
        <w:pStyle w:val="BodyText"/>
        <w:rPr>
          <w:sz w:val="26"/>
        </w:rPr>
      </w:pPr>
    </w:p>
    <w:p>
      <w:pPr>
        <w:pStyle w:val="BodyText"/>
        <w:rPr>
          <w:sz w:val="26"/>
        </w:rPr>
      </w:pPr>
    </w:p>
    <w:p>
      <w:pPr>
        <w:pStyle w:val="BodyText"/>
        <w:spacing w:before="7"/>
        <w:rPr>
          <w:sz w:val="31"/>
        </w:rPr>
      </w:pPr>
    </w:p>
    <w:p>
      <w:pPr>
        <w:pStyle w:val="BodyText"/>
        <w:spacing w:line="360" w:lineRule="auto"/>
        <w:ind w:left="308" w:right="110" w:firstLine="705"/>
        <w:jc w:val="both"/>
      </w:pPr>
      <w:r>
        <w:rPr/>
        <w:t>O contexto da pesquisa envolve as situações </w:t>
      </w:r>
      <w:r>
        <w:rPr>
          <w:spacing w:val="2"/>
        </w:rPr>
        <w:t>em </w:t>
      </w:r>
      <w:r>
        <w:rPr/>
        <w:t>que se encontra o caso estudado, assim, Yin (2005) diz que podem tratar de referências históricas, sociais, econômicas, entre outras, cujas descrições, segundo Stake (1995) apud Maffezzolli e Boehs (2008), assumem papeis importantes como possíveis fontes para a coleta de</w:t>
      </w:r>
      <w:r>
        <w:rPr>
          <w:spacing w:val="-13"/>
        </w:rPr>
        <w:t> </w:t>
      </w:r>
      <w:r>
        <w:rPr/>
        <w:t>informações.</w:t>
      </w:r>
    </w:p>
    <w:p>
      <w:pPr>
        <w:pStyle w:val="BodyText"/>
        <w:rPr>
          <w:sz w:val="26"/>
        </w:rPr>
      </w:pPr>
    </w:p>
    <w:p>
      <w:pPr>
        <w:pStyle w:val="BodyText"/>
        <w:rPr>
          <w:sz w:val="26"/>
        </w:rPr>
      </w:pPr>
    </w:p>
    <w:p>
      <w:pPr>
        <w:pStyle w:val="Heading3"/>
        <w:spacing w:before="230"/>
        <w:ind w:left="308"/>
        <w:jc w:val="both"/>
      </w:pPr>
      <w:bookmarkStart w:name="_TOC_250009" w:id="8"/>
      <w:bookmarkEnd w:id="8"/>
      <w:r>
        <w:rPr/>
        <w:t>3.1.1 O município de Gurupi</w:t>
      </w:r>
    </w:p>
    <w:p>
      <w:pPr>
        <w:pStyle w:val="BodyText"/>
        <w:rPr>
          <w:b/>
          <w:sz w:val="26"/>
        </w:rPr>
      </w:pPr>
    </w:p>
    <w:p>
      <w:pPr>
        <w:pStyle w:val="BodyText"/>
        <w:rPr>
          <w:b/>
          <w:sz w:val="26"/>
        </w:rPr>
      </w:pPr>
    </w:p>
    <w:p>
      <w:pPr>
        <w:pStyle w:val="BodyText"/>
        <w:spacing w:before="6"/>
        <w:rPr>
          <w:b/>
          <w:sz w:val="32"/>
        </w:rPr>
      </w:pPr>
    </w:p>
    <w:p>
      <w:pPr>
        <w:pStyle w:val="BodyText"/>
        <w:spacing w:line="360" w:lineRule="auto"/>
        <w:ind w:left="308" w:right="103" w:firstLine="705"/>
        <w:jc w:val="both"/>
      </w:pPr>
      <w:r>
        <w:rPr/>
        <w:t>O município de Gurupi está localizado na região sul do estado do Tocantins às margens da rodovia Belém – Brasília, a BR 153, distante 245 quilômetros da capital do estado, a cidade de Palmas. Segundo dados do IBGE, o distrito de</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11"/>
        <w:jc w:val="both"/>
      </w:pPr>
      <w:r>
        <w:rPr/>
        <w:t>Gurupi foi criado em 09 de outubro de 1956 pela Lei nº 251 e o Município em 14 de novembro de 1958, pela Lei Estadual nº 2.140. A cidade, intitulada de Capital da Amizade por sua hospitalidade, representa atualmente a terceira maior economia do estado do Tocantins que se desenvolve em atividades da agropecuária, do ramo frigorífico e do desenvolvimento de indústrias de diferentes</w:t>
      </w:r>
    </w:p>
    <w:p>
      <w:pPr>
        <w:pStyle w:val="BodyText"/>
        <w:spacing w:line="352" w:lineRule="auto" w:before="7"/>
        <w:ind w:left="308" w:right="102"/>
        <w:jc w:val="both"/>
      </w:pPr>
      <w:r>
        <w:rPr/>
        <w:t>setores de produção, inclusive área de biocombustíveis. Gurupi possui uma população estimada em de 84.728</w:t>
      </w:r>
      <w:r>
        <w:rPr>
          <w:position w:val="11"/>
          <w:sz w:val="16"/>
        </w:rPr>
        <w:t>11 </w:t>
      </w:r>
      <w:r>
        <w:rPr/>
        <w:t>mil habitantes e faz limites com cinco municípios de modo que se limita ao norte com Aliança do Tocantins, ao sul com Cariri do Tocantins e Sucupira, a oeste com Dueré e ao leste com o município de Peixe.</w:t>
      </w:r>
    </w:p>
    <w:p>
      <w:pPr>
        <w:pStyle w:val="BodyText"/>
        <w:spacing w:line="360" w:lineRule="auto" w:before="11"/>
        <w:ind w:left="308" w:right="113" w:firstLine="705"/>
        <w:jc w:val="both"/>
      </w:pPr>
      <w:r>
        <w:rPr/>
        <w:t>Segundo Mesquita (2009), a partir de 1989 o município vem  se fortalecendo como polo educacional em razão da implantação das instituições de ensino superior e da expansão de oferta da Educação Básica e ensino profissionalizante ofertados em instituições públicas e privado.</w:t>
      </w:r>
    </w:p>
    <w:p>
      <w:pPr>
        <w:pStyle w:val="BodyText"/>
        <w:spacing w:line="360" w:lineRule="auto" w:before="3"/>
        <w:ind w:left="308" w:right="102" w:firstLine="705"/>
        <w:jc w:val="both"/>
      </w:pPr>
      <w:r>
        <w:rPr/>
        <w:t>No ensino superior estão presentes no município onze instituições que oferecem ensino presencial e a distância em nível de graduação e pós- graduação, conforme quadro abaixo (TERRA et al., 2011):</w:t>
      </w:r>
    </w:p>
    <w:p>
      <w:pPr>
        <w:pStyle w:val="BodyText"/>
        <w:rPr>
          <w:sz w:val="26"/>
        </w:rPr>
      </w:pPr>
    </w:p>
    <w:p>
      <w:pPr>
        <w:pStyle w:val="BodyText"/>
        <w:rPr>
          <w:sz w:val="26"/>
        </w:rPr>
      </w:pPr>
    </w:p>
    <w:p>
      <w:pPr>
        <w:pStyle w:val="BodyText"/>
        <w:spacing w:before="4"/>
        <w:rPr>
          <w:sz w:val="20"/>
        </w:rPr>
      </w:pPr>
    </w:p>
    <w:p>
      <w:pPr>
        <w:spacing w:before="1" w:after="39"/>
        <w:ind w:left="807" w:right="0" w:firstLine="0"/>
        <w:jc w:val="left"/>
        <w:rPr>
          <w:b/>
          <w:sz w:val="20"/>
        </w:rPr>
      </w:pPr>
      <w:r>
        <w:rPr>
          <w:b/>
          <w:sz w:val="20"/>
        </w:rPr>
        <w:t>Quadro 02 – Instituições de Educação Superior no município de Gurupi/TO – 2011</w:t>
      </w:r>
    </w:p>
    <w:tbl>
      <w:tblPr>
        <w:tblW w:w="0" w:type="auto"/>
        <w:jc w:val="left"/>
        <w:tblInd w:w="3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
        <w:gridCol w:w="4826"/>
        <w:gridCol w:w="1191"/>
        <w:gridCol w:w="2036"/>
      </w:tblGrid>
      <w:tr>
        <w:trPr>
          <w:trHeight w:val="240" w:hRule="exact"/>
        </w:trPr>
        <w:tc>
          <w:tcPr>
            <w:tcW w:w="451" w:type="dxa"/>
            <w:shd w:val="clear" w:color="auto" w:fill="ADAAAA"/>
          </w:tcPr>
          <w:p>
            <w:pPr>
              <w:pStyle w:val="TableParagraph"/>
              <w:spacing w:line="220" w:lineRule="exact"/>
              <w:ind w:right="113"/>
              <w:jc w:val="right"/>
              <w:rPr>
                <w:b/>
                <w:sz w:val="20"/>
              </w:rPr>
            </w:pPr>
            <w:r>
              <w:rPr>
                <w:b/>
                <w:sz w:val="20"/>
              </w:rPr>
              <w:t>Nº</w:t>
            </w:r>
          </w:p>
        </w:tc>
        <w:tc>
          <w:tcPr>
            <w:tcW w:w="4826" w:type="dxa"/>
            <w:shd w:val="clear" w:color="auto" w:fill="ADAAAA"/>
          </w:tcPr>
          <w:p>
            <w:pPr>
              <w:pStyle w:val="TableParagraph"/>
              <w:spacing w:line="220" w:lineRule="exact"/>
              <w:ind w:left="1883" w:right="1892"/>
              <w:rPr>
                <w:b/>
                <w:sz w:val="20"/>
              </w:rPr>
            </w:pPr>
            <w:r>
              <w:rPr>
                <w:b/>
                <w:sz w:val="20"/>
              </w:rPr>
              <w:t>Instituição</w:t>
            </w:r>
          </w:p>
        </w:tc>
        <w:tc>
          <w:tcPr>
            <w:tcW w:w="1191" w:type="dxa"/>
            <w:shd w:val="clear" w:color="auto" w:fill="ADAAAA"/>
          </w:tcPr>
          <w:p>
            <w:pPr>
              <w:pStyle w:val="TableParagraph"/>
              <w:spacing w:line="220" w:lineRule="exact"/>
              <w:ind w:left="65" w:right="71"/>
              <w:rPr>
                <w:b/>
                <w:sz w:val="20"/>
              </w:rPr>
            </w:pPr>
            <w:r>
              <w:rPr>
                <w:b/>
                <w:sz w:val="20"/>
              </w:rPr>
              <w:t>Sigla</w:t>
            </w:r>
          </w:p>
        </w:tc>
        <w:tc>
          <w:tcPr>
            <w:tcW w:w="2036" w:type="dxa"/>
            <w:shd w:val="clear" w:color="auto" w:fill="ADAAAA"/>
          </w:tcPr>
          <w:p>
            <w:pPr>
              <w:pStyle w:val="TableParagraph"/>
              <w:spacing w:line="220" w:lineRule="exact"/>
              <w:ind w:left="83" w:right="85"/>
              <w:rPr>
                <w:b/>
                <w:sz w:val="20"/>
              </w:rPr>
            </w:pPr>
            <w:r>
              <w:rPr>
                <w:b/>
                <w:sz w:val="20"/>
              </w:rPr>
              <w:t>Categoria</w:t>
            </w:r>
          </w:p>
        </w:tc>
      </w:tr>
      <w:tr>
        <w:trPr>
          <w:trHeight w:val="240" w:hRule="exact"/>
        </w:trPr>
        <w:tc>
          <w:tcPr>
            <w:tcW w:w="451" w:type="dxa"/>
          </w:tcPr>
          <w:p>
            <w:pPr>
              <w:pStyle w:val="TableParagraph"/>
              <w:spacing w:line="225" w:lineRule="exact"/>
              <w:ind w:right="175"/>
              <w:jc w:val="right"/>
              <w:rPr>
                <w:sz w:val="20"/>
              </w:rPr>
            </w:pPr>
            <w:r>
              <w:rPr>
                <w:sz w:val="20"/>
              </w:rPr>
              <w:t>01</w:t>
            </w:r>
          </w:p>
        </w:tc>
        <w:tc>
          <w:tcPr>
            <w:tcW w:w="4826" w:type="dxa"/>
          </w:tcPr>
          <w:p>
            <w:pPr>
              <w:pStyle w:val="TableParagraph"/>
              <w:spacing w:line="225" w:lineRule="exact"/>
              <w:ind w:left="43"/>
              <w:jc w:val="left"/>
              <w:rPr>
                <w:sz w:val="20"/>
              </w:rPr>
            </w:pPr>
            <w:r>
              <w:rPr>
                <w:sz w:val="20"/>
              </w:rPr>
              <w:t>Centro Universitário UnirG</w:t>
            </w:r>
          </w:p>
        </w:tc>
        <w:tc>
          <w:tcPr>
            <w:tcW w:w="1191" w:type="dxa"/>
          </w:tcPr>
          <w:p>
            <w:pPr>
              <w:pStyle w:val="TableParagraph"/>
              <w:spacing w:line="225" w:lineRule="exact"/>
              <w:ind w:left="67" w:right="71"/>
              <w:rPr>
                <w:sz w:val="20"/>
              </w:rPr>
            </w:pPr>
            <w:r>
              <w:rPr>
                <w:sz w:val="20"/>
              </w:rPr>
              <w:t>UNIRG</w:t>
            </w:r>
          </w:p>
        </w:tc>
        <w:tc>
          <w:tcPr>
            <w:tcW w:w="2036" w:type="dxa"/>
          </w:tcPr>
          <w:p>
            <w:pPr>
              <w:pStyle w:val="TableParagraph"/>
              <w:spacing w:line="225" w:lineRule="exact"/>
              <w:ind w:left="74" w:right="90"/>
              <w:rPr>
                <w:sz w:val="20"/>
              </w:rPr>
            </w:pPr>
            <w:r>
              <w:rPr>
                <w:sz w:val="20"/>
              </w:rPr>
              <w:t>Presencial</w:t>
            </w:r>
          </w:p>
        </w:tc>
      </w:tr>
      <w:tr>
        <w:trPr>
          <w:trHeight w:val="240" w:hRule="exact"/>
        </w:trPr>
        <w:tc>
          <w:tcPr>
            <w:tcW w:w="451" w:type="dxa"/>
          </w:tcPr>
          <w:p>
            <w:pPr>
              <w:pStyle w:val="TableParagraph"/>
              <w:spacing w:line="225" w:lineRule="exact"/>
              <w:ind w:right="175"/>
              <w:jc w:val="right"/>
              <w:rPr>
                <w:sz w:val="20"/>
              </w:rPr>
            </w:pPr>
            <w:r>
              <w:rPr>
                <w:sz w:val="20"/>
              </w:rPr>
              <w:t>02</w:t>
            </w:r>
          </w:p>
        </w:tc>
        <w:tc>
          <w:tcPr>
            <w:tcW w:w="4826" w:type="dxa"/>
          </w:tcPr>
          <w:p>
            <w:pPr>
              <w:pStyle w:val="TableParagraph"/>
              <w:spacing w:line="225" w:lineRule="exact"/>
              <w:ind w:left="43"/>
              <w:jc w:val="left"/>
              <w:rPr>
                <w:sz w:val="20"/>
              </w:rPr>
            </w:pPr>
            <w:r>
              <w:rPr>
                <w:sz w:val="20"/>
              </w:rPr>
              <w:t>Faculdade AIEC/FAAB</w:t>
            </w:r>
          </w:p>
        </w:tc>
        <w:tc>
          <w:tcPr>
            <w:tcW w:w="1191" w:type="dxa"/>
          </w:tcPr>
          <w:p>
            <w:pPr>
              <w:pStyle w:val="TableParagraph"/>
              <w:spacing w:line="225" w:lineRule="exact"/>
              <w:ind w:left="70" w:right="69"/>
              <w:rPr>
                <w:sz w:val="20"/>
              </w:rPr>
            </w:pPr>
            <w:r>
              <w:rPr>
                <w:sz w:val="20"/>
              </w:rPr>
              <w:t>AIEC</w:t>
            </w:r>
          </w:p>
        </w:tc>
        <w:tc>
          <w:tcPr>
            <w:tcW w:w="2036" w:type="dxa"/>
          </w:tcPr>
          <w:p>
            <w:pPr>
              <w:pStyle w:val="TableParagraph"/>
              <w:spacing w:line="225" w:lineRule="exact"/>
              <w:ind w:left="83" w:right="90"/>
              <w:rPr>
                <w:sz w:val="20"/>
              </w:rPr>
            </w:pPr>
            <w:r>
              <w:rPr>
                <w:sz w:val="20"/>
              </w:rPr>
              <w:t>Distância</w:t>
            </w:r>
          </w:p>
        </w:tc>
      </w:tr>
      <w:tr>
        <w:trPr>
          <w:trHeight w:val="240" w:hRule="exact"/>
        </w:trPr>
        <w:tc>
          <w:tcPr>
            <w:tcW w:w="451" w:type="dxa"/>
          </w:tcPr>
          <w:p>
            <w:pPr>
              <w:pStyle w:val="TableParagraph"/>
              <w:spacing w:line="225" w:lineRule="exact"/>
              <w:ind w:right="175"/>
              <w:jc w:val="right"/>
              <w:rPr>
                <w:sz w:val="20"/>
              </w:rPr>
            </w:pPr>
            <w:r>
              <w:rPr>
                <w:sz w:val="20"/>
              </w:rPr>
              <w:t>03</w:t>
            </w:r>
          </w:p>
        </w:tc>
        <w:tc>
          <w:tcPr>
            <w:tcW w:w="4826" w:type="dxa"/>
          </w:tcPr>
          <w:p>
            <w:pPr>
              <w:pStyle w:val="TableParagraph"/>
              <w:spacing w:line="225" w:lineRule="exact"/>
              <w:ind w:left="43"/>
              <w:jc w:val="left"/>
              <w:rPr>
                <w:sz w:val="20"/>
              </w:rPr>
            </w:pPr>
            <w:r>
              <w:rPr>
                <w:sz w:val="20"/>
              </w:rPr>
              <w:t>Faculdade de Tecnologia Internacional</w:t>
            </w:r>
          </w:p>
        </w:tc>
        <w:tc>
          <w:tcPr>
            <w:tcW w:w="1191" w:type="dxa"/>
          </w:tcPr>
          <w:p>
            <w:pPr>
              <w:pStyle w:val="TableParagraph"/>
              <w:spacing w:line="225" w:lineRule="exact"/>
              <w:ind w:left="70" w:right="71"/>
              <w:rPr>
                <w:sz w:val="20"/>
              </w:rPr>
            </w:pPr>
            <w:r>
              <w:rPr>
                <w:sz w:val="20"/>
              </w:rPr>
              <w:t>FATEC</w:t>
            </w:r>
          </w:p>
        </w:tc>
        <w:tc>
          <w:tcPr>
            <w:tcW w:w="2036" w:type="dxa"/>
          </w:tcPr>
          <w:p>
            <w:pPr>
              <w:pStyle w:val="TableParagraph"/>
              <w:spacing w:line="225" w:lineRule="exact"/>
              <w:ind w:left="83" w:right="90"/>
              <w:rPr>
                <w:sz w:val="20"/>
              </w:rPr>
            </w:pPr>
            <w:r>
              <w:rPr>
                <w:sz w:val="20"/>
              </w:rPr>
              <w:t>Distância</w:t>
            </w:r>
          </w:p>
        </w:tc>
      </w:tr>
      <w:tr>
        <w:trPr>
          <w:trHeight w:val="240" w:hRule="exact"/>
        </w:trPr>
        <w:tc>
          <w:tcPr>
            <w:tcW w:w="451" w:type="dxa"/>
            <w:tcBorders>
              <w:bottom w:val="single" w:sz="4" w:space="0" w:color="000000"/>
            </w:tcBorders>
          </w:tcPr>
          <w:p>
            <w:pPr>
              <w:pStyle w:val="TableParagraph"/>
              <w:spacing w:line="225" w:lineRule="exact"/>
              <w:ind w:right="175"/>
              <w:jc w:val="right"/>
              <w:rPr>
                <w:sz w:val="20"/>
              </w:rPr>
            </w:pPr>
            <w:r>
              <w:rPr>
                <w:sz w:val="20"/>
              </w:rPr>
              <w:t>04</w:t>
            </w:r>
          </w:p>
        </w:tc>
        <w:tc>
          <w:tcPr>
            <w:tcW w:w="4826" w:type="dxa"/>
            <w:tcBorders>
              <w:bottom w:val="single" w:sz="4" w:space="0" w:color="000000"/>
            </w:tcBorders>
          </w:tcPr>
          <w:p>
            <w:pPr>
              <w:pStyle w:val="TableParagraph"/>
              <w:spacing w:line="225" w:lineRule="exact"/>
              <w:ind w:left="43"/>
              <w:jc w:val="left"/>
              <w:rPr>
                <w:sz w:val="20"/>
              </w:rPr>
            </w:pPr>
            <w:r>
              <w:rPr>
                <w:sz w:val="20"/>
              </w:rPr>
              <w:t>Faculdade Educacional da Lapa</w:t>
            </w:r>
          </w:p>
        </w:tc>
        <w:tc>
          <w:tcPr>
            <w:tcW w:w="1191" w:type="dxa"/>
            <w:tcBorders>
              <w:bottom w:val="single" w:sz="4" w:space="0" w:color="000000"/>
            </w:tcBorders>
          </w:tcPr>
          <w:p>
            <w:pPr>
              <w:pStyle w:val="TableParagraph"/>
              <w:spacing w:line="225" w:lineRule="exact"/>
              <w:ind w:left="69" w:right="71"/>
              <w:rPr>
                <w:sz w:val="20"/>
              </w:rPr>
            </w:pPr>
            <w:r>
              <w:rPr>
                <w:sz w:val="20"/>
              </w:rPr>
              <w:t>FAEL</w:t>
            </w:r>
          </w:p>
        </w:tc>
        <w:tc>
          <w:tcPr>
            <w:tcW w:w="2036" w:type="dxa"/>
            <w:tcBorders>
              <w:bottom w:val="single" w:sz="4" w:space="0" w:color="000000"/>
            </w:tcBorders>
          </w:tcPr>
          <w:p>
            <w:pPr>
              <w:pStyle w:val="TableParagraph"/>
              <w:spacing w:line="225" w:lineRule="exact"/>
              <w:ind w:left="83" w:right="90"/>
              <w:rPr>
                <w:sz w:val="20"/>
              </w:rPr>
            </w:pPr>
            <w:r>
              <w:rPr>
                <w:sz w:val="20"/>
              </w:rPr>
              <w:t>Distância</w:t>
            </w:r>
          </w:p>
        </w:tc>
      </w:tr>
      <w:tr>
        <w:trPr>
          <w:trHeight w:val="240" w:hRule="exact"/>
        </w:trPr>
        <w:tc>
          <w:tcPr>
            <w:tcW w:w="451" w:type="dxa"/>
            <w:tcBorders>
              <w:top w:val="single" w:sz="4" w:space="0" w:color="000000"/>
            </w:tcBorders>
          </w:tcPr>
          <w:p>
            <w:pPr>
              <w:pStyle w:val="TableParagraph"/>
              <w:spacing w:line="225" w:lineRule="exact"/>
              <w:ind w:right="175"/>
              <w:jc w:val="right"/>
              <w:rPr>
                <w:sz w:val="20"/>
              </w:rPr>
            </w:pPr>
            <w:r>
              <w:rPr>
                <w:sz w:val="20"/>
              </w:rPr>
              <w:t>05</w:t>
            </w:r>
          </w:p>
        </w:tc>
        <w:tc>
          <w:tcPr>
            <w:tcW w:w="4826" w:type="dxa"/>
            <w:tcBorders>
              <w:top w:val="single" w:sz="4" w:space="0" w:color="000000"/>
            </w:tcBorders>
          </w:tcPr>
          <w:p>
            <w:pPr>
              <w:pStyle w:val="TableParagraph"/>
              <w:spacing w:line="225" w:lineRule="exact"/>
              <w:ind w:left="43"/>
              <w:jc w:val="left"/>
              <w:rPr>
                <w:sz w:val="20"/>
              </w:rPr>
            </w:pPr>
            <w:r>
              <w:rPr>
                <w:sz w:val="20"/>
              </w:rPr>
              <w:t>Faculdade Internacional de Curitiba</w:t>
            </w:r>
          </w:p>
        </w:tc>
        <w:tc>
          <w:tcPr>
            <w:tcW w:w="1191" w:type="dxa"/>
            <w:tcBorders>
              <w:top w:val="single" w:sz="4" w:space="0" w:color="000000"/>
            </w:tcBorders>
          </w:tcPr>
          <w:p>
            <w:pPr>
              <w:pStyle w:val="TableParagraph"/>
              <w:spacing w:line="225" w:lineRule="exact"/>
              <w:ind w:left="70" w:right="71"/>
              <w:rPr>
                <w:sz w:val="20"/>
              </w:rPr>
            </w:pPr>
            <w:r>
              <w:rPr>
                <w:sz w:val="20"/>
              </w:rPr>
              <w:t>FACINTER</w:t>
            </w:r>
          </w:p>
        </w:tc>
        <w:tc>
          <w:tcPr>
            <w:tcW w:w="2036" w:type="dxa"/>
            <w:tcBorders>
              <w:top w:val="single" w:sz="4" w:space="0" w:color="000000"/>
            </w:tcBorders>
          </w:tcPr>
          <w:p>
            <w:pPr>
              <w:pStyle w:val="TableParagraph"/>
              <w:spacing w:line="225" w:lineRule="exact"/>
              <w:ind w:left="83" w:right="90"/>
              <w:rPr>
                <w:sz w:val="20"/>
              </w:rPr>
            </w:pPr>
            <w:r>
              <w:rPr>
                <w:sz w:val="20"/>
              </w:rPr>
              <w:t>Distância</w:t>
            </w:r>
          </w:p>
        </w:tc>
      </w:tr>
      <w:tr>
        <w:trPr>
          <w:trHeight w:val="240" w:hRule="exact"/>
        </w:trPr>
        <w:tc>
          <w:tcPr>
            <w:tcW w:w="451" w:type="dxa"/>
          </w:tcPr>
          <w:p>
            <w:pPr>
              <w:pStyle w:val="TableParagraph"/>
              <w:spacing w:line="225" w:lineRule="exact"/>
              <w:ind w:right="175"/>
              <w:jc w:val="right"/>
              <w:rPr>
                <w:sz w:val="20"/>
              </w:rPr>
            </w:pPr>
            <w:r>
              <w:rPr>
                <w:sz w:val="20"/>
              </w:rPr>
              <w:t>06</w:t>
            </w:r>
          </w:p>
        </w:tc>
        <w:tc>
          <w:tcPr>
            <w:tcW w:w="4826" w:type="dxa"/>
          </w:tcPr>
          <w:p>
            <w:pPr>
              <w:pStyle w:val="TableParagraph"/>
              <w:spacing w:line="225" w:lineRule="exact"/>
              <w:ind w:left="43"/>
              <w:jc w:val="left"/>
              <w:rPr>
                <w:sz w:val="20"/>
              </w:rPr>
            </w:pPr>
            <w:r>
              <w:rPr>
                <w:sz w:val="20"/>
              </w:rPr>
              <w:t>Fundação Universidade Federal do Tocantins</w:t>
            </w:r>
          </w:p>
        </w:tc>
        <w:tc>
          <w:tcPr>
            <w:tcW w:w="1191" w:type="dxa"/>
          </w:tcPr>
          <w:p>
            <w:pPr>
              <w:pStyle w:val="TableParagraph"/>
              <w:spacing w:line="225" w:lineRule="exact"/>
              <w:ind w:left="70" w:right="71"/>
              <w:rPr>
                <w:sz w:val="20"/>
              </w:rPr>
            </w:pPr>
            <w:r>
              <w:rPr>
                <w:sz w:val="20"/>
              </w:rPr>
              <w:t>UFT</w:t>
            </w:r>
          </w:p>
        </w:tc>
        <w:tc>
          <w:tcPr>
            <w:tcW w:w="2036" w:type="dxa"/>
          </w:tcPr>
          <w:p>
            <w:pPr>
              <w:pStyle w:val="TableParagraph"/>
              <w:spacing w:line="225" w:lineRule="exact"/>
              <w:ind w:left="83" w:right="90"/>
              <w:rPr>
                <w:sz w:val="20"/>
              </w:rPr>
            </w:pPr>
            <w:r>
              <w:rPr>
                <w:sz w:val="20"/>
              </w:rPr>
              <w:t>Presencial/Distância</w:t>
            </w:r>
          </w:p>
        </w:tc>
      </w:tr>
      <w:tr>
        <w:trPr>
          <w:trHeight w:val="240" w:hRule="exact"/>
        </w:trPr>
        <w:tc>
          <w:tcPr>
            <w:tcW w:w="451" w:type="dxa"/>
          </w:tcPr>
          <w:p>
            <w:pPr>
              <w:pStyle w:val="TableParagraph"/>
              <w:spacing w:line="225" w:lineRule="exact"/>
              <w:ind w:right="175"/>
              <w:jc w:val="right"/>
              <w:rPr>
                <w:sz w:val="20"/>
              </w:rPr>
            </w:pPr>
            <w:r>
              <w:rPr>
                <w:sz w:val="20"/>
              </w:rPr>
              <w:t>07</w:t>
            </w:r>
          </w:p>
        </w:tc>
        <w:tc>
          <w:tcPr>
            <w:tcW w:w="4826" w:type="dxa"/>
          </w:tcPr>
          <w:p>
            <w:pPr>
              <w:pStyle w:val="TableParagraph"/>
              <w:spacing w:line="225" w:lineRule="exact"/>
              <w:ind w:left="43"/>
              <w:jc w:val="left"/>
              <w:rPr>
                <w:sz w:val="20"/>
              </w:rPr>
            </w:pPr>
            <w:r>
              <w:rPr>
                <w:sz w:val="20"/>
              </w:rPr>
              <w:t>Universidade Anhanguera</w:t>
            </w:r>
          </w:p>
        </w:tc>
        <w:tc>
          <w:tcPr>
            <w:tcW w:w="1191" w:type="dxa"/>
          </w:tcPr>
          <w:p>
            <w:pPr>
              <w:pStyle w:val="TableParagraph"/>
              <w:spacing w:line="225" w:lineRule="exact"/>
              <w:ind w:left="70" w:right="70"/>
              <w:rPr>
                <w:sz w:val="20"/>
              </w:rPr>
            </w:pPr>
            <w:r>
              <w:rPr>
                <w:sz w:val="20"/>
              </w:rPr>
              <w:t>UNIDERP</w:t>
            </w:r>
          </w:p>
        </w:tc>
        <w:tc>
          <w:tcPr>
            <w:tcW w:w="2036" w:type="dxa"/>
          </w:tcPr>
          <w:p>
            <w:pPr>
              <w:pStyle w:val="TableParagraph"/>
              <w:spacing w:line="225" w:lineRule="exact"/>
              <w:ind w:left="83" w:right="90"/>
              <w:rPr>
                <w:sz w:val="20"/>
              </w:rPr>
            </w:pPr>
            <w:r>
              <w:rPr>
                <w:sz w:val="20"/>
              </w:rPr>
              <w:t>Distância</w:t>
            </w:r>
          </w:p>
        </w:tc>
      </w:tr>
      <w:tr>
        <w:trPr>
          <w:trHeight w:val="240" w:hRule="exact"/>
        </w:trPr>
        <w:tc>
          <w:tcPr>
            <w:tcW w:w="451" w:type="dxa"/>
          </w:tcPr>
          <w:p>
            <w:pPr>
              <w:pStyle w:val="TableParagraph"/>
              <w:spacing w:line="225" w:lineRule="exact"/>
              <w:ind w:right="175"/>
              <w:jc w:val="right"/>
              <w:rPr>
                <w:sz w:val="20"/>
              </w:rPr>
            </w:pPr>
            <w:r>
              <w:rPr>
                <w:sz w:val="20"/>
              </w:rPr>
              <w:t>08</w:t>
            </w:r>
          </w:p>
        </w:tc>
        <w:tc>
          <w:tcPr>
            <w:tcW w:w="4826" w:type="dxa"/>
          </w:tcPr>
          <w:p>
            <w:pPr>
              <w:pStyle w:val="TableParagraph"/>
              <w:spacing w:line="225" w:lineRule="exact"/>
              <w:ind w:left="43"/>
              <w:jc w:val="left"/>
              <w:rPr>
                <w:sz w:val="20"/>
              </w:rPr>
            </w:pPr>
            <w:r>
              <w:rPr>
                <w:sz w:val="20"/>
              </w:rPr>
              <w:t>Universidade do Tocantins</w:t>
            </w:r>
          </w:p>
        </w:tc>
        <w:tc>
          <w:tcPr>
            <w:tcW w:w="1191" w:type="dxa"/>
          </w:tcPr>
          <w:p>
            <w:pPr>
              <w:pStyle w:val="TableParagraph"/>
              <w:spacing w:line="225" w:lineRule="exact"/>
              <w:ind w:left="70" w:right="70"/>
              <w:rPr>
                <w:sz w:val="20"/>
              </w:rPr>
            </w:pPr>
            <w:r>
              <w:rPr>
                <w:sz w:val="20"/>
              </w:rPr>
              <w:t>UNITINS</w:t>
            </w:r>
          </w:p>
        </w:tc>
        <w:tc>
          <w:tcPr>
            <w:tcW w:w="2036" w:type="dxa"/>
          </w:tcPr>
          <w:p>
            <w:pPr>
              <w:pStyle w:val="TableParagraph"/>
              <w:spacing w:line="225" w:lineRule="exact"/>
              <w:ind w:left="83" w:right="90"/>
              <w:rPr>
                <w:sz w:val="20"/>
              </w:rPr>
            </w:pPr>
            <w:r>
              <w:rPr>
                <w:sz w:val="20"/>
              </w:rPr>
              <w:t>Distância</w:t>
            </w:r>
          </w:p>
        </w:tc>
      </w:tr>
      <w:tr>
        <w:trPr>
          <w:trHeight w:val="240" w:hRule="exact"/>
        </w:trPr>
        <w:tc>
          <w:tcPr>
            <w:tcW w:w="451" w:type="dxa"/>
          </w:tcPr>
          <w:p>
            <w:pPr>
              <w:pStyle w:val="TableParagraph"/>
              <w:spacing w:line="225" w:lineRule="exact"/>
              <w:ind w:right="175"/>
              <w:jc w:val="right"/>
              <w:rPr>
                <w:sz w:val="20"/>
              </w:rPr>
            </w:pPr>
            <w:r>
              <w:rPr>
                <w:sz w:val="20"/>
              </w:rPr>
              <w:t>09</w:t>
            </w:r>
          </w:p>
        </w:tc>
        <w:tc>
          <w:tcPr>
            <w:tcW w:w="4826" w:type="dxa"/>
          </w:tcPr>
          <w:p>
            <w:pPr>
              <w:pStyle w:val="TableParagraph"/>
              <w:spacing w:line="225" w:lineRule="exact"/>
              <w:ind w:left="43"/>
              <w:jc w:val="left"/>
              <w:rPr>
                <w:sz w:val="20"/>
              </w:rPr>
            </w:pPr>
            <w:r>
              <w:rPr>
                <w:sz w:val="20"/>
              </w:rPr>
              <w:t>Universidade Norte do Paraná</w:t>
            </w:r>
          </w:p>
        </w:tc>
        <w:tc>
          <w:tcPr>
            <w:tcW w:w="1191" w:type="dxa"/>
          </w:tcPr>
          <w:p>
            <w:pPr>
              <w:pStyle w:val="TableParagraph"/>
              <w:spacing w:line="225" w:lineRule="exact"/>
              <w:ind w:left="70" w:right="71"/>
              <w:rPr>
                <w:sz w:val="20"/>
              </w:rPr>
            </w:pPr>
            <w:r>
              <w:rPr>
                <w:sz w:val="20"/>
              </w:rPr>
              <w:t>UNOPAR</w:t>
            </w:r>
          </w:p>
        </w:tc>
        <w:tc>
          <w:tcPr>
            <w:tcW w:w="2036" w:type="dxa"/>
          </w:tcPr>
          <w:p>
            <w:pPr>
              <w:pStyle w:val="TableParagraph"/>
              <w:spacing w:line="225" w:lineRule="exact"/>
              <w:ind w:left="83" w:right="90"/>
              <w:rPr>
                <w:sz w:val="20"/>
              </w:rPr>
            </w:pPr>
            <w:r>
              <w:rPr>
                <w:sz w:val="20"/>
              </w:rPr>
              <w:t>Distância</w:t>
            </w:r>
          </w:p>
        </w:tc>
      </w:tr>
      <w:tr>
        <w:trPr>
          <w:trHeight w:val="240" w:hRule="exact"/>
        </w:trPr>
        <w:tc>
          <w:tcPr>
            <w:tcW w:w="451" w:type="dxa"/>
          </w:tcPr>
          <w:p>
            <w:pPr>
              <w:pStyle w:val="TableParagraph"/>
              <w:spacing w:line="225" w:lineRule="exact"/>
              <w:ind w:right="175"/>
              <w:jc w:val="right"/>
              <w:rPr>
                <w:sz w:val="20"/>
              </w:rPr>
            </w:pPr>
            <w:r>
              <w:rPr>
                <w:sz w:val="20"/>
              </w:rPr>
              <w:t>10</w:t>
            </w:r>
          </w:p>
        </w:tc>
        <w:tc>
          <w:tcPr>
            <w:tcW w:w="4826" w:type="dxa"/>
          </w:tcPr>
          <w:p>
            <w:pPr>
              <w:pStyle w:val="TableParagraph"/>
              <w:spacing w:line="225" w:lineRule="exact"/>
              <w:ind w:left="43"/>
              <w:jc w:val="left"/>
              <w:rPr>
                <w:sz w:val="20"/>
              </w:rPr>
            </w:pPr>
            <w:r>
              <w:rPr>
                <w:sz w:val="20"/>
              </w:rPr>
              <w:t>Universidade Paulista</w:t>
            </w:r>
          </w:p>
        </w:tc>
        <w:tc>
          <w:tcPr>
            <w:tcW w:w="1191" w:type="dxa"/>
          </w:tcPr>
          <w:p>
            <w:pPr>
              <w:pStyle w:val="TableParagraph"/>
              <w:spacing w:line="225" w:lineRule="exact"/>
              <w:ind w:left="64" w:right="71"/>
              <w:rPr>
                <w:sz w:val="20"/>
              </w:rPr>
            </w:pPr>
            <w:r>
              <w:rPr>
                <w:sz w:val="20"/>
              </w:rPr>
              <w:t>UNIP</w:t>
            </w:r>
          </w:p>
        </w:tc>
        <w:tc>
          <w:tcPr>
            <w:tcW w:w="2036" w:type="dxa"/>
          </w:tcPr>
          <w:p>
            <w:pPr>
              <w:pStyle w:val="TableParagraph"/>
              <w:spacing w:line="225" w:lineRule="exact"/>
              <w:ind w:left="83" w:right="90"/>
              <w:rPr>
                <w:sz w:val="20"/>
              </w:rPr>
            </w:pPr>
            <w:r>
              <w:rPr>
                <w:sz w:val="20"/>
              </w:rPr>
              <w:t>Distância</w:t>
            </w:r>
          </w:p>
        </w:tc>
      </w:tr>
      <w:tr>
        <w:trPr>
          <w:trHeight w:val="240" w:hRule="exact"/>
        </w:trPr>
        <w:tc>
          <w:tcPr>
            <w:tcW w:w="451" w:type="dxa"/>
          </w:tcPr>
          <w:p>
            <w:pPr>
              <w:pStyle w:val="TableParagraph"/>
              <w:spacing w:line="225" w:lineRule="exact"/>
              <w:ind w:right="175"/>
              <w:jc w:val="right"/>
              <w:rPr>
                <w:sz w:val="20"/>
              </w:rPr>
            </w:pPr>
            <w:r>
              <w:rPr>
                <w:sz w:val="20"/>
              </w:rPr>
              <w:t>11</w:t>
            </w:r>
          </w:p>
        </w:tc>
        <w:tc>
          <w:tcPr>
            <w:tcW w:w="4826" w:type="dxa"/>
          </w:tcPr>
          <w:p>
            <w:pPr>
              <w:pStyle w:val="TableParagraph"/>
              <w:spacing w:line="225" w:lineRule="exact"/>
              <w:ind w:left="43"/>
              <w:jc w:val="left"/>
              <w:rPr>
                <w:sz w:val="20"/>
              </w:rPr>
            </w:pPr>
            <w:r>
              <w:rPr>
                <w:sz w:val="20"/>
              </w:rPr>
              <w:t>Instituto Federal de Educação, Ciência e Tecnologia.</w:t>
            </w:r>
          </w:p>
        </w:tc>
        <w:tc>
          <w:tcPr>
            <w:tcW w:w="1191" w:type="dxa"/>
          </w:tcPr>
          <w:p>
            <w:pPr>
              <w:pStyle w:val="TableParagraph"/>
              <w:spacing w:line="225" w:lineRule="exact"/>
              <w:ind w:left="70" w:right="71"/>
              <w:rPr>
                <w:sz w:val="20"/>
              </w:rPr>
            </w:pPr>
            <w:r>
              <w:rPr>
                <w:sz w:val="20"/>
              </w:rPr>
              <w:t>IFTO</w:t>
            </w:r>
          </w:p>
        </w:tc>
        <w:tc>
          <w:tcPr>
            <w:tcW w:w="2036" w:type="dxa"/>
          </w:tcPr>
          <w:p>
            <w:pPr>
              <w:pStyle w:val="TableParagraph"/>
              <w:spacing w:line="225" w:lineRule="exact"/>
              <w:ind w:left="74" w:right="90"/>
              <w:rPr>
                <w:sz w:val="20"/>
              </w:rPr>
            </w:pPr>
            <w:r>
              <w:rPr>
                <w:sz w:val="20"/>
              </w:rPr>
              <w:t>Presencial</w:t>
            </w:r>
          </w:p>
        </w:tc>
      </w:tr>
    </w:tbl>
    <w:p>
      <w:pPr>
        <w:spacing w:before="0"/>
        <w:ind w:left="308" w:right="0" w:firstLine="0"/>
        <w:jc w:val="left"/>
        <w:rPr>
          <w:sz w:val="20"/>
        </w:rPr>
      </w:pPr>
      <w:r>
        <w:rPr>
          <w:sz w:val="20"/>
        </w:rPr>
        <w:t>Fonte: Terra (2012).</w:t>
      </w:r>
    </w:p>
    <w:p>
      <w:pPr>
        <w:pStyle w:val="BodyText"/>
        <w:rPr>
          <w:sz w:val="22"/>
        </w:rPr>
      </w:pPr>
    </w:p>
    <w:p>
      <w:pPr>
        <w:pStyle w:val="BodyText"/>
        <w:rPr>
          <w:sz w:val="22"/>
        </w:rPr>
      </w:pPr>
    </w:p>
    <w:p>
      <w:pPr>
        <w:pStyle w:val="BodyText"/>
        <w:spacing w:before="3"/>
        <w:rPr>
          <w:sz w:val="28"/>
        </w:rPr>
      </w:pPr>
    </w:p>
    <w:p>
      <w:pPr>
        <w:pStyle w:val="BodyText"/>
        <w:spacing w:line="360" w:lineRule="auto"/>
        <w:ind w:left="308" w:right="103" w:firstLine="705"/>
        <w:jc w:val="both"/>
      </w:pPr>
      <w:r>
        <w:rPr/>
        <w:t>Dentre as instituições públicas, está o Centro Universitário UnirG, que pertence à esfera municipal e caracteriza-se como uma instituição pública de direito  público,  e  colabora  com educação  do  município ofertando 17  cursos de</w:t>
      </w:r>
    </w:p>
    <w:p>
      <w:pPr>
        <w:pStyle w:val="BodyText"/>
        <w:spacing w:before="3"/>
        <w:rPr>
          <w:sz w:val="26"/>
        </w:rPr>
      </w:pPr>
      <w:r>
        <w:rPr/>
        <w:pict>
          <v:line style="position:absolute;mso-position-horizontal-relative:page;mso-position-vertical-relative:paragraph;z-index:1312;mso-wrap-distance-left:0;mso-wrap-distance-right:0" from="99.407997pt,17.471395pt" to="243.457997pt,17.471395pt" stroked="true" strokeweight=".71997pt" strokecolor="#000000">
            <v:stroke dashstyle="solid"/>
            <w10:wrap type="topAndBottom"/>
          </v:line>
        </w:pict>
      </w:r>
    </w:p>
    <w:p>
      <w:pPr>
        <w:spacing w:before="36"/>
        <w:ind w:left="308" w:right="0" w:firstLine="0"/>
        <w:jc w:val="left"/>
        <w:rPr>
          <w:sz w:val="20"/>
        </w:rPr>
      </w:pPr>
      <w:r>
        <w:rPr>
          <w:position w:val="10"/>
          <w:sz w:val="13"/>
        </w:rPr>
        <w:t>11  </w:t>
      </w:r>
      <w:r>
        <w:rPr>
          <w:sz w:val="20"/>
        </w:rPr>
        <w:t>Fonte: IBGE – 2013.</w:t>
      </w:r>
    </w:p>
    <w:p>
      <w:pPr>
        <w:spacing w:after="0"/>
        <w:jc w:val="left"/>
        <w:rPr>
          <w:sz w:val="20"/>
        </w:rPr>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1"/>
        <w:jc w:val="both"/>
      </w:pPr>
      <w:r>
        <w:rPr/>
        <w:t>graduação nas áreas de Formação de Professores, Ciências Sociais Aplicadas, Engenharia e Saúde, e 02 cursos de pós-graduação lato sensu, 01 curso pós- graduação </w:t>
      </w:r>
      <w:r>
        <w:rPr>
          <w:i/>
        </w:rPr>
        <w:t>strictu sensu </w:t>
      </w:r>
      <w:r>
        <w:rPr/>
        <w:t>(mestrado) na área da saúde e no formato Minter. O Centro Universitário-UnirG oferta ainda projetos de extensão em espaço como clínicas escolas, ambulatório, atendimento pedagógico a pessoas  com dificuldades de aprendizagem, escritório modelo de direito, de contabilidade, casa de cultura, e atividades de vida saudável.</w:t>
      </w:r>
    </w:p>
    <w:p>
      <w:pPr>
        <w:pStyle w:val="BodyText"/>
        <w:spacing w:line="360" w:lineRule="auto" w:before="2"/>
        <w:ind w:left="308" w:right="103" w:firstLine="705"/>
        <w:jc w:val="both"/>
      </w:pPr>
      <w:r>
        <w:rPr/>
        <w:t>No ensino profissionalizante, a cidade conta com unidades SESC/SENAC, SESI/SENAI, SENAR, e SEBRAE, além do Instituto Federal de Educação, Ciência e Tecnologia – IFTO que oferece o ensino médio Integrado e três cursos técnicos profissionalizantes nas áreas de: construção civil, agronegócio e artes.</w:t>
      </w:r>
    </w:p>
    <w:p>
      <w:pPr>
        <w:pStyle w:val="BodyText"/>
        <w:spacing w:line="360" w:lineRule="auto" w:before="2"/>
        <w:ind w:left="308" w:right="108" w:firstLine="705"/>
        <w:jc w:val="both"/>
      </w:pPr>
      <w:r>
        <w:rPr/>
        <w:t>A Educação Básica no município é assistida por unidades escolares da rede particular e pública. A rede particular oferta ensino da Educação Infantil ao Ensino Médio nas 03 maiores escolas, e educação infantil e anos iniciais em escolas menores. A rede pública estadual oferta o Ensino Médio em 04 Centros de</w:t>
      </w:r>
      <w:r>
        <w:rPr>
          <w:spacing w:val="52"/>
        </w:rPr>
        <w:t> </w:t>
      </w:r>
      <w:r>
        <w:rPr/>
        <w:t>Ensino</w:t>
      </w:r>
      <w:r>
        <w:rPr>
          <w:spacing w:val="52"/>
        </w:rPr>
        <w:t> </w:t>
      </w:r>
      <w:r>
        <w:rPr/>
        <w:t>Médio,</w:t>
      </w:r>
      <w:r>
        <w:rPr>
          <w:spacing w:val="51"/>
        </w:rPr>
        <w:t> </w:t>
      </w:r>
      <w:r>
        <w:rPr/>
        <w:t>e</w:t>
      </w:r>
      <w:r>
        <w:rPr>
          <w:spacing w:val="52"/>
        </w:rPr>
        <w:t> </w:t>
      </w:r>
      <w:r>
        <w:rPr/>
        <w:t>o</w:t>
      </w:r>
      <w:r>
        <w:rPr>
          <w:spacing w:val="57"/>
        </w:rPr>
        <w:t> </w:t>
      </w:r>
      <w:r>
        <w:rPr/>
        <w:t>Ensino</w:t>
      </w:r>
      <w:r>
        <w:rPr>
          <w:spacing w:val="47"/>
        </w:rPr>
        <w:t> </w:t>
      </w:r>
      <w:r>
        <w:rPr/>
        <w:t>Fundamental</w:t>
      </w:r>
      <w:r>
        <w:rPr>
          <w:spacing w:val="50"/>
        </w:rPr>
        <w:t> </w:t>
      </w:r>
      <w:r>
        <w:rPr>
          <w:spacing w:val="2"/>
        </w:rPr>
        <w:t>em</w:t>
      </w:r>
      <w:r>
        <w:rPr>
          <w:spacing w:val="43"/>
        </w:rPr>
        <w:t> </w:t>
      </w:r>
      <w:r>
        <w:rPr/>
        <w:t>10</w:t>
      </w:r>
      <w:r>
        <w:rPr>
          <w:spacing w:val="52"/>
        </w:rPr>
        <w:t> </w:t>
      </w:r>
      <w:r>
        <w:rPr/>
        <w:t>escolas,</w:t>
      </w:r>
      <w:r>
        <w:rPr>
          <w:spacing w:val="51"/>
        </w:rPr>
        <w:t> </w:t>
      </w:r>
      <w:r>
        <w:rPr/>
        <w:t>das</w:t>
      </w:r>
      <w:r>
        <w:rPr>
          <w:spacing w:val="51"/>
        </w:rPr>
        <w:t> </w:t>
      </w:r>
      <w:r>
        <w:rPr/>
        <w:t>quais</w:t>
      </w:r>
      <w:r>
        <w:rPr>
          <w:spacing w:val="51"/>
        </w:rPr>
        <w:t> </w:t>
      </w:r>
      <w:r>
        <w:rPr/>
        <w:t>05</w:t>
      </w:r>
      <w:r>
        <w:rPr>
          <w:spacing w:val="52"/>
        </w:rPr>
        <w:t> </w:t>
      </w:r>
      <w:r>
        <w:rPr/>
        <w:t>são</w:t>
      </w:r>
    </w:p>
    <w:p>
      <w:pPr>
        <w:pStyle w:val="BodyText"/>
        <w:spacing w:line="279" w:lineRule="exact"/>
        <w:ind w:left="308"/>
        <w:jc w:val="both"/>
      </w:pPr>
      <w:r>
        <w:rPr/>
        <w:t>conveniadas</w:t>
      </w:r>
      <w:r>
        <w:rPr>
          <w:position w:val="11"/>
          <w:sz w:val="16"/>
        </w:rPr>
        <w:t>12</w:t>
      </w:r>
      <w:r>
        <w:rPr/>
        <w:t>.</w:t>
      </w:r>
    </w:p>
    <w:p>
      <w:pPr>
        <w:pStyle w:val="BodyText"/>
        <w:spacing w:before="142"/>
        <w:ind w:left="1013"/>
      </w:pPr>
      <w:r>
        <w:rPr/>
        <w:t>O Sistema Municipal de Ensino foi instituído em 2003, pela Lei Municipal n°</w:t>
      </w:r>
    </w:p>
    <w:p>
      <w:pPr>
        <w:pStyle w:val="BodyText"/>
        <w:spacing w:line="360" w:lineRule="auto" w:before="137"/>
        <w:ind w:left="308" w:right="106"/>
        <w:jc w:val="both"/>
      </w:pPr>
      <w:r>
        <w:rPr/>
        <w:t>1.565 de 18 de dezembro de 2003, a qual estabelece como responsabilidade do município entre outras, promover a viabilização da execução da política de educação para crianças, adolescentes, jovens e adultos; garantir a prestação de serviços municipais de educação, na forma da Lei; oferecer o ensino fundamental e a educação infantil zelando pela universalização do atendimento. O Conselho Municipal de Educação - CME foi criado pela Lei 1.516 de 05 de dezembro de 2002.</w:t>
      </w:r>
    </w:p>
    <w:p>
      <w:pPr>
        <w:pStyle w:val="BodyText"/>
        <w:spacing w:line="360" w:lineRule="auto" w:before="2"/>
        <w:ind w:left="308" w:right="108" w:firstLine="705"/>
        <w:jc w:val="both"/>
      </w:pPr>
      <w:r>
        <w:rPr/>
        <w:t>O município estabeleceu no Plano Municipal de Educação – PME, objetivos e prioridades para o período de 2005 a 2014: garantia do ensino fundamental obrigatório; garantia do ensino fundamental a todos que necessitarem; ampliação do atendimento da educação infantil; valorização dos profissionais da educação; desenvolvimento do sistema de informação e avaliação da educação municipal. Foram estabelecidas ainda as seguintes diretrizes (PME, 2003, p. 07):</w:t>
      </w:r>
    </w:p>
    <w:p>
      <w:pPr>
        <w:pStyle w:val="BodyText"/>
        <w:rPr>
          <w:sz w:val="20"/>
        </w:rPr>
      </w:pPr>
    </w:p>
    <w:p>
      <w:pPr>
        <w:pStyle w:val="BodyText"/>
        <w:spacing w:before="6"/>
        <w:rPr>
          <w:sz w:val="28"/>
        </w:rPr>
      </w:pPr>
      <w:r>
        <w:rPr/>
        <w:pict>
          <v:line style="position:absolute;mso-position-horizontal-relative:page;mso-position-vertical-relative:paragraph;z-index:1336;mso-wrap-distance-left:0;mso-wrap-distance-right:0" from="99.407997pt,18.728773pt" to="243.457997pt,18.728773pt" stroked="true" strokeweight=".72003pt" strokecolor="#000000">
            <v:stroke dashstyle="solid"/>
            <w10:wrap type="topAndBottom"/>
          </v:line>
        </w:pict>
      </w:r>
    </w:p>
    <w:p>
      <w:pPr>
        <w:spacing w:before="36"/>
        <w:ind w:left="476" w:right="0" w:hanging="169"/>
        <w:jc w:val="left"/>
        <w:rPr>
          <w:sz w:val="20"/>
        </w:rPr>
      </w:pPr>
      <w:r>
        <w:rPr>
          <w:position w:val="10"/>
          <w:sz w:val="13"/>
        </w:rPr>
        <w:t>12 </w:t>
      </w:r>
      <w:r>
        <w:rPr>
          <w:sz w:val="20"/>
        </w:rPr>
        <w:t>Escolas Filantrópicas ou particulares que possuem convênio com a rede estadual que mantêm o quadro de professores, merenda e despesas com a manutenção da escola.</w:t>
      </w:r>
    </w:p>
    <w:p>
      <w:pPr>
        <w:spacing w:after="0"/>
        <w:jc w:val="left"/>
        <w:rPr>
          <w:sz w:val="20"/>
        </w:rPr>
        <w:sectPr>
          <w:pgSz w:w="11910" w:h="16840"/>
          <w:pgMar w:header="1133" w:footer="0" w:top="1340" w:bottom="280" w:left="1680" w:right="1020"/>
        </w:sectPr>
      </w:pPr>
    </w:p>
    <w:p>
      <w:pPr>
        <w:pStyle w:val="BodyText"/>
        <w:spacing w:before="11"/>
        <w:rPr>
          <w:sz w:val="20"/>
        </w:rPr>
      </w:pPr>
    </w:p>
    <w:p>
      <w:pPr>
        <w:pStyle w:val="ListParagraph"/>
        <w:numPr>
          <w:ilvl w:val="0"/>
          <w:numId w:val="10"/>
        </w:numPr>
        <w:tabs>
          <w:tab w:pos="2969" w:val="left" w:leader="none"/>
        </w:tabs>
        <w:spacing w:line="240" w:lineRule="auto" w:before="95" w:after="0"/>
        <w:ind w:left="2574" w:right="104" w:firstLine="0"/>
        <w:jc w:val="both"/>
        <w:rPr>
          <w:sz w:val="20"/>
        </w:rPr>
      </w:pPr>
      <w:r>
        <w:rPr>
          <w:sz w:val="20"/>
        </w:rPr>
        <w:t>Qualidade: implantação de padrões mínimos de qualidade educacional; </w:t>
      </w:r>
      <w:r>
        <w:rPr>
          <w:spacing w:val="-3"/>
          <w:sz w:val="20"/>
        </w:rPr>
        <w:t>acesso </w:t>
      </w:r>
      <w:r>
        <w:rPr>
          <w:sz w:val="20"/>
        </w:rPr>
        <w:t>e permanência </w:t>
      </w:r>
      <w:r>
        <w:rPr>
          <w:spacing w:val="-3"/>
          <w:sz w:val="20"/>
        </w:rPr>
        <w:t>com </w:t>
      </w:r>
      <w:r>
        <w:rPr>
          <w:sz w:val="20"/>
        </w:rPr>
        <w:t>sucesso e avaliação do  sistema; b) Equidade: atendimento a todos e aos mais carentes e universalização da qualidade; c) Escola-comunidade: inserção da comunidade no processo educativo e a ênfase no voluntariado; d) Autonomia: Implantação da gestão democrática e luta pela autonomia financeira, administrativa, didática e pedagógica; e) Currículo: A construção da cidadania em torno de valores através de experiências curriculares significativas; </w:t>
      </w:r>
      <w:r>
        <w:rPr>
          <w:spacing w:val="3"/>
          <w:sz w:val="20"/>
        </w:rPr>
        <w:t>f) </w:t>
      </w:r>
      <w:r>
        <w:rPr>
          <w:sz w:val="20"/>
        </w:rPr>
        <w:t>Expansão do atendimento: na educação infantil, universalização do ensino fundamental e </w:t>
      </w:r>
      <w:r>
        <w:rPr>
          <w:spacing w:val="-3"/>
          <w:sz w:val="20"/>
        </w:rPr>
        <w:t>ensino </w:t>
      </w:r>
      <w:r>
        <w:rPr>
          <w:sz w:val="20"/>
        </w:rPr>
        <w:t>tecnológico e profissionalizante; g) Regime de colaboração: articulação entre os demais entes federados; h) Proteção à criança e ao adolescente: prevenção e diminuição da violência escolar e da violência doméstica. i) Valorização dos profissionais da educação: profissionalização, melhoria salarial, das condições de trabalho e de formação. (PME, 2003,</w:t>
      </w:r>
      <w:r>
        <w:rPr>
          <w:spacing w:val="-14"/>
          <w:sz w:val="20"/>
        </w:rPr>
        <w:t> </w:t>
      </w:r>
      <w:r>
        <w:rPr>
          <w:sz w:val="20"/>
        </w:rPr>
        <w:t>p.07).</w:t>
      </w:r>
    </w:p>
    <w:p>
      <w:pPr>
        <w:pStyle w:val="BodyText"/>
        <w:rPr>
          <w:sz w:val="22"/>
        </w:rPr>
      </w:pPr>
    </w:p>
    <w:p>
      <w:pPr>
        <w:pStyle w:val="BodyText"/>
        <w:rPr>
          <w:sz w:val="22"/>
        </w:rPr>
      </w:pPr>
    </w:p>
    <w:p>
      <w:pPr>
        <w:pStyle w:val="BodyText"/>
        <w:spacing w:before="4"/>
        <w:rPr>
          <w:sz w:val="28"/>
        </w:rPr>
      </w:pPr>
    </w:p>
    <w:p>
      <w:pPr>
        <w:pStyle w:val="BodyText"/>
        <w:spacing w:line="360" w:lineRule="auto"/>
        <w:ind w:left="308" w:right="115" w:firstLine="705"/>
        <w:jc w:val="both"/>
      </w:pPr>
      <w:r>
        <w:rPr/>
        <w:t>As metas para o ensino fundamental, segunda etapa da Educação Básica, foram elaboradas considerando o diagnóstico realizado pela secretaria municipal de educação que considerou que</w:t>
      </w:r>
    </w:p>
    <w:p>
      <w:pPr>
        <w:pStyle w:val="BodyText"/>
        <w:rPr>
          <w:sz w:val="26"/>
        </w:rPr>
      </w:pPr>
    </w:p>
    <w:p>
      <w:pPr>
        <w:pStyle w:val="BodyText"/>
        <w:rPr>
          <w:sz w:val="26"/>
        </w:rPr>
      </w:pPr>
    </w:p>
    <w:p>
      <w:pPr>
        <w:pStyle w:val="BodyText"/>
        <w:spacing w:before="4"/>
        <w:rPr>
          <w:sz w:val="20"/>
        </w:rPr>
      </w:pPr>
    </w:p>
    <w:p>
      <w:pPr>
        <w:spacing w:line="240" w:lineRule="auto" w:before="0"/>
        <w:ind w:left="2574" w:right="103" w:firstLine="0"/>
        <w:jc w:val="both"/>
        <w:rPr>
          <w:sz w:val="20"/>
        </w:rPr>
      </w:pPr>
      <w:r>
        <w:rPr>
          <w:sz w:val="20"/>
        </w:rPr>
        <w:t>apesar do avanço na oferta de matrículas no ensino fundamental, o município não tem avançado </w:t>
      </w:r>
      <w:r>
        <w:rPr>
          <w:spacing w:val="-4"/>
          <w:sz w:val="20"/>
        </w:rPr>
        <w:t>em </w:t>
      </w:r>
      <w:r>
        <w:rPr>
          <w:sz w:val="20"/>
        </w:rPr>
        <w:t>relação aos indicadores de  desempenho escolar. As taxas de reprovação </w:t>
      </w:r>
      <w:r>
        <w:rPr>
          <w:spacing w:val="-3"/>
          <w:sz w:val="20"/>
        </w:rPr>
        <w:t>se </w:t>
      </w:r>
      <w:r>
        <w:rPr>
          <w:sz w:val="20"/>
        </w:rPr>
        <w:t>concentram </w:t>
      </w:r>
      <w:r>
        <w:rPr>
          <w:spacing w:val="-4"/>
          <w:sz w:val="20"/>
        </w:rPr>
        <w:t>em </w:t>
      </w:r>
      <w:r>
        <w:rPr>
          <w:sz w:val="20"/>
        </w:rPr>
        <w:t>20% o que compromete o esforço público </w:t>
      </w:r>
      <w:r>
        <w:rPr>
          <w:spacing w:val="-4"/>
          <w:sz w:val="20"/>
        </w:rPr>
        <w:t>em </w:t>
      </w:r>
      <w:r>
        <w:rPr>
          <w:sz w:val="20"/>
        </w:rPr>
        <w:t>torno da erradicação do analfabetismo. (PME, 2003, </w:t>
      </w:r>
      <w:r>
        <w:rPr>
          <w:spacing w:val="-4"/>
          <w:sz w:val="20"/>
        </w:rPr>
        <w:t>p.</w:t>
      </w:r>
      <w:r>
        <w:rPr>
          <w:spacing w:val="1"/>
          <w:sz w:val="20"/>
        </w:rPr>
        <w:t> </w:t>
      </w:r>
      <w:r>
        <w:rPr>
          <w:sz w:val="20"/>
        </w:rPr>
        <w:t>11).</w:t>
      </w:r>
    </w:p>
    <w:p>
      <w:pPr>
        <w:pStyle w:val="BodyText"/>
        <w:rPr>
          <w:sz w:val="22"/>
        </w:rPr>
      </w:pPr>
    </w:p>
    <w:p>
      <w:pPr>
        <w:pStyle w:val="BodyText"/>
        <w:rPr>
          <w:sz w:val="22"/>
        </w:rPr>
      </w:pPr>
    </w:p>
    <w:p>
      <w:pPr>
        <w:pStyle w:val="BodyText"/>
        <w:spacing w:before="3"/>
        <w:rPr>
          <w:sz w:val="28"/>
        </w:rPr>
      </w:pPr>
    </w:p>
    <w:p>
      <w:pPr>
        <w:pStyle w:val="BodyText"/>
        <w:ind w:left="1018"/>
      </w:pPr>
      <w:r>
        <w:rPr/>
        <w:t>Assim foram estabelecidas metas para curto prazo, com a função de</w:t>
      </w:r>
    </w:p>
    <w:p>
      <w:pPr>
        <w:pStyle w:val="BodyText"/>
        <w:rPr>
          <w:sz w:val="26"/>
        </w:rPr>
      </w:pPr>
    </w:p>
    <w:p>
      <w:pPr>
        <w:pStyle w:val="BodyText"/>
        <w:rPr>
          <w:sz w:val="26"/>
        </w:rPr>
      </w:pPr>
    </w:p>
    <w:p>
      <w:pPr>
        <w:pStyle w:val="BodyText"/>
        <w:rPr>
          <w:sz w:val="32"/>
        </w:rPr>
      </w:pPr>
    </w:p>
    <w:p>
      <w:pPr>
        <w:spacing w:line="240" w:lineRule="auto" w:before="0"/>
        <w:ind w:left="2574" w:right="101" w:firstLine="0"/>
        <w:jc w:val="both"/>
        <w:rPr>
          <w:sz w:val="20"/>
        </w:rPr>
      </w:pPr>
      <w:r>
        <w:rPr>
          <w:sz w:val="20"/>
        </w:rPr>
        <w:t>Elaborar, no prazo de seis meses: padrão mínimo de infraestrutura para o ensino fundamental compatível </w:t>
      </w:r>
      <w:r>
        <w:rPr>
          <w:spacing w:val="-3"/>
          <w:sz w:val="20"/>
        </w:rPr>
        <w:t>com </w:t>
      </w:r>
      <w:r>
        <w:rPr>
          <w:sz w:val="20"/>
        </w:rPr>
        <w:t>o tamanho dos estabelecimentos  e com a realidade local, incluindo: a) espaço, iluminação, insolação, ventilação, água potável, rede elétrica, segurança e temperatura ambiente, acústica e arborização; b) instalações sanitárias e </w:t>
      </w:r>
      <w:r>
        <w:rPr>
          <w:spacing w:val="-3"/>
          <w:sz w:val="20"/>
        </w:rPr>
        <w:t>com </w:t>
      </w:r>
      <w:r>
        <w:rPr>
          <w:sz w:val="20"/>
        </w:rPr>
        <w:t>infra- estrutura para atender às necessidades de higiene básica, </w:t>
      </w:r>
      <w:r>
        <w:rPr>
          <w:spacing w:val="-3"/>
          <w:sz w:val="20"/>
        </w:rPr>
        <w:t>com </w:t>
      </w:r>
      <w:r>
        <w:rPr>
          <w:sz w:val="20"/>
        </w:rPr>
        <w:t>adaptações para o atendimento aos portadores de necessidades especiais; c) espaço para esporte, recreação, biblioteca e serviço de merenda escolar; d) adaptação dos edifícios escolares para a capacitação do corpo docente e aquisição de material psicopedagógico para o atendimento dos alunos portadores de necessidades especiais; e) atualização e ampliação do acervo das bibliotecas; </w:t>
      </w:r>
      <w:r>
        <w:rPr>
          <w:spacing w:val="3"/>
          <w:sz w:val="20"/>
        </w:rPr>
        <w:t>f) </w:t>
      </w:r>
      <w:r>
        <w:rPr>
          <w:sz w:val="20"/>
        </w:rPr>
        <w:t>mobiliários: equipamentos e materiais pedagógicos; g) telefone e serviço de reprodução de textos; h) informática e equipamento multimídia para o ensino. (PME, 2003, p.</w:t>
      </w:r>
      <w:r>
        <w:rPr>
          <w:spacing w:val="-5"/>
          <w:sz w:val="20"/>
        </w:rPr>
        <w:t> </w:t>
      </w:r>
      <w:r>
        <w:rPr>
          <w:sz w:val="20"/>
        </w:rPr>
        <w:t>11).</w:t>
      </w:r>
    </w:p>
    <w:p>
      <w:pPr>
        <w:spacing w:after="0" w:line="240" w:lineRule="auto"/>
        <w:jc w:val="both"/>
        <w:rPr>
          <w:sz w:val="20"/>
        </w:rPr>
        <w:sectPr>
          <w:pgSz w:w="11910" w:h="16840"/>
          <w:pgMar w:header="1133" w:footer="0" w:top="1340" w:bottom="280" w:left="1680" w:right="1020"/>
        </w:sectPr>
      </w:pPr>
    </w:p>
    <w:p>
      <w:pPr>
        <w:pStyle w:val="BodyText"/>
        <w:spacing w:before="3"/>
        <w:rPr>
          <w:sz w:val="21"/>
        </w:rPr>
      </w:pPr>
    </w:p>
    <w:p>
      <w:pPr>
        <w:pStyle w:val="BodyText"/>
        <w:spacing w:before="92"/>
        <w:ind w:left="1013"/>
      </w:pPr>
      <w:r>
        <w:rPr/>
        <w:t>De forma semelhante foram estabelecidas metas em médio prazo como</w:t>
      </w:r>
    </w:p>
    <w:p>
      <w:pPr>
        <w:pStyle w:val="BodyText"/>
        <w:rPr>
          <w:sz w:val="26"/>
        </w:rPr>
      </w:pPr>
    </w:p>
    <w:p>
      <w:pPr>
        <w:pStyle w:val="BodyText"/>
        <w:rPr>
          <w:sz w:val="26"/>
        </w:rPr>
      </w:pPr>
    </w:p>
    <w:p>
      <w:pPr>
        <w:pStyle w:val="BodyText"/>
        <w:rPr>
          <w:sz w:val="32"/>
        </w:rPr>
      </w:pPr>
    </w:p>
    <w:p>
      <w:pPr>
        <w:spacing w:before="0"/>
        <w:ind w:left="2574" w:right="105" w:firstLine="0"/>
        <w:jc w:val="both"/>
        <w:rPr>
          <w:sz w:val="20"/>
        </w:rPr>
      </w:pPr>
      <w:r>
        <w:rPr>
          <w:sz w:val="20"/>
        </w:rPr>
        <w:t>assegurar que, em 1 ano e meio, todas as escolas atendam os itens de "a" a "d" e, em quatro anos, a totalidade dos itens e Assegurar a partir da vigência deste plano que todas as escolas façam anualmente a reformulação dos seus projetos pedagógicos, com observância das Diretrizes Curriculares para o ensino fundamental e dos Parâmetros Curriculares Nacionais como autonomia administrativa, financeira e pedagógica para executá-las. (PME, 2003, p. 12).</w:t>
      </w:r>
    </w:p>
    <w:p>
      <w:pPr>
        <w:pStyle w:val="BodyText"/>
        <w:rPr>
          <w:sz w:val="22"/>
        </w:rPr>
      </w:pPr>
    </w:p>
    <w:p>
      <w:pPr>
        <w:pStyle w:val="BodyText"/>
        <w:rPr>
          <w:sz w:val="22"/>
        </w:rPr>
      </w:pPr>
    </w:p>
    <w:p>
      <w:pPr>
        <w:pStyle w:val="BodyText"/>
        <w:spacing w:before="9"/>
        <w:rPr>
          <w:sz w:val="27"/>
        </w:rPr>
      </w:pPr>
    </w:p>
    <w:p>
      <w:pPr>
        <w:pStyle w:val="BodyText"/>
        <w:spacing w:line="360" w:lineRule="auto" w:before="1"/>
        <w:ind w:left="308" w:right="99" w:firstLine="705"/>
        <w:jc w:val="both"/>
      </w:pPr>
      <w:r>
        <w:rPr/>
        <w:t>E metas em longo prazo como Universalizar o atendimento de toda a clientela do ensino fundamental, garantindo o acesso e permanência de forma progressiva até atingir 100% das matrículas em 5 anos; Ampliar para nove anos a duração do ensino fundamental obrigatório com início aos seis anos de idade, à medida que for sendo universalizado o atendimento na faixa de 7 a 14 anos; e assegurar a elevação progressiva do nível de desempenho dos alunos mediante a implantação,  de  um programa  de  monitoramento  que  utilize  os indicadores do</w:t>
      </w:r>
    </w:p>
    <w:p>
      <w:pPr>
        <w:pStyle w:val="BodyText"/>
        <w:spacing w:line="343" w:lineRule="auto" w:before="7"/>
        <w:ind w:left="308" w:right="101"/>
        <w:jc w:val="both"/>
      </w:pPr>
      <w:r>
        <w:rPr/>
        <w:t>Sistema Nacional de Avaliação da Educação Básica e dos sistemas de avaliação que venham a ser desenvolvidos, como forma de melhoria do IDEB</w:t>
      </w:r>
      <w:r>
        <w:rPr>
          <w:position w:val="11"/>
          <w:sz w:val="16"/>
        </w:rPr>
        <w:t>13  </w:t>
      </w:r>
      <w:r>
        <w:rPr>
          <w:spacing w:val="5"/>
        </w:rPr>
        <w:t>do  </w:t>
      </w:r>
      <w:r>
        <w:rPr/>
        <w:t>município  conforme tabelas</w:t>
      </w:r>
      <w:r>
        <w:rPr>
          <w:spacing w:val="-9"/>
        </w:rPr>
        <w:t> </w:t>
      </w:r>
      <w:r>
        <w:rPr/>
        <w:t>abaixo:</w:t>
      </w:r>
    </w:p>
    <w:p>
      <w:pPr>
        <w:pStyle w:val="BodyText"/>
        <w:spacing w:before="1"/>
        <w:rPr>
          <w:sz w:val="38"/>
        </w:rPr>
      </w:pPr>
    </w:p>
    <w:p>
      <w:pPr>
        <w:spacing w:before="0"/>
        <w:ind w:left="1061" w:right="0" w:firstLine="0"/>
        <w:jc w:val="left"/>
        <w:rPr>
          <w:b/>
          <w:sz w:val="20"/>
        </w:rPr>
      </w:pPr>
      <w:r>
        <w:rPr/>
        <w:drawing>
          <wp:anchor distT="0" distB="0" distL="0" distR="0" allowOverlap="1" layoutInCell="1" locked="0" behindDoc="0" simplePos="0" relativeHeight="1360">
            <wp:simplePos x="0" y="0"/>
            <wp:positionH relativeFrom="page">
              <wp:posOffset>1469136</wp:posOffset>
            </wp:positionH>
            <wp:positionV relativeFrom="paragraph">
              <wp:posOffset>169162</wp:posOffset>
            </wp:positionV>
            <wp:extent cx="5144886" cy="1123950"/>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4" cstate="print"/>
                    <a:stretch>
                      <a:fillRect/>
                    </a:stretch>
                  </pic:blipFill>
                  <pic:spPr>
                    <a:xfrm>
                      <a:off x="0" y="0"/>
                      <a:ext cx="5144886" cy="1123950"/>
                    </a:xfrm>
                    <a:prstGeom prst="rect">
                      <a:avLst/>
                    </a:prstGeom>
                  </pic:spPr>
                </pic:pic>
              </a:graphicData>
            </a:graphic>
          </wp:anchor>
        </w:drawing>
      </w:r>
      <w:r>
        <w:rPr>
          <w:b/>
          <w:sz w:val="20"/>
        </w:rPr>
        <w:t>Tabela 01 - Metas projetadas para IDEB do município de Gurupi /Fonte: INEP</w:t>
      </w:r>
    </w:p>
    <w:p>
      <w:pPr>
        <w:spacing w:before="13"/>
        <w:ind w:left="649" w:right="0" w:firstLine="0"/>
        <w:jc w:val="left"/>
        <w:rPr>
          <w:sz w:val="20"/>
        </w:rPr>
      </w:pPr>
      <w:r>
        <w:rPr>
          <w:sz w:val="20"/>
        </w:rPr>
        <w:t>Fonte: INEP</w:t>
      </w:r>
    </w:p>
    <w:p>
      <w:pPr>
        <w:pStyle w:val="BodyText"/>
        <w:rPr>
          <w:sz w:val="22"/>
        </w:rPr>
      </w:pPr>
    </w:p>
    <w:p>
      <w:pPr>
        <w:pStyle w:val="BodyText"/>
        <w:rPr>
          <w:sz w:val="22"/>
        </w:rPr>
      </w:pPr>
    </w:p>
    <w:p>
      <w:pPr>
        <w:pStyle w:val="BodyText"/>
        <w:spacing w:before="4"/>
        <w:rPr>
          <w:sz w:val="30"/>
        </w:rPr>
      </w:pPr>
    </w:p>
    <w:p>
      <w:pPr>
        <w:pStyle w:val="BodyText"/>
        <w:spacing w:line="360" w:lineRule="auto"/>
        <w:ind w:left="308" w:right="112" w:firstLine="705"/>
        <w:jc w:val="both"/>
      </w:pPr>
      <w:r>
        <w:rPr/>
        <w:t>A tabela acima mostra as metas projetadas pelo municipio para IDEB do ano de 2007 a 2021 com base nas ações estabelecidas no plano de metas do PME. Observa-se que o municipio previu chegar em 2015 com IDEB de 4.9 e  em</w:t>
      </w:r>
    </w:p>
    <w:p>
      <w:pPr>
        <w:pStyle w:val="BodyText"/>
        <w:spacing w:before="1"/>
        <w:rPr>
          <w:sz w:val="25"/>
        </w:rPr>
      </w:pPr>
      <w:r>
        <w:rPr/>
        <w:pict>
          <v:line style="position:absolute;mso-position-horizontal-relative:page;mso-position-vertical-relative:paragraph;z-index:1384;mso-wrap-distance-left:0;mso-wrap-distance-right:0" from="99.407997pt,16.79542pt" to="243.457997pt,16.79542pt" stroked="true" strokeweight=".71997pt" strokecolor="#000000">
            <v:stroke dashstyle="solid"/>
            <w10:wrap type="topAndBottom"/>
          </v:line>
        </w:pict>
      </w:r>
    </w:p>
    <w:p>
      <w:pPr>
        <w:spacing w:before="36"/>
        <w:ind w:left="533" w:right="103" w:hanging="226"/>
        <w:jc w:val="both"/>
        <w:rPr>
          <w:sz w:val="20"/>
        </w:rPr>
      </w:pPr>
      <w:r>
        <w:rPr>
          <w:position w:val="10"/>
          <w:sz w:val="13"/>
        </w:rPr>
        <w:t>13 </w:t>
      </w:r>
      <w:r>
        <w:rPr>
          <w:sz w:val="20"/>
        </w:rPr>
        <w:t>Índice Desenvolvimento da Educação Básica que sintetiza os conceitos de aprovação e média de desempenho dos estudantes em língua portuguesa e matemática, calculado a partir dos dados obtidos no Censo Escolar, e médias referentes ao desempenho nas avaliações do INEP, do SAEB e da Prova</w:t>
      </w:r>
      <w:r>
        <w:rPr>
          <w:spacing w:val="-5"/>
          <w:sz w:val="20"/>
        </w:rPr>
        <w:t> </w:t>
      </w:r>
      <w:r>
        <w:rPr>
          <w:sz w:val="20"/>
        </w:rPr>
        <w:t>Brasil.</w:t>
      </w:r>
    </w:p>
    <w:p>
      <w:pPr>
        <w:spacing w:after="0"/>
        <w:jc w:val="both"/>
        <w:rPr>
          <w:sz w:val="20"/>
        </w:rPr>
        <w:sectPr>
          <w:pgSz w:w="11910" w:h="16840"/>
          <w:pgMar w:header="1133" w:footer="0" w:top="1340" w:bottom="280" w:left="1680" w:right="1020"/>
        </w:sectPr>
      </w:pPr>
    </w:p>
    <w:p>
      <w:pPr>
        <w:pStyle w:val="BodyText"/>
        <w:spacing w:before="3"/>
        <w:rPr>
          <w:sz w:val="21"/>
        </w:rPr>
      </w:pPr>
    </w:p>
    <w:p>
      <w:pPr>
        <w:pStyle w:val="BodyText"/>
        <w:tabs>
          <w:tab w:pos="4201" w:val="left" w:leader="none"/>
        </w:tabs>
        <w:spacing w:line="362" w:lineRule="auto" w:before="92"/>
        <w:ind w:left="308" w:right="109"/>
      </w:pPr>
      <w:r>
        <w:rPr/>
        <w:t>2021  com IDEB  de  5.8.</w:t>
      </w:r>
      <w:r>
        <w:rPr>
          <w:spacing w:val="-2"/>
        </w:rPr>
        <w:t> </w:t>
      </w:r>
      <w:r>
        <w:rPr/>
        <w:t>A</w:t>
      </w:r>
      <w:r>
        <w:rPr>
          <w:spacing w:val="39"/>
        </w:rPr>
        <w:t> </w:t>
      </w:r>
      <w:r>
        <w:rPr/>
        <w:t>metas</w:t>
        <w:tab/>
        <w:t>foram projetadas  com base  no IDEB </w:t>
      </w:r>
      <w:r>
        <w:rPr>
          <w:spacing w:val="30"/>
        </w:rPr>
        <w:t> </w:t>
      </w:r>
      <w:r>
        <w:rPr/>
        <w:t>de</w:t>
      </w:r>
      <w:r>
        <w:rPr>
          <w:spacing w:val="41"/>
        </w:rPr>
        <w:t> </w:t>
      </w:r>
      <w:r>
        <w:rPr/>
        <w:t>3.5</w:t>
      </w:r>
      <w:r>
        <w:rPr>
          <w:w w:val="99"/>
        </w:rPr>
        <w:t> </w:t>
      </w:r>
      <w:r>
        <w:rPr/>
        <w:t>apresentado no ano de 2005, conforme mostra tabela</w:t>
      </w:r>
      <w:r>
        <w:rPr>
          <w:spacing w:val="-39"/>
        </w:rPr>
        <w:t> </w:t>
      </w:r>
      <w:r>
        <w:rPr/>
        <w:t>abaixo.</w:t>
      </w:r>
    </w:p>
    <w:p>
      <w:pPr>
        <w:pStyle w:val="BodyText"/>
        <w:rPr>
          <w:sz w:val="26"/>
        </w:rPr>
      </w:pPr>
    </w:p>
    <w:p>
      <w:pPr>
        <w:pStyle w:val="BodyText"/>
        <w:rPr>
          <w:sz w:val="26"/>
        </w:rPr>
      </w:pPr>
    </w:p>
    <w:p>
      <w:pPr>
        <w:spacing w:before="227"/>
        <w:ind w:left="2012" w:right="0" w:firstLine="0"/>
        <w:jc w:val="left"/>
        <w:rPr>
          <w:b/>
          <w:sz w:val="20"/>
        </w:rPr>
      </w:pPr>
      <w:r>
        <w:rPr/>
        <w:drawing>
          <wp:anchor distT="0" distB="0" distL="0" distR="0" allowOverlap="1" layoutInCell="1" locked="0" behindDoc="0" simplePos="0" relativeHeight="1408">
            <wp:simplePos x="0" y="0"/>
            <wp:positionH relativeFrom="page">
              <wp:posOffset>2312035</wp:posOffset>
            </wp:positionH>
            <wp:positionV relativeFrom="paragraph">
              <wp:posOffset>315847</wp:posOffset>
            </wp:positionV>
            <wp:extent cx="3491543" cy="971645"/>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5" cstate="print"/>
                    <a:stretch>
                      <a:fillRect/>
                    </a:stretch>
                  </pic:blipFill>
                  <pic:spPr>
                    <a:xfrm>
                      <a:off x="0" y="0"/>
                      <a:ext cx="3491543" cy="971645"/>
                    </a:xfrm>
                    <a:prstGeom prst="rect">
                      <a:avLst/>
                    </a:prstGeom>
                  </pic:spPr>
                </pic:pic>
              </a:graphicData>
            </a:graphic>
          </wp:anchor>
        </w:drawing>
      </w:r>
      <w:r>
        <w:rPr>
          <w:b/>
          <w:sz w:val="20"/>
        </w:rPr>
        <w:t>Tabela 02 - IDEB observado no município de Gurupi / TO</w:t>
      </w:r>
    </w:p>
    <w:p>
      <w:pPr>
        <w:spacing w:before="0"/>
        <w:ind w:left="1978" w:right="0" w:firstLine="0"/>
        <w:jc w:val="left"/>
        <w:rPr>
          <w:sz w:val="20"/>
        </w:rPr>
      </w:pPr>
      <w:r>
        <w:rPr>
          <w:sz w:val="20"/>
        </w:rPr>
        <w:t>Fonte: INEP</w:t>
      </w:r>
    </w:p>
    <w:p>
      <w:pPr>
        <w:pStyle w:val="BodyText"/>
        <w:rPr>
          <w:sz w:val="22"/>
        </w:rPr>
      </w:pPr>
    </w:p>
    <w:p>
      <w:pPr>
        <w:pStyle w:val="BodyText"/>
        <w:rPr>
          <w:sz w:val="22"/>
        </w:rPr>
      </w:pPr>
    </w:p>
    <w:p>
      <w:pPr>
        <w:pStyle w:val="BodyText"/>
        <w:spacing w:before="4"/>
        <w:rPr>
          <w:sz w:val="28"/>
        </w:rPr>
      </w:pPr>
    </w:p>
    <w:p>
      <w:pPr>
        <w:pStyle w:val="BodyText"/>
        <w:spacing w:line="360" w:lineRule="auto"/>
        <w:ind w:left="308" w:right="104" w:firstLine="710"/>
        <w:jc w:val="both"/>
      </w:pPr>
      <w:r>
        <w:rPr/>
        <w:t>Os dados do IDEB 2011 registrados na tabela 02 apontam que as metas projetadas na tabela 01 apresentam índices maiores que o esperado para os respectivos períodos. Assim o IDEB observado em 2011 é superior ao projetado para 2013, mostrando que o município tem superado as metas estabelecidas para a rede, que é composta por 16 escolas, sendo 15 na zona urbana e 01 na zona rural. Todas as escolas oferecem alimentação escolar e há oferta de transporte</w:t>
      </w:r>
    </w:p>
    <w:p>
      <w:pPr>
        <w:pStyle w:val="BodyText"/>
        <w:spacing w:line="279" w:lineRule="exact"/>
        <w:ind w:left="308"/>
      </w:pPr>
      <w:r>
        <w:rPr/>
        <w:t>escolar para os alunos zona rural</w:t>
      </w:r>
      <w:r>
        <w:rPr>
          <w:position w:val="11"/>
          <w:sz w:val="16"/>
        </w:rPr>
        <w:t>14</w:t>
      </w:r>
      <w:r>
        <w:rPr/>
        <w:t>.</w:t>
      </w:r>
    </w:p>
    <w:p>
      <w:pPr>
        <w:pStyle w:val="BodyText"/>
        <w:spacing w:line="350" w:lineRule="auto" w:before="137"/>
        <w:ind w:left="308" w:right="101" w:firstLine="710"/>
        <w:jc w:val="both"/>
      </w:pPr>
      <w:r>
        <w:rPr/>
        <w:t>A rede municipal possui 552 professores e atende ao todo 5.472 alunos da Educação Infantil ao nono ano do Ensino Fundamental, dos quais 2.604 estão na faixa etária de 06 a 09 anos, matriculados nos anos iniciais do ensino fundamental</w:t>
      </w:r>
      <w:r>
        <w:rPr>
          <w:position w:val="11"/>
          <w:sz w:val="16"/>
        </w:rPr>
        <w:t>15</w:t>
      </w:r>
      <w:r>
        <w:rPr/>
        <w:t>.</w:t>
      </w:r>
    </w:p>
    <w:p>
      <w:pPr>
        <w:pStyle w:val="BodyText"/>
        <w:rPr>
          <w:sz w:val="30"/>
        </w:rPr>
      </w:pPr>
    </w:p>
    <w:p>
      <w:pPr>
        <w:pStyle w:val="BodyText"/>
        <w:spacing w:before="10"/>
        <w:rPr>
          <w:sz w:val="41"/>
        </w:rPr>
      </w:pPr>
    </w:p>
    <w:p>
      <w:pPr>
        <w:pStyle w:val="ListParagraph"/>
        <w:numPr>
          <w:ilvl w:val="1"/>
          <w:numId w:val="11"/>
        </w:numPr>
        <w:tabs>
          <w:tab w:pos="711" w:val="left" w:leader="none"/>
        </w:tabs>
        <w:spacing w:line="240" w:lineRule="auto" w:before="0" w:after="0"/>
        <w:ind w:left="710" w:right="0" w:hanging="402"/>
        <w:jc w:val="left"/>
        <w:rPr>
          <w:sz w:val="24"/>
        </w:rPr>
      </w:pPr>
      <w:r>
        <w:rPr>
          <w:sz w:val="24"/>
        </w:rPr>
        <w:t>DESENROLANDO O</w:t>
      </w:r>
      <w:r>
        <w:rPr>
          <w:spacing w:val="-14"/>
          <w:sz w:val="24"/>
        </w:rPr>
        <w:t> </w:t>
      </w:r>
      <w:r>
        <w:rPr>
          <w:sz w:val="24"/>
        </w:rPr>
        <w:t>NOVELO</w:t>
      </w:r>
    </w:p>
    <w:p>
      <w:pPr>
        <w:pStyle w:val="BodyText"/>
        <w:rPr>
          <w:sz w:val="26"/>
        </w:rPr>
      </w:pPr>
    </w:p>
    <w:p>
      <w:pPr>
        <w:pStyle w:val="BodyText"/>
        <w:rPr>
          <w:sz w:val="26"/>
        </w:rPr>
      </w:pPr>
    </w:p>
    <w:p>
      <w:pPr>
        <w:pStyle w:val="BodyText"/>
        <w:spacing w:before="7"/>
        <w:rPr>
          <w:sz w:val="31"/>
        </w:rPr>
      </w:pPr>
    </w:p>
    <w:p>
      <w:pPr>
        <w:pStyle w:val="BodyText"/>
        <w:spacing w:line="360" w:lineRule="auto" w:before="1"/>
        <w:ind w:left="308" w:right="105" w:firstLine="705"/>
        <w:jc w:val="both"/>
      </w:pPr>
      <w:r>
        <w:rPr/>
        <w:t>A fim de conhecer as práticas educativas criativas desenvolvidas pela escola pública de ensino fundamental em Gurupi - TO a pesquisa se desenvolveu em duas etapas. A primeira corresponde à fase de diagnóstico da realidade para qual se utilizou como instrumento de coleta de dados pesquisa empírica junto a</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1432;mso-wrap-distance-left:0;mso-wrap-distance-right:0" from="99.407997pt,9.670350pt" to="243.457997pt,9.670350pt" stroked="true" strokeweight=".72003pt" strokecolor="#000000">
            <v:stroke dashstyle="solid"/>
            <w10:wrap type="topAndBottom"/>
          </v:line>
        </w:pict>
      </w:r>
    </w:p>
    <w:p>
      <w:pPr>
        <w:spacing w:line="247" w:lineRule="exact" w:before="36"/>
        <w:ind w:left="308" w:right="0" w:firstLine="0"/>
        <w:jc w:val="left"/>
        <w:rPr>
          <w:sz w:val="20"/>
        </w:rPr>
      </w:pPr>
      <w:r>
        <w:rPr>
          <w:position w:val="10"/>
          <w:sz w:val="13"/>
        </w:rPr>
        <w:t>14  </w:t>
      </w:r>
      <w:r>
        <w:rPr>
          <w:sz w:val="20"/>
        </w:rPr>
        <w:t>Fonte: Portal da prefeitura de Gurupi – Web/2014.</w:t>
      </w:r>
    </w:p>
    <w:p>
      <w:pPr>
        <w:spacing w:line="247" w:lineRule="exact" w:before="0"/>
        <w:ind w:left="308" w:right="0" w:firstLine="0"/>
        <w:jc w:val="left"/>
        <w:rPr>
          <w:sz w:val="20"/>
        </w:rPr>
      </w:pPr>
      <w:r>
        <w:rPr>
          <w:position w:val="10"/>
          <w:sz w:val="13"/>
        </w:rPr>
        <w:t>15  </w:t>
      </w:r>
      <w:r>
        <w:rPr>
          <w:sz w:val="20"/>
        </w:rPr>
        <w:t>FUNDEB- Matrículas 2012.</w:t>
      </w:r>
    </w:p>
    <w:p>
      <w:pPr>
        <w:spacing w:after="0" w:line="247" w:lineRule="exact"/>
        <w:jc w:val="left"/>
        <w:rPr>
          <w:sz w:val="20"/>
        </w:rPr>
        <w:sectPr>
          <w:pgSz w:w="11910" w:h="16840"/>
          <w:pgMar w:header="1133" w:footer="0" w:top="1340" w:bottom="280" w:left="1680" w:right="1020"/>
        </w:sectPr>
      </w:pPr>
    </w:p>
    <w:p>
      <w:pPr>
        <w:pStyle w:val="BodyText"/>
        <w:spacing w:before="1"/>
        <w:rPr>
          <w:sz w:val="18"/>
        </w:rPr>
      </w:pPr>
    </w:p>
    <w:p>
      <w:pPr>
        <w:pStyle w:val="BodyText"/>
        <w:spacing w:line="333" w:lineRule="auto" w:before="94"/>
        <w:ind w:left="308" w:right="120"/>
        <w:jc w:val="both"/>
      </w:pPr>
      <w:r>
        <w:rPr/>
        <w:t>SEMEG</w:t>
      </w:r>
      <w:r>
        <w:rPr>
          <w:position w:val="11"/>
          <w:sz w:val="16"/>
        </w:rPr>
        <w:t>16 </w:t>
      </w:r>
      <w:r>
        <w:rPr/>
        <w:t>e Questionário de Instrumento de identificação do desenvolvimento criativo de instituições de ensino</w:t>
      </w:r>
      <w:r>
        <w:rPr>
          <w:position w:val="11"/>
          <w:sz w:val="16"/>
        </w:rPr>
        <w:t>17</w:t>
      </w:r>
      <w:r>
        <w:rPr/>
        <w:t>.</w:t>
      </w:r>
    </w:p>
    <w:p>
      <w:pPr>
        <w:pStyle w:val="BodyText"/>
        <w:spacing w:line="360" w:lineRule="auto" w:before="18"/>
        <w:ind w:left="308" w:right="100" w:firstLine="705"/>
        <w:jc w:val="both"/>
      </w:pPr>
      <w:r>
        <w:rPr/>
        <w:t>Nessa primeira etapa os sujeitos da pesquisa foram os gestores, professores, servidores, pais ou responsáveis por alunos da escola. E a segunda etapa, corresponde ao estudo do caso identificado, utilizando a entrevista semiestruturada como instrumento de coleta de dados. Os sujeitos da pesquisa foram os gestores, professores, servidores, pais ou responsáveis e alunos da escola.</w:t>
      </w:r>
    </w:p>
    <w:p>
      <w:pPr>
        <w:pStyle w:val="BodyText"/>
        <w:spacing w:line="362" w:lineRule="auto" w:before="2"/>
        <w:ind w:left="308" w:right="115" w:firstLine="705"/>
        <w:jc w:val="both"/>
      </w:pPr>
      <w:r>
        <w:rPr/>
        <w:t>Cada </w:t>
      </w:r>
      <w:r>
        <w:rPr>
          <w:spacing w:val="-3"/>
        </w:rPr>
        <w:t>uma </w:t>
      </w:r>
      <w:r>
        <w:rPr/>
        <w:t>das etapas descritas teve como ponto de partida o levantamento, seleção e revisão bibliográfica, com base nos autores e temas como paradigma emergente com Santos (1991, 1997, 2000, 2006a, 2006b,</w:t>
      </w:r>
      <w:r>
        <w:rPr>
          <w:spacing w:val="-23"/>
        </w:rPr>
        <w:t> </w:t>
      </w:r>
      <w:r>
        <w:rPr/>
        <w:t>2009),</w:t>
      </w:r>
    </w:p>
    <w:p>
      <w:pPr>
        <w:pStyle w:val="BodyText"/>
        <w:ind w:left="308"/>
        <w:jc w:val="both"/>
      </w:pPr>
      <w:r>
        <w:rPr/>
        <w:t>Moraes (1997, 2004a, 2004b, </w:t>
      </w:r>
      <w:r>
        <w:rPr>
          <w:sz w:val="22"/>
        </w:rPr>
        <w:t>2011 e 2013</w:t>
      </w:r>
      <w:r>
        <w:rPr/>
        <w:t>) e Cunha (1998, 2001, 2006, 2008), a</w:t>
      </w:r>
    </w:p>
    <w:p>
      <w:pPr>
        <w:pStyle w:val="BodyText"/>
        <w:spacing w:line="360" w:lineRule="auto" w:before="137"/>
        <w:ind w:left="308" w:right="99"/>
        <w:jc w:val="both"/>
      </w:pPr>
      <w:r>
        <w:rPr/>
        <w:t>prática educativa com Alves (2005) e Sacristán (1999, 1996), a inovação com Cunha (1998, 2001, 2008), pensamento complexo em Morin (2000, 2003, 2005 e 2007), Santos e Santos (2009, 2012 e 2013)a criatividade e escola criativa com Torre (2005, 2008), Zwierewicz e Torre (2009), João Henrique Suanno (2013, 2014)e Suanno (2013a, 2013b e 2013c), entre outros, com a finalidade de instrumentalizar a coleta de dados realizada e a escrita do texto dissertativo no que se refere ao objetivo de situar e compreender a prática educativa na escola dos anos iniciais do ensino fundamental no processo de transição do paradigma educacional conservador e dominante para o paradigma educacional emergente.</w:t>
      </w:r>
    </w:p>
    <w:p>
      <w:pPr>
        <w:pStyle w:val="BodyText"/>
        <w:rPr>
          <w:sz w:val="26"/>
        </w:rPr>
      </w:pPr>
    </w:p>
    <w:p>
      <w:pPr>
        <w:pStyle w:val="BodyText"/>
        <w:rPr>
          <w:sz w:val="26"/>
        </w:rPr>
      </w:pPr>
    </w:p>
    <w:p>
      <w:pPr>
        <w:pStyle w:val="Heading3"/>
        <w:numPr>
          <w:ilvl w:val="2"/>
          <w:numId w:val="11"/>
        </w:numPr>
        <w:tabs>
          <w:tab w:pos="912" w:val="left" w:leader="none"/>
        </w:tabs>
        <w:spacing w:line="240" w:lineRule="auto" w:before="230" w:after="0"/>
        <w:ind w:left="911" w:right="0" w:hanging="603"/>
        <w:jc w:val="both"/>
      </w:pPr>
      <w:bookmarkStart w:name="_TOC_250008" w:id="9"/>
      <w:r>
        <w:rPr/>
        <w:t>Diagnosticando a</w:t>
      </w:r>
      <w:r>
        <w:rPr>
          <w:spacing w:val="-13"/>
        </w:rPr>
        <w:t> </w:t>
      </w:r>
      <w:bookmarkEnd w:id="9"/>
      <w:r>
        <w:rPr/>
        <w:t>Escola</w:t>
      </w:r>
    </w:p>
    <w:p>
      <w:pPr>
        <w:pStyle w:val="BodyText"/>
        <w:rPr>
          <w:b/>
          <w:sz w:val="26"/>
        </w:rPr>
      </w:pPr>
    </w:p>
    <w:p>
      <w:pPr>
        <w:pStyle w:val="BodyText"/>
        <w:rPr>
          <w:b/>
          <w:sz w:val="26"/>
        </w:rPr>
      </w:pPr>
    </w:p>
    <w:p>
      <w:pPr>
        <w:pStyle w:val="BodyText"/>
        <w:spacing w:before="5"/>
        <w:rPr>
          <w:b/>
          <w:sz w:val="32"/>
        </w:rPr>
      </w:pPr>
    </w:p>
    <w:p>
      <w:pPr>
        <w:pStyle w:val="BodyText"/>
        <w:spacing w:line="360" w:lineRule="auto"/>
        <w:ind w:left="308" w:right="104" w:firstLine="705"/>
        <w:jc w:val="both"/>
      </w:pPr>
      <w:r>
        <w:rPr/>
        <w:t>A fase diagnóstica teve o objetivo de auxiliar na escolha do lócus da pesquisa. Assim, após aprovação do projeto no Comitê de Ética </w:t>
      </w:r>
      <w:r>
        <w:rPr>
          <w:spacing w:val="2"/>
        </w:rPr>
        <w:t>em  </w:t>
      </w:r>
      <w:r>
        <w:rPr/>
        <w:t>Pesquisa/UFT (Anexo F), iniciou-se o levantamento empírico junto à secretaria municipal de educação com base nos seguintes critérios: a) ser </w:t>
      </w:r>
      <w:r>
        <w:rPr>
          <w:spacing w:val="-3"/>
        </w:rPr>
        <w:t>uma  </w:t>
      </w:r>
      <w:r>
        <w:rPr/>
        <w:t>escola pública  municipal  dos  anos iniciais  do  ensino  fundamental;</w:t>
      </w:r>
      <w:r>
        <w:rPr>
          <w:spacing w:val="29"/>
        </w:rPr>
        <w:t> </w:t>
      </w:r>
      <w:r>
        <w:rPr/>
        <w:t>b) ter sido indicada</w:t>
      </w:r>
    </w:p>
    <w:p>
      <w:pPr>
        <w:pStyle w:val="BodyText"/>
        <w:spacing w:before="5"/>
        <w:rPr>
          <w:sz w:val="28"/>
        </w:rPr>
      </w:pPr>
      <w:r>
        <w:rPr/>
        <w:pict>
          <v:line style="position:absolute;mso-position-horizontal-relative:page;mso-position-vertical-relative:paragraph;z-index:1456;mso-wrap-distance-left:0;mso-wrap-distance-right:0" from="99.407997pt,18.719185pt" to="243.457997pt,18.719185pt" stroked="true" strokeweight=".71997pt" strokecolor="#000000">
            <v:stroke dashstyle="solid"/>
            <w10:wrap type="topAndBottom"/>
          </v:line>
        </w:pict>
      </w:r>
    </w:p>
    <w:p>
      <w:pPr>
        <w:spacing w:line="247" w:lineRule="exact" w:before="36"/>
        <w:ind w:left="308" w:right="0" w:firstLine="0"/>
        <w:jc w:val="left"/>
        <w:rPr>
          <w:sz w:val="20"/>
        </w:rPr>
      </w:pPr>
      <w:r>
        <w:rPr>
          <w:position w:val="10"/>
          <w:sz w:val="13"/>
        </w:rPr>
        <w:t>16  </w:t>
      </w:r>
      <w:r>
        <w:rPr>
          <w:sz w:val="20"/>
        </w:rPr>
        <w:t>Secretaria Municipal de Educação de Gurupi.</w:t>
      </w:r>
    </w:p>
    <w:p>
      <w:pPr>
        <w:spacing w:line="230" w:lineRule="exact" w:before="20"/>
        <w:ind w:left="533" w:right="0" w:hanging="226"/>
        <w:jc w:val="left"/>
        <w:rPr>
          <w:sz w:val="20"/>
        </w:rPr>
      </w:pPr>
      <w:r>
        <w:rPr>
          <w:position w:val="10"/>
          <w:sz w:val="13"/>
        </w:rPr>
        <w:t>17 </w:t>
      </w:r>
      <w:r>
        <w:rPr>
          <w:sz w:val="20"/>
        </w:rPr>
        <w:t>Instrumento VADECRIE utilizado para promover e impulsionar a Rede Internacional de Escolas Criativas (RIEC).</w:t>
      </w:r>
    </w:p>
    <w:p>
      <w:pPr>
        <w:spacing w:after="0" w:line="230" w:lineRule="exact"/>
        <w:jc w:val="left"/>
        <w:rPr>
          <w:sz w:val="20"/>
        </w:rPr>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6"/>
        <w:jc w:val="both"/>
      </w:pPr>
      <w:r>
        <w:rPr/>
        <w:t>pela secretaria municipal de educação como escola que se destacou no ano de 2012 pelo trabalho em equipe e pelo desenvolvimento de ações e projetos considerados de sucesso; c) apresentar as evidências de criatividade com base no diagnóstico realizado pela aplicação do Instrumento de identificação do desenvolvimento criativo de instituições de ensino, desenvolvido pela Rede Internacional de Escolas Criativas - RIEC e adaptado pela pesquisadora para uso na pesquisa (Anexos B e</w:t>
      </w:r>
      <w:r>
        <w:rPr>
          <w:spacing w:val="-10"/>
        </w:rPr>
        <w:t> </w:t>
      </w:r>
      <w:r>
        <w:rPr/>
        <w:t>C).</w:t>
      </w:r>
    </w:p>
    <w:p>
      <w:pPr>
        <w:pStyle w:val="BodyText"/>
        <w:spacing w:line="360" w:lineRule="auto" w:before="2"/>
        <w:ind w:left="308" w:right="109" w:firstLine="705"/>
        <w:jc w:val="both"/>
      </w:pPr>
      <w:r>
        <w:rPr/>
        <w:t>O questionário utilizado nesta etapa da investigação foi originalmente criado e aplicado na pesquisa “Escola Criativa e Práticas Pedagógicas Transdisciplinares e Ecoformadoras”, de João Henrique Suanno (2013) que validou o Vadecrie (Torre, 2012), na ocasião o pesquisador construiu o questionário considerando o público ao qual ele seria aplicado. Os itens do questionário foram elaborados em forma de sentenças afirmativas e cada </w:t>
      </w:r>
      <w:r>
        <w:rPr>
          <w:spacing w:val="-3"/>
        </w:rPr>
        <w:t>uma </w:t>
      </w:r>
      <w:r>
        <w:rPr/>
        <w:t>das afirmativas visava compreender os aspectos da proposta da escola investigada, do cotidiano escolar e das práticas educativas. As questões do questionário foram relacionadas ao fazer pedagógico da escola, elaboradas com </w:t>
      </w:r>
      <w:r>
        <w:rPr>
          <w:spacing w:val="-3"/>
        </w:rPr>
        <w:t>uma </w:t>
      </w:r>
      <w:r>
        <w:rPr/>
        <w:t>linguagem adequada aos sujeitos investigados na pesquisa. Algumas questões do questionário permitem (SUANNO, 2013), intencionalmente, verificar as respostas anteriormente respondidas, pois esta é </w:t>
      </w:r>
      <w:r>
        <w:rPr>
          <w:spacing w:val="-3"/>
        </w:rPr>
        <w:t>uma </w:t>
      </w:r>
      <w:r>
        <w:rPr/>
        <w:t>estratégia de pesquisa que permite confirmar informações e</w:t>
      </w:r>
      <w:r>
        <w:rPr>
          <w:spacing w:val="-22"/>
        </w:rPr>
        <w:t> </w:t>
      </w:r>
      <w:r>
        <w:rPr/>
        <w:t>percepções.</w:t>
      </w:r>
    </w:p>
    <w:p>
      <w:pPr>
        <w:pStyle w:val="BodyText"/>
        <w:spacing w:line="360" w:lineRule="auto" w:before="2"/>
        <w:ind w:left="308" w:right="100" w:firstLine="705"/>
        <w:jc w:val="both"/>
      </w:pPr>
      <w:r>
        <w:rPr/>
        <w:t>Para aplicação do questionário o pesquisador (SUANNO, 2013), ficou durante uma semana na escola explicando pessoalmente a cada um dos pais a importância para a pesquisa que os mesmos respondessem as questões e para isso concedeu-lhes uma semana para construir o tempo necessário para respondê-las que ajudariam nos levantamentos das percepções dos pais sobre a escola, suas características e trabalho pedagógico desenvolvidos naquela instituição de ensino.</w:t>
      </w:r>
    </w:p>
    <w:p>
      <w:pPr>
        <w:pStyle w:val="BodyText"/>
        <w:spacing w:line="360" w:lineRule="auto" w:before="2"/>
        <w:ind w:left="308" w:right="113" w:firstLine="705"/>
        <w:jc w:val="both"/>
      </w:pPr>
      <w:r>
        <w:rPr/>
        <w:t>Como instrumento de pesquisa o questionário Vadecrie tem por objetivo “identificar e reconhecer o grau de desenvolvimento criativo de uma instituição educativa” (TORRE, 2012, p.101), serve como autodiagnóstico e é válido para escolas de diferentes níveis e instituições educativas.</w:t>
      </w:r>
    </w:p>
    <w:p>
      <w:pPr>
        <w:pStyle w:val="BodyText"/>
        <w:spacing w:line="360" w:lineRule="auto" w:before="2"/>
        <w:ind w:left="308" w:right="108" w:firstLine="705"/>
        <w:jc w:val="both"/>
      </w:pPr>
      <w:r>
        <w:rPr/>
        <w:t>Internamente está organizado de forma agrupada em 03 categorias que se desdobram em parâmetros e estes em indicadores, ou questões que possibilitam constatar em que nível se dá avaliação mais importante da instituição, se ao nível</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98"/>
        <w:jc w:val="both"/>
      </w:pPr>
      <w:r>
        <w:rPr/>
        <w:t>teórico, pessoal ou estratégico (TORRE, 2012), de modo que a categoria I refere- se ao nível de Consciência criativa, visão, missão; a categoria II refere-se nível Potencial e Recursos Humanos e categoria III refere-se ao nível Plano Estratégico e de Ação. No quadro abaixo estão expostos o conjunto de parâmetros que compõem o questionário Vadecrie.</w:t>
      </w:r>
    </w:p>
    <w:p>
      <w:pPr>
        <w:pStyle w:val="BodyText"/>
        <w:rPr>
          <w:sz w:val="26"/>
        </w:rPr>
      </w:pPr>
    </w:p>
    <w:p>
      <w:pPr>
        <w:pStyle w:val="BodyText"/>
        <w:rPr>
          <w:sz w:val="26"/>
        </w:rPr>
      </w:pPr>
    </w:p>
    <w:p>
      <w:pPr>
        <w:pStyle w:val="BodyText"/>
        <w:spacing w:before="4"/>
        <w:rPr>
          <w:sz w:val="20"/>
        </w:rPr>
      </w:pPr>
    </w:p>
    <w:p>
      <w:pPr>
        <w:spacing w:before="0" w:after="39"/>
        <w:ind w:left="1743" w:right="0" w:firstLine="0"/>
        <w:jc w:val="left"/>
        <w:rPr>
          <w:b/>
          <w:sz w:val="20"/>
        </w:rPr>
      </w:pPr>
      <w:r>
        <w:rPr>
          <w:b/>
          <w:sz w:val="20"/>
        </w:rPr>
        <w:t>Quadro 03– Conjunto de parâmetros do questionário Vadecrie</w:t>
      </w:r>
    </w:p>
    <w:tbl>
      <w:tblPr>
        <w:tblW w:w="0" w:type="auto"/>
        <w:jc w:val="left"/>
        <w:tblInd w:w="17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243"/>
      </w:tblGrid>
      <w:tr>
        <w:trPr>
          <w:trHeight w:val="240" w:hRule="exact"/>
        </w:trPr>
        <w:tc>
          <w:tcPr>
            <w:tcW w:w="6243" w:type="dxa"/>
            <w:shd w:val="clear" w:color="auto" w:fill="D9D9D9"/>
          </w:tcPr>
          <w:p>
            <w:pPr>
              <w:pStyle w:val="TableParagraph"/>
              <w:spacing w:line="220" w:lineRule="exact"/>
              <w:ind w:left="1038" w:right="1049"/>
              <w:rPr>
                <w:b/>
                <w:sz w:val="20"/>
              </w:rPr>
            </w:pPr>
            <w:r>
              <w:rPr>
                <w:b/>
                <w:sz w:val="20"/>
              </w:rPr>
              <w:t>Parâmetros</w:t>
            </w:r>
          </w:p>
        </w:tc>
      </w:tr>
      <w:tr>
        <w:trPr>
          <w:trHeight w:val="240" w:hRule="exact"/>
        </w:trPr>
        <w:tc>
          <w:tcPr>
            <w:tcW w:w="6243" w:type="dxa"/>
          </w:tcPr>
          <w:p>
            <w:pPr>
              <w:pStyle w:val="TableParagraph"/>
              <w:spacing w:line="225" w:lineRule="exact"/>
              <w:ind w:left="1041" w:right="1048"/>
              <w:rPr>
                <w:sz w:val="20"/>
              </w:rPr>
            </w:pPr>
            <w:r>
              <w:rPr>
                <w:sz w:val="20"/>
              </w:rPr>
              <w:t>1.Liderança Estimulante</w:t>
            </w:r>
          </w:p>
        </w:tc>
      </w:tr>
      <w:tr>
        <w:trPr>
          <w:trHeight w:val="240" w:hRule="exact"/>
        </w:trPr>
        <w:tc>
          <w:tcPr>
            <w:tcW w:w="6243" w:type="dxa"/>
          </w:tcPr>
          <w:p>
            <w:pPr>
              <w:pStyle w:val="TableParagraph"/>
              <w:spacing w:line="225" w:lineRule="exact"/>
              <w:ind w:left="1040" w:right="1049"/>
              <w:rPr>
                <w:sz w:val="20"/>
              </w:rPr>
            </w:pPr>
            <w:r>
              <w:rPr>
                <w:sz w:val="20"/>
              </w:rPr>
              <w:t>2.Professores Criativos</w:t>
            </w:r>
          </w:p>
        </w:tc>
      </w:tr>
      <w:tr>
        <w:trPr>
          <w:trHeight w:val="240" w:hRule="exact"/>
        </w:trPr>
        <w:tc>
          <w:tcPr>
            <w:tcW w:w="6243" w:type="dxa"/>
          </w:tcPr>
          <w:p>
            <w:pPr>
              <w:pStyle w:val="TableParagraph"/>
              <w:spacing w:line="225" w:lineRule="exact"/>
              <w:ind w:left="1041" w:right="1043"/>
              <w:rPr>
                <w:sz w:val="20"/>
              </w:rPr>
            </w:pPr>
            <w:r>
              <w:rPr>
                <w:sz w:val="20"/>
              </w:rPr>
              <w:t>3.Cultura Inovadora</w:t>
            </w:r>
          </w:p>
        </w:tc>
      </w:tr>
      <w:tr>
        <w:trPr>
          <w:trHeight w:val="241" w:hRule="exact"/>
        </w:trPr>
        <w:tc>
          <w:tcPr>
            <w:tcW w:w="6243" w:type="dxa"/>
          </w:tcPr>
          <w:p>
            <w:pPr>
              <w:pStyle w:val="TableParagraph"/>
              <w:spacing w:line="225" w:lineRule="exact"/>
              <w:ind w:left="1040" w:right="1049"/>
              <w:rPr>
                <w:sz w:val="20"/>
              </w:rPr>
            </w:pPr>
            <w:r>
              <w:rPr>
                <w:sz w:val="20"/>
              </w:rPr>
              <w:t>4.Criatividade como Valor</w:t>
            </w:r>
          </w:p>
        </w:tc>
      </w:tr>
      <w:tr>
        <w:trPr>
          <w:trHeight w:val="240" w:hRule="exact"/>
        </w:trPr>
        <w:tc>
          <w:tcPr>
            <w:tcW w:w="6243" w:type="dxa"/>
          </w:tcPr>
          <w:p>
            <w:pPr>
              <w:pStyle w:val="TableParagraph"/>
              <w:spacing w:line="225" w:lineRule="exact"/>
              <w:ind w:left="1036" w:right="1049"/>
              <w:rPr>
                <w:sz w:val="20"/>
              </w:rPr>
            </w:pPr>
            <w:r>
              <w:rPr>
                <w:sz w:val="20"/>
              </w:rPr>
              <w:t>5.Espírito Empreendedor</w:t>
            </w:r>
          </w:p>
        </w:tc>
      </w:tr>
      <w:tr>
        <w:trPr>
          <w:trHeight w:val="240" w:hRule="exact"/>
        </w:trPr>
        <w:tc>
          <w:tcPr>
            <w:tcW w:w="6243" w:type="dxa"/>
          </w:tcPr>
          <w:p>
            <w:pPr>
              <w:pStyle w:val="TableParagraph"/>
              <w:spacing w:line="225" w:lineRule="exact"/>
              <w:ind w:left="1041" w:right="1048"/>
              <w:rPr>
                <w:sz w:val="20"/>
              </w:rPr>
            </w:pPr>
            <w:r>
              <w:rPr>
                <w:sz w:val="20"/>
              </w:rPr>
              <w:t>6.Visão transdisciplinar e transformadora</w:t>
            </w:r>
          </w:p>
        </w:tc>
      </w:tr>
      <w:tr>
        <w:trPr>
          <w:trHeight w:val="240" w:hRule="exact"/>
        </w:trPr>
        <w:tc>
          <w:tcPr>
            <w:tcW w:w="6243" w:type="dxa"/>
          </w:tcPr>
          <w:p>
            <w:pPr>
              <w:pStyle w:val="TableParagraph"/>
              <w:spacing w:line="225" w:lineRule="exact"/>
              <w:ind w:left="1040" w:right="1049"/>
              <w:rPr>
                <w:sz w:val="20"/>
              </w:rPr>
            </w:pPr>
            <w:r>
              <w:rPr>
                <w:sz w:val="20"/>
              </w:rPr>
              <w:t>7.Currículo Polivalente</w:t>
            </w:r>
          </w:p>
        </w:tc>
      </w:tr>
      <w:tr>
        <w:trPr>
          <w:trHeight w:val="240" w:hRule="exact"/>
        </w:trPr>
        <w:tc>
          <w:tcPr>
            <w:tcW w:w="6243" w:type="dxa"/>
          </w:tcPr>
          <w:p>
            <w:pPr>
              <w:pStyle w:val="TableParagraph"/>
              <w:spacing w:line="225" w:lineRule="exact"/>
              <w:ind w:left="1041" w:right="1043"/>
              <w:rPr>
                <w:sz w:val="20"/>
              </w:rPr>
            </w:pPr>
            <w:r>
              <w:rPr>
                <w:sz w:val="20"/>
              </w:rPr>
              <w:t>8.Metodologia inovadora</w:t>
            </w:r>
          </w:p>
        </w:tc>
      </w:tr>
      <w:tr>
        <w:trPr>
          <w:trHeight w:val="240" w:hRule="exact"/>
        </w:trPr>
        <w:tc>
          <w:tcPr>
            <w:tcW w:w="6243" w:type="dxa"/>
          </w:tcPr>
          <w:p>
            <w:pPr>
              <w:pStyle w:val="TableParagraph"/>
              <w:spacing w:line="225" w:lineRule="exact"/>
              <w:ind w:left="1041" w:right="1048"/>
              <w:rPr>
                <w:sz w:val="20"/>
              </w:rPr>
            </w:pPr>
            <w:r>
              <w:rPr>
                <w:sz w:val="20"/>
              </w:rPr>
              <w:t>9.Avaliação formadora e transformadora</w:t>
            </w:r>
          </w:p>
        </w:tc>
      </w:tr>
      <w:tr>
        <w:trPr>
          <w:trHeight w:val="240" w:hRule="exact"/>
        </w:trPr>
        <w:tc>
          <w:tcPr>
            <w:tcW w:w="6243" w:type="dxa"/>
          </w:tcPr>
          <w:p>
            <w:pPr>
              <w:pStyle w:val="TableParagraph"/>
              <w:spacing w:line="225" w:lineRule="exact"/>
              <w:ind w:left="1041" w:right="1049"/>
              <w:rPr>
                <w:sz w:val="20"/>
              </w:rPr>
            </w:pPr>
            <w:r>
              <w:rPr>
                <w:sz w:val="20"/>
              </w:rPr>
              <w:t>10.Valores Humanos, Sociais, Meio ambiente.</w:t>
            </w:r>
          </w:p>
        </w:tc>
      </w:tr>
    </w:tbl>
    <w:p>
      <w:pPr>
        <w:spacing w:before="0"/>
        <w:ind w:left="1724" w:right="0" w:firstLine="0"/>
        <w:jc w:val="left"/>
        <w:rPr>
          <w:sz w:val="20"/>
        </w:rPr>
      </w:pPr>
      <w:r>
        <w:rPr>
          <w:sz w:val="20"/>
        </w:rPr>
        <w:t>Fonte: Torres (2012)</w:t>
      </w:r>
    </w:p>
    <w:p>
      <w:pPr>
        <w:pStyle w:val="BodyText"/>
        <w:rPr>
          <w:sz w:val="22"/>
        </w:rPr>
      </w:pPr>
    </w:p>
    <w:p>
      <w:pPr>
        <w:pStyle w:val="BodyText"/>
        <w:rPr>
          <w:sz w:val="22"/>
        </w:rPr>
      </w:pPr>
    </w:p>
    <w:p>
      <w:pPr>
        <w:pStyle w:val="BodyText"/>
        <w:spacing w:before="3"/>
        <w:rPr>
          <w:sz w:val="28"/>
        </w:rPr>
      </w:pPr>
    </w:p>
    <w:p>
      <w:pPr>
        <w:pStyle w:val="BodyText"/>
        <w:spacing w:line="360" w:lineRule="auto"/>
        <w:ind w:left="308" w:right="110" w:firstLine="705"/>
        <w:jc w:val="both"/>
      </w:pPr>
      <w:r>
        <w:rPr/>
        <w:t>O quadro 03 expõe o conjunto de  parâmetros que estão agrupados nas três categorias do questionário Vadecrie. Cada um dos dez parâmetros agrupa  em </w:t>
      </w:r>
      <w:r>
        <w:rPr>
          <w:spacing w:val="3"/>
        </w:rPr>
        <w:t>um </w:t>
      </w:r>
      <w:r>
        <w:rPr/>
        <w:t>conjunto de dez indicadores ou questões de modo que os cem indicadores descritos proporcionam </w:t>
      </w:r>
      <w:r>
        <w:rPr>
          <w:spacing w:val="2"/>
        </w:rPr>
        <w:t>um </w:t>
      </w:r>
      <w:r>
        <w:rPr/>
        <w:t>leque de possibilidades na valorização da criatividade da realidade institucional (TORRE,</w:t>
      </w:r>
      <w:r>
        <w:rPr>
          <w:spacing w:val="-18"/>
        </w:rPr>
        <w:t> </w:t>
      </w:r>
      <w:r>
        <w:rPr/>
        <w:t>2012).</w:t>
      </w:r>
    </w:p>
    <w:p>
      <w:pPr>
        <w:pStyle w:val="BodyText"/>
        <w:spacing w:line="360" w:lineRule="auto" w:before="2"/>
        <w:ind w:left="308" w:right="106" w:firstLine="705"/>
        <w:jc w:val="both"/>
      </w:pPr>
      <w:r>
        <w:rPr/>
        <w:t>A categoria I está caracterizada como nível teórico, possui 04 parâmetros que estão relacionados à consciência criativa e tem como foco avaliar a visão, a missão, a cultura e o valor. Seus parâmetros e respectivos indicadores possibilitam verificar o nível de consciência que a escola ou instituição possui  </w:t>
      </w:r>
      <w:r>
        <w:rPr>
          <w:spacing w:val="41"/>
        </w:rPr>
        <w:t> </w:t>
      </w:r>
      <w:r>
        <w:rPr/>
        <w:t>de</w:t>
      </w:r>
    </w:p>
    <w:p>
      <w:pPr>
        <w:pStyle w:val="BodyText"/>
        <w:spacing w:line="352" w:lineRule="auto" w:before="2"/>
        <w:ind w:left="308" w:right="106"/>
        <w:jc w:val="both"/>
      </w:pPr>
      <w:r>
        <w:rPr/>
        <w:pict>
          <v:line style="position:absolute;mso-position-horizontal-relative:page;mso-position-vertical-relative:paragraph;z-index:1480;mso-wrap-distance-left:0;mso-wrap-distance-right:0" from="99.407997pt,107.525848pt" to="243.457997pt,107.525848pt" stroked="true" strokeweight=".72003pt" strokecolor="#000000">
            <v:stroke dashstyle="solid"/>
            <w10:wrap type="topAndBottom"/>
          </v:line>
        </w:pict>
      </w:r>
      <w:r>
        <w:rPr/>
        <w:t>seus atos e que valores estão relacionados à prática educativa desenvolvida. Os parâmetros agrupados pela categoria I são: Cultura inovadora (P03)</w:t>
      </w:r>
      <w:r>
        <w:rPr>
          <w:position w:val="11"/>
          <w:sz w:val="16"/>
        </w:rPr>
        <w:t>18</w:t>
      </w:r>
      <w:r>
        <w:rPr/>
        <w:t>, Criatividade como valor (P04), Visão transdisciplinar no projeto educativo (P06), Valores humanos, sociais, meio- ambientais (P10), conforme apresentados na figura</w:t>
      </w:r>
      <w:r>
        <w:rPr>
          <w:spacing w:val="-3"/>
        </w:rPr>
        <w:t> </w:t>
      </w:r>
      <w:r>
        <w:rPr/>
        <w:t>01.</w:t>
      </w:r>
    </w:p>
    <w:p>
      <w:pPr>
        <w:spacing w:before="36"/>
        <w:ind w:left="533" w:right="102" w:hanging="226"/>
        <w:jc w:val="both"/>
        <w:rPr>
          <w:sz w:val="20"/>
        </w:rPr>
      </w:pPr>
      <w:r>
        <w:rPr>
          <w:position w:val="10"/>
          <w:sz w:val="13"/>
        </w:rPr>
        <w:t>18 </w:t>
      </w:r>
      <w:r>
        <w:rPr>
          <w:sz w:val="20"/>
        </w:rPr>
        <w:t>Nas categorias os parâmetros não estão agrupados na sequência crescente de 1 a 10 como aparecem na relação do quadro 03. Eles se agrupam nas categorias de acordo com o foco de abordagem da mesma. Assim, a identificação entre parêntese após o nome do parâmetro corresponde a posição que ele ocupa na relação do documento Vadecrie.</w:t>
      </w:r>
    </w:p>
    <w:p>
      <w:pPr>
        <w:spacing w:after="0"/>
        <w:jc w:val="both"/>
        <w:rPr>
          <w:sz w:val="20"/>
        </w:rPr>
        <w:sectPr>
          <w:pgSz w:w="11910" w:h="16840"/>
          <w:pgMar w:header="1133" w:footer="0" w:top="1340" w:bottom="280" w:left="1680" w:right="1020"/>
        </w:sectPr>
      </w:pPr>
    </w:p>
    <w:p>
      <w:pPr>
        <w:pStyle w:val="BodyText"/>
        <w:spacing w:before="11"/>
        <w:rPr>
          <w:sz w:val="20"/>
        </w:rPr>
      </w:pPr>
    </w:p>
    <w:p>
      <w:pPr>
        <w:spacing w:before="95"/>
        <w:ind w:left="2094" w:right="0" w:firstLine="0"/>
        <w:jc w:val="left"/>
        <w:rPr>
          <w:sz w:val="20"/>
        </w:rPr>
      </w:pPr>
      <w:r>
        <w:rPr/>
        <w:pict>
          <v:group style="position:absolute;margin-left:180.925003pt;margin-top:19.05489pt;width:276.7pt;height:168.4pt;mso-position-horizontal-relative:page;mso-position-vertical-relative:paragraph;z-index:1504;mso-wrap-distance-left:0;mso-wrap-distance-right:0" coordorigin="3619,381" coordsize="5534,3368">
            <v:shape style="position:absolute;left:4093;top:396;width:4731;height:3338" type="#_x0000_t75" stroked="false">
              <v:imagedata r:id="rId16" o:title=""/>
            </v:shape>
            <v:rect style="position:absolute;left:3626;top:389;width:5519;height:3353" filled="false" stroked="true" strokeweight=".75pt" strokecolor="#000000">
              <v:stroke dashstyle="solid"/>
            </v:rect>
            <w10:wrap type="topAndBottom"/>
          </v:group>
        </w:pict>
      </w:r>
      <w:r>
        <w:rPr>
          <w:b/>
          <w:sz w:val="20"/>
        </w:rPr>
        <w:t>Figura 01: Agrupamento dos parâmetros da categoria </w:t>
      </w:r>
      <w:r>
        <w:rPr>
          <w:sz w:val="20"/>
        </w:rPr>
        <w:t>I</w:t>
      </w:r>
    </w:p>
    <w:p>
      <w:pPr>
        <w:spacing w:before="0"/>
        <w:ind w:left="1926" w:right="0" w:firstLine="0"/>
        <w:jc w:val="left"/>
        <w:rPr>
          <w:sz w:val="20"/>
        </w:rPr>
      </w:pPr>
      <w:r>
        <w:rPr>
          <w:sz w:val="20"/>
        </w:rPr>
        <w:t>Fonte: Produção da pesquisadora.</w:t>
      </w:r>
    </w:p>
    <w:p>
      <w:pPr>
        <w:pStyle w:val="BodyText"/>
        <w:rPr>
          <w:sz w:val="22"/>
        </w:rPr>
      </w:pPr>
    </w:p>
    <w:p>
      <w:pPr>
        <w:pStyle w:val="BodyText"/>
        <w:rPr>
          <w:sz w:val="22"/>
        </w:rPr>
      </w:pPr>
    </w:p>
    <w:p>
      <w:pPr>
        <w:pStyle w:val="BodyText"/>
        <w:spacing w:before="11"/>
        <w:rPr>
          <w:sz w:val="27"/>
        </w:rPr>
      </w:pPr>
    </w:p>
    <w:p>
      <w:pPr>
        <w:pStyle w:val="BodyText"/>
        <w:spacing w:line="360" w:lineRule="auto"/>
        <w:ind w:left="308" w:right="103" w:firstLine="705"/>
        <w:jc w:val="both"/>
      </w:pPr>
      <w:r>
        <w:rPr/>
        <w:t>A figura 01 apresenta o agrupamento dos parâmetros que compõem a categoria I no documento Vadecrie. Nessa categoria o primeiro parâmetro (P03) que trata da cultura inovadora, está relacionado com o dinamismo e os </w:t>
      </w:r>
      <w:r>
        <w:rPr>
          <w:spacing w:val="2"/>
        </w:rPr>
        <w:t>projetos </w:t>
      </w:r>
      <w:r>
        <w:rPr/>
        <w:t>que a escola desenvolve. Verifica a coerência entre as atividades educativas e o projeto da escola, a pertinência com o marco administrativo e as demandas comunitárias e sociais. Seus indicadores são: Ecologia social e meio-ambiental; Instituição que aprende; Saúde organizacional; Trajetória inovadora; Articulação Organizacional; Dimensão intencional; Dimensão estrutural; Dimensão  estratégica; Revisar para melhorar e Cultura da</w:t>
      </w:r>
      <w:r>
        <w:rPr>
          <w:spacing w:val="-23"/>
        </w:rPr>
        <w:t> </w:t>
      </w:r>
      <w:r>
        <w:rPr/>
        <w:t>diversidade.</w:t>
      </w:r>
    </w:p>
    <w:p>
      <w:pPr>
        <w:pStyle w:val="BodyText"/>
        <w:spacing w:line="360" w:lineRule="auto" w:before="2"/>
        <w:ind w:left="308" w:right="98" w:firstLine="710"/>
        <w:jc w:val="both"/>
      </w:pPr>
      <w:r>
        <w:rPr/>
        <w:t>O segundo parâmetro (P04) da categoria mencionada refere-se à criatividade como valor, e visa percebê-la como conceito e valor explícito reconhecido no projeto educativo e curricular. Além disto, forma parte da filosofia da escola, em suas diversas manifestações, os indicadores como: Filosofia da Instituição; Normativa institucional; Planejamento anual; Aspectos  organizacionais; Gestão administrativa; Autorrealização pessoal; Programas de atuação; Relações humanas; Interação com o entorno – ambiente e Sistema de avaliação (TORRE,</w:t>
      </w:r>
      <w:r>
        <w:rPr>
          <w:spacing w:val="-11"/>
        </w:rPr>
        <w:t> </w:t>
      </w:r>
      <w:r>
        <w:rPr/>
        <w:t>2012).</w:t>
      </w:r>
    </w:p>
    <w:p>
      <w:pPr>
        <w:pStyle w:val="BodyText"/>
        <w:spacing w:line="360" w:lineRule="auto" w:before="2"/>
        <w:ind w:left="308" w:right="107" w:firstLine="705"/>
        <w:jc w:val="both"/>
      </w:pPr>
      <w:r>
        <w:rPr/>
        <w:t>A Visão transdisciplinar no projeto educativo (P06) é o terceiro parâmetro da categoria I e seu interesse é por saberes que estão entre e além do conhecimento acadêmico e científico. Preocupa-se com o desenvolvimento de </w:t>
      </w:r>
      <w:r>
        <w:rPr>
          <w:spacing w:val="-3"/>
        </w:rPr>
        <w:t>uma </w:t>
      </w:r>
      <w:r>
        <w:rPr/>
        <w:t>educação desde a vida e para a vida. Engloba pensamento, emoção e ação por meio da integração e da relação do indivíduo junto à sociedade e à </w:t>
      </w:r>
      <w:r>
        <w:rPr>
          <w:spacing w:val="57"/>
        </w:rPr>
        <w:t> </w:t>
      </w:r>
      <w:r>
        <w:rPr/>
        <w:t>natureza.</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10"/>
        <w:jc w:val="both"/>
      </w:pPr>
      <w:r>
        <w:rPr/>
        <w:t>Os indicadores que se agrupam nesse parâmetro são: Desenvolvimento humano; Desenvolvimento da consciência; Relevância da dimensão ética; Ecologia e Integração de saberes; Pensamento complexo; Formação docente transdisciplinar; Abertura a Emergências; Atitude transdisciplinar; Lógica inclusiva; Formação conectada à</w:t>
      </w:r>
      <w:r>
        <w:rPr>
          <w:spacing w:val="-10"/>
        </w:rPr>
        <w:t> </w:t>
      </w:r>
      <w:r>
        <w:rPr/>
        <w:t>vida.</w:t>
      </w:r>
    </w:p>
    <w:p>
      <w:pPr>
        <w:pStyle w:val="BodyText"/>
        <w:spacing w:line="360" w:lineRule="auto" w:before="7"/>
        <w:ind w:left="308" w:right="98" w:firstLine="705"/>
        <w:jc w:val="both"/>
      </w:pPr>
      <w:r>
        <w:rPr/>
        <w:t>O quarto parâmetro da categoria I refere-se aos Valores humanos sociais e meio-ambientais (P10) e visa avaliar a importância atribuída aos valores humanos e sociais, à pessoa em seu contexto, à inclusão dos menos favorecidos. Assim, pretende verificar se a escola trabalha valores sociais, afetivos, meio-ambientais, de liberdade e convivência, de solidariedade e colaboração, de direitos e deveres como cidadãos. Nesse sentido, seus indicadores são: Pessoais; Sócio-afetivos; Meio - ambientais e ecológicos; Solidários, Sociais, Justiça, igualdade, democracia; Reconhecimento; Consciência como valor; Convivência, inclusão social; Valores éticos; Valores Transcendentes.</w:t>
      </w:r>
    </w:p>
    <w:p>
      <w:pPr>
        <w:pStyle w:val="BodyText"/>
        <w:spacing w:line="360" w:lineRule="auto" w:before="3"/>
        <w:ind w:left="308" w:right="106" w:firstLine="705"/>
        <w:jc w:val="both"/>
      </w:pPr>
      <w:r>
        <w:rPr/>
        <w:t>A categoria II refere-se ao potencial de recursos humanos e tem como foco a valorização das pessoas que compõem a instituição e tudo que podem desenvolver com a consciência criativa. (TORRE, 2012). Estão agrupados nessa categoria II três parâmetros: Lideranças estimulantes (P01); Professores criativos (P02) e Espírito empreendedor (P05), conforme apresentados na figura 02:</w:t>
      </w:r>
    </w:p>
    <w:p>
      <w:pPr>
        <w:pStyle w:val="BodyText"/>
        <w:rPr>
          <w:sz w:val="26"/>
        </w:rPr>
      </w:pPr>
    </w:p>
    <w:p>
      <w:pPr>
        <w:pStyle w:val="BodyText"/>
        <w:rPr>
          <w:sz w:val="26"/>
        </w:rPr>
      </w:pPr>
    </w:p>
    <w:p>
      <w:pPr>
        <w:spacing w:before="224"/>
        <w:ind w:left="2065" w:right="0" w:firstLine="0"/>
        <w:jc w:val="left"/>
        <w:rPr>
          <w:b/>
          <w:sz w:val="20"/>
        </w:rPr>
      </w:pPr>
      <w:r>
        <w:rPr/>
        <w:pict>
          <v:group style="position:absolute;margin-left:186.175003pt;margin-top:23.924871pt;width:265.05pt;height:167.8pt;mso-position-horizontal-relative:page;mso-position-vertical-relative:paragraph;z-index:1528;mso-wrap-distance-left:0;mso-wrap-distance-right:0" coordorigin="3724,478" coordsize="5301,3356">
            <v:shape style="position:absolute;left:4672;top:604;width:3504;height:3125" type="#_x0000_t75" stroked="false">
              <v:imagedata r:id="rId17" o:title=""/>
            </v:shape>
            <v:rect style="position:absolute;left:3731;top:486;width:5286;height:3341" filled="false" stroked="true" strokeweight=".75pt" strokecolor="#000000">
              <v:stroke dashstyle="solid"/>
            </v:rect>
            <w10:wrap type="topAndBottom"/>
          </v:group>
        </w:pict>
      </w:r>
      <w:r>
        <w:rPr>
          <w:b/>
          <w:sz w:val="20"/>
        </w:rPr>
        <w:t>Figura 02: Agrupamento dos parâmetros da categoria II</w:t>
      </w:r>
    </w:p>
    <w:p>
      <w:pPr>
        <w:spacing w:before="0"/>
        <w:ind w:left="2007" w:right="0" w:firstLine="0"/>
        <w:jc w:val="left"/>
        <w:rPr>
          <w:sz w:val="20"/>
        </w:rPr>
      </w:pPr>
      <w:r>
        <w:rPr>
          <w:sz w:val="20"/>
        </w:rPr>
        <w:t>Fonte: Produção da pesquisadora.</w:t>
      </w:r>
    </w:p>
    <w:p>
      <w:pPr>
        <w:spacing w:after="0"/>
        <w:jc w:val="left"/>
        <w:rPr>
          <w:sz w:val="20"/>
        </w:rPr>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4" w:firstLine="710"/>
        <w:jc w:val="both"/>
      </w:pPr>
      <w:r>
        <w:rPr/>
        <w:t>Conforme a figura 02, na categoria II o primeiro parâmetro é representado pela Liderança estimulante (P01) que visa identificar como a equipe gestora da escola ou instituição demonstra consciência do papel relevante da criatividade na educação e se percebe a instituição como uma organização viva e capaz de gerar cultura própria. Verifica também se a gestão desenvolve liderança comprometida  e compartilhada, e se impulsiona e facilita os projetos inovadores e criativos (TORRE, 2012). Os indicadores agrupados nesse parâmetro são: Metas compartilhadas; Liderança criativa /Estilo inovador; Autopoiesis/Gestão do conhecimento; Clima de trabalho criativo; Crescimento interno; Imagem externa. Projeção; Recursos humanos competentes; Formação e inovação permanentes; Trabalho cooperativo, autoanálise e</w:t>
      </w:r>
      <w:r>
        <w:rPr>
          <w:spacing w:val="-20"/>
        </w:rPr>
        <w:t> </w:t>
      </w:r>
      <w:r>
        <w:rPr/>
        <w:t>avaliação.</w:t>
      </w:r>
    </w:p>
    <w:p>
      <w:pPr>
        <w:pStyle w:val="BodyText"/>
        <w:spacing w:line="352" w:lineRule="auto" w:before="2"/>
        <w:ind w:left="308" w:right="107" w:firstLine="710"/>
        <w:jc w:val="both"/>
      </w:pPr>
      <w:r>
        <w:rPr/>
        <w:t>Professores criativos (P02) é o segundo parâmetro dessa categoria que avalia a atitude dos professores em relação ao processo de formação, se o compreende como uma competência para vida. Identifica também a presença do espírito criativo, da atitude aberta, flexível, colaborativa e empreendedora</w:t>
      </w:r>
      <w:r>
        <w:rPr>
          <w:position w:val="11"/>
          <w:sz w:val="16"/>
        </w:rPr>
        <w:t>19</w:t>
      </w:r>
      <w:r>
        <w:rPr/>
        <w:t>, do clima  de  colaboração entre a  direção  e  a equipe  docente,  da  participação em</w:t>
      </w:r>
    </w:p>
    <w:p>
      <w:pPr>
        <w:pStyle w:val="BodyText"/>
        <w:spacing w:line="360" w:lineRule="auto" w:before="10"/>
        <w:ind w:left="308" w:right="110"/>
        <w:jc w:val="both"/>
      </w:pPr>
      <w:r>
        <w:rPr/>
        <w:t>programas de formação continuada e se existem atitudes de aprender com os erros e uso de estratégias criativas (TORRE, 2012). Assim, os indicadores que possibilitam a avaliação nessa categoria são: Convicção; Reconhecimento; Entusiasmo; Amplitude de Consciência; Transformação; Impacto; Vitalidade; Originalidade; Sentimento; Pensamento; Valores e Transmissão de valores.</w:t>
      </w:r>
    </w:p>
    <w:p>
      <w:pPr>
        <w:pStyle w:val="BodyText"/>
        <w:spacing w:line="360" w:lineRule="auto" w:before="2"/>
        <w:ind w:left="308" w:right="100" w:firstLine="710"/>
        <w:jc w:val="both"/>
      </w:pPr>
      <w:r>
        <w:rPr/>
        <w:pict>
          <v:line style="position:absolute;mso-position-horizontal-relative:page;mso-position-vertical-relative:paragraph;z-index:1552;mso-wrap-distance-left:0;mso-wrap-distance-right:0" from="99.407997pt,214.355896pt" to="243.457997pt,214.355896pt" stroked="true" strokeweight=".71997pt" strokecolor="#000000">
            <v:stroke dashstyle="solid"/>
            <w10:wrap type="topAndBottom"/>
          </v:line>
        </w:pict>
      </w:r>
      <w:r>
        <w:rPr/>
        <w:t>O terceiro parâmetro da categoria II trata do espírito empreendedor, que procura diagnosticar o espírito criativo que a equipe possui e a compreensão da escola como uma célula social geradora de mudança. Nesse sentido, avalia a existência de consciência e atitude em relação à direção e equipe docente, o respeitando a educação e a criatividade como transformação pessoal e social e o espírito empreendedor e transformador nos docentes e estudantes. Os dez indicadores que agrupa são: Autoconfiança e independência;  Persistência; Sentido de responsabilidade; Correr riscos calculados; Busca de oportunidades; Exigir eficiência e qualidade; Busca de informação; Fixar metas; Persuasão e redes de apoio; Planificação sistemática e seguimento.</w:t>
      </w:r>
    </w:p>
    <w:p>
      <w:pPr>
        <w:spacing w:before="36"/>
        <w:ind w:left="533" w:right="101" w:hanging="226"/>
        <w:jc w:val="both"/>
        <w:rPr>
          <w:sz w:val="20"/>
        </w:rPr>
      </w:pPr>
      <w:r>
        <w:rPr>
          <w:position w:val="10"/>
          <w:sz w:val="13"/>
        </w:rPr>
        <w:t>19 </w:t>
      </w:r>
      <w:r>
        <w:rPr>
          <w:sz w:val="20"/>
        </w:rPr>
        <w:t>A atitude empreendedora mencionada com muita frequência no questionário Vadecrie refere-se  à capacidade que as pessoas possuem para realizar </w:t>
      </w:r>
      <w:r>
        <w:rPr>
          <w:spacing w:val="-3"/>
          <w:sz w:val="20"/>
        </w:rPr>
        <w:t>ações </w:t>
      </w:r>
      <w:r>
        <w:rPr>
          <w:sz w:val="20"/>
        </w:rPr>
        <w:t>que transforme a realidade por meio da criação. Buscar soluções para problemas existentes de forma coletiva, criativa. É o fazer coletivo que forma e transforma (TORRE,</w:t>
      </w:r>
      <w:r>
        <w:rPr>
          <w:spacing w:val="-14"/>
          <w:sz w:val="20"/>
        </w:rPr>
        <w:t> </w:t>
      </w:r>
      <w:r>
        <w:rPr>
          <w:sz w:val="20"/>
        </w:rPr>
        <w:t>2012).</w:t>
      </w:r>
    </w:p>
    <w:p>
      <w:pPr>
        <w:spacing w:after="0"/>
        <w:jc w:val="both"/>
        <w:rPr>
          <w:sz w:val="20"/>
        </w:rPr>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10" w:firstLine="710"/>
        <w:jc w:val="both"/>
      </w:pPr>
      <w:r>
        <w:rPr/>
        <w:t>Os três parâmetros apresentados pelo questionário Vadecrie, para categoria II, que foram descritos aqui, focam a gestão dos recursos humanos e as relações internas e externas da escola e representam um “elemento chave de um sistema complexo como a educação ou serviços”. (Torre, 2012, p.104).</w:t>
      </w:r>
    </w:p>
    <w:p>
      <w:pPr>
        <w:pStyle w:val="BodyText"/>
        <w:spacing w:line="360" w:lineRule="auto" w:before="2"/>
        <w:ind w:left="308" w:right="106" w:firstLine="710"/>
        <w:jc w:val="both"/>
      </w:pPr>
      <w:r>
        <w:rPr/>
        <w:t>A terceira e última catedoria do questionário diz respeito ao Plano estratégico e a ação e tem como propósito avaliar a criatividade como potencial transformador do currículo e a consciência no planejamento e na ação. Semelhante à categoria anterior essa categoria agrupa três parâmetros, apresentados na figura 03.</w:t>
      </w:r>
    </w:p>
    <w:p>
      <w:pPr>
        <w:pStyle w:val="BodyText"/>
        <w:rPr>
          <w:sz w:val="26"/>
        </w:rPr>
      </w:pPr>
    </w:p>
    <w:p>
      <w:pPr>
        <w:pStyle w:val="BodyText"/>
        <w:rPr>
          <w:sz w:val="26"/>
        </w:rPr>
      </w:pPr>
    </w:p>
    <w:p>
      <w:pPr>
        <w:spacing w:before="230"/>
        <w:ind w:left="2070" w:right="0" w:firstLine="0"/>
        <w:jc w:val="left"/>
        <w:rPr>
          <w:b/>
          <w:sz w:val="20"/>
        </w:rPr>
      </w:pPr>
      <w:r>
        <w:rPr/>
        <w:pict>
          <v:group style="position:absolute;margin-left:186.925003pt;margin-top:24.164854pt;width:263.650pt;height:190.1pt;mso-position-horizontal-relative:page;mso-position-vertical-relative:paragraph;z-index:1576;mso-wrap-distance-left:0;mso-wrap-distance-right:0" coordorigin="3739,483" coordsize="5273,3802">
            <v:shape style="position:absolute;left:3754;top:498;width:5243;height:3772" type="#_x0000_t75" stroked="false">
              <v:imagedata r:id="rId18" o:title=""/>
            </v:shape>
            <v:rect style="position:absolute;left:3746;top:491;width:5258;height:3787" filled="false" stroked="true" strokeweight=".75pt" strokecolor="#000000">
              <v:stroke dashstyle="solid"/>
            </v:rect>
            <w10:wrap type="topAndBottom"/>
          </v:group>
        </w:pict>
      </w:r>
      <w:r>
        <w:rPr>
          <w:b/>
          <w:sz w:val="20"/>
        </w:rPr>
        <w:t>Figura 03: Agrupamentodos parâmetros da categoria III</w:t>
      </w:r>
    </w:p>
    <w:p>
      <w:pPr>
        <w:spacing w:before="0"/>
        <w:ind w:left="2065" w:right="0" w:firstLine="0"/>
        <w:jc w:val="left"/>
        <w:rPr>
          <w:sz w:val="20"/>
        </w:rPr>
      </w:pPr>
      <w:r>
        <w:rPr>
          <w:sz w:val="20"/>
        </w:rPr>
        <w:t>Fonte: Produção da pesquisadora</w:t>
      </w:r>
    </w:p>
    <w:p>
      <w:pPr>
        <w:pStyle w:val="BodyText"/>
        <w:rPr>
          <w:sz w:val="22"/>
        </w:rPr>
      </w:pPr>
    </w:p>
    <w:p>
      <w:pPr>
        <w:pStyle w:val="BodyText"/>
        <w:rPr>
          <w:sz w:val="22"/>
        </w:rPr>
      </w:pPr>
    </w:p>
    <w:p>
      <w:pPr>
        <w:pStyle w:val="BodyText"/>
        <w:spacing w:before="11"/>
        <w:rPr>
          <w:sz w:val="27"/>
        </w:rPr>
      </w:pPr>
    </w:p>
    <w:p>
      <w:pPr>
        <w:pStyle w:val="BodyText"/>
        <w:spacing w:line="360" w:lineRule="auto"/>
        <w:ind w:left="308" w:right="102" w:firstLine="705"/>
        <w:jc w:val="both"/>
      </w:pPr>
      <w:r>
        <w:rPr/>
        <w:t>O parâmetro que trata do currículo polivalente (P07) avalia se o currículo  ou programa da escola trabalha seus objetivos em termos de  competências, metas e conteúdos curriculares relacionados, ecologizados através dos projetos, cenários, situações, simulações. Procura identificar a formação polivalente e verificar os níveis de abertura, da flexibilidade, das adaptações e vivências. Os dez indicadores que o compõe são: O Currículo prescrito; Projeto da escola; Projeto de Sala de Aula; Alunos; Aprendizagem integrada; Aprendizagem autônoma e criativa; Objetivos abertos a emergências; Conteúdos formadores; Gestão da aula; Desenvolvimento e inovação. (TORRE,</w:t>
      </w:r>
      <w:r>
        <w:rPr>
          <w:spacing w:val="-23"/>
        </w:rPr>
        <w:t> </w:t>
      </w:r>
      <w:r>
        <w:rPr/>
        <w:t>2012).</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3" w:firstLine="705"/>
        <w:jc w:val="both"/>
      </w:pPr>
      <w:r>
        <w:rPr/>
        <w:t>O segundo parâmetro da categoria III refere-se às metodologias e estratégias diversificadas e visa diagnosticar se as mesmas são utilizadas pela escola/instituição e também se são centradas nos discentes ou agentes do processo educativo. Ressaltando que são consideradas metodologias e estratégias diversificadas as que se apresentam como flexíveis, imaginativas, variadas, adaptadas às metas, dinâmicas, as que são impactantes, implicativas, criativas e inovadoras. E, também que fazem uso de recursos tecnológicos, humanos, analógicos, virtuais. Portanto, os dez indicadores que possibilitam realizar o diagnóstico do parâmetro são: Plano estratégico do Centro; Projetos Criativos - Ecoformadores; Creática; Atividades criativas; Heurística e Solução de problemas; Integração de códigos e linguagens; Metodologias indiretas; Sentir/pensar Métodos vivenciais; Métodos colaborativos; Recursos humanos variados e Materiais analógicos e virtuais.</w:t>
      </w:r>
    </w:p>
    <w:p>
      <w:pPr>
        <w:pStyle w:val="BodyText"/>
        <w:spacing w:line="360" w:lineRule="auto" w:before="7"/>
        <w:ind w:left="308" w:right="102" w:firstLine="705"/>
        <w:jc w:val="both"/>
      </w:pPr>
      <w:r>
        <w:rPr/>
        <w:t>O terceiro e último parâmetro a ser mencionado diz respeito à avaliação formadora e emergente, se avalia os processos de avaliação utilizados  pela escola / instituição, </w:t>
      </w:r>
      <w:r>
        <w:rPr>
          <w:spacing w:val="-3"/>
        </w:rPr>
        <w:t>se </w:t>
      </w:r>
      <w:r>
        <w:rPr/>
        <w:t>utiliza um sistema de avaliação integral, filtrando todos os elementos organizativos e curriculares, dos docentes e discentes, de potencial humano e também materiais. Ainda verifica se o enfoque dado é formativo e transformador, bem como sua coerência com objetivos e metodologias. Destaca- se que são criativas, nesses aspectos, as escolas que têm </w:t>
      </w:r>
      <w:r>
        <w:rPr>
          <w:spacing w:val="2"/>
        </w:rPr>
        <w:t>em </w:t>
      </w:r>
      <w:r>
        <w:rPr/>
        <w:t>conta as mudanças, avanços, qualidade e melhora, tanto nas aprendizagens </w:t>
      </w:r>
      <w:r>
        <w:rPr>
          <w:spacing w:val="-4"/>
        </w:rPr>
        <w:t>como </w:t>
      </w:r>
      <w:r>
        <w:rPr/>
        <w:t>nos demais elementos, que observam os processos e utilizam uma variedade de instrumentos e estratégias para avaliar. Seus indicadores são: Sentido transformador; Orientação formativa; Reconhecimento; Focalização em valores; Eco-avaliação; Critérios qualitativos; Agentes avaliadores; Continuada, Multidimensional; Estratégias diversificadas e Avaliação</w:t>
      </w:r>
      <w:r>
        <w:rPr>
          <w:spacing w:val="-22"/>
        </w:rPr>
        <w:t> </w:t>
      </w:r>
      <w:r>
        <w:rPr/>
        <w:t>emergente.</w:t>
      </w:r>
    </w:p>
    <w:p>
      <w:pPr>
        <w:pStyle w:val="BodyText"/>
        <w:spacing w:line="360" w:lineRule="auto" w:before="7"/>
        <w:ind w:left="308" w:right="115" w:firstLine="705"/>
        <w:jc w:val="both"/>
      </w:pPr>
      <w:r>
        <w:rPr/>
        <w:t>Para fazer a avaliação utilizando o Vadecrie é necessário que as escolas e instituições educativas respondam os cem indicadores ou questões, atribuindo para cada uma delas um valor de 01 a 10 de acordo com o quadro de valoração qualitativa disponível no questionário, como segue.</w:t>
      </w:r>
    </w:p>
    <w:p>
      <w:pPr>
        <w:spacing w:after="0" w:line="360" w:lineRule="auto"/>
        <w:jc w:val="both"/>
        <w:sectPr>
          <w:headerReference w:type="default" r:id="rId19"/>
          <w:pgSz w:w="11910" w:h="16840"/>
          <w:pgMar w:header="1133" w:footer="0" w:top="1340" w:bottom="280" w:left="1680" w:right="1020"/>
        </w:sectPr>
      </w:pPr>
    </w:p>
    <w:p>
      <w:pPr>
        <w:pStyle w:val="BodyText"/>
        <w:spacing w:before="11"/>
        <w:rPr>
          <w:sz w:val="20"/>
        </w:rPr>
      </w:pPr>
    </w:p>
    <w:p>
      <w:pPr>
        <w:spacing w:before="95" w:after="42"/>
        <w:ind w:left="2079" w:right="0" w:firstLine="0"/>
        <w:jc w:val="left"/>
        <w:rPr>
          <w:b/>
          <w:sz w:val="20"/>
        </w:rPr>
      </w:pPr>
      <w:r>
        <w:rPr>
          <w:b/>
          <w:sz w:val="20"/>
        </w:rPr>
        <w:t>Tabela 03 - Valorização qualitativa e numérica Vadecrie</w:t>
      </w:r>
    </w:p>
    <w:tbl>
      <w:tblPr>
        <w:tblW w:w="0" w:type="auto"/>
        <w:jc w:val="left"/>
        <w:tblInd w:w="6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98"/>
        <w:gridCol w:w="1277"/>
        <w:gridCol w:w="1378"/>
      </w:tblGrid>
      <w:tr>
        <w:trPr>
          <w:trHeight w:val="468" w:hRule="exact"/>
        </w:trPr>
        <w:tc>
          <w:tcPr>
            <w:tcW w:w="5498" w:type="dxa"/>
            <w:shd w:val="clear" w:color="auto" w:fill="ADAAAA"/>
          </w:tcPr>
          <w:p>
            <w:pPr>
              <w:pStyle w:val="TableParagraph"/>
              <w:spacing w:before="107"/>
              <w:ind w:left="850"/>
              <w:jc w:val="left"/>
              <w:rPr>
                <w:b/>
                <w:sz w:val="20"/>
              </w:rPr>
            </w:pPr>
            <w:r>
              <w:rPr>
                <w:b/>
                <w:sz w:val="20"/>
              </w:rPr>
              <w:t>Presença da característica ou indicador</w:t>
            </w:r>
          </w:p>
        </w:tc>
        <w:tc>
          <w:tcPr>
            <w:tcW w:w="1277" w:type="dxa"/>
            <w:shd w:val="clear" w:color="auto" w:fill="ADAAAA"/>
          </w:tcPr>
          <w:p>
            <w:pPr>
              <w:pStyle w:val="TableParagraph"/>
              <w:spacing w:line="235" w:lineRule="auto"/>
              <w:ind w:left="172" w:right="11" w:hanging="48"/>
              <w:jc w:val="left"/>
              <w:rPr>
                <w:b/>
                <w:sz w:val="20"/>
              </w:rPr>
            </w:pPr>
            <w:r>
              <w:rPr>
                <w:b/>
                <w:sz w:val="20"/>
              </w:rPr>
              <w:t>Valorização Qualitativa</w:t>
            </w:r>
          </w:p>
        </w:tc>
        <w:tc>
          <w:tcPr>
            <w:tcW w:w="1378" w:type="dxa"/>
            <w:shd w:val="clear" w:color="auto" w:fill="ADAAAA"/>
          </w:tcPr>
          <w:p>
            <w:pPr>
              <w:pStyle w:val="TableParagraph"/>
              <w:spacing w:line="235" w:lineRule="auto"/>
              <w:ind w:left="225" w:right="112" w:hanging="101"/>
              <w:jc w:val="left"/>
              <w:rPr>
                <w:b/>
                <w:sz w:val="20"/>
              </w:rPr>
            </w:pPr>
            <w:r>
              <w:rPr>
                <w:b/>
                <w:sz w:val="20"/>
              </w:rPr>
              <w:t>Valorização Numérica</w:t>
            </w:r>
          </w:p>
        </w:tc>
      </w:tr>
      <w:tr>
        <w:trPr>
          <w:trHeight w:val="241" w:hRule="exact"/>
        </w:trPr>
        <w:tc>
          <w:tcPr>
            <w:tcW w:w="5498" w:type="dxa"/>
          </w:tcPr>
          <w:p>
            <w:pPr>
              <w:pStyle w:val="TableParagraph"/>
              <w:spacing w:line="225" w:lineRule="exact"/>
              <w:ind w:left="100"/>
              <w:jc w:val="left"/>
              <w:rPr>
                <w:sz w:val="20"/>
              </w:rPr>
            </w:pPr>
            <w:r>
              <w:rPr>
                <w:sz w:val="20"/>
              </w:rPr>
              <w:t>Nunca ou quase nunca</w:t>
            </w:r>
          </w:p>
        </w:tc>
        <w:tc>
          <w:tcPr>
            <w:tcW w:w="1277" w:type="dxa"/>
          </w:tcPr>
          <w:p>
            <w:pPr>
              <w:pStyle w:val="TableParagraph"/>
              <w:spacing w:line="225" w:lineRule="exact"/>
              <w:ind w:left="97"/>
              <w:rPr>
                <w:sz w:val="20"/>
              </w:rPr>
            </w:pPr>
            <w:r>
              <w:rPr>
                <w:w w:val="100"/>
                <w:sz w:val="20"/>
              </w:rPr>
              <w:t>D</w:t>
            </w:r>
          </w:p>
        </w:tc>
        <w:tc>
          <w:tcPr>
            <w:tcW w:w="1378" w:type="dxa"/>
          </w:tcPr>
          <w:p>
            <w:pPr>
              <w:pStyle w:val="TableParagraph"/>
              <w:spacing w:line="225" w:lineRule="exact"/>
              <w:ind w:left="430" w:right="430"/>
              <w:rPr>
                <w:sz w:val="20"/>
              </w:rPr>
            </w:pPr>
            <w:r>
              <w:rPr>
                <w:sz w:val="20"/>
              </w:rPr>
              <w:t>1-2</w:t>
            </w:r>
          </w:p>
        </w:tc>
      </w:tr>
      <w:tr>
        <w:trPr>
          <w:trHeight w:val="240" w:hRule="exact"/>
        </w:trPr>
        <w:tc>
          <w:tcPr>
            <w:tcW w:w="5498" w:type="dxa"/>
          </w:tcPr>
          <w:p>
            <w:pPr>
              <w:pStyle w:val="TableParagraph"/>
              <w:spacing w:line="225" w:lineRule="exact"/>
              <w:ind w:left="100"/>
              <w:jc w:val="left"/>
              <w:rPr>
                <w:sz w:val="20"/>
              </w:rPr>
            </w:pPr>
            <w:r>
              <w:rPr>
                <w:sz w:val="20"/>
              </w:rPr>
              <w:t>Às vezes. Ocasionalmente</w:t>
            </w:r>
          </w:p>
        </w:tc>
        <w:tc>
          <w:tcPr>
            <w:tcW w:w="1277" w:type="dxa"/>
          </w:tcPr>
          <w:p>
            <w:pPr>
              <w:pStyle w:val="TableParagraph"/>
              <w:spacing w:line="225" w:lineRule="exact"/>
              <w:ind w:left="97"/>
              <w:rPr>
                <w:sz w:val="20"/>
              </w:rPr>
            </w:pPr>
            <w:r>
              <w:rPr>
                <w:w w:val="100"/>
                <w:sz w:val="20"/>
              </w:rPr>
              <w:t>C</w:t>
            </w:r>
          </w:p>
        </w:tc>
        <w:tc>
          <w:tcPr>
            <w:tcW w:w="1378" w:type="dxa"/>
          </w:tcPr>
          <w:p>
            <w:pPr>
              <w:pStyle w:val="TableParagraph"/>
              <w:spacing w:line="225" w:lineRule="exact"/>
              <w:ind w:left="431" w:right="430"/>
              <w:rPr>
                <w:sz w:val="20"/>
              </w:rPr>
            </w:pPr>
            <w:r>
              <w:rPr>
                <w:sz w:val="20"/>
              </w:rPr>
              <w:t>3-4-5</w:t>
            </w:r>
          </w:p>
        </w:tc>
      </w:tr>
      <w:tr>
        <w:trPr>
          <w:trHeight w:val="240" w:hRule="exact"/>
        </w:trPr>
        <w:tc>
          <w:tcPr>
            <w:tcW w:w="5498" w:type="dxa"/>
          </w:tcPr>
          <w:p>
            <w:pPr>
              <w:pStyle w:val="TableParagraph"/>
              <w:spacing w:line="225" w:lineRule="exact"/>
              <w:ind w:left="100"/>
              <w:jc w:val="left"/>
              <w:rPr>
                <w:sz w:val="20"/>
              </w:rPr>
            </w:pPr>
            <w:r>
              <w:rPr>
                <w:sz w:val="20"/>
              </w:rPr>
              <w:t>Muitas vezes ou ocasiões existem evidências do indicador</w:t>
            </w:r>
          </w:p>
        </w:tc>
        <w:tc>
          <w:tcPr>
            <w:tcW w:w="1277" w:type="dxa"/>
          </w:tcPr>
          <w:p>
            <w:pPr>
              <w:pStyle w:val="TableParagraph"/>
              <w:spacing w:line="225" w:lineRule="exact"/>
              <w:ind w:left="95"/>
              <w:rPr>
                <w:sz w:val="20"/>
              </w:rPr>
            </w:pPr>
            <w:r>
              <w:rPr>
                <w:w w:val="100"/>
                <w:sz w:val="20"/>
              </w:rPr>
              <w:t>B</w:t>
            </w:r>
          </w:p>
        </w:tc>
        <w:tc>
          <w:tcPr>
            <w:tcW w:w="1378" w:type="dxa"/>
          </w:tcPr>
          <w:p>
            <w:pPr>
              <w:pStyle w:val="TableParagraph"/>
              <w:spacing w:line="225" w:lineRule="exact"/>
              <w:ind w:left="431" w:right="430"/>
              <w:rPr>
                <w:sz w:val="20"/>
              </w:rPr>
            </w:pPr>
            <w:r>
              <w:rPr>
                <w:sz w:val="20"/>
              </w:rPr>
              <w:t>6-7-8</w:t>
            </w:r>
          </w:p>
        </w:tc>
      </w:tr>
      <w:tr>
        <w:trPr>
          <w:trHeight w:val="470" w:hRule="exact"/>
        </w:trPr>
        <w:tc>
          <w:tcPr>
            <w:tcW w:w="5498" w:type="dxa"/>
          </w:tcPr>
          <w:p>
            <w:pPr>
              <w:pStyle w:val="TableParagraph"/>
              <w:ind w:left="100" w:right="110"/>
              <w:jc w:val="left"/>
              <w:rPr>
                <w:sz w:val="20"/>
              </w:rPr>
            </w:pPr>
            <w:r>
              <w:rPr>
                <w:sz w:val="20"/>
              </w:rPr>
              <w:t>De continuo. Evidências claras de aparição do indicador ou característica</w:t>
            </w:r>
          </w:p>
        </w:tc>
        <w:tc>
          <w:tcPr>
            <w:tcW w:w="1277" w:type="dxa"/>
          </w:tcPr>
          <w:p>
            <w:pPr>
              <w:pStyle w:val="TableParagraph"/>
              <w:spacing w:before="110"/>
              <w:ind w:left="95"/>
              <w:rPr>
                <w:sz w:val="20"/>
              </w:rPr>
            </w:pPr>
            <w:r>
              <w:rPr>
                <w:w w:val="100"/>
                <w:sz w:val="20"/>
              </w:rPr>
              <w:t>A</w:t>
            </w:r>
          </w:p>
        </w:tc>
        <w:tc>
          <w:tcPr>
            <w:tcW w:w="1378" w:type="dxa"/>
          </w:tcPr>
          <w:p>
            <w:pPr>
              <w:pStyle w:val="TableParagraph"/>
              <w:spacing w:before="110"/>
              <w:ind w:left="430" w:right="430"/>
              <w:rPr>
                <w:sz w:val="20"/>
              </w:rPr>
            </w:pPr>
            <w:r>
              <w:rPr>
                <w:sz w:val="20"/>
              </w:rPr>
              <w:t>9-10</w:t>
            </w:r>
          </w:p>
        </w:tc>
      </w:tr>
    </w:tbl>
    <w:p>
      <w:pPr>
        <w:spacing w:before="0"/>
        <w:ind w:left="591" w:right="0" w:firstLine="0"/>
        <w:jc w:val="left"/>
        <w:rPr>
          <w:sz w:val="20"/>
        </w:rPr>
      </w:pPr>
      <w:r>
        <w:rPr>
          <w:sz w:val="20"/>
        </w:rPr>
        <w:t>Fonte: Torre (2012).</w:t>
      </w:r>
    </w:p>
    <w:p>
      <w:pPr>
        <w:pStyle w:val="BodyText"/>
        <w:rPr>
          <w:sz w:val="22"/>
        </w:rPr>
      </w:pPr>
    </w:p>
    <w:p>
      <w:pPr>
        <w:pStyle w:val="BodyText"/>
        <w:rPr>
          <w:sz w:val="22"/>
        </w:rPr>
      </w:pPr>
    </w:p>
    <w:p>
      <w:pPr>
        <w:pStyle w:val="BodyText"/>
        <w:spacing w:line="360" w:lineRule="auto" w:before="187"/>
        <w:ind w:left="308" w:right="105" w:firstLine="705"/>
        <w:jc w:val="both"/>
      </w:pPr>
      <w:r>
        <w:rPr/>
        <w:t>A tabela de valorização numérica do questionário Vadecrie exposta acima, possui três colunas, de modo que na primeira coluna há quatro itens de avaliação da frequência da presença do indicador; a segunda coluna consta atribuição qualitativa para essa frequência, e na terceira coluna a atribuição numérica da frequência diagnóstica. Com base nessa tabela é possível identificar em quais categorias, parâmetros ou indicadores a instituição avaliada apresenta indicio de criatividade considerando a obtenção de conceitos B ou A, ou nota correspondente ao menos </w:t>
      </w:r>
      <w:r>
        <w:rPr>
          <w:spacing w:val="2"/>
        </w:rPr>
        <w:t>em </w:t>
      </w:r>
      <w:r>
        <w:rPr/>
        <w:t>seis </w:t>
      </w:r>
      <w:r>
        <w:rPr>
          <w:spacing w:val="2"/>
        </w:rPr>
        <w:t>dos </w:t>
      </w:r>
      <w:r>
        <w:rPr/>
        <w:t>dez parâmetros </w:t>
      </w:r>
      <w:r>
        <w:rPr>
          <w:spacing w:val="-3"/>
        </w:rPr>
        <w:t>já </w:t>
      </w:r>
      <w:r>
        <w:rPr/>
        <w:t>mencionados. Nesse sentindo, quanto “maior valor obtido, maior é a presença do indicador descrito ou percebido pelo avaliador” (TORRE, 2012,</w:t>
      </w:r>
      <w:r>
        <w:rPr>
          <w:spacing w:val="-23"/>
        </w:rPr>
        <w:t> </w:t>
      </w:r>
      <w:r>
        <w:rPr/>
        <w:t>154).</w:t>
      </w:r>
    </w:p>
    <w:p>
      <w:pPr>
        <w:pStyle w:val="BodyText"/>
        <w:spacing w:line="360" w:lineRule="auto" w:before="3"/>
        <w:ind w:left="308" w:right="102" w:firstLine="705"/>
        <w:jc w:val="both"/>
      </w:pPr>
      <w:r>
        <w:rPr/>
        <w:t>Na pesquisa em questão, o procedimento de diagnóstico, que fez uso do questionário Vadecrie, foi realizado em três momentos sucessivos. O primeiro momento foi de contato com a Secretaria Municipal de Educação de Gurupi – SEMEG, com apresentação da proposta de pesquisa para o secretário municipal de educação e obtenção da autorização para realização da investigação nas escolas da rede municipal (Anexo A). Em seguida, foi feito o levantamento empírico junto ao setor de supervisão escolar sobre as escolas de anos iniciais que foram destaque em 2012 pelo trabalho realizado em equipe e pelo desenvolvimento de ações e projetos considerados de sucesso pela SEMEG.</w:t>
      </w:r>
    </w:p>
    <w:p>
      <w:pPr>
        <w:pStyle w:val="BodyText"/>
        <w:spacing w:line="360" w:lineRule="auto" w:before="7"/>
        <w:ind w:left="308" w:right="110" w:firstLine="705"/>
        <w:jc w:val="both"/>
      </w:pPr>
      <w:r>
        <w:rPr/>
        <w:t>Dessa busca inicial obteve-se uma relação de cinco escolas, sendo quatro da zona urbana e uma escola rural, as quais foram definidas pelas supervisoras como sendo escolas que no ano de 2012 apresentaram melhorias nos índices de aprovação e conseguiram realizar com sucesso os projetos e ações previstas nos respectivos Projetos Políticos Pedagógicos.</w:t>
      </w:r>
    </w:p>
    <w:p>
      <w:pPr>
        <w:pStyle w:val="BodyText"/>
        <w:spacing w:line="360" w:lineRule="auto" w:before="2"/>
        <w:ind w:left="308" w:right="111" w:firstLine="705"/>
        <w:jc w:val="both"/>
      </w:pPr>
      <w:r>
        <w:rPr/>
        <w:t>Após a obtenção da lista de escolas, o segundo momento consistiu em estabelecer contato com as mesmas para a apresentação da pesquisa e dos seus</w:t>
      </w:r>
    </w:p>
    <w:p>
      <w:pPr>
        <w:spacing w:after="0" w:line="360" w:lineRule="auto"/>
        <w:jc w:val="both"/>
        <w:sectPr>
          <w:headerReference w:type="default" r:id="rId20"/>
          <w:pgSz w:w="11910" w:h="16840"/>
          <w:pgMar w:header="1133" w:footer="0" w:top="1340" w:bottom="280" w:left="1680" w:right="1020"/>
          <w:pgNumType w:start="101"/>
        </w:sectPr>
      </w:pPr>
    </w:p>
    <w:p>
      <w:pPr>
        <w:pStyle w:val="BodyText"/>
        <w:spacing w:before="3"/>
        <w:rPr>
          <w:sz w:val="21"/>
        </w:rPr>
      </w:pPr>
    </w:p>
    <w:p>
      <w:pPr>
        <w:pStyle w:val="BodyText"/>
        <w:spacing w:line="362" w:lineRule="auto" w:before="92"/>
        <w:ind w:left="308"/>
      </w:pPr>
      <w:r>
        <w:rPr/>
        <w:t>objetivos. A escolha da primeira escola a ser abordada deu-se pela utilização da mesma sequência da lista fornecida pela SEMEG.</w:t>
      </w:r>
    </w:p>
    <w:p>
      <w:pPr>
        <w:pStyle w:val="BodyText"/>
        <w:spacing w:line="360" w:lineRule="auto"/>
        <w:ind w:left="308" w:right="106" w:firstLine="705"/>
        <w:jc w:val="both"/>
      </w:pPr>
      <w:r>
        <w:rPr/>
        <w:t>Assim, as visitas foram realizadas de modo que a primeira escola listada foi também a primeira escola visitada e assim sucessivamente, conforme proposta metodológica definida que consistiu em: apresentação da proposta da pesquisa à comunidade escolar; a aplicação do instrumento de diagnóstico com os gestores, professores, servidores, pais ou responsáveis; sistematização de todos os dados do diagnóstico para verificar se a escola possuía ou não indícios de criatividade.</w:t>
      </w:r>
    </w:p>
    <w:p>
      <w:pPr>
        <w:pStyle w:val="BodyText"/>
        <w:spacing w:line="360" w:lineRule="auto" w:before="2"/>
        <w:ind w:left="308" w:right="104" w:firstLine="705"/>
        <w:jc w:val="both"/>
      </w:pPr>
      <w:r>
        <w:rPr/>
        <w:t>O terceiro momento tratou da sistematização e análise dos dados  coletados com base no quadro de valorização numérica do instrumento Vadecrie, justamente por ser um instrumento de diagnóstico usado para identificação do desenvolvimento criativo de instituições de ensino. Assim sendo, na primeira escola foram distribuídos inicialmente 15 questionários</w:t>
      </w:r>
      <w:r>
        <w:rPr>
          <w:b/>
        </w:rPr>
        <w:t>, </w:t>
      </w:r>
      <w:r>
        <w:rPr/>
        <w:t>cada um contendo: a)  </w:t>
      </w:r>
      <w:r>
        <w:rPr>
          <w:spacing w:val="-3"/>
        </w:rPr>
        <w:t>uma </w:t>
      </w:r>
      <w:r>
        <w:rPr/>
        <w:t>carta explicando sobre a pesquisa, os seus objetivos, a importância da participação de cada entrevistado e a necessidade das respostas serem individuais, com intuito de garantir a fidelidade do diagnóstico (Apêndice A); b) um questionário contendo cem questões, distribuídas em dez questões parâmetros e cada um deles com dez</w:t>
      </w:r>
      <w:r>
        <w:rPr>
          <w:spacing w:val="-14"/>
        </w:rPr>
        <w:t> </w:t>
      </w:r>
      <w:r>
        <w:rPr/>
        <w:t>indicadores.</w:t>
      </w:r>
    </w:p>
    <w:p>
      <w:pPr>
        <w:pStyle w:val="BodyText"/>
        <w:spacing w:line="360" w:lineRule="auto" w:before="2"/>
        <w:ind w:left="308" w:right="108" w:firstLine="705"/>
        <w:jc w:val="both"/>
      </w:pPr>
      <w:r>
        <w:rPr/>
        <w:t>Nesse </w:t>
      </w:r>
      <w:r>
        <w:rPr>
          <w:spacing w:val="-3"/>
        </w:rPr>
        <w:t>mesmo </w:t>
      </w:r>
      <w:r>
        <w:rPr/>
        <w:t>sentido, na atual pesquisa, o questionário e a carta explicativa (APÊNDICE A) foram distribuídos inicialmente para 03 gestores, 08 professores dos anos iniciais e 03 servidores da primeira escola visitada. Em seguida, na </w:t>
      </w:r>
      <w:r>
        <w:rPr>
          <w:spacing w:val="-3"/>
        </w:rPr>
        <w:t>mesma </w:t>
      </w:r>
      <w:r>
        <w:rPr/>
        <w:t>ocasião foram agendadas com a coordenadora pedagógica, no período de 19 a 21 de junho de 2013, nos turnos matutinos e vespertinos, as visitas da pesquisadora com objetivo de prestar esclarecimentos e sanar dúvidas com relação ao documento entregue. Posteriormente, foram realizadas apenas duas visitas nesse formato, onde se conversou individualmente com cada uma das pessoas sobre o preenchimento do referido</w:t>
      </w:r>
      <w:r>
        <w:rPr>
          <w:spacing w:val="-31"/>
        </w:rPr>
        <w:t> </w:t>
      </w:r>
      <w:r>
        <w:rPr/>
        <w:t>documento.</w:t>
      </w:r>
    </w:p>
    <w:p>
      <w:pPr>
        <w:pStyle w:val="BodyText"/>
        <w:spacing w:line="360" w:lineRule="auto" w:before="2"/>
        <w:ind w:left="308" w:right="110" w:firstLine="705"/>
        <w:jc w:val="both"/>
      </w:pPr>
      <w:r>
        <w:rPr/>
        <w:t>No dia 24 de junho de 2013 foram recolhidos 12 dos 15 questionários por razões e situações como: doença de professor, aposentadoria de servidora e  troca de aula com outro docente. Assim, esses fatos impediram a entrega de 03 dos 15 questionários distribuídos. Considerando a proximidade com período de férias, ficou acordado com a direção da escola que os questionários destinados aos pais e aos demais servidores seriam entregues em momento posterior, no início das aulas do segundo semestre, no mês de agosto de</w:t>
      </w:r>
      <w:r>
        <w:rPr>
          <w:spacing w:val="-30"/>
        </w:rPr>
        <w:t> </w:t>
      </w:r>
      <w:r>
        <w:rPr/>
        <w:t>2013.</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6" w:firstLine="705"/>
        <w:jc w:val="both"/>
      </w:pPr>
      <w:r>
        <w:rPr/>
        <w:t>Logo após o recolhimento dos questionários foi realizada uma sistematização prévia dos dados por meio da elaboração de uma tabela para lançamentos das respostas marcadas de modo que facilitasse a visualização e a tabulação dos resultados por parâmetro avaliado, visando identificar a categoria, os parâmetros e indicadores que a escola avaliada apresentaria como indícios de criatividade com base nos critérios definidos previamente estabelecidos. Caso contrário, a escola seria descartada e outra escola deveria ser diagnosticada até que se obtivesse uma instituição com os resultados desejados.</w:t>
      </w:r>
    </w:p>
    <w:p>
      <w:pPr>
        <w:pStyle w:val="BodyText"/>
        <w:spacing w:line="360" w:lineRule="auto" w:before="2"/>
        <w:ind w:left="308" w:right="104" w:firstLine="705"/>
        <w:jc w:val="both"/>
      </w:pPr>
      <w:r>
        <w:rPr/>
        <w:t>Ainda nesse </w:t>
      </w:r>
      <w:r>
        <w:rPr>
          <w:spacing w:val="-3"/>
        </w:rPr>
        <w:t>mesmo </w:t>
      </w:r>
      <w:r>
        <w:rPr/>
        <w:t>contexto, ao realizar a sistematização da primeira escola diagnosticada, notou-se que dos 12 questionários recolhidos, 08 questionários que foram distribuídos aos professores apresentaram padrão de respostas iguais em todas as questões/indicadores, evidenciando assim, que os professores a despeito s orientações repassadas e esclarecimentos prestados, replicaram as respostas dos questionários, situação que a pesquisadora considerou que inviabilizou </w:t>
      </w:r>
      <w:r>
        <w:rPr>
          <w:spacing w:val="-3"/>
        </w:rPr>
        <w:t>uma </w:t>
      </w:r>
      <w:r>
        <w:rPr/>
        <w:t>leitura da realidade da escola em questão, </w:t>
      </w:r>
      <w:r>
        <w:rPr>
          <w:spacing w:val="-3"/>
        </w:rPr>
        <w:t>uma </w:t>
      </w:r>
      <w:r>
        <w:rPr/>
        <w:t>vez que foram entregues questionários a todos os professores dos anos iniciais  da escola nessa fase de</w:t>
      </w:r>
      <w:r>
        <w:rPr>
          <w:spacing w:val="-12"/>
        </w:rPr>
        <w:t> </w:t>
      </w:r>
      <w:r>
        <w:rPr/>
        <w:t>coleta.</w:t>
      </w:r>
    </w:p>
    <w:p>
      <w:pPr>
        <w:pStyle w:val="BodyText"/>
        <w:spacing w:line="360" w:lineRule="auto" w:before="7"/>
        <w:ind w:left="308" w:right="102" w:firstLine="705"/>
        <w:jc w:val="both"/>
      </w:pPr>
      <w:r>
        <w:rPr/>
        <w:t>Outro aspecto observado é que a equipe escolar fez várias reclamações quanto ao documento, em relação à compreensão das questões, que consideraram difíceis e também o consideram muito extenso. Com base nesses dados, antes de fazer contato com a próxima escola da lista,  a pesquisadora optou por fazer uma adaptação no instrumento reduzindo-o de cem para sessenta questões.</w:t>
      </w:r>
    </w:p>
    <w:p>
      <w:pPr>
        <w:pStyle w:val="BodyText"/>
        <w:spacing w:line="360" w:lineRule="auto" w:before="3"/>
        <w:ind w:left="308" w:right="104" w:firstLine="710"/>
        <w:jc w:val="both"/>
      </w:pPr>
      <w:r>
        <w:rPr/>
        <w:t>Após a adaptação o questionário final ficou com dez parâmetros e seis indicadores por parâmetro, perfazendo um total de sessenta questões para serem respondidas com marcações e um a dez, conforme opções de alternativas para marcação disponibilizadas no documento original (ANEXO C). Não foram realizadas alterações na tabela de valorização qualitativa e numérica do instrumento.</w:t>
      </w:r>
    </w:p>
    <w:p>
      <w:pPr>
        <w:pStyle w:val="BodyText"/>
        <w:spacing w:line="360" w:lineRule="auto" w:before="2"/>
        <w:ind w:left="308" w:right="108" w:firstLine="705"/>
        <w:jc w:val="both"/>
      </w:pPr>
      <w:r>
        <w:rPr/>
        <w:t>Feito isso, foi realizado o contato com a segunda escola em novembro de 2013, onde se repetiu os mesmos procedimentos de aproximação e agendamento de visitas. Para evitar problemas com as respostas dos questionários, foram realizadas mais visitas à escola nos períodos combinados com a direção e os recolhimentos  foram  feitos  à  medida  que  as  pessoas  iam concluindo, embora</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right="114"/>
        <w:jc w:val="both"/>
      </w:pPr>
      <w:r>
        <w:rPr/>
        <w:t>alguns questionários tenham sido recolhidos juntos a coordenadora pedagógica em razão indisponibilidade dos participantes de fazê-lo em outro momento.</w:t>
      </w:r>
    </w:p>
    <w:p>
      <w:pPr>
        <w:pStyle w:val="BodyText"/>
        <w:spacing w:line="360" w:lineRule="auto"/>
        <w:ind w:left="308" w:right="104" w:firstLine="705"/>
        <w:jc w:val="both"/>
      </w:pPr>
      <w:r>
        <w:rPr/>
        <w:t>Nessa escola, foram distribuídos questionários para todos os gestores, professores e servidores da escola, perfazendo um total de 22 questionários sendo: 06 para os gestores (01 diretora, 01 coordenadora, 02 orientadora educacional, 01 coordenadora de biblioteca, 01 coordenadora do laboratório de informática); 06 para os professores dos anos iniciais e 10 para os servidores (vigias, auxiliares de serviços gerais, secretária e auxiliar de secretaria, serventes porteiras e responsáveis pela disciplina no pátio da escola). Destes, foram recolhidos 15 questionários todos respondidos.</w:t>
      </w:r>
    </w:p>
    <w:p>
      <w:pPr>
        <w:pStyle w:val="BodyText"/>
        <w:spacing w:line="352" w:lineRule="auto" w:before="3"/>
        <w:ind w:left="308" w:right="106" w:firstLine="705"/>
        <w:jc w:val="both"/>
      </w:pPr>
      <w:r>
        <w:rPr/>
        <w:t>No passo seguinte, a pesquisadora retornou à escola para tratar com a diretora sobre o envio do questionário aos pais. A escola possuía nos anos  iniciais do ensino fundamental 171 alunos e 140 pais ou responsáveis</w:t>
      </w:r>
      <w:r>
        <w:rPr>
          <w:position w:val="11"/>
          <w:sz w:val="16"/>
        </w:rPr>
        <w:t>20</w:t>
      </w:r>
      <w:r>
        <w:rPr/>
        <w:t>. Considerando que estatisticamente um percentual considerado mínimo para aplicação  de  questionário  seria  20%  dos  sujeitos  da  população  definida   </w:t>
      </w:r>
      <w:r>
        <w:rPr>
          <w:spacing w:val="16"/>
        </w:rPr>
        <w:t> </w:t>
      </w:r>
      <w:r>
        <w:rPr/>
        <w:t>na</w:t>
      </w:r>
    </w:p>
    <w:p>
      <w:pPr>
        <w:pStyle w:val="BodyText"/>
        <w:spacing w:line="360" w:lineRule="auto" w:before="10"/>
        <w:ind w:left="308" w:right="105"/>
        <w:jc w:val="both"/>
      </w:pPr>
      <w:r>
        <w:rPr/>
        <w:t>comunidade escolar (RICHARDSON, 1999; CONTANDRIOPOULOS et al, 1994; RUDIO,2007), nesse aspecto foi estabelecido como amostra mínima um total de 28 pais.</w:t>
      </w:r>
    </w:p>
    <w:p>
      <w:pPr>
        <w:pStyle w:val="BodyText"/>
        <w:spacing w:line="360" w:lineRule="auto" w:before="2"/>
        <w:ind w:left="308" w:right="110" w:firstLine="705"/>
        <w:jc w:val="both"/>
      </w:pPr>
      <w:r>
        <w:rPr/>
        <w:t>A aplicação do questionário com pais foi planejada inicialmente para ser realizada via envio do questionário por intermédio do aluno, com carta explicativa para que os pais respondessem e devolvessem na escola, no entanto, ao comentar com a gestora escolar sobre a estratégia de coleta, a pesquisadora foi orientada pela gestora a procurar os pais na própria escola, nos momentos de entrada e saída das crianças ou nos momentos </w:t>
      </w:r>
      <w:r>
        <w:rPr>
          <w:spacing w:val="2"/>
        </w:rPr>
        <w:t>em </w:t>
      </w:r>
      <w:r>
        <w:rPr/>
        <w:t>que procuram a escolas para tratar das questões dos filhos, sob a argumentação de que dificilmente os questionários retornariam preenchidos, com base na própria experiência da  escola com documentos que são enviados por intermédio das crianças e que não costumam ser</w:t>
      </w:r>
      <w:r>
        <w:rPr>
          <w:spacing w:val="-5"/>
        </w:rPr>
        <w:t> </w:t>
      </w:r>
      <w:r>
        <w:rPr/>
        <w:t>devolvidos.</w:t>
      </w:r>
    </w:p>
    <w:p>
      <w:pPr>
        <w:pStyle w:val="BodyText"/>
        <w:spacing w:line="360" w:lineRule="auto" w:before="2"/>
        <w:ind w:left="308" w:right="108" w:firstLine="705"/>
        <w:jc w:val="both"/>
      </w:pPr>
      <w:r>
        <w:rPr/>
        <w:t>Com base nessa sugestão, a pesquisadora tomou a decisão de  estabelecer como critério aplicar o diagnóstico com o grupo de pais ou responsáveis que aparecessem na escola no período da coleta. Durante </w:t>
      </w:r>
      <w:r>
        <w:rPr>
          <w:spacing w:val="-3"/>
        </w:rPr>
        <w:t>uma </w:t>
      </w:r>
      <w:r>
        <w:rPr/>
        <w:t>semana a pesquisadora abordou os pais na escola conversando sobre a</w:t>
      </w:r>
      <w:r>
        <w:rPr>
          <w:spacing w:val="-15"/>
        </w:rPr>
        <w:t> </w:t>
      </w:r>
      <w:r>
        <w:rPr/>
        <w:t>pesquisa</w:t>
      </w:r>
    </w:p>
    <w:p>
      <w:pPr>
        <w:pStyle w:val="BodyText"/>
        <w:rPr>
          <w:sz w:val="20"/>
        </w:rPr>
      </w:pPr>
    </w:p>
    <w:p>
      <w:pPr>
        <w:pStyle w:val="BodyText"/>
        <w:spacing w:before="7"/>
        <w:rPr>
          <w:sz w:val="12"/>
        </w:rPr>
      </w:pPr>
      <w:r>
        <w:rPr/>
        <w:pict>
          <v:line style="position:absolute;mso-position-horizontal-relative:page;mso-position-vertical-relative:paragraph;z-index:1600;mso-wrap-distance-left:0;mso-wrap-distance-right:0" from="99.407997pt,9.598705pt" to="243.457997pt,9.598705pt" stroked="true" strokeweight=".71997pt" strokecolor="#000000">
            <v:stroke dashstyle="solid"/>
            <w10:wrap type="topAndBottom"/>
          </v:line>
        </w:pict>
      </w:r>
    </w:p>
    <w:p>
      <w:pPr>
        <w:spacing w:before="47"/>
        <w:ind w:left="308" w:right="0" w:firstLine="0"/>
        <w:jc w:val="left"/>
        <w:rPr>
          <w:sz w:val="20"/>
        </w:rPr>
      </w:pPr>
      <w:r>
        <w:rPr>
          <w:rFonts w:ascii="Times New Roman"/>
          <w:position w:val="9"/>
          <w:sz w:val="13"/>
        </w:rPr>
        <w:t>20  </w:t>
      </w:r>
      <w:r>
        <w:rPr>
          <w:sz w:val="20"/>
        </w:rPr>
        <w:t>Dados referentes ao ano de 2013.</w:t>
      </w:r>
    </w:p>
    <w:p>
      <w:pPr>
        <w:spacing w:after="0"/>
        <w:jc w:val="left"/>
        <w:rPr>
          <w:sz w:val="20"/>
        </w:rPr>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e convidando a participar da fase diagnóstica da pesquisa, respondendo o questionário.</w:t>
      </w:r>
    </w:p>
    <w:p>
      <w:pPr>
        <w:pStyle w:val="BodyText"/>
        <w:spacing w:line="360" w:lineRule="auto"/>
        <w:ind w:left="308" w:right="105" w:firstLine="705"/>
        <w:jc w:val="both"/>
      </w:pPr>
      <w:r>
        <w:rPr/>
        <w:t>Ao todo foram abordados 25 pais ou responsáveis e desses somente 13 aceitaram responder o questionário, para os quais foi entregue </w:t>
      </w:r>
      <w:r>
        <w:rPr>
          <w:spacing w:val="-3"/>
        </w:rPr>
        <w:t>uma </w:t>
      </w:r>
      <w:r>
        <w:rPr/>
        <w:t>carta contendo explicações sobre a pesquisa, seus objetivos e a importância da participação de cada um para conclusão do diagnóstico, destes somente 05 pais ou responsáveis devolveram o questionário e</w:t>
      </w:r>
      <w:r>
        <w:rPr>
          <w:spacing w:val="-26"/>
        </w:rPr>
        <w:t> </w:t>
      </w:r>
      <w:r>
        <w:rPr/>
        <w:t>respondido.</w:t>
      </w:r>
    </w:p>
    <w:p>
      <w:pPr>
        <w:pStyle w:val="BodyText"/>
        <w:spacing w:line="360" w:lineRule="auto" w:before="2"/>
        <w:ind w:left="308" w:right="102" w:firstLine="705"/>
        <w:jc w:val="both"/>
      </w:pPr>
      <w:r>
        <w:rPr/>
        <w:t>Considerando que quantidade de questionários recebidos dos pais foi insuficiente para amostra mínima estabelecida, a pesquisadora tomou a decisão de realizar uma nova coleta com pais ou responsáveis visitando-os nas residências.</w:t>
      </w:r>
    </w:p>
    <w:p>
      <w:pPr>
        <w:pStyle w:val="BodyText"/>
        <w:spacing w:line="360" w:lineRule="auto" w:before="2"/>
        <w:ind w:left="308" w:right="102" w:firstLine="705"/>
        <w:jc w:val="both"/>
      </w:pPr>
      <w:r>
        <w:rPr/>
        <w:t>Em 2014 a escola passou por </w:t>
      </w:r>
      <w:r>
        <w:rPr>
          <w:spacing w:val="-3"/>
        </w:rPr>
        <w:t>uma </w:t>
      </w:r>
      <w:r>
        <w:rPr/>
        <w:t>reestruturação curricular e deixou de ofertar os anos finais do ensino fundamental, até então seu maior público, e passou ofertar a partir de janeiro de 2014, educação infantil e ampliou a oferta dos anos iniciais. Por esse motivo o processo de matrícula foi prolongado e a busca  de dados junto à secretária só foi possível após esse processo, onde se obteve endereços das famílias para realização das</w:t>
      </w:r>
      <w:r>
        <w:rPr>
          <w:spacing w:val="-19"/>
        </w:rPr>
        <w:t> </w:t>
      </w:r>
      <w:r>
        <w:rPr/>
        <w:t>visitas.</w:t>
      </w:r>
    </w:p>
    <w:p>
      <w:pPr>
        <w:pStyle w:val="BodyText"/>
        <w:spacing w:line="360" w:lineRule="auto" w:before="7"/>
        <w:ind w:left="308" w:right="113" w:firstLine="705"/>
        <w:jc w:val="both"/>
      </w:pPr>
      <w:r>
        <w:rPr/>
        <w:t>Para essa nova coleta de dados o critério estabelecido para amostra foi de procurar pelos pais ou responsáveis cujos endereços estivem com as informações de localização completas e que ficassem na zona urbana, uma vez que a escola atende a um grupo de crianças que moram em assentamentos e pequenas propriedades rurais nos arredores da cidade.</w:t>
      </w:r>
    </w:p>
    <w:p>
      <w:pPr>
        <w:pStyle w:val="BodyText"/>
        <w:spacing w:line="360" w:lineRule="auto" w:before="7"/>
        <w:ind w:left="308" w:right="105" w:firstLine="705"/>
        <w:jc w:val="both"/>
      </w:pPr>
      <w:r>
        <w:rPr/>
        <w:t>Foram selecionados endereços de 40 famílias que foram visitadas num período de dez dias durante o </w:t>
      </w:r>
      <w:r>
        <w:rPr>
          <w:spacing w:val="-3"/>
        </w:rPr>
        <w:t>mês </w:t>
      </w:r>
      <w:r>
        <w:rPr/>
        <w:t>de agosto de 2014. Destas, em 10 famílias o endereço não correspondiam a informação dada na escola porque os dados não existiam no perímetro informado; </w:t>
      </w:r>
      <w:r>
        <w:rPr>
          <w:spacing w:val="2"/>
        </w:rPr>
        <w:t>em </w:t>
      </w:r>
      <w:r>
        <w:rPr/>
        <w:t>07 famílias não foi possível encontrar por motivos diversos: em 03 residências segundo informação de vizinhos os pais ou responsáveis trabalham fora da cidade, em outro município, na zona rural e as crianças ficam com algum parente, o qual </w:t>
      </w:r>
      <w:r>
        <w:rPr>
          <w:spacing w:val="-3"/>
        </w:rPr>
        <w:t>não </w:t>
      </w:r>
      <w:r>
        <w:rPr/>
        <w:t>foi possível localizar; em outras 02 residências as mães têm envolvimento com drogas e constantemente estão na  rua e as crianças ficam pela vizinhança, </w:t>
      </w:r>
      <w:r>
        <w:rPr>
          <w:spacing w:val="-3"/>
        </w:rPr>
        <w:t>já </w:t>
      </w:r>
      <w:r>
        <w:rPr/>
        <w:t>em 02 outras residências foi impossível obter informação pela ausência dos</w:t>
      </w:r>
      <w:r>
        <w:rPr>
          <w:spacing w:val="-20"/>
        </w:rPr>
        <w:t> </w:t>
      </w:r>
      <w:r>
        <w:rPr/>
        <w:t>vizinhos.</w:t>
      </w:r>
    </w:p>
    <w:p>
      <w:pPr>
        <w:pStyle w:val="BodyText"/>
        <w:spacing w:line="360" w:lineRule="auto" w:before="2"/>
        <w:ind w:left="308" w:right="101" w:firstLine="705"/>
        <w:jc w:val="both"/>
      </w:pPr>
      <w:r>
        <w:rPr/>
        <w:t>Dos 40 endereços selecionados 23 visitas foram concretizadas com aplicação do questionário. Algumas visitas foram agendadas por telefone, já   com</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14"/>
        <w:jc w:val="both"/>
      </w:pPr>
      <w:r>
        <w:rPr/>
        <w:t>outras visitas foram necessárias muitas idas para encontrar com um responsável em razão de horários de trabalhos, principalmente das mães, e outras demandaram uma procura minuciosa do endereço porque não correspondia a informação coletada na escola. Segundo a secretária muitos pais ou responsáveis não fornecem endereços completos, e por morarem de aluguel mudam de residência com muita frequência e não atualizam o endereço junto à escola.</w:t>
      </w:r>
    </w:p>
    <w:p>
      <w:pPr>
        <w:pStyle w:val="BodyText"/>
        <w:spacing w:line="360" w:lineRule="auto" w:before="2"/>
        <w:ind w:left="308" w:right="104" w:firstLine="705"/>
        <w:jc w:val="both"/>
      </w:pPr>
      <w:r>
        <w:rPr/>
        <w:t>Nesse espaço de contato direto com os pais, foi possível conversar sobre a escola, fazer as anotações referentes às observações fornecidas pelo respondente ao questionário, assim como viabilizou conhecer melhor a realidade das famílias visitadas, exceto aquelas com as quais não foi possível manter contato direto. Os dados foram coletados com a equipe escolar, pais ou responsáveis no período de dezembro 2013 a agosto 2014. Concluída as visitas, foram analisados ao todo 43 questionários coletados entre gestores, professores, servidores e pais ou responsáveis nesta etapa da</w:t>
      </w:r>
      <w:r>
        <w:rPr>
          <w:spacing w:val="-23"/>
        </w:rPr>
        <w:t> </w:t>
      </w:r>
      <w:r>
        <w:rPr/>
        <w:t>pesquisa.</w:t>
      </w:r>
    </w:p>
    <w:p>
      <w:pPr>
        <w:pStyle w:val="BodyText"/>
        <w:spacing w:line="360" w:lineRule="auto" w:before="2"/>
        <w:ind w:left="308" w:right="111" w:firstLine="705"/>
        <w:jc w:val="both"/>
      </w:pPr>
      <w:r>
        <w:rPr/>
        <w:t>Mas como esta pesquisa trabalha com perspectiva ecossistêmica (MORAES, 1997) e complexa (MORIN, 2003, 2005) demanda uma dinâmica mais interativa e circular de levantamento dos elementos que possibilitem à compreensão da escola investigada a partir do Vadecrie (TORRE, 2012) e do questionário que validou o Vadecrie (SUANNO, 2013), e do questionário criado nesta pesquisa adequado as especificidades da mesma.</w:t>
      </w:r>
    </w:p>
    <w:p>
      <w:pPr>
        <w:pStyle w:val="BodyText"/>
        <w:spacing w:line="360" w:lineRule="auto" w:before="2"/>
        <w:ind w:left="308" w:right="99" w:firstLine="705"/>
        <w:jc w:val="both"/>
      </w:pPr>
      <w:r>
        <w:rPr/>
        <w:t>A análise preliminar dos dados apontou evidências de criatividade na segunda escola diagnosticada, o que possibilitou a continuidade  da sistematização e análise por meio da transformação dos dados quantitativos em percentuais para a identificação da categoria, parâmetros e indicadores  com maior evidência de criatividade na escola, assim como a continuidade da investigação do caso por meio da entrevista semiestruturada.</w:t>
      </w:r>
    </w:p>
    <w:p>
      <w:pPr>
        <w:pStyle w:val="BodyText"/>
        <w:spacing w:line="360" w:lineRule="auto" w:before="7"/>
        <w:ind w:left="308" w:right="103" w:firstLine="705"/>
        <w:jc w:val="both"/>
      </w:pPr>
      <w:r>
        <w:rPr/>
        <w:t>Nesse percurso foram realizadas visitas semanais a escola para interação  e maior aproximação com a realidade investigada. Durante as visitas a pesquisadora fez anotações das conversas e informações obtidas com gestores, professores, servidores e pais, sobre a rotina pedagógica e público atendido. Foram analisados documentos da escola como Projeto Político Pedagógico, projetos executados e respectivos relatórios, buscando subsidiar a elaboração do roteiro da entrevista, </w:t>
      </w:r>
      <w:r>
        <w:rPr>
          <w:spacing w:val="-3"/>
        </w:rPr>
        <w:t>cujo </w:t>
      </w:r>
      <w:r>
        <w:rPr/>
        <w:t>conteúdo também foi orientado pelo resultado obtido no diagnóstico (TORRE, PUJOL, MORAES, 2011; TORRE</w:t>
      </w:r>
      <w:r>
        <w:rPr>
          <w:spacing w:val="-23"/>
        </w:rPr>
        <w:t> </w:t>
      </w:r>
      <w:r>
        <w:rPr/>
        <w:t>2012).</w:t>
      </w:r>
    </w:p>
    <w:p>
      <w:pPr>
        <w:spacing w:after="0" w:line="360" w:lineRule="auto"/>
        <w:jc w:val="both"/>
        <w:sectPr>
          <w:pgSz w:w="11910" w:h="16840"/>
          <w:pgMar w:header="1133" w:footer="0" w:top="1340" w:bottom="280" w:left="1680" w:right="1020"/>
        </w:sectPr>
      </w:pPr>
    </w:p>
    <w:p>
      <w:pPr>
        <w:pStyle w:val="BodyText"/>
        <w:spacing w:before="10"/>
        <w:rPr>
          <w:sz w:val="20"/>
        </w:rPr>
      </w:pPr>
    </w:p>
    <w:p>
      <w:pPr>
        <w:pStyle w:val="Heading3"/>
        <w:numPr>
          <w:ilvl w:val="2"/>
          <w:numId w:val="11"/>
        </w:numPr>
        <w:tabs>
          <w:tab w:pos="912" w:val="left" w:leader="none"/>
        </w:tabs>
        <w:spacing w:line="240" w:lineRule="auto" w:before="92" w:after="0"/>
        <w:ind w:left="911" w:right="0" w:hanging="603"/>
        <w:jc w:val="left"/>
      </w:pPr>
      <w:bookmarkStart w:name="_TOC_250007" w:id="10"/>
      <w:r>
        <w:rPr/>
        <w:t>Caracterizando o</w:t>
      </w:r>
      <w:r>
        <w:rPr>
          <w:spacing w:val="-13"/>
        </w:rPr>
        <w:t> </w:t>
      </w:r>
      <w:bookmarkEnd w:id="10"/>
      <w:r>
        <w:rPr/>
        <w:t>Caso</w:t>
      </w:r>
    </w:p>
    <w:p>
      <w:pPr>
        <w:pStyle w:val="BodyText"/>
        <w:rPr>
          <w:b/>
          <w:sz w:val="26"/>
        </w:rPr>
      </w:pPr>
    </w:p>
    <w:p>
      <w:pPr>
        <w:pStyle w:val="BodyText"/>
        <w:rPr>
          <w:b/>
          <w:sz w:val="26"/>
        </w:rPr>
      </w:pPr>
    </w:p>
    <w:p>
      <w:pPr>
        <w:pStyle w:val="BodyText"/>
        <w:spacing w:before="6"/>
        <w:rPr>
          <w:b/>
          <w:sz w:val="32"/>
        </w:rPr>
      </w:pPr>
    </w:p>
    <w:p>
      <w:pPr>
        <w:pStyle w:val="BodyText"/>
        <w:spacing w:line="360" w:lineRule="auto"/>
        <w:ind w:left="308" w:right="111" w:firstLine="705"/>
        <w:jc w:val="both"/>
      </w:pPr>
      <w:r>
        <w:rPr/>
        <w:t>A Escola Municipal Orlindo Pereira da Mota iniciou suas atividades  em 1983 em um prédio onde funcionava uma lavanderia, com 07 funcionários leigos, sendo 01 diretora, 01 secretária e 05 professores que atendiam a 80 alunos do 1º ao 4º ano do curso primário, numa estrutura física precária, sem merenda escolar e sem materiais didáticos para professores e alunos. A Escola só foi  regularizada</w:t>
      </w:r>
    </w:p>
    <w:p>
      <w:pPr>
        <w:pStyle w:val="BodyText"/>
        <w:spacing w:line="279" w:lineRule="exact"/>
        <w:ind w:left="308"/>
      </w:pPr>
      <w:r>
        <w:rPr/>
        <w:t>no ano seguinte,</w:t>
      </w:r>
      <w:r>
        <w:rPr>
          <w:position w:val="11"/>
          <w:sz w:val="16"/>
        </w:rPr>
        <w:t>21 </w:t>
      </w:r>
      <w:r>
        <w:rPr/>
        <w:t>em 1984.</w:t>
      </w:r>
    </w:p>
    <w:p>
      <w:pPr>
        <w:pStyle w:val="BodyText"/>
        <w:spacing w:line="360" w:lineRule="auto" w:before="142"/>
        <w:ind w:left="308" w:right="109" w:firstLine="705"/>
        <w:jc w:val="both"/>
      </w:pPr>
      <w:r>
        <w:rPr/>
        <w:t>Na trajetória de 30 anos de existência, a escola mudou de prédio e localização, passou a funcionar no setor União V, bairro tranquilo e habitado por pessoas de classe média, localizado na região central da cidade de Gurupi, numa área que corresponde a uma quadra residencial. Nessa trajetória ampliou e melhorou a estrutura física, assim como melhoraram os recursos pedagógicos e a qualificação dos profissionais.</w:t>
      </w:r>
    </w:p>
    <w:p>
      <w:pPr>
        <w:pStyle w:val="BodyText"/>
        <w:spacing w:line="360" w:lineRule="auto" w:before="2"/>
        <w:ind w:left="308" w:right="109" w:firstLine="705"/>
        <w:jc w:val="both"/>
      </w:pPr>
      <w:r>
        <w:rPr/>
        <w:t>No período de 2007 a 2008 construiu novas salas, de 2010 a 2013 fez adaptações para acessibilidade de pessoas com deficiência e, para isso, alargou todas as portas das salas de aula, construiu rampas, colocou piso na sala de recurso, colocou placas de identificação em português, braile e libras nas salas de aula e demais espaços, fez adequações no prédio e no pátio para receber alunos da educação infantil e refez a pintura do prédio.</w:t>
      </w:r>
    </w:p>
    <w:p>
      <w:pPr>
        <w:pStyle w:val="BodyText"/>
        <w:spacing w:line="360" w:lineRule="auto" w:before="2"/>
        <w:ind w:left="308" w:right="113" w:firstLine="705"/>
        <w:jc w:val="both"/>
      </w:pPr>
      <w:r>
        <w:rPr/>
        <w:t>No aspecto físico, a escola registra no Projeto Político Pedagógico os desafios da construção de uma quadra coberta e de um muro para substituir o muro de placas de cimento em péssimo estado de conservação, ampliação da sala de professores, do laboratório de informática e da despensa.</w:t>
      </w:r>
    </w:p>
    <w:p>
      <w:pPr>
        <w:pStyle w:val="BodyText"/>
        <w:spacing w:line="360" w:lineRule="auto" w:before="2"/>
        <w:ind w:left="308" w:right="106" w:firstLine="705"/>
        <w:jc w:val="both"/>
      </w:pPr>
      <w:r>
        <w:rPr/>
        <w:t>Atualmente a infraestrutura da escola conta com 07 salas de aula amplas e arejadas, 01sala da secretaria com banheiro, 01sala de professores com  banheiro, 01 sala da direção, 01 sala de informática, 01 sala de almoxarifado, 01 sala de recursos psicopedagógicos com materiais diversificados, 01 biblioteca, 01 cantina, 01 sala de mini depósito, 06 banheiros sendo 03 masculinos e 03 femininos, </w:t>
      </w:r>
      <w:r>
        <w:rPr>
          <w:spacing w:val="-3"/>
        </w:rPr>
        <w:t>uma </w:t>
      </w:r>
      <w:r>
        <w:rPr/>
        <w:t>tenda fixa recém-adquirida para uso do Programa Mais Educação instalada no pátio</w:t>
      </w:r>
      <w:r>
        <w:rPr>
          <w:spacing w:val="-11"/>
        </w:rPr>
        <w:t> </w:t>
      </w:r>
      <w:r>
        <w:rPr/>
        <w:t>externo.</w:t>
      </w:r>
    </w:p>
    <w:p>
      <w:pPr>
        <w:pStyle w:val="BodyText"/>
        <w:spacing w:before="6"/>
        <w:rPr>
          <w:sz w:val="22"/>
        </w:rPr>
      </w:pPr>
      <w:r>
        <w:rPr/>
        <w:pict>
          <v:line style="position:absolute;mso-position-horizontal-relative:page;mso-position-vertical-relative:paragraph;z-index:1624;mso-wrap-distance-left:0;mso-wrap-distance-right:0" from="99.407997pt,15.319251pt" to="243.457997pt,15.319251pt" stroked="true" strokeweight=".72003pt" strokecolor="#000000">
            <v:stroke dashstyle="solid"/>
            <w10:wrap type="topAndBottom"/>
          </v:line>
        </w:pict>
      </w:r>
    </w:p>
    <w:p>
      <w:pPr>
        <w:spacing w:before="36"/>
        <w:ind w:left="308" w:right="0" w:firstLine="0"/>
        <w:jc w:val="left"/>
        <w:rPr>
          <w:sz w:val="20"/>
        </w:rPr>
      </w:pPr>
      <w:r>
        <w:rPr>
          <w:position w:val="10"/>
          <w:sz w:val="13"/>
        </w:rPr>
        <w:t>21  </w:t>
      </w:r>
      <w:r>
        <w:rPr>
          <w:sz w:val="20"/>
        </w:rPr>
        <w:t>Lei nº 594/84 de 08/10/84 - Governo Municipal.</w:t>
      </w:r>
    </w:p>
    <w:p>
      <w:pPr>
        <w:spacing w:after="0"/>
        <w:jc w:val="left"/>
        <w:rPr>
          <w:sz w:val="20"/>
        </w:rPr>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8" w:firstLine="705"/>
        <w:jc w:val="both"/>
      </w:pPr>
      <w:r>
        <w:rPr/>
        <w:t>Para suprir ausência de uma área coberta a escola mantém algumas mangueiras no pátio, também colocou bancos e mesas para o lanche e para a socialização, o que confere ao pátio excelente proteção do sol e um clima agradável e ventilado, principalmente durante as tardes em que o calor é mais intenso. Há também, no pátio, uma quadra de areia para atividades de educação física e uma grande horta, cujos produtos são utilizados na merenda.</w:t>
      </w:r>
    </w:p>
    <w:p>
      <w:pPr>
        <w:pStyle w:val="BodyText"/>
        <w:spacing w:line="360" w:lineRule="auto" w:before="2"/>
        <w:ind w:left="308" w:right="116" w:firstLine="705"/>
        <w:jc w:val="both"/>
      </w:pPr>
      <w:r>
        <w:rPr/>
        <w:t>A equipe escolar que atua nos anos iniciais do ensino fundamental é constituída por 22 servidores qualificados com formação correspondente para a função que exercem.</w:t>
      </w:r>
    </w:p>
    <w:p>
      <w:pPr>
        <w:pStyle w:val="BodyText"/>
        <w:spacing w:line="360" w:lineRule="auto" w:before="7"/>
        <w:ind w:left="308" w:right="104" w:firstLine="710"/>
        <w:jc w:val="both"/>
      </w:pPr>
      <w:r>
        <w:rPr/>
        <w:t>Em 2014, a secretaria municipal de educação fez </w:t>
      </w:r>
      <w:r>
        <w:rPr>
          <w:spacing w:val="-3"/>
        </w:rPr>
        <w:t>uma </w:t>
      </w:r>
      <w:r>
        <w:rPr/>
        <w:t>reestruturação na rede de ensino para adequar o atendimento das escolas às demandas  dos setores e regiões onde se encontram. A escola Orlindo Pereira da Mota que ofertava o ensino fundamental de anos iniciais e anos finais para 322 alunos até ano de 2013 passou a atender alunos da educação infantil e anos iniciais nos dois turnos diurnos num total de 275 alunos, cujas famílias na sua maioria têm o  ensino fundamental, como escolaridade, e o baixo poder aquisitivo, com renda mensal entre R$ 300,00 (trezentos reais) e </w:t>
      </w:r>
      <w:r>
        <w:rPr>
          <w:spacing w:val="-3"/>
        </w:rPr>
        <w:t>R$ </w:t>
      </w:r>
      <w:r>
        <w:rPr/>
        <w:t>1.300,00 (um mil e trezentos reais) e atuação nas profissões de pedreiro, doméstica, diarista, babá, auxiliar de mecânico, mecânico, auxiliar de escritório, motorista e outras. Há na escola </w:t>
      </w:r>
      <w:r>
        <w:rPr>
          <w:spacing w:val="2"/>
        </w:rPr>
        <w:t>um </w:t>
      </w:r>
      <w:r>
        <w:rPr/>
        <w:t>número significativo de crianças com pais separados e crianças que são cuidadas por avós ou</w:t>
      </w:r>
      <w:r>
        <w:rPr>
          <w:spacing w:val="-5"/>
        </w:rPr>
        <w:t> </w:t>
      </w:r>
      <w:r>
        <w:rPr/>
        <w:t>parentes.</w:t>
      </w:r>
    </w:p>
    <w:p>
      <w:pPr>
        <w:pStyle w:val="BodyText"/>
        <w:spacing w:line="360" w:lineRule="auto" w:before="3"/>
        <w:ind w:left="308" w:right="103" w:firstLine="705"/>
        <w:jc w:val="both"/>
      </w:pPr>
      <w:r>
        <w:rPr/>
        <w:t>A direção da escola é escolhida por processo eleitoral, a gestão é  colegiada e está em fase de transição entre atuação da Associação de Pais e Mestres – APM e a implantação do Conselho Escolar, que será tratada após a realização de </w:t>
      </w:r>
      <w:r>
        <w:rPr>
          <w:spacing w:val="-3"/>
        </w:rPr>
        <w:t>uma </w:t>
      </w:r>
      <w:r>
        <w:rPr/>
        <w:t>formação para conselheiros escolares que a equipe escolar pretende</w:t>
      </w:r>
      <w:r>
        <w:rPr>
          <w:spacing w:val="-5"/>
        </w:rPr>
        <w:t> </w:t>
      </w:r>
      <w:r>
        <w:rPr/>
        <w:t>participar.</w:t>
      </w:r>
    </w:p>
    <w:p>
      <w:pPr>
        <w:pStyle w:val="BodyText"/>
        <w:spacing w:line="360" w:lineRule="auto" w:before="7"/>
        <w:ind w:left="308" w:right="108" w:firstLine="705"/>
        <w:jc w:val="both"/>
      </w:pPr>
      <w:r>
        <w:rPr/>
        <w:t>Os colegiados são compostos por representantes de pais ou responsáveis, de funcionários, professores e alunos quando são maiores de idade, quando não, são representados pelos pais ou responsáveis. Há ainda a prática de escolha de representantes de turmas a partir do 4º ano, como forma de aproximação do Corpo Discente com a Direção, cujo objetivo é favorecer e estimular a participação, o diálogo e a “contribuição dos alunos no aprimoramento das propostas pedagógicas”. (PPP, 2013, p.45).</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98" w:firstLine="705"/>
        <w:jc w:val="both"/>
      </w:pPr>
      <w:r>
        <w:rPr/>
        <w:t>A representação dos estudantes dentro da escola é feita pelo Grêmio Estudantil, “uma organização sem fins lucrativos, que representa os interesses  dos estudantes e que tem fins cívicos, culturais, educacionais, desportivos e sociais. ” (PPP, 2013, p.44). </w:t>
      </w:r>
      <w:r>
        <w:rPr>
          <w:spacing w:val="-2"/>
        </w:rPr>
        <w:t>Por </w:t>
      </w:r>
      <w:r>
        <w:rPr/>
        <w:t>meio do grêmio estudantil os alunos podem exercer o governo estudantil na defesa dos interesses e direitos dos estudantes, no incentivo à cultura literária, artística, desportiva e na cooperação entre alunos e equipe escolar. O grêmio estudantil é composto 08 membros sendo: 01 presidente, 01 vice- presidente, 01 secretário, 01 diretor social, 01 diretor de imprensa, 01 diretor de esportes, 01 diretor de cultura e 01 diretor de saúde e de meio</w:t>
      </w:r>
      <w:r>
        <w:rPr>
          <w:spacing w:val="-2"/>
        </w:rPr>
        <w:t> </w:t>
      </w:r>
      <w:r>
        <w:rPr/>
        <w:t>ambiente.</w:t>
      </w:r>
    </w:p>
    <w:p>
      <w:pPr>
        <w:pStyle w:val="BodyText"/>
        <w:spacing w:line="360" w:lineRule="auto" w:before="3"/>
        <w:ind w:left="308" w:right="105" w:firstLine="705"/>
        <w:jc w:val="both"/>
      </w:pPr>
      <w:r>
        <w:rPr/>
        <w:t>O planejamento das ações é orientado pelas metas estabelecidas no projeto político pedagógico. Assim sendo, esse documento é  avaliado  e atualizado por meio de acompanhamentos sistemáticos de avaliações e de monitoramentos realizados bimestralmente sob a responsabilidade dos gerentes de metas, definidos no Plano de ação da escola, os quais se reúnem e preparam o relatório de análise dos avanços e retrocessos em relação às metas e objetivos estabelecidos; e anualmente para “atualização do diagnóstico, das necessidades e aspirações da comunidade em que está inserida”. (PPP, 2013,</w:t>
      </w:r>
      <w:r>
        <w:rPr>
          <w:spacing w:val="-18"/>
        </w:rPr>
        <w:t> </w:t>
      </w:r>
      <w:r>
        <w:rPr/>
        <w:t>p.61).</w:t>
      </w:r>
    </w:p>
    <w:p>
      <w:pPr>
        <w:pStyle w:val="BodyText"/>
        <w:spacing w:line="352" w:lineRule="auto" w:before="3"/>
        <w:ind w:left="308" w:right="106" w:firstLine="705"/>
        <w:jc w:val="both"/>
      </w:pPr>
      <w:r>
        <w:rPr/>
        <w:t>A escola se destaca na rede municipal pelo aproveitamento no rendimento dos alunos apontados em 86,25% no ensino do 6º ao 9º ano e de 95,6 % no ensino de do 1º ao 5º ano (dados de 2013)</w:t>
      </w:r>
      <w:r>
        <w:rPr>
          <w:position w:val="11"/>
          <w:sz w:val="16"/>
        </w:rPr>
        <w:t>22 </w:t>
      </w:r>
      <w:r>
        <w:rPr/>
        <w:t>e por sua prática em projetos interdisciplinares a partir do diagnóstico dos pontos fracos a serem superados, como   deficiências   dos   pais   no   acompanhamento   do   desenvolvimento  da</w:t>
      </w:r>
    </w:p>
    <w:p>
      <w:pPr>
        <w:pStyle w:val="BodyText"/>
        <w:spacing w:line="360" w:lineRule="auto" w:before="11"/>
        <w:ind w:left="308" w:right="169"/>
      </w:pPr>
      <w:r>
        <w:rPr/>
        <w:t>aprendizagem dos filhos, baixo índice de aprendizagem de alunos que vem de outra Unidade Escolar, e também pela baixa frequência dos alunos à escola.</w:t>
      </w:r>
    </w:p>
    <w:p>
      <w:pPr>
        <w:pStyle w:val="BodyText"/>
        <w:spacing w:line="360" w:lineRule="auto" w:before="2"/>
        <w:ind w:left="308" w:right="102" w:firstLine="705"/>
        <w:jc w:val="both"/>
      </w:pPr>
      <w:r>
        <w:rPr/>
        <w:t>Vale mencionar que os projetos da escola mobilizam os alunos, os professores, a comunidade escolar e também a comunidade em geral, reforçando a convivência democrática e a resolução de problemas identificados que são significativos para comunidade escolar. Os projetos que mais repercutiram nesse sentido foram o Projeto de leitura: A Arte de Ler, o Projeto Fazendo Arte na Escola, Projeto Meio Ambiente, Consciência Negra e Higiene e Saúde, desenvolvidos   a   partir   do   ano   de   2012.   A   escola   realiza   ainda   ações</w:t>
      </w:r>
    </w:p>
    <w:p>
      <w:pPr>
        <w:pStyle w:val="BodyText"/>
        <w:spacing w:before="6"/>
        <w:rPr>
          <w:sz w:val="12"/>
        </w:rPr>
      </w:pPr>
      <w:r>
        <w:rPr/>
        <w:pict>
          <v:line style="position:absolute;mso-position-horizontal-relative:page;mso-position-vertical-relative:paragraph;z-index:1648;mso-wrap-distance-left:0;mso-wrap-distance-right:0" from="99.407997pt,9.558026pt" to="243.457997pt,9.558026pt" stroked="true" strokeweight=".72003pt" strokecolor="#000000">
            <v:stroke dashstyle="solid"/>
            <w10:wrap type="topAndBottom"/>
          </v:line>
        </w:pict>
      </w:r>
    </w:p>
    <w:p>
      <w:pPr>
        <w:spacing w:before="47"/>
        <w:ind w:left="308" w:right="469" w:firstLine="0"/>
        <w:jc w:val="left"/>
        <w:rPr>
          <w:sz w:val="20"/>
        </w:rPr>
      </w:pPr>
      <w:r>
        <w:rPr>
          <w:rFonts w:ascii="Times New Roman"/>
          <w:position w:val="9"/>
          <w:sz w:val="13"/>
        </w:rPr>
        <w:t>22</w:t>
      </w:r>
      <w:r>
        <w:rPr>
          <w:sz w:val="20"/>
        </w:rPr>
        <w:t>Dados obtidos no mapa de notas e aproveitamento da secretaria da Escola Municipal Orlindo Pereira da Mota.</w:t>
      </w:r>
    </w:p>
    <w:p>
      <w:pPr>
        <w:spacing w:after="0"/>
        <w:jc w:val="left"/>
        <w:rPr>
          <w:sz w:val="20"/>
        </w:rPr>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17"/>
        <w:jc w:val="both"/>
      </w:pPr>
      <w:r>
        <w:rPr/>
        <w:t>complementares como plantão tira dúvidas de português, cujo objetivo é sanar as dúvidas encontradas nas aulas da língua portuguesa; encontro de família, com o objetivo de promover a interação da família e escola, palestras para pais, alunos e servidores.</w:t>
      </w:r>
    </w:p>
    <w:p>
      <w:pPr>
        <w:pStyle w:val="BodyText"/>
        <w:spacing w:line="360" w:lineRule="auto" w:before="2"/>
        <w:ind w:left="308" w:right="112" w:firstLine="705"/>
        <w:jc w:val="both"/>
      </w:pPr>
      <w:r>
        <w:rPr/>
        <w:t>Para realização das ações previstas no plano de ação a escola recebe assistência financiada do PDDE, PDE e SEMEG, recursos que são administrados pela APM. A escola também conta com apoio de parceiros como Secretária de Saúde, UNIRG, IBAMA, Polícia Militar, Conselho Tutelar e outros.</w:t>
      </w:r>
    </w:p>
    <w:p>
      <w:pPr>
        <w:pStyle w:val="BodyText"/>
        <w:rPr>
          <w:sz w:val="26"/>
        </w:rPr>
      </w:pPr>
    </w:p>
    <w:p>
      <w:pPr>
        <w:pStyle w:val="BodyText"/>
        <w:rPr>
          <w:sz w:val="26"/>
        </w:rPr>
      </w:pPr>
    </w:p>
    <w:p>
      <w:pPr>
        <w:pStyle w:val="Heading3"/>
        <w:numPr>
          <w:ilvl w:val="2"/>
          <w:numId w:val="11"/>
        </w:numPr>
        <w:tabs>
          <w:tab w:pos="912" w:val="left" w:leader="none"/>
        </w:tabs>
        <w:spacing w:line="240" w:lineRule="auto" w:before="230" w:after="0"/>
        <w:ind w:left="911" w:right="0" w:hanging="603"/>
        <w:jc w:val="both"/>
      </w:pPr>
      <w:bookmarkStart w:name="_TOC_250006" w:id="11"/>
      <w:r>
        <w:rPr>
          <w:spacing w:val="-3"/>
        </w:rPr>
        <w:t>As </w:t>
      </w:r>
      <w:r>
        <w:rPr/>
        <w:t>entrevistas</w:t>
      </w:r>
      <w:r>
        <w:rPr>
          <w:spacing w:val="-4"/>
        </w:rPr>
        <w:t> </w:t>
      </w:r>
      <w:bookmarkEnd w:id="11"/>
      <w:r>
        <w:rPr/>
        <w:t>realizadas</w:t>
      </w:r>
    </w:p>
    <w:p>
      <w:pPr>
        <w:pStyle w:val="BodyText"/>
        <w:rPr>
          <w:b/>
          <w:sz w:val="26"/>
        </w:rPr>
      </w:pPr>
    </w:p>
    <w:p>
      <w:pPr>
        <w:pStyle w:val="BodyText"/>
        <w:rPr>
          <w:b/>
          <w:sz w:val="26"/>
        </w:rPr>
      </w:pPr>
    </w:p>
    <w:p>
      <w:pPr>
        <w:pStyle w:val="BodyText"/>
        <w:spacing w:before="5"/>
        <w:rPr>
          <w:b/>
          <w:sz w:val="32"/>
        </w:rPr>
      </w:pPr>
    </w:p>
    <w:p>
      <w:pPr>
        <w:pStyle w:val="BodyText"/>
        <w:spacing w:line="360" w:lineRule="auto"/>
        <w:ind w:left="308" w:right="106" w:firstLine="710"/>
        <w:jc w:val="both"/>
      </w:pPr>
      <w:r>
        <w:rPr/>
        <w:t>A escolha pela entrevista se deu por ser essa uma estratégia acessível e muito utilizada nas pesquisas qualitativas e porque se relaciona com valores, atitudes e opiniões, num processo de interação que objetiva a obtenção de informações subjetivas e dados não documentados, cujo resultado depende, segundo Yin (2005), da capacidade do autor de manter o foco da pesquisa evitando desvio de assunto e rigidez no trato com o procedimento.</w:t>
      </w:r>
    </w:p>
    <w:p>
      <w:pPr>
        <w:pStyle w:val="BodyText"/>
        <w:spacing w:line="360" w:lineRule="auto" w:before="2"/>
        <w:ind w:left="308" w:right="98" w:firstLine="710"/>
        <w:jc w:val="both"/>
      </w:pPr>
      <w:r>
        <w:rPr/>
        <w:t>A técnica de entrevista utilizada foi a semiestruturada porque possibilita um ambiente mais informal e facilita a captura dos dados, visto que o entrevistado  tem a oportunidade de discorrer livremente sobre o tema proposto e o  pesquisador pode, em hora oportuna, dirigir perguntas adicionais para esclarecer ou confirmar questões já abordadas, </w:t>
      </w:r>
      <w:r>
        <w:rPr>
          <w:spacing w:val="-3"/>
        </w:rPr>
        <w:t>uma </w:t>
      </w:r>
      <w:r>
        <w:rPr/>
        <w:t>vez que </w:t>
      </w:r>
      <w:r>
        <w:rPr>
          <w:spacing w:val="-3"/>
        </w:rPr>
        <w:t>uma </w:t>
      </w:r>
      <w:r>
        <w:rPr/>
        <w:t>de suas vantagens é elasticidade quanto à duração, o que permite maior aprofundamento, assim como também favorece as respostas</w:t>
      </w:r>
      <w:r>
        <w:rPr>
          <w:spacing w:val="-16"/>
        </w:rPr>
        <w:t> </w:t>
      </w:r>
      <w:r>
        <w:rPr/>
        <w:t>espontâneas.</w:t>
      </w:r>
    </w:p>
    <w:p>
      <w:pPr>
        <w:pStyle w:val="BodyText"/>
        <w:spacing w:line="352" w:lineRule="auto" w:before="7"/>
        <w:ind w:left="308" w:right="107" w:firstLine="710"/>
        <w:jc w:val="both"/>
      </w:pPr>
      <w:r>
        <w:rPr/>
        <w:t>Assim, as evidências de criatividade identificadas na escola diagnosticada referem-se à categoria de potencial e recursos humanos</w:t>
      </w:r>
      <w:r>
        <w:rPr>
          <w:position w:val="11"/>
          <w:sz w:val="16"/>
        </w:rPr>
        <w:t>23</w:t>
      </w:r>
      <w:r>
        <w:rPr/>
        <w:t>, no parâmetro Liderança Estimulante e Criativa, no qual se destaca no indicador crescimento interno; e no parâmetro Espírito Empreendedor, no qual se destaca no indicador autoconfiança e independência. Com base nesse resultado, foram    entrevistados</w:t>
      </w:r>
    </w:p>
    <w:p>
      <w:pPr>
        <w:pStyle w:val="BodyText"/>
        <w:rPr>
          <w:sz w:val="20"/>
        </w:rPr>
      </w:pPr>
    </w:p>
    <w:p>
      <w:pPr>
        <w:pStyle w:val="BodyText"/>
        <w:spacing w:before="3"/>
        <w:rPr>
          <w:sz w:val="29"/>
        </w:rPr>
      </w:pPr>
      <w:r>
        <w:rPr/>
        <w:pict>
          <v:line style="position:absolute;mso-position-horizontal-relative:page;mso-position-vertical-relative:paragraph;z-index:1672;mso-wrap-distance-left:0;mso-wrap-distance-right:0" from="99.407997pt,19.154352pt" to="243.457997pt,19.154352pt" stroked="true" strokeweight=".72003pt" strokecolor="#000000">
            <v:stroke dashstyle="solid"/>
            <w10:wrap type="topAndBottom"/>
          </v:line>
        </w:pict>
      </w:r>
    </w:p>
    <w:p>
      <w:pPr>
        <w:spacing w:before="36"/>
        <w:ind w:left="533" w:right="0" w:hanging="226"/>
        <w:jc w:val="left"/>
        <w:rPr>
          <w:sz w:val="20"/>
        </w:rPr>
      </w:pPr>
      <w:r>
        <w:rPr>
          <w:position w:val="10"/>
          <w:sz w:val="13"/>
        </w:rPr>
        <w:t>23 </w:t>
      </w:r>
      <w:r>
        <w:rPr>
          <w:sz w:val="20"/>
        </w:rPr>
        <w:t>O que há de mais valioso são as pessoas que compõem a instituição e tudo que podem desenvolver com consciência criativa (TORRE, 2012).</w:t>
      </w:r>
    </w:p>
    <w:p>
      <w:pPr>
        <w:spacing w:after="0"/>
        <w:jc w:val="left"/>
        <w:rPr>
          <w:sz w:val="20"/>
        </w:rPr>
        <w:sectPr>
          <w:pgSz w:w="11910" w:h="16840"/>
          <w:pgMar w:header="1133" w:footer="0" w:top="1340" w:bottom="280" w:left="1680" w:right="1020"/>
        </w:sectPr>
      </w:pPr>
    </w:p>
    <w:p>
      <w:pPr>
        <w:pStyle w:val="BodyText"/>
        <w:spacing w:before="3"/>
        <w:rPr>
          <w:sz w:val="21"/>
        </w:rPr>
      </w:pPr>
    </w:p>
    <w:p>
      <w:pPr>
        <w:pStyle w:val="BodyText"/>
        <w:tabs>
          <w:tab w:pos="1501" w:val="left" w:leader="none"/>
          <w:tab w:pos="2954" w:val="left" w:leader="none"/>
          <w:tab w:pos="3544" w:val="left" w:leader="none"/>
          <w:tab w:pos="4263" w:val="left" w:leader="none"/>
          <w:tab w:pos="6229" w:val="left" w:leader="none"/>
          <w:tab w:pos="6871" w:val="left" w:leader="none"/>
          <w:tab w:pos="7341" w:val="left" w:leader="none"/>
          <w:tab w:pos="8957" w:val="left" w:leader="none"/>
        </w:tabs>
        <w:spacing w:line="362" w:lineRule="auto" w:before="92"/>
        <w:ind w:left="308" w:right="111"/>
      </w:pPr>
      <w:r>
        <w:rPr/>
        <w:t>gestores,</w:t>
        <w:tab/>
        <w:t>professores</w:t>
        <w:tab/>
        <w:t>dos</w:t>
        <w:tab/>
        <w:t>anos</w:t>
        <w:tab/>
        <w:t>iniciais, </w:t>
      </w:r>
      <w:r>
        <w:rPr>
          <w:spacing w:val="64"/>
        </w:rPr>
        <w:t> </w:t>
      </w:r>
      <w:r>
        <w:rPr/>
        <w:t>alunos,</w:t>
        <w:tab/>
        <w:t>pais</w:t>
        <w:tab/>
        <w:t>ou</w:t>
        <w:tab/>
        <w:t>responsáveis</w:t>
        <w:tab/>
        <w:t>e servidores, na proporção de dois (02) membros de cada</w:t>
      </w:r>
      <w:r>
        <w:rPr>
          <w:spacing w:val="-33"/>
        </w:rPr>
        <w:t> </w:t>
      </w:r>
      <w:r>
        <w:rPr/>
        <w:t>segmento.</w:t>
      </w:r>
    </w:p>
    <w:p>
      <w:pPr>
        <w:pStyle w:val="BodyText"/>
        <w:spacing w:line="360" w:lineRule="auto"/>
        <w:ind w:left="308" w:right="111" w:firstLine="705"/>
        <w:jc w:val="both"/>
      </w:pPr>
      <w:r>
        <w:rPr/>
        <w:t>O critério estabelecido para escolha dos sujeitos levou em consideração a renovação do grupo de alunos da escola e consequentemente de pais ou responsáveis e também de alguns professores, haja vista a reestruturação curricular ocorrida no início do ano letivo de 2014, como já mencionado anteriormente.</w:t>
      </w:r>
    </w:p>
    <w:p>
      <w:pPr>
        <w:pStyle w:val="BodyText"/>
        <w:spacing w:line="360" w:lineRule="auto" w:before="2"/>
        <w:ind w:left="308" w:right="102" w:firstLine="705"/>
        <w:jc w:val="both"/>
      </w:pPr>
      <w:r>
        <w:rPr/>
        <w:t>Nesse sentido, a opção escolhida foi a de entrevistar em cada segmento pessoas que fizessem parte da comunidade escolar por período de no mínimo dois anos (02), utilizando como base o ano 2012 (referência para pesquisa empírica inicial), e sempre que possível atender as seguintes características: dentre gestores, professores e servidores, os que trabalham </w:t>
      </w:r>
      <w:r>
        <w:rPr>
          <w:spacing w:val="2"/>
        </w:rPr>
        <w:t>em </w:t>
      </w:r>
      <w:r>
        <w:rPr/>
        <w:t>tempo integral na escola; dentre os pais ou responsáveis os </w:t>
      </w:r>
      <w:r>
        <w:rPr>
          <w:spacing w:val="-3"/>
        </w:rPr>
        <w:t>que </w:t>
      </w:r>
      <w:r>
        <w:rPr/>
        <w:t>possuem mais de </w:t>
      </w:r>
      <w:r>
        <w:rPr>
          <w:spacing w:val="-3"/>
        </w:rPr>
        <w:t>uma </w:t>
      </w:r>
      <w:r>
        <w:rPr/>
        <w:t>criança na escola e dentre os alunos aqueles que são representantes do grêmio</w:t>
      </w:r>
      <w:r>
        <w:rPr>
          <w:spacing w:val="-35"/>
        </w:rPr>
        <w:t> </w:t>
      </w:r>
      <w:r>
        <w:rPr/>
        <w:t>estudantil.</w:t>
      </w:r>
    </w:p>
    <w:p>
      <w:pPr>
        <w:pStyle w:val="BodyText"/>
        <w:spacing w:line="360" w:lineRule="auto" w:before="2"/>
        <w:ind w:left="308" w:right="100" w:firstLine="705"/>
        <w:jc w:val="both"/>
      </w:pPr>
      <w:r>
        <w:rPr/>
        <w:t>Para escolha dos sujeitos foi feito levantamento junto à direção das seguintes informações: relação total de servidores da escola, respectivas datas de início das atividades, jornada de trabalho. As sistematizações dessas informações geraram um documento que serviu de base para elaboração de uma lista com nomes dos possíveis entrevistados. De forma semelhante obteve-se apoio da secretaria da escola para a seleção dos alunos e pais ou responsáveis.</w:t>
      </w:r>
    </w:p>
    <w:p>
      <w:pPr>
        <w:pStyle w:val="BodyText"/>
        <w:spacing w:line="360" w:lineRule="auto" w:before="2"/>
        <w:ind w:left="308" w:right="102" w:firstLine="705"/>
        <w:jc w:val="both"/>
      </w:pPr>
      <w:r>
        <w:rPr/>
        <w:t>Com listas de possíveis entrevistados em mãos, a pesquisadora procedeu  à abordagem dos sujeitos de cada categoria nos seus respectivos espaços dentro da escola. Foram entrevistados os sujeitos que preenchendo os critérios estabelecidos, aceitaram o convite para</w:t>
      </w:r>
      <w:r>
        <w:rPr>
          <w:spacing w:val="-14"/>
        </w:rPr>
        <w:t> </w:t>
      </w:r>
      <w:r>
        <w:rPr/>
        <w:t>entrevista.</w:t>
      </w:r>
    </w:p>
    <w:p>
      <w:pPr>
        <w:pStyle w:val="BodyText"/>
        <w:spacing w:line="360" w:lineRule="auto" w:before="2"/>
        <w:ind w:left="308" w:right="106" w:firstLine="705"/>
        <w:jc w:val="both"/>
      </w:pPr>
      <w:r>
        <w:rPr/>
        <w:t>Todos os entrevistados foram esclarecidos sobre os objetivos da pesquisa e os procedimentos adotados quanto ao registro, que ocorreram mediante gravação de voz com equipamento digital e do trato com as informações. Os entrevistados foram convidados a assinar o Termo de consentimento e livre esclarecimento. Pais ou responsáveis assinaram o termo de autorização para trabalhar com o menor de idade (ANEXOS D e E), no caso das entrevistas realizadas com os alunos. Enfim, as entrevistas combinadas e previamente agendadas, em local e horário determinados, aconteceram com cada </w:t>
      </w:r>
      <w:r>
        <w:rPr>
          <w:spacing w:val="2"/>
        </w:rPr>
        <w:t>um </w:t>
      </w:r>
      <w:r>
        <w:rPr/>
        <w:t>dos entrevistados, e no que se refere aos alunos, foram combinadas com pais ou responsáveis.</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2" w:firstLine="705"/>
        <w:jc w:val="both"/>
      </w:pPr>
      <w:r>
        <w:rPr/>
        <w:t>Assim sendo, foi elaborado um roteiro (Apêndice F) para as entrevistas, contendo quatro (04) tópicos e cada tópico com quatro (04) questões relacionadas da seguinte forma: Tópico 01 - sobre a escola; Tópico 02 - sobre a equipe escolar; Tópico 03 - sobre as atividades desenvolvidas pela escola e Tópico 04 – sobre as relações estabelecidas pela escola. As questões foram elaboradas e articuladas entre si, visando obter informações que possibilitassem a pesquisadora identificar se as evidências de criatividade, apontados no diagnóstico, realmente se confirmam nas entrevistas, se as práticas consideradas criativas colaboram e também em que colaboram ou não na organização do trabalho das pessoas dentro da escola.</w:t>
      </w:r>
    </w:p>
    <w:p>
      <w:pPr>
        <w:pStyle w:val="BodyText"/>
        <w:spacing w:line="360" w:lineRule="auto" w:before="3"/>
        <w:ind w:left="308" w:right="105" w:firstLine="705"/>
        <w:jc w:val="both"/>
      </w:pPr>
      <w:r>
        <w:rPr/>
        <w:t>O roteiro priorizou </w:t>
      </w:r>
      <w:r>
        <w:rPr>
          <w:spacing w:val="-3"/>
        </w:rPr>
        <w:t>uma </w:t>
      </w:r>
      <w:r>
        <w:rPr/>
        <w:t>linguagem clara e simples de modo que as questões fossem bem compreendidas por todos os entrevistados, evitando assim qualquer desconforto ou constrangimento no momento da entrevista. Todas as entrevistas foram realizadas pela pesquisadora, as quais ela primou pelo respeito e proteção à identidade dos sujeitos, pois as atitudes responsáveis e cientificamente coerentes contribuíram na concretização dos objetivos propostos da pesquisa e na produção da dissertação. (BOGDAN e BIKLEN,</w:t>
      </w:r>
      <w:r>
        <w:rPr>
          <w:spacing w:val="-30"/>
        </w:rPr>
        <w:t> </w:t>
      </w:r>
      <w:r>
        <w:rPr/>
        <w:t>1994).</w:t>
      </w:r>
    </w:p>
    <w:p>
      <w:pPr>
        <w:pStyle w:val="BodyText"/>
        <w:spacing w:line="360" w:lineRule="auto" w:before="7"/>
        <w:ind w:left="308" w:right="98" w:firstLine="705"/>
        <w:jc w:val="both"/>
      </w:pPr>
      <w:r>
        <w:rPr/>
        <w:t>As técnicas de coleta dados descritas no estudo foram estruturadas com base na técnica da triangulação, </w:t>
      </w:r>
      <w:r>
        <w:rPr>
          <w:spacing w:val="-3"/>
        </w:rPr>
        <w:t>uma </w:t>
      </w:r>
      <w:r>
        <w:rPr/>
        <w:t>vez que essa técnica caracteriza-se pela combinação de vários métodos de abordagem, os quais ajudam na compreensão da realidade e possibilita obtenção de maior amplitude na descrição, explicação e compreensão do foco do estudo, permitindo estabelecer inter-relação entre os fatos, as falas, as ações dos indivíduos e conceber a existência isolada de um fenômeno social sem raízes históricas, sem significados culturais e sem vinculações estreitas e essenciais com macro realidade social.  (TRIVIÑOS,  2006).</w:t>
      </w:r>
    </w:p>
    <w:p>
      <w:pPr>
        <w:pStyle w:val="BodyText"/>
        <w:rPr>
          <w:sz w:val="26"/>
        </w:rPr>
      </w:pPr>
    </w:p>
    <w:p>
      <w:pPr>
        <w:pStyle w:val="BodyText"/>
        <w:rPr>
          <w:sz w:val="26"/>
        </w:rPr>
      </w:pPr>
    </w:p>
    <w:p>
      <w:pPr>
        <w:pStyle w:val="BodyText"/>
        <w:spacing w:before="4"/>
        <w:rPr>
          <w:sz w:val="20"/>
        </w:rPr>
      </w:pPr>
    </w:p>
    <w:p>
      <w:pPr>
        <w:pStyle w:val="ListParagraph"/>
        <w:numPr>
          <w:ilvl w:val="1"/>
          <w:numId w:val="11"/>
        </w:numPr>
        <w:tabs>
          <w:tab w:pos="736" w:val="left" w:leader="none"/>
        </w:tabs>
        <w:spacing w:line="240" w:lineRule="auto" w:before="1" w:after="0"/>
        <w:ind w:left="735" w:right="0" w:hanging="427"/>
        <w:jc w:val="left"/>
        <w:rPr>
          <w:sz w:val="24"/>
        </w:rPr>
      </w:pPr>
      <w:r>
        <w:rPr>
          <w:sz w:val="24"/>
        </w:rPr>
        <w:t>OS SEGREDOS DO</w:t>
      </w:r>
      <w:r>
        <w:rPr>
          <w:spacing w:val="-9"/>
          <w:sz w:val="24"/>
        </w:rPr>
        <w:t> </w:t>
      </w:r>
      <w:r>
        <w:rPr>
          <w:sz w:val="24"/>
        </w:rPr>
        <w:t>LABIRINTO</w:t>
      </w:r>
    </w:p>
    <w:p>
      <w:pPr>
        <w:pStyle w:val="BodyText"/>
        <w:rPr>
          <w:sz w:val="26"/>
        </w:rPr>
      </w:pPr>
    </w:p>
    <w:p>
      <w:pPr>
        <w:pStyle w:val="BodyText"/>
        <w:rPr>
          <w:sz w:val="26"/>
        </w:rPr>
      </w:pPr>
    </w:p>
    <w:p>
      <w:pPr>
        <w:pStyle w:val="BodyText"/>
        <w:spacing w:before="1"/>
        <w:rPr>
          <w:sz w:val="32"/>
        </w:rPr>
      </w:pPr>
    </w:p>
    <w:p>
      <w:pPr>
        <w:pStyle w:val="BodyText"/>
        <w:spacing w:line="360" w:lineRule="auto" w:before="1"/>
        <w:ind w:left="308" w:right="106" w:firstLine="710"/>
        <w:jc w:val="both"/>
      </w:pPr>
      <w:r>
        <w:rPr/>
        <w:t>Após a coleta, os dados foram classificados e sistematizados com base na técnica de análise de conteúdo, justamente por configurar-se como um meio para estudar a comunicação entre as pessoas, com ênfase no conteúdo da mensagem</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99"/>
        <w:jc w:val="both"/>
      </w:pPr>
      <w:r>
        <w:rPr/>
        <w:t>e nos objetivos propostos da pesquisa quando, segundo Triviños (2006), auxilia como instrumento nas pesquisas de maior profundidade e complexidade. Para Bardin (2009), a análise de conteúdo, enquanto método de análise torna-se um conjunto de técnicas de análise das comunicações que utiliza procedimentos sistemáticos e objetivos de descrição do conteúdo das mensagens.</w:t>
      </w:r>
    </w:p>
    <w:p>
      <w:pPr>
        <w:pStyle w:val="BodyText"/>
        <w:rPr>
          <w:sz w:val="26"/>
        </w:rPr>
      </w:pPr>
    </w:p>
    <w:p>
      <w:pPr>
        <w:pStyle w:val="BodyText"/>
        <w:rPr>
          <w:sz w:val="26"/>
        </w:rPr>
      </w:pPr>
    </w:p>
    <w:p>
      <w:pPr>
        <w:pStyle w:val="BodyText"/>
        <w:spacing w:before="4"/>
        <w:rPr>
          <w:sz w:val="20"/>
        </w:rPr>
      </w:pPr>
    </w:p>
    <w:p>
      <w:pPr>
        <w:spacing w:before="0"/>
        <w:ind w:left="2574" w:right="105" w:firstLine="0"/>
        <w:jc w:val="both"/>
        <w:rPr>
          <w:sz w:val="20"/>
        </w:rPr>
      </w:pPr>
      <w:r>
        <w:rPr>
          <w:sz w:val="20"/>
        </w:rPr>
        <w:t>Esta técnica procura reduzir o volume de informações contidas em uma comunicação a algumas características particulares ou categorias conceituais que permitam </w:t>
      </w:r>
      <w:r>
        <w:rPr>
          <w:spacing w:val="-3"/>
          <w:sz w:val="20"/>
        </w:rPr>
        <w:t>passar </w:t>
      </w:r>
      <w:r>
        <w:rPr>
          <w:sz w:val="20"/>
        </w:rPr>
        <w:t>dos elementos descritivos à interpretação ou investigar a compreensão dos atores sociais no contexto cultural </w:t>
      </w:r>
      <w:r>
        <w:rPr>
          <w:spacing w:val="-4"/>
          <w:sz w:val="20"/>
        </w:rPr>
        <w:t>em </w:t>
      </w:r>
      <w:r>
        <w:rPr>
          <w:sz w:val="20"/>
        </w:rPr>
        <w:t>que produzem a informação ou, enfim, verificando a influência </w:t>
      </w:r>
      <w:r>
        <w:rPr>
          <w:spacing w:val="-3"/>
          <w:sz w:val="20"/>
        </w:rPr>
        <w:t>desse </w:t>
      </w:r>
      <w:r>
        <w:rPr>
          <w:sz w:val="20"/>
        </w:rPr>
        <w:t>contexto no estilo, na forma e no conteúdo da comunicação. (CHIZZOTTI, 1998, p.</w:t>
      </w:r>
      <w:r>
        <w:rPr>
          <w:spacing w:val="-10"/>
          <w:sz w:val="20"/>
        </w:rPr>
        <w:t> </w:t>
      </w:r>
      <w:r>
        <w:rPr>
          <w:sz w:val="20"/>
        </w:rPr>
        <w:t>98).</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99" w:firstLine="710"/>
        <w:jc w:val="both"/>
      </w:pPr>
      <w:r>
        <w:rPr/>
        <w:t>Nesse trabalho, como método da análise, constituiu-se como ferramenta para a compreensão da construção de significado que os atores sociais exteriorizam no discurso e para melhor aplicabilidade, a técnica desdobrou-se em três etapas: a pré-análise, a descrição analítica e a interpretação  inferencial. Assim sendo, na pré-análise a organização do material constituiu o corpus da pesquisa, objeto da leitura geral como: as obras dos autores selecionados, os documentos pedagógicos e institucionais e as entrevistas gravadas.</w:t>
      </w:r>
    </w:p>
    <w:p>
      <w:pPr>
        <w:pStyle w:val="BodyText"/>
        <w:spacing w:line="360" w:lineRule="auto" w:before="7"/>
        <w:ind w:left="308" w:right="111" w:firstLine="710"/>
        <w:jc w:val="both"/>
      </w:pPr>
      <w:r>
        <w:rPr/>
        <w:t>Já a descrição analítica tratou do estudo aprofundado do material, com vistas à codificação, classificação e categorização dos dados obtidos, ou seja, procurou para cada um dos indicadores estudados, sistematizar um texto síntese que se expressasse o conjunto de significados presentes nas diversas unidades de análise incluídas em cada uma delas.</w:t>
      </w:r>
    </w:p>
    <w:p>
      <w:pPr>
        <w:pStyle w:val="BodyText"/>
        <w:spacing w:line="360" w:lineRule="auto" w:before="2"/>
        <w:ind w:left="308" w:right="104" w:firstLine="710"/>
        <w:jc w:val="both"/>
      </w:pPr>
      <w:r>
        <w:rPr/>
        <w:t>E, neste caso, fez-se uso intensivo de citações diretas dos dados originais, assim como na interpretação inferencial, também de relações entre os conteúdos extraídos dos diferentes instrumentos de coleta de dados utilizados, de modo a desvelar o conteúdo latente num movimento de procura de compreensão, de exercício e maior esforço de interpretação tanto sobre  conteúdos  manifestos pelos autores, como também sobre os conteúdos latentes identificados. (TRIVIÑOS, 2006).</w:t>
      </w:r>
    </w:p>
    <w:p>
      <w:pPr>
        <w:pStyle w:val="BodyText"/>
        <w:spacing w:line="360" w:lineRule="auto" w:before="7"/>
        <w:ind w:left="308" w:right="113" w:firstLine="710"/>
        <w:jc w:val="both"/>
      </w:pPr>
      <w:r>
        <w:rPr/>
        <w:t>No contexto da pesquisa, captar a realidade compreendeu a apreensão de um conjunto de relações, particularidade e detalhes que são totalidades de uma</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12"/>
        <w:jc w:val="both"/>
      </w:pPr>
      <w:r>
        <w:rPr/>
        <w:t>totalidade, que será vista nas e através das mediações, globais e parciais que se relacionam reciprocamente e se transformam mudando de um estado qualitativo para outro, articulação do mundo material social elaborado e organizado pelo ser humano através da racionalidade. (TRIVIÑOS, 2006).</w:t>
      </w:r>
    </w:p>
    <w:p>
      <w:pPr>
        <w:pStyle w:val="BodyText"/>
        <w:spacing w:line="360" w:lineRule="auto" w:before="2"/>
        <w:ind w:left="308" w:right="108" w:firstLine="710"/>
        <w:jc w:val="both"/>
      </w:pPr>
      <w:r>
        <w:rPr/>
        <w:t>Assim, analisar a prática educativa da escola de anos iniciais e identificar evidências de criatividade e inovação nesse contexto, partiu do entendimento que a mesma não se dá de forma isolada, relaciona-se num conjunto de práticas que são interdependentes e que se encontram inseridas num contexto social e como tal, fruto da ação humana, práxis social.</w:t>
      </w:r>
    </w:p>
    <w:p>
      <w:pPr>
        <w:pStyle w:val="BodyText"/>
        <w:spacing w:line="360" w:lineRule="auto" w:before="7"/>
        <w:ind w:left="308" w:right="101" w:firstLine="710"/>
        <w:jc w:val="both"/>
      </w:pPr>
      <w:r>
        <w:rPr/>
        <w:t>Nesse aspecto, a construção da análise constituiu-se </w:t>
      </w:r>
      <w:r>
        <w:rPr>
          <w:spacing w:val="-4"/>
        </w:rPr>
        <w:t>como </w:t>
      </w:r>
      <w:r>
        <w:rPr/>
        <w:t>base os dados e os indicadores identificados na fase diagnóstica da pesquisa e aprofundados no processo de entrevista e análise realizadas nos documentos pedagógicos coletados,   em  que   procurou   identificar   a  presença   de   características </w:t>
      </w:r>
      <w:r>
        <w:rPr>
          <w:spacing w:val="24"/>
        </w:rPr>
        <w:t> </w:t>
      </w:r>
      <w:r>
        <w:rPr/>
        <w:t>dos</w:t>
      </w:r>
    </w:p>
    <w:p>
      <w:pPr>
        <w:pStyle w:val="BodyText"/>
        <w:spacing w:line="348" w:lineRule="auto" w:before="7"/>
        <w:ind w:left="308" w:right="105"/>
        <w:jc w:val="both"/>
      </w:pPr>
      <w:r>
        <w:rPr/>
        <w:t>indicadores nas mensagens contidas nas falas dos entrevistados (BARDIN, 2009)</w:t>
      </w:r>
      <w:r>
        <w:rPr>
          <w:position w:val="11"/>
          <w:sz w:val="16"/>
        </w:rPr>
        <w:t>24</w:t>
      </w:r>
      <w:r>
        <w:rPr/>
        <w:t>, no sentido de desvelar também os conteúdos latentes que pudessem revelar ideologias e tendências das características dos fenômenos sociais analisados (TRIVIÑOS, 2006).</w:t>
      </w:r>
    </w:p>
    <w:p>
      <w:pPr>
        <w:pStyle w:val="BodyText"/>
        <w:spacing w:line="360" w:lineRule="auto" w:before="20"/>
        <w:ind w:left="308" w:right="103" w:firstLine="710"/>
        <w:jc w:val="both"/>
      </w:pPr>
      <w:r>
        <w:rPr/>
        <w:t>Dessa forma, a própria construção da teoria é </w:t>
      </w:r>
      <w:r>
        <w:rPr>
          <w:spacing w:val="-3"/>
        </w:rPr>
        <w:t>uma </w:t>
      </w:r>
      <w:r>
        <w:rPr/>
        <w:t>interpretação porque teorização, interpretação e compreensão constituem </w:t>
      </w:r>
      <w:r>
        <w:rPr>
          <w:spacing w:val="2"/>
        </w:rPr>
        <w:t>um </w:t>
      </w:r>
      <w:r>
        <w:rPr/>
        <w:t>movimento circular </w:t>
      </w:r>
      <w:r>
        <w:rPr>
          <w:spacing w:val="2"/>
        </w:rPr>
        <w:t>em </w:t>
      </w:r>
      <w:r>
        <w:rPr/>
        <w:t>que a cada retomada do ciclo se procura atingir maior profundidade na análise (MORAES, 1999), que resultou na sistematização do texto dissertativo, escrito concomitantemente ao desenvolvimento da pesquisa, cujos resultados parciais e finais foram publicados em eventos e revistas científicas durante o período da investigação, e na fase final, passou pela avaliação de </w:t>
      </w:r>
      <w:r>
        <w:rPr>
          <w:spacing w:val="-3"/>
        </w:rPr>
        <w:t>uma </w:t>
      </w:r>
      <w:r>
        <w:rPr/>
        <w:t>banca do Programa de Pós-Graduação em Educação (PPGE) para fins de qualificação e de</w:t>
      </w:r>
      <w:r>
        <w:rPr>
          <w:spacing w:val="-37"/>
        </w:rPr>
        <w:t> </w:t>
      </w:r>
      <w:r>
        <w:rPr/>
        <w:t>defesa.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pPr>
      <w:r>
        <w:rPr/>
        <w:pict>
          <v:line style="position:absolute;mso-position-horizontal-relative:page;mso-position-vertical-relative:paragraph;z-index:1696;mso-wrap-distance-left:0;mso-wrap-distance-right:0" from="99.407997pt,16.598263pt" to="243.457997pt,16.598263pt" stroked="true" strokeweight=".71997pt" strokecolor="#000000">
            <v:stroke dashstyle="solid"/>
            <w10:wrap type="topAndBottom"/>
          </v:line>
        </w:pict>
      </w:r>
    </w:p>
    <w:p>
      <w:pPr>
        <w:spacing w:before="47"/>
        <w:ind w:left="308" w:right="0" w:firstLine="0"/>
        <w:jc w:val="left"/>
        <w:rPr>
          <w:sz w:val="20"/>
        </w:rPr>
      </w:pPr>
      <w:r>
        <w:rPr>
          <w:rFonts w:ascii="Times New Roman"/>
          <w:position w:val="9"/>
          <w:sz w:val="13"/>
        </w:rPr>
        <w:t>24  </w:t>
      </w:r>
      <w:r>
        <w:rPr>
          <w:sz w:val="20"/>
        </w:rPr>
        <w:t>Definidos a priori, com base no instrumento VADECRIE.</w:t>
      </w:r>
    </w:p>
    <w:p>
      <w:pPr>
        <w:spacing w:after="0"/>
        <w:jc w:val="left"/>
        <w:rPr>
          <w:sz w:val="20"/>
        </w:rPr>
        <w:sectPr>
          <w:pgSz w:w="11910" w:h="16840"/>
          <w:pgMar w:header="1133" w:footer="0" w:top="1340" w:bottom="280" w:left="1680" w:right="1020"/>
        </w:sectPr>
      </w:pPr>
    </w:p>
    <w:p>
      <w:pPr>
        <w:pStyle w:val="BodyText"/>
        <w:spacing w:before="10"/>
        <w:rPr>
          <w:sz w:val="20"/>
        </w:rPr>
      </w:pPr>
    </w:p>
    <w:p>
      <w:pPr>
        <w:pStyle w:val="Heading3"/>
        <w:numPr>
          <w:ilvl w:val="0"/>
          <w:numId w:val="11"/>
        </w:numPr>
        <w:tabs>
          <w:tab w:pos="577" w:val="left" w:leader="none"/>
        </w:tabs>
        <w:spacing w:line="362" w:lineRule="auto" w:before="92" w:after="0"/>
        <w:ind w:left="591" w:right="109" w:hanging="283"/>
        <w:jc w:val="left"/>
      </w:pPr>
      <w:bookmarkStart w:name="_TOC_250005" w:id="12"/>
      <w:r>
        <w:rPr/>
        <w:t>O ESTUDO DO CASO: AS PRÁTICAS CRIATIVAS E INOVADORAS </w:t>
      </w:r>
      <w:r>
        <w:rPr>
          <w:spacing w:val="4"/>
        </w:rPr>
        <w:t>DA </w:t>
      </w:r>
      <w:r>
        <w:rPr/>
        <w:t>ESCOLA MUNICIPAL ORLINDO PEREIRA DA</w:t>
      </w:r>
      <w:r>
        <w:rPr>
          <w:spacing w:val="-15"/>
        </w:rPr>
        <w:t> </w:t>
      </w:r>
      <w:bookmarkEnd w:id="12"/>
      <w:r>
        <w:rPr/>
        <w:t>MOTA</w:t>
      </w:r>
    </w:p>
    <w:p>
      <w:pPr>
        <w:pStyle w:val="BodyText"/>
        <w:rPr>
          <w:b/>
          <w:sz w:val="26"/>
        </w:rPr>
      </w:pPr>
    </w:p>
    <w:p>
      <w:pPr>
        <w:pStyle w:val="BodyText"/>
        <w:rPr>
          <w:b/>
          <w:sz w:val="26"/>
        </w:rPr>
      </w:pPr>
    </w:p>
    <w:p>
      <w:pPr>
        <w:pStyle w:val="BodyText"/>
        <w:spacing w:line="360" w:lineRule="auto" w:before="233"/>
        <w:ind w:left="308" w:right="108" w:firstLine="710"/>
        <w:jc w:val="both"/>
      </w:pPr>
      <w:r>
        <w:rPr/>
        <w:t>Esse capítulo refere-se à análise das evidências de criatividade e tem  como finalidade saber o que há de criativo e inovador na prática educativa da Escola Municipal Orlindo Pereira da Mota, situada em Gurupi, no Estado do Tocantins.</w:t>
      </w:r>
    </w:p>
    <w:p>
      <w:pPr>
        <w:pStyle w:val="BodyText"/>
        <w:spacing w:line="360" w:lineRule="auto" w:before="3"/>
        <w:ind w:left="308" w:right="100" w:firstLine="710"/>
        <w:jc w:val="both"/>
      </w:pPr>
      <w:r>
        <w:rPr/>
        <w:t>O referente estudo foi conduzido com orientações baseadas na pesquisa qualitativa para a qual o conhecimento resulta da compreensão do significado do processo ou experiência vivida por meio de atividades de interpretação e compreensão do fenômeno e de valorização dos atores sociais que dão significado aos fenômenos sociais de </w:t>
      </w:r>
      <w:r>
        <w:rPr>
          <w:spacing w:val="-4"/>
        </w:rPr>
        <w:t>forma </w:t>
      </w:r>
      <w:r>
        <w:rPr/>
        <w:t>variada (MINAYO,2003). Nesse aspecto, esse estudo considera também que os fenômenos devem ser entendidos nas suas determinações e transformações dadas pelos sujeitos. (TRIVIÑOS, 2006).</w:t>
      </w:r>
    </w:p>
    <w:p>
      <w:pPr>
        <w:pStyle w:val="BodyText"/>
        <w:spacing w:line="360" w:lineRule="auto" w:before="3"/>
        <w:ind w:left="308" w:right="102" w:firstLine="710"/>
        <w:jc w:val="both"/>
      </w:pPr>
      <w:r>
        <w:rPr/>
        <w:t>De acordo com André (1986), a análise qualitativa busca captar o caráter multidimensional dos fenômenos, considerando os diferentes significados aspectos da experiência vivida e auxiliando na compreensão do indivíduo no seu contexto. O caráter multidimensional refere-se, segundo Suanno (2013c, p. 69) a constituição complexa (todo e partes) da realidade, dos indivíduos e dos fenômenos “e o conhecimento construído sobre qualquer realidade é tradução, </w:t>
      </w:r>
      <w:r>
        <w:rPr>
          <w:spacing w:val="-3"/>
        </w:rPr>
        <w:t>uma </w:t>
      </w:r>
      <w:r>
        <w:rPr/>
        <w:t>reconstrução do sujeito complexo, por meio de seu nível de realidade, de percepção, de consciência, e de suas referências culturais, históricas e bibliográficas”.</w:t>
      </w:r>
    </w:p>
    <w:p>
      <w:pPr>
        <w:pStyle w:val="BodyText"/>
        <w:spacing w:line="362" w:lineRule="auto" w:before="3"/>
        <w:ind w:left="308" w:right="107" w:firstLine="705"/>
        <w:jc w:val="both"/>
      </w:pPr>
      <w:r>
        <w:rPr/>
        <w:t>Nesse sentido, a análise dos dados coletados na escola em questão está organizada em duas etapas: a primeira refere-se ao resultado das respostas   das</w:t>
      </w:r>
    </w:p>
    <w:p>
      <w:pPr>
        <w:pStyle w:val="BodyText"/>
        <w:spacing w:line="360" w:lineRule="auto"/>
        <w:ind w:left="308" w:right="102"/>
        <w:jc w:val="both"/>
      </w:pPr>
      <w:r>
        <w:rPr/>
        <w:t>43 pessoas da comunidade escolar </w:t>
      </w:r>
      <w:r>
        <w:rPr>
          <w:spacing w:val="-3"/>
        </w:rPr>
        <w:t>que </w:t>
      </w:r>
      <w:r>
        <w:rPr/>
        <w:t>corresponde à equipe gestora, professoras, servidores e pais ou responsáveis da escola, os quais responderam  o questionário Vadecrie com o propósito de diagnosticar os  indícios  de criatividade da instituição conforme metodologia proposta; e a segunda, refere-se ao cruzamento das informações coletadas no questionário Vadecrie; das entrevistas realizadas com gestores, professores, servidores, pais  ou responsáveis  e  alunos  da  escola  e   o  cruzamento   destes  dados  com      </w:t>
      </w:r>
      <w:r>
        <w:rPr>
          <w:spacing w:val="13"/>
        </w:rPr>
        <w:t> </w:t>
      </w:r>
      <w:r>
        <w:rPr/>
        <w:t>as</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right="228"/>
        <w:jc w:val="both"/>
      </w:pPr>
      <w:r>
        <w:rPr/>
        <w:t>informações obtidas na análise do Projeto Político Pedagógico e relatórios dos projetos realizados pela escola, nas visitas regulares à escola e a teoria utilizada como sustentação para as discussões apresentadas.</w:t>
      </w:r>
    </w:p>
    <w:p>
      <w:pPr>
        <w:pStyle w:val="BodyText"/>
        <w:spacing w:line="360" w:lineRule="auto"/>
        <w:ind w:left="308" w:right="223" w:firstLine="705"/>
        <w:jc w:val="both"/>
      </w:pPr>
      <w:r>
        <w:rPr/>
        <w:t>Os procedimentos adotados, conforme descrição metodológica  da  pesquisa e atendendo os objetivos específicos, pretendem conhecer as práticas educativas criativas desenvolvidas pela escola de ensino fundamental em </w:t>
      </w:r>
      <w:r>
        <w:rPr>
          <w:spacing w:val="32"/>
        </w:rPr>
        <w:t> </w:t>
      </w:r>
      <w:r>
        <w:rPr/>
        <w:t>Gurupi</w:t>
      </w:r>
    </w:p>
    <w:p>
      <w:pPr>
        <w:pStyle w:val="ListParagraph"/>
        <w:numPr>
          <w:ilvl w:val="0"/>
          <w:numId w:val="12"/>
        </w:numPr>
        <w:tabs>
          <w:tab w:pos="457" w:val="left" w:leader="none"/>
        </w:tabs>
        <w:spacing w:line="360" w:lineRule="auto" w:before="3" w:after="0"/>
        <w:ind w:left="308" w:right="229" w:firstLine="0"/>
        <w:jc w:val="both"/>
        <w:rPr>
          <w:sz w:val="24"/>
        </w:rPr>
      </w:pPr>
      <w:r>
        <w:rPr>
          <w:sz w:val="24"/>
        </w:rPr>
        <w:t>TO, identificando-as com base nos indicadores de criatividade que fundamentam e definem instituições escolares como organizações</w:t>
      </w:r>
      <w:r>
        <w:rPr>
          <w:spacing w:val="-20"/>
          <w:sz w:val="24"/>
        </w:rPr>
        <w:t> </w:t>
      </w:r>
      <w:r>
        <w:rPr>
          <w:sz w:val="24"/>
        </w:rPr>
        <w:t>criativas.</w:t>
      </w:r>
    </w:p>
    <w:p>
      <w:pPr>
        <w:pStyle w:val="BodyText"/>
        <w:spacing w:line="360" w:lineRule="auto" w:before="2"/>
        <w:ind w:left="308" w:right="217" w:firstLine="705"/>
        <w:jc w:val="both"/>
      </w:pPr>
      <w:r>
        <w:rPr/>
        <w:t>Os dados que seguem baseiam-se nos resultados obtidos na sistematização das respostas. Aqui estão analisadas as respostas dadas pelos gestores, professores, servidores e pais ou responsáveis aos 60 indicadores constantes no questionário Vadecrie (TORRE, 2012; SUANNO, 2013) versão adaptada por Pinho (2013) para referente pesquisa (ANEXO C). Na tabela 04 estão os dados que expressam a participação da comunidade escolar nas respostas ao questionário Vadecrie.</w:t>
      </w:r>
    </w:p>
    <w:p>
      <w:pPr>
        <w:pStyle w:val="BodyText"/>
        <w:rPr>
          <w:sz w:val="26"/>
        </w:rPr>
      </w:pPr>
    </w:p>
    <w:p>
      <w:pPr>
        <w:pStyle w:val="BodyText"/>
        <w:rPr>
          <w:sz w:val="26"/>
        </w:rPr>
      </w:pPr>
    </w:p>
    <w:p>
      <w:pPr>
        <w:pStyle w:val="BodyText"/>
        <w:spacing w:before="6"/>
        <w:rPr>
          <w:sz w:val="20"/>
        </w:rPr>
      </w:pPr>
    </w:p>
    <w:p>
      <w:pPr>
        <w:spacing w:line="226" w:lineRule="exact" w:before="0" w:after="55"/>
        <w:ind w:left="3679" w:right="242" w:hanging="3347"/>
        <w:jc w:val="left"/>
        <w:rPr>
          <w:b/>
          <w:sz w:val="20"/>
        </w:rPr>
      </w:pPr>
      <w:r>
        <w:rPr>
          <w:b/>
          <w:sz w:val="20"/>
        </w:rPr>
        <w:t>Tabela 04 - Amostra participação por segmento da comunidade escolar no diagnóstico com instrumento Vadecrie</w:t>
      </w:r>
    </w:p>
    <w:tbl>
      <w:tblPr>
        <w:tblW w:w="0" w:type="auto"/>
        <w:jc w:val="left"/>
        <w:tblInd w:w="3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11"/>
        <w:gridCol w:w="2502"/>
        <w:gridCol w:w="2084"/>
        <w:gridCol w:w="1801"/>
      </w:tblGrid>
      <w:tr>
        <w:trPr>
          <w:trHeight w:val="274" w:hRule="exact"/>
        </w:trPr>
        <w:tc>
          <w:tcPr>
            <w:tcW w:w="2511" w:type="dxa"/>
            <w:shd w:val="clear" w:color="auto" w:fill="D9D9D9"/>
          </w:tcPr>
          <w:p>
            <w:pPr>
              <w:pStyle w:val="TableParagraph"/>
              <w:spacing w:line="225" w:lineRule="exact"/>
              <w:ind w:left="275" w:right="280"/>
              <w:rPr>
                <w:b/>
                <w:sz w:val="20"/>
              </w:rPr>
            </w:pPr>
            <w:r>
              <w:rPr>
                <w:b/>
                <w:sz w:val="20"/>
              </w:rPr>
              <w:t>Segmento</w:t>
            </w:r>
          </w:p>
        </w:tc>
        <w:tc>
          <w:tcPr>
            <w:tcW w:w="2502" w:type="dxa"/>
            <w:shd w:val="clear" w:color="auto" w:fill="D9D9D9"/>
          </w:tcPr>
          <w:p>
            <w:pPr>
              <w:pStyle w:val="TableParagraph"/>
              <w:spacing w:line="225" w:lineRule="exact"/>
              <w:ind w:left="718" w:right="722"/>
              <w:rPr>
                <w:b/>
                <w:sz w:val="20"/>
              </w:rPr>
            </w:pPr>
            <w:r>
              <w:rPr>
                <w:b/>
                <w:sz w:val="20"/>
              </w:rPr>
              <w:t>População</w:t>
            </w:r>
          </w:p>
        </w:tc>
        <w:tc>
          <w:tcPr>
            <w:tcW w:w="2084" w:type="dxa"/>
            <w:shd w:val="clear" w:color="auto" w:fill="D9D9D9"/>
          </w:tcPr>
          <w:p>
            <w:pPr>
              <w:pStyle w:val="TableParagraph"/>
              <w:spacing w:line="225" w:lineRule="exact"/>
              <w:ind w:left="39" w:right="46"/>
              <w:rPr>
                <w:b/>
                <w:sz w:val="20"/>
              </w:rPr>
            </w:pPr>
            <w:r>
              <w:rPr>
                <w:b/>
                <w:sz w:val="20"/>
              </w:rPr>
              <w:t>Amostra</w:t>
            </w:r>
          </w:p>
        </w:tc>
        <w:tc>
          <w:tcPr>
            <w:tcW w:w="1801" w:type="dxa"/>
            <w:shd w:val="clear" w:color="auto" w:fill="D9D9D9"/>
          </w:tcPr>
          <w:p>
            <w:pPr>
              <w:pStyle w:val="TableParagraph"/>
              <w:spacing w:line="225" w:lineRule="exact"/>
              <w:ind w:right="5"/>
              <w:rPr>
                <w:b/>
                <w:sz w:val="20"/>
              </w:rPr>
            </w:pPr>
            <w:r>
              <w:rPr>
                <w:b/>
                <w:w w:val="100"/>
                <w:sz w:val="20"/>
              </w:rPr>
              <w:t>%</w:t>
            </w:r>
          </w:p>
        </w:tc>
      </w:tr>
      <w:tr>
        <w:trPr>
          <w:trHeight w:val="274" w:hRule="exact"/>
        </w:trPr>
        <w:tc>
          <w:tcPr>
            <w:tcW w:w="2511" w:type="dxa"/>
          </w:tcPr>
          <w:p>
            <w:pPr>
              <w:pStyle w:val="TableParagraph"/>
              <w:spacing w:line="230" w:lineRule="exact"/>
              <w:ind w:left="273" w:right="280"/>
              <w:rPr>
                <w:sz w:val="20"/>
              </w:rPr>
            </w:pPr>
            <w:r>
              <w:rPr>
                <w:sz w:val="20"/>
              </w:rPr>
              <w:t>Gestores</w:t>
            </w:r>
          </w:p>
        </w:tc>
        <w:tc>
          <w:tcPr>
            <w:tcW w:w="2502" w:type="dxa"/>
          </w:tcPr>
          <w:p>
            <w:pPr>
              <w:pStyle w:val="TableParagraph"/>
              <w:spacing w:line="230" w:lineRule="exact"/>
              <w:ind w:left="718" w:right="720"/>
              <w:rPr>
                <w:sz w:val="20"/>
              </w:rPr>
            </w:pPr>
            <w:r>
              <w:rPr>
                <w:sz w:val="20"/>
              </w:rPr>
              <w:t>06</w:t>
            </w:r>
          </w:p>
        </w:tc>
        <w:tc>
          <w:tcPr>
            <w:tcW w:w="2084" w:type="dxa"/>
          </w:tcPr>
          <w:p>
            <w:pPr>
              <w:pStyle w:val="TableParagraph"/>
              <w:spacing w:line="230" w:lineRule="exact"/>
              <w:ind w:left="46" w:right="46"/>
              <w:rPr>
                <w:sz w:val="20"/>
              </w:rPr>
            </w:pPr>
            <w:r>
              <w:rPr>
                <w:sz w:val="20"/>
              </w:rPr>
              <w:t>04</w:t>
            </w:r>
          </w:p>
        </w:tc>
        <w:tc>
          <w:tcPr>
            <w:tcW w:w="1801" w:type="dxa"/>
          </w:tcPr>
          <w:p>
            <w:pPr>
              <w:pStyle w:val="TableParagraph"/>
              <w:spacing w:line="230" w:lineRule="exact"/>
              <w:ind w:left="625" w:right="625"/>
              <w:rPr>
                <w:sz w:val="20"/>
              </w:rPr>
            </w:pPr>
            <w:r>
              <w:rPr>
                <w:sz w:val="20"/>
              </w:rPr>
              <w:t>66.66</w:t>
            </w:r>
          </w:p>
        </w:tc>
      </w:tr>
      <w:tr>
        <w:trPr>
          <w:trHeight w:val="274" w:hRule="exact"/>
        </w:trPr>
        <w:tc>
          <w:tcPr>
            <w:tcW w:w="2511" w:type="dxa"/>
          </w:tcPr>
          <w:p>
            <w:pPr>
              <w:pStyle w:val="TableParagraph"/>
              <w:spacing w:line="230" w:lineRule="exact"/>
              <w:ind w:left="277" w:right="280"/>
              <w:rPr>
                <w:sz w:val="20"/>
              </w:rPr>
            </w:pPr>
            <w:r>
              <w:rPr>
                <w:sz w:val="20"/>
              </w:rPr>
              <w:t>Professores</w:t>
            </w:r>
          </w:p>
        </w:tc>
        <w:tc>
          <w:tcPr>
            <w:tcW w:w="2502" w:type="dxa"/>
          </w:tcPr>
          <w:p>
            <w:pPr>
              <w:pStyle w:val="TableParagraph"/>
              <w:spacing w:line="230" w:lineRule="exact"/>
              <w:ind w:left="718" w:right="720"/>
              <w:rPr>
                <w:sz w:val="20"/>
              </w:rPr>
            </w:pPr>
            <w:r>
              <w:rPr>
                <w:sz w:val="20"/>
              </w:rPr>
              <w:t>06</w:t>
            </w:r>
          </w:p>
        </w:tc>
        <w:tc>
          <w:tcPr>
            <w:tcW w:w="2084" w:type="dxa"/>
          </w:tcPr>
          <w:p>
            <w:pPr>
              <w:pStyle w:val="TableParagraph"/>
              <w:spacing w:line="230" w:lineRule="exact"/>
              <w:ind w:left="46" w:right="46"/>
              <w:rPr>
                <w:sz w:val="20"/>
              </w:rPr>
            </w:pPr>
            <w:r>
              <w:rPr>
                <w:sz w:val="20"/>
              </w:rPr>
              <w:t>06</w:t>
            </w:r>
          </w:p>
        </w:tc>
        <w:tc>
          <w:tcPr>
            <w:tcW w:w="1801" w:type="dxa"/>
          </w:tcPr>
          <w:p>
            <w:pPr>
              <w:pStyle w:val="TableParagraph"/>
              <w:spacing w:line="230" w:lineRule="exact"/>
              <w:ind w:left="618" w:right="625"/>
              <w:rPr>
                <w:sz w:val="20"/>
              </w:rPr>
            </w:pPr>
            <w:r>
              <w:rPr>
                <w:sz w:val="20"/>
              </w:rPr>
              <w:t>100</w:t>
            </w:r>
          </w:p>
        </w:tc>
      </w:tr>
      <w:tr>
        <w:trPr>
          <w:trHeight w:val="278" w:hRule="exact"/>
        </w:trPr>
        <w:tc>
          <w:tcPr>
            <w:tcW w:w="2511" w:type="dxa"/>
          </w:tcPr>
          <w:p>
            <w:pPr>
              <w:pStyle w:val="TableParagraph"/>
              <w:spacing w:before="4"/>
              <w:ind w:left="277" w:right="280"/>
              <w:rPr>
                <w:sz w:val="20"/>
              </w:rPr>
            </w:pPr>
            <w:r>
              <w:rPr>
                <w:sz w:val="20"/>
              </w:rPr>
              <w:t>Servidores</w:t>
            </w:r>
          </w:p>
        </w:tc>
        <w:tc>
          <w:tcPr>
            <w:tcW w:w="2502" w:type="dxa"/>
          </w:tcPr>
          <w:p>
            <w:pPr>
              <w:pStyle w:val="TableParagraph"/>
              <w:spacing w:before="4"/>
              <w:ind w:left="718" w:right="720"/>
              <w:rPr>
                <w:sz w:val="20"/>
              </w:rPr>
            </w:pPr>
            <w:r>
              <w:rPr>
                <w:sz w:val="20"/>
              </w:rPr>
              <w:t>10</w:t>
            </w:r>
          </w:p>
        </w:tc>
        <w:tc>
          <w:tcPr>
            <w:tcW w:w="2084" w:type="dxa"/>
          </w:tcPr>
          <w:p>
            <w:pPr>
              <w:pStyle w:val="TableParagraph"/>
              <w:spacing w:before="4"/>
              <w:ind w:left="46" w:right="46"/>
              <w:rPr>
                <w:sz w:val="20"/>
              </w:rPr>
            </w:pPr>
            <w:r>
              <w:rPr>
                <w:sz w:val="20"/>
              </w:rPr>
              <w:t>05</w:t>
            </w:r>
          </w:p>
        </w:tc>
        <w:tc>
          <w:tcPr>
            <w:tcW w:w="1801" w:type="dxa"/>
          </w:tcPr>
          <w:p>
            <w:pPr>
              <w:pStyle w:val="TableParagraph"/>
              <w:spacing w:before="4"/>
              <w:ind w:left="623" w:right="625"/>
              <w:rPr>
                <w:sz w:val="20"/>
              </w:rPr>
            </w:pPr>
            <w:r>
              <w:rPr>
                <w:sz w:val="20"/>
              </w:rPr>
              <w:t>50</w:t>
            </w:r>
          </w:p>
        </w:tc>
      </w:tr>
      <w:tr>
        <w:trPr>
          <w:trHeight w:val="274" w:hRule="exact"/>
        </w:trPr>
        <w:tc>
          <w:tcPr>
            <w:tcW w:w="2511" w:type="dxa"/>
          </w:tcPr>
          <w:p>
            <w:pPr>
              <w:pStyle w:val="TableParagraph"/>
              <w:spacing w:line="230" w:lineRule="exact"/>
              <w:ind w:left="279" w:right="280"/>
              <w:rPr>
                <w:sz w:val="20"/>
              </w:rPr>
            </w:pPr>
            <w:r>
              <w:rPr>
                <w:sz w:val="20"/>
              </w:rPr>
              <w:t>Pais ou responsáveis</w:t>
            </w:r>
          </w:p>
        </w:tc>
        <w:tc>
          <w:tcPr>
            <w:tcW w:w="2502" w:type="dxa"/>
          </w:tcPr>
          <w:p>
            <w:pPr>
              <w:pStyle w:val="TableParagraph"/>
              <w:spacing w:line="230" w:lineRule="exact"/>
              <w:ind w:left="715" w:right="722"/>
              <w:rPr>
                <w:sz w:val="20"/>
              </w:rPr>
            </w:pPr>
            <w:r>
              <w:rPr>
                <w:sz w:val="20"/>
              </w:rPr>
              <w:t>140</w:t>
            </w:r>
          </w:p>
        </w:tc>
        <w:tc>
          <w:tcPr>
            <w:tcW w:w="2084" w:type="dxa"/>
          </w:tcPr>
          <w:p>
            <w:pPr>
              <w:pStyle w:val="TableParagraph"/>
              <w:spacing w:line="230" w:lineRule="exact"/>
              <w:ind w:left="46" w:right="46"/>
              <w:rPr>
                <w:sz w:val="20"/>
              </w:rPr>
            </w:pPr>
            <w:r>
              <w:rPr>
                <w:sz w:val="20"/>
              </w:rPr>
              <w:t>28</w:t>
            </w:r>
          </w:p>
        </w:tc>
        <w:tc>
          <w:tcPr>
            <w:tcW w:w="1801" w:type="dxa"/>
          </w:tcPr>
          <w:p>
            <w:pPr>
              <w:pStyle w:val="TableParagraph"/>
              <w:spacing w:line="230" w:lineRule="exact"/>
              <w:ind w:left="623" w:right="625"/>
              <w:rPr>
                <w:sz w:val="20"/>
              </w:rPr>
            </w:pPr>
            <w:r>
              <w:rPr>
                <w:sz w:val="20"/>
              </w:rPr>
              <w:t>20</w:t>
            </w:r>
          </w:p>
        </w:tc>
      </w:tr>
      <w:tr>
        <w:trPr>
          <w:trHeight w:val="274" w:hRule="exact"/>
        </w:trPr>
        <w:tc>
          <w:tcPr>
            <w:tcW w:w="2511" w:type="dxa"/>
            <w:shd w:val="clear" w:color="auto" w:fill="D9D9D9"/>
          </w:tcPr>
          <w:p>
            <w:pPr>
              <w:pStyle w:val="TableParagraph"/>
              <w:spacing w:line="230" w:lineRule="exact"/>
              <w:ind w:left="279" w:right="278"/>
              <w:rPr>
                <w:sz w:val="20"/>
              </w:rPr>
            </w:pPr>
            <w:r>
              <w:rPr>
                <w:sz w:val="20"/>
              </w:rPr>
              <w:t>TOTAL</w:t>
            </w:r>
          </w:p>
        </w:tc>
        <w:tc>
          <w:tcPr>
            <w:tcW w:w="2502" w:type="dxa"/>
            <w:shd w:val="clear" w:color="auto" w:fill="D9D9D9"/>
          </w:tcPr>
          <w:p>
            <w:pPr>
              <w:pStyle w:val="TableParagraph"/>
              <w:spacing w:line="230" w:lineRule="exact"/>
              <w:ind w:left="715" w:right="722"/>
              <w:rPr>
                <w:sz w:val="20"/>
              </w:rPr>
            </w:pPr>
            <w:r>
              <w:rPr>
                <w:sz w:val="20"/>
              </w:rPr>
              <w:t>162</w:t>
            </w:r>
          </w:p>
        </w:tc>
        <w:tc>
          <w:tcPr>
            <w:tcW w:w="2084" w:type="dxa"/>
            <w:shd w:val="clear" w:color="auto" w:fill="D9D9D9"/>
          </w:tcPr>
          <w:p>
            <w:pPr>
              <w:pStyle w:val="TableParagraph"/>
              <w:spacing w:line="230" w:lineRule="exact"/>
              <w:ind w:left="46" w:right="46"/>
              <w:rPr>
                <w:sz w:val="20"/>
              </w:rPr>
            </w:pPr>
            <w:r>
              <w:rPr>
                <w:sz w:val="20"/>
              </w:rPr>
              <w:t>43</w:t>
            </w:r>
          </w:p>
        </w:tc>
        <w:tc>
          <w:tcPr>
            <w:tcW w:w="1801" w:type="dxa"/>
            <w:shd w:val="clear" w:color="auto" w:fill="D9D9D9"/>
          </w:tcPr>
          <w:p>
            <w:pPr>
              <w:pStyle w:val="TableParagraph"/>
              <w:spacing w:line="230" w:lineRule="exact"/>
              <w:ind w:left="625" w:right="625"/>
              <w:rPr>
                <w:sz w:val="20"/>
              </w:rPr>
            </w:pPr>
            <w:r>
              <w:rPr>
                <w:sz w:val="20"/>
              </w:rPr>
              <w:t>26,54</w:t>
            </w:r>
          </w:p>
        </w:tc>
      </w:tr>
    </w:tbl>
    <w:p>
      <w:pPr>
        <w:spacing w:before="0"/>
        <w:ind w:left="308" w:right="0" w:firstLine="0"/>
        <w:jc w:val="both"/>
        <w:rPr>
          <w:sz w:val="20"/>
        </w:rPr>
      </w:pPr>
      <w:r>
        <w:rPr>
          <w:sz w:val="20"/>
        </w:rPr>
        <w:t>Fonte: Dados da pesquisa – Mestrado – Pinho (2014)</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223" w:firstLine="710"/>
        <w:jc w:val="both"/>
      </w:pPr>
      <w:r>
        <w:rPr/>
        <w:t>Por meio dos dados obtidos e representados na tabela 04 é possível identificar que a população dos 04 segmentos participantes da escola  corresponde a 162 pessoas e destas 43 pessoas responderam ao questionário, perfazendo um total de 26,54% da população delimitada. Destes, responderam aos questionários: 04 dos 06 gestores que corresponde a 66,66% da equipe gestora; as 06 professoras dos anos iniciais, que corresponde a 100% das professoras; 05 dos 10 servidores, que correspondem a 50% dos servidores, e  por fim 28 pais ou responsáveis, que corresponde a 20% do</w:t>
      </w:r>
      <w:r>
        <w:rPr>
          <w:spacing w:val="-31"/>
        </w:rPr>
        <w:t> </w:t>
      </w:r>
      <w:r>
        <w:rPr/>
        <w:t>segmento.</w:t>
      </w:r>
    </w:p>
    <w:p>
      <w:pPr>
        <w:spacing w:after="0" w:line="360" w:lineRule="auto"/>
        <w:jc w:val="both"/>
        <w:sectPr>
          <w:pgSz w:w="11910" w:h="16840"/>
          <w:pgMar w:header="1133" w:footer="0" w:top="1340" w:bottom="280" w:left="1680" w:right="900"/>
        </w:sectPr>
      </w:pPr>
    </w:p>
    <w:p>
      <w:pPr>
        <w:pStyle w:val="BodyText"/>
        <w:spacing w:before="3"/>
        <w:rPr>
          <w:sz w:val="21"/>
        </w:rPr>
      </w:pPr>
    </w:p>
    <w:p>
      <w:pPr>
        <w:pStyle w:val="BodyText"/>
        <w:spacing w:before="92"/>
        <w:ind w:left="308"/>
      </w:pPr>
      <w:r>
        <w:rPr/>
        <w:t>4.1 AS EVIDÊNCIAS DE CRIATIVIDADE</w:t>
      </w:r>
    </w:p>
    <w:p>
      <w:pPr>
        <w:pStyle w:val="BodyText"/>
        <w:rPr>
          <w:sz w:val="26"/>
        </w:rPr>
      </w:pPr>
    </w:p>
    <w:p>
      <w:pPr>
        <w:pStyle w:val="BodyText"/>
        <w:rPr>
          <w:sz w:val="26"/>
        </w:rPr>
      </w:pPr>
    </w:p>
    <w:p>
      <w:pPr>
        <w:pStyle w:val="BodyText"/>
        <w:spacing w:before="1"/>
        <w:rPr>
          <w:sz w:val="32"/>
        </w:rPr>
      </w:pPr>
    </w:p>
    <w:p>
      <w:pPr>
        <w:pStyle w:val="BodyText"/>
        <w:spacing w:line="360" w:lineRule="auto"/>
        <w:ind w:left="308" w:right="225" w:firstLine="710"/>
        <w:jc w:val="both"/>
      </w:pPr>
      <w:r>
        <w:rPr/>
        <w:t>Para diagnosticar as evidências de criatividade, da Escola Municipal Orlindo Pereira da Mota, utilizou-se como referência o quadro da valorização numérica disponível no documento Vadecrie, considerando os conceitos e valores descritos no quadro 04</w:t>
      </w:r>
      <w:r>
        <w:rPr>
          <w:spacing w:val="-12"/>
        </w:rPr>
        <w:t> </w:t>
      </w:r>
      <w:r>
        <w:rPr/>
        <w:t>abaixo:</w:t>
      </w:r>
    </w:p>
    <w:p>
      <w:pPr>
        <w:pStyle w:val="BodyText"/>
        <w:rPr>
          <w:sz w:val="26"/>
        </w:rPr>
      </w:pPr>
    </w:p>
    <w:p>
      <w:pPr>
        <w:pStyle w:val="BodyText"/>
        <w:rPr>
          <w:sz w:val="26"/>
        </w:rPr>
      </w:pPr>
    </w:p>
    <w:p>
      <w:pPr>
        <w:pStyle w:val="BodyText"/>
        <w:spacing w:before="5"/>
        <w:rPr>
          <w:sz w:val="20"/>
        </w:rPr>
      </w:pPr>
    </w:p>
    <w:p>
      <w:pPr>
        <w:spacing w:line="226" w:lineRule="exact" w:before="1" w:after="8"/>
        <w:ind w:left="3660" w:right="473" w:hanging="3093"/>
        <w:jc w:val="left"/>
        <w:rPr>
          <w:b/>
          <w:sz w:val="20"/>
        </w:rPr>
      </w:pPr>
      <w:r>
        <w:rPr>
          <w:b/>
          <w:sz w:val="20"/>
        </w:rPr>
        <w:t>Quadro 04 - Referência de conceitos e valores utilizados para análise das respostas ao questionário Vadecrie</w:t>
      </w:r>
    </w:p>
    <w:tbl>
      <w:tblPr>
        <w:tblW w:w="0" w:type="auto"/>
        <w:jc w:val="left"/>
        <w:tblInd w:w="3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27"/>
        <w:gridCol w:w="2127"/>
        <w:gridCol w:w="1277"/>
        <w:gridCol w:w="1667"/>
      </w:tblGrid>
      <w:tr>
        <w:trPr>
          <w:trHeight w:val="471" w:hRule="exact"/>
        </w:trPr>
        <w:tc>
          <w:tcPr>
            <w:tcW w:w="3827" w:type="dxa"/>
            <w:shd w:val="clear" w:color="auto" w:fill="A6A6A6"/>
          </w:tcPr>
          <w:p>
            <w:pPr>
              <w:pStyle w:val="TableParagraph"/>
              <w:spacing w:before="105"/>
              <w:ind w:left="1406" w:right="1415"/>
              <w:rPr>
                <w:b/>
                <w:sz w:val="20"/>
              </w:rPr>
            </w:pPr>
            <w:r>
              <w:rPr>
                <w:b/>
                <w:sz w:val="20"/>
              </w:rPr>
              <w:t>Descrição</w:t>
            </w:r>
          </w:p>
        </w:tc>
        <w:tc>
          <w:tcPr>
            <w:tcW w:w="2127" w:type="dxa"/>
            <w:shd w:val="clear" w:color="auto" w:fill="A6A6A6"/>
          </w:tcPr>
          <w:p>
            <w:pPr>
              <w:pStyle w:val="TableParagraph"/>
              <w:ind w:left="67" w:right="52" w:firstLine="432"/>
              <w:jc w:val="left"/>
              <w:rPr>
                <w:b/>
                <w:sz w:val="20"/>
              </w:rPr>
            </w:pPr>
            <w:r>
              <w:rPr>
                <w:b/>
                <w:sz w:val="20"/>
              </w:rPr>
              <w:t>Valorização qualitativa / conceito</w:t>
            </w:r>
          </w:p>
        </w:tc>
        <w:tc>
          <w:tcPr>
            <w:tcW w:w="1277" w:type="dxa"/>
            <w:shd w:val="clear" w:color="auto" w:fill="A6A6A6"/>
          </w:tcPr>
          <w:p>
            <w:pPr>
              <w:pStyle w:val="TableParagraph"/>
              <w:ind w:left="187" w:right="64" w:hanging="116"/>
              <w:jc w:val="left"/>
              <w:rPr>
                <w:b/>
                <w:sz w:val="20"/>
              </w:rPr>
            </w:pPr>
            <w:r>
              <w:rPr>
                <w:b/>
                <w:sz w:val="20"/>
              </w:rPr>
              <w:t>Valorização numérica</w:t>
            </w:r>
          </w:p>
        </w:tc>
        <w:tc>
          <w:tcPr>
            <w:tcW w:w="1667" w:type="dxa"/>
            <w:shd w:val="clear" w:color="auto" w:fill="A6A6A6"/>
          </w:tcPr>
          <w:p>
            <w:pPr>
              <w:pStyle w:val="TableParagraph"/>
              <w:spacing w:before="105"/>
              <w:ind w:left="365"/>
              <w:jc w:val="left"/>
              <w:rPr>
                <w:b/>
                <w:sz w:val="20"/>
              </w:rPr>
            </w:pPr>
            <w:r>
              <w:rPr>
                <w:b/>
                <w:sz w:val="20"/>
              </w:rPr>
              <w:t>Indicação</w:t>
            </w:r>
          </w:p>
        </w:tc>
      </w:tr>
      <w:tr>
        <w:trPr>
          <w:trHeight w:val="470" w:hRule="exact"/>
        </w:trPr>
        <w:tc>
          <w:tcPr>
            <w:tcW w:w="3827" w:type="dxa"/>
          </w:tcPr>
          <w:p>
            <w:pPr>
              <w:pStyle w:val="TableParagraph"/>
              <w:spacing w:before="110"/>
              <w:ind w:left="100"/>
              <w:jc w:val="left"/>
              <w:rPr>
                <w:sz w:val="20"/>
              </w:rPr>
            </w:pPr>
            <w:r>
              <w:rPr>
                <w:sz w:val="20"/>
              </w:rPr>
              <w:t>Nunca ou quase nunca</w:t>
            </w:r>
          </w:p>
        </w:tc>
        <w:tc>
          <w:tcPr>
            <w:tcW w:w="2127" w:type="dxa"/>
          </w:tcPr>
          <w:p>
            <w:pPr>
              <w:pStyle w:val="TableParagraph"/>
              <w:spacing w:before="110"/>
              <w:ind w:right="1"/>
              <w:rPr>
                <w:sz w:val="20"/>
              </w:rPr>
            </w:pPr>
            <w:r>
              <w:rPr>
                <w:w w:val="100"/>
                <w:sz w:val="20"/>
              </w:rPr>
              <w:t>D</w:t>
            </w:r>
          </w:p>
        </w:tc>
        <w:tc>
          <w:tcPr>
            <w:tcW w:w="1277" w:type="dxa"/>
          </w:tcPr>
          <w:p>
            <w:pPr>
              <w:pStyle w:val="TableParagraph"/>
              <w:spacing w:before="110"/>
              <w:ind w:left="375" w:right="380"/>
              <w:rPr>
                <w:sz w:val="20"/>
              </w:rPr>
            </w:pPr>
            <w:r>
              <w:rPr>
                <w:sz w:val="20"/>
              </w:rPr>
              <w:t>1-2</w:t>
            </w:r>
          </w:p>
        </w:tc>
        <w:tc>
          <w:tcPr>
            <w:tcW w:w="1667" w:type="dxa"/>
          </w:tcPr>
          <w:p>
            <w:pPr>
              <w:pStyle w:val="TableParagraph"/>
              <w:ind w:left="177" w:right="158" w:hanging="10"/>
              <w:jc w:val="left"/>
              <w:rPr>
                <w:sz w:val="20"/>
              </w:rPr>
            </w:pPr>
            <w:r>
              <w:rPr>
                <w:sz w:val="20"/>
              </w:rPr>
              <w:t>Sem evidência de criatividade</w:t>
            </w:r>
          </w:p>
        </w:tc>
      </w:tr>
      <w:tr>
        <w:trPr>
          <w:trHeight w:val="470" w:hRule="exact"/>
        </w:trPr>
        <w:tc>
          <w:tcPr>
            <w:tcW w:w="3827" w:type="dxa"/>
          </w:tcPr>
          <w:p>
            <w:pPr>
              <w:pStyle w:val="TableParagraph"/>
              <w:spacing w:before="110"/>
              <w:ind w:left="100"/>
              <w:jc w:val="left"/>
              <w:rPr>
                <w:sz w:val="20"/>
              </w:rPr>
            </w:pPr>
            <w:r>
              <w:rPr>
                <w:sz w:val="20"/>
              </w:rPr>
              <w:t>Às vezes. Ocasionalmente</w:t>
            </w:r>
          </w:p>
        </w:tc>
        <w:tc>
          <w:tcPr>
            <w:tcW w:w="2127" w:type="dxa"/>
          </w:tcPr>
          <w:p>
            <w:pPr>
              <w:pStyle w:val="TableParagraph"/>
              <w:spacing w:before="110"/>
              <w:ind w:right="1"/>
              <w:rPr>
                <w:sz w:val="20"/>
              </w:rPr>
            </w:pPr>
            <w:r>
              <w:rPr>
                <w:w w:val="100"/>
                <w:sz w:val="20"/>
              </w:rPr>
              <w:t>C</w:t>
            </w:r>
          </w:p>
        </w:tc>
        <w:tc>
          <w:tcPr>
            <w:tcW w:w="1277" w:type="dxa"/>
          </w:tcPr>
          <w:p>
            <w:pPr>
              <w:pStyle w:val="TableParagraph"/>
              <w:spacing w:before="110"/>
              <w:ind w:left="379" w:right="380"/>
              <w:rPr>
                <w:sz w:val="20"/>
              </w:rPr>
            </w:pPr>
            <w:r>
              <w:rPr>
                <w:sz w:val="20"/>
              </w:rPr>
              <w:t>3-4-5</w:t>
            </w:r>
          </w:p>
        </w:tc>
        <w:tc>
          <w:tcPr>
            <w:tcW w:w="1667" w:type="dxa"/>
          </w:tcPr>
          <w:p>
            <w:pPr>
              <w:pStyle w:val="TableParagraph"/>
              <w:ind w:left="177" w:right="158" w:hanging="10"/>
              <w:jc w:val="left"/>
              <w:rPr>
                <w:sz w:val="20"/>
              </w:rPr>
            </w:pPr>
            <w:r>
              <w:rPr>
                <w:sz w:val="20"/>
              </w:rPr>
              <w:t>Sem evidência de criatividade</w:t>
            </w:r>
          </w:p>
        </w:tc>
      </w:tr>
      <w:tr>
        <w:trPr>
          <w:trHeight w:val="471" w:hRule="exact"/>
        </w:trPr>
        <w:tc>
          <w:tcPr>
            <w:tcW w:w="3827" w:type="dxa"/>
          </w:tcPr>
          <w:p>
            <w:pPr>
              <w:pStyle w:val="TableParagraph"/>
              <w:ind w:left="100" w:right="585"/>
              <w:jc w:val="left"/>
              <w:rPr>
                <w:sz w:val="20"/>
              </w:rPr>
            </w:pPr>
            <w:r>
              <w:rPr>
                <w:sz w:val="20"/>
              </w:rPr>
              <w:t>Muitas vezes ou ocasiões. Existem evidências do indicador</w:t>
            </w:r>
          </w:p>
        </w:tc>
        <w:tc>
          <w:tcPr>
            <w:tcW w:w="2127" w:type="dxa"/>
          </w:tcPr>
          <w:p>
            <w:pPr>
              <w:pStyle w:val="TableParagraph"/>
              <w:spacing w:before="110"/>
              <w:ind w:right="2"/>
              <w:rPr>
                <w:sz w:val="20"/>
              </w:rPr>
            </w:pPr>
            <w:r>
              <w:rPr>
                <w:w w:val="100"/>
                <w:sz w:val="20"/>
              </w:rPr>
              <w:t>B</w:t>
            </w:r>
          </w:p>
        </w:tc>
        <w:tc>
          <w:tcPr>
            <w:tcW w:w="1277" w:type="dxa"/>
          </w:tcPr>
          <w:p>
            <w:pPr>
              <w:pStyle w:val="TableParagraph"/>
              <w:spacing w:before="110"/>
              <w:ind w:left="379" w:right="380"/>
              <w:rPr>
                <w:sz w:val="20"/>
              </w:rPr>
            </w:pPr>
            <w:r>
              <w:rPr>
                <w:sz w:val="20"/>
              </w:rPr>
              <w:t>6-7-8</w:t>
            </w:r>
          </w:p>
        </w:tc>
        <w:tc>
          <w:tcPr>
            <w:tcW w:w="1667" w:type="dxa"/>
          </w:tcPr>
          <w:p>
            <w:pPr>
              <w:pStyle w:val="TableParagraph"/>
              <w:ind w:left="177" w:right="152" w:hanging="15"/>
              <w:jc w:val="left"/>
              <w:rPr>
                <w:sz w:val="20"/>
              </w:rPr>
            </w:pPr>
            <w:r>
              <w:rPr>
                <w:sz w:val="20"/>
              </w:rPr>
              <w:t>Com evidência de criatividade</w:t>
            </w:r>
          </w:p>
        </w:tc>
      </w:tr>
      <w:tr>
        <w:trPr>
          <w:trHeight w:val="470" w:hRule="exact"/>
        </w:trPr>
        <w:tc>
          <w:tcPr>
            <w:tcW w:w="3827" w:type="dxa"/>
          </w:tcPr>
          <w:p>
            <w:pPr>
              <w:pStyle w:val="TableParagraph"/>
              <w:ind w:left="100" w:right="262"/>
              <w:jc w:val="left"/>
              <w:rPr>
                <w:sz w:val="20"/>
              </w:rPr>
            </w:pPr>
            <w:r>
              <w:rPr>
                <w:sz w:val="20"/>
              </w:rPr>
              <w:t>De contínuo. Evidências claras de aparição do indicador ou característica</w:t>
            </w:r>
          </w:p>
        </w:tc>
        <w:tc>
          <w:tcPr>
            <w:tcW w:w="2127" w:type="dxa"/>
          </w:tcPr>
          <w:p>
            <w:pPr>
              <w:pStyle w:val="TableParagraph"/>
              <w:spacing w:before="110"/>
              <w:ind w:right="2"/>
              <w:rPr>
                <w:sz w:val="20"/>
              </w:rPr>
            </w:pPr>
            <w:r>
              <w:rPr>
                <w:w w:val="100"/>
                <w:sz w:val="20"/>
              </w:rPr>
              <w:t>A</w:t>
            </w:r>
          </w:p>
        </w:tc>
        <w:tc>
          <w:tcPr>
            <w:tcW w:w="1277" w:type="dxa"/>
          </w:tcPr>
          <w:p>
            <w:pPr>
              <w:pStyle w:val="TableParagraph"/>
              <w:spacing w:before="110"/>
              <w:ind w:left="378" w:right="380"/>
              <w:rPr>
                <w:sz w:val="20"/>
              </w:rPr>
            </w:pPr>
            <w:r>
              <w:rPr>
                <w:sz w:val="20"/>
              </w:rPr>
              <w:t>9-10</w:t>
            </w:r>
          </w:p>
        </w:tc>
        <w:tc>
          <w:tcPr>
            <w:tcW w:w="1667" w:type="dxa"/>
          </w:tcPr>
          <w:p>
            <w:pPr>
              <w:pStyle w:val="TableParagraph"/>
              <w:ind w:left="177" w:right="152" w:hanging="15"/>
              <w:jc w:val="left"/>
              <w:rPr>
                <w:sz w:val="20"/>
              </w:rPr>
            </w:pPr>
            <w:r>
              <w:rPr>
                <w:sz w:val="20"/>
              </w:rPr>
              <w:t>Com evidência de criatividade</w:t>
            </w:r>
          </w:p>
        </w:tc>
      </w:tr>
    </w:tbl>
    <w:p>
      <w:pPr>
        <w:spacing w:before="0"/>
        <w:ind w:left="308" w:right="0" w:firstLine="0"/>
        <w:jc w:val="left"/>
        <w:rPr>
          <w:sz w:val="20"/>
        </w:rPr>
      </w:pPr>
      <w:r>
        <w:rPr>
          <w:sz w:val="20"/>
        </w:rPr>
        <w:t>Fonte: Dados da pesquisa – Mestrado – Pinho (2014)</w:t>
      </w:r>
    </w:p>
    <w:p>
      <w:pPr>
        <w:pStyle w:val="BodyText"/>
        <w:rPr>
          <w:sz w:val="22"/>
        </w:rPr>
      </w:pPr>
    </w:p>
    <w:p>
      <w:pPr>
        <w:pStyle w:val="BodyText"/>
        <w:rPr>
          <w:sz w:val="22"/>
        </w:rPr>
      </w:pPr>
    </w:p>
    <w:p>
      <w:pPr>
        <w:pStyle w:val="BodyText"/>
        <w:spacing w:before="10"/>
        <w:rPr>
          <w:sz w:val="27"/>
        </w:rPr>
      </w:pPr>
    </w:p>
    <w:p>
      <w:pPr>
        <w:pStyle w:val="BodyText"/>
        <w:spacing w:line="360" w:lineRule="auto" w:before="1"/>
        <w:ind w:left="308" w:right="217" w:firstLine="705"/>
        <w:jc w:val="both"/>
      </w:pPr>
      <w:r>
        <w:rPr/>
        <w:t>Os dados dispostos no quadro 04 mostram que o conjunto de conceitos e valores utilizados </w:t>
      </w:r>
      <w:r>
        <w:rPr>
          <w:spacing w:val="-4"/>
        </w:rPr>
        <w:t>como </w:t>
      </w:r>
      <w:r>
        <w:rPr/>
        <w:t>referência para diagnosticar os indícios de criatividade na escola investigada, correspondem a 04 itens, dos quais 02 são conceitos representados pelas letras D e C e valorização numérica </w:t>
      </w:r>
      <w:r>
        <w:rPr>
          <w:spacing w:val="2"/>
        </w:rPr>
        <w:t>1-2 </w:t>
      </w:r>
      <w:r>
        <w:rPr/>
        <w:t>e 3-4-5, respectivamente, cuja frequência da ação foi considerada como ausência de criatividade no indicador avaliado; e outros 02 conceitos, representados pelas letras B e A e valorização numérica 6-7-8 e 9-10, respectivamente, cuja  frequência da ação indicada foi considerada como presença de criatividade no indicador</w:t>
      </w:r>
      <w:r>
        <w:rPr>
          <w:spacing w:val="-3"/>
        </w:rPr>
        <w:t> </w:t>
      </w:r>
      <w:r>
        <w:rPr/>
        <w:t>avaliado.</w:t>
      </w:r>
    </w:p>
    <w:p>
      <w:pPr>
        <w:pStyle w:val="BodyText"/>
        <w:spacing w:line="360" w:lineRule="auto" w:before="7"/>
        <w:ind w:left="308" w:right="227" w:firstLine="710"/>
        <w:jc w:val="both"/>
      </w:pPr>
      <w:r>
        <w:rPr/>
        <w:t>Assim, as respostas ao questionário Vadecrie foram organizadas inicialmente no formato de tabelas (APÊNDICES C, D e E), e depois transformadas em gráficos no formato de barras. Os resultados descritos nos gráficos foram sistematizados por categoria e parâmetros correspondentes ao indicado no quadro 05 (APÊNDICES D). Vale frisar que para ser considerada</w:t>
      </w:r>
    </w:p>
    <w:p>
      <w:pPr>
        <w:spacing w:after="0" w:line="360" w:lineRule="auto"/>
        <w:jc w:val="both"/>
        <w:sectPr>
          <w:pgSz w:w="11910" w:h="16840"/>
          <w:pgMar w:header="1133" w:footer="0" w:top="1340" w:bottom="280" w:left="1680" w:right="900"/>
        </w:sectPr>
      </w:pPr>
    </w:p>
    <w:p>
      <w:pPr>
        <w:pStyle w:val="BodyText"/>
        <w:spacing w:before="3"/>
        <w:rPr>
          <w:sz w:val="21"/>
        </w:rPr>
      </w:pPr>
    </w:p>
    <w:p>
      <w:pPr>
        <w:pStyle w:val="BodyText"/>
        <w:spacing w:line="362" w:lineRule="auto" w:before="92"/>
        <w:ind w:left="308" w:right="111"/>
        <w:jc w:val="both"/>
      </w:pPr>
      <w:r>
        <w:rPr/>
        <w:t>como criativa a escola deve se destacar ao menos em 06 dos 10 parâmetros apresentados que correspondem a 60% dos parâmetros.</w:t>
      </w:r>
    </w:p>
    <w:p>
      <w:pPr>
        <w:pStyle w:val="BodyText"/>
        <w:spacing w:line="360" w:lineRule="auto"/>
        <w:ind w:left="308" w:right="108" w:firstLine="710"/>
        <w:jc w:val="both"/>
      </w:pPr>
      <w:r>
        <w:rPr/>
        <w:t>E para identificação da criatividade foi considerado para fim de sistematização que a soma (agrupamento) dos conceitos que indicam evidências de criatividade corresponda no mínimo a 60% das respostas no indicador, parâmetros ou categorias analisadas. As evidências de criatividade nas categorias, parâmetros e indicadores foram expressas no formato de tabelas ao final da análise dos gráficos</w:t>
      </w:r>
      <w:r>
        <w:rPr>
          <w:spacing w:val="-15"/>
        </w:rPr>
        <w:t> </w:t>
      </w:r>
      <w:r>
        <w:rPr/>
        <w:t>apresentados.</w:t>
      </w:r>
    </w:p>
    <w:p>
      <w:pPr>
        <w:pStyle w:val="BodyText"/>
        <w:spacing w:line="360" w:lineRule="auto" w:before="2"/>
        <w:ind w:left="308" w:right="105" w:firstLine="705"/>
        <w:jc w:val="both"/>
      </w:pPr>
      <w:r>
        <w:rPr/>
        <w:t>Vale destacar que os dados quantitativos foram utilizados, nessa etapa da pesquisa, como um apoio à leitura do instrumento de coleta de dados, porém não descaracteriza a abordagem qualitativa proposta, ao contrário, reforça o que diz Lozano (1994) apud Moraes (1997, p.81) que os estudos qualitativos estão baseados na investigação interpretativa, que busca compreensão na natureza humana, orientada pela exploração e “quando possível, aceita a quantificação, como complementação ao estudo”.</w:t>
      </w:r>
    </w:p>
    <w:p>
      <w:pPr>
        <w:pStyle w:val="BodyText"/>
        <w:spacing w:before="2"/>
        <w:ind w:left="1013"/>
      </w:pPr>
      <w:r>
        <w:rPr/>
        <w:t>Os resultados apresentados foram obtidos perfazendo média   (APÊNDICE</w:t>
      </w:r>
    </w:p>
    <w:p>
      <w:pPr>
        <w:pStyle w:val="BodyText"/>
        <w:spacing w:line="362" w:lineRule="auto" w:before="136"/>
        <w:ind w:left="308" w:right="116"/>
        <w:jc w:val="both"/>
      </w:pPr>
      <w:r>
        <w:rPr/>
        <w:t>F) e levando em consideração os percentuais encontrados nas tabelas de percepção de criatividade pelos segmentos correspondentes às categorias, os parâmetros e indicadores das amostras analisadas (APÊNDICES C, D, E).</w:t>
      </w:r>
    </w:p>
    <w:p>
      <w:pPr>
        <w:pStyle w:val="BodyText"/>
        <w:rPr>
          <w:sz w:val="26"/>
        </w:rPr>
      </w:pPr>
    </w:p>
    <w:p>
      <w:pPr>
        <w:pStyle w:val="BodyText"/>
        <w:rPr>
          <w:sz w:val="26"/>
        </w:rPr>
      </w:pPr>
    </w:p>
    <w:p>
      <w:pPr>
        <w:pStyle w:val="Heading3"/>
        <w:numPr>
          <w:ilvl w:val="2"/>
          <w:numId w:val="13"/>
        </w:numPr>
        <w:tabs>
          <w:tab w:pos="985" w:val="left" w:leader="none"/>
        </w:tabs>
        <w:spacing w:line="362" w:lineRule="auto" w:before="222" w:after="0"/>
        <w:ind w:left="1018" w:right="111" w:hanging="710"/>
        <w:jc w:val="left"/>
      </w:pPr>
      <w:r>
        <w:rPr/>
        <w:t>Criatividades em nível teórico: consciência criativa, visão, missão, cultura e</w:t>
      </w:r>
      <w:r>
        <w:rPr>
          <w:spacing w:val="-10"/>
        </w:rPr>
        <w:t> </w:t>
      </w:r>
      <w:r>
        <w:rPr/>
        <w:t>valor</w:t>
      </w:r>
    </w:p>
    <w:p>
      <w:pPr>
        <w:pStyle w:val="BodyText"/>
        <w:rPr>
          <w:b/>
          <w:sz w:val="26"/>
        </w:rPr>
      </w:pPr>
    </w:p>
    <w:p>
      <w:pPr>
        <w:pStyle w:val="BodyText"/>
        <w:rPr>
          <w:b/>
          <w:sz w:val="26"/>
        </w:rPr>
      </w:pPr>
    </w:p>
    <w:p>
      <w:pPr>
        <w:pStyle w:val="BodyText"/>
        <w:spacing w:line="362" w:lineRule="auto" w:before="233"/>
        <w:ind w:left="308" w:right="111" w:firstLine="710"/>
        <w:jc w:val="both"/>
      </w:pPr>
      <w:r>
        <w:rPr/>
        <w:t>O nível de consciência criativa como visão, missão, cultura e valor está relacionado à Categoria I. O gráfico 01 mostra o registro das respostas da comunidade escolar nesse nível de criatividade.</w:t>
      </w:r>
    </w:p>
    <w:p>
      <w:pPr>
        <w:spacing w:after="0" w:line="362" w:lineRule="auto"/>
        <w:jc w:val="both"/>
        <w:sectPr>
          <w:pgSz w:w="11910" w:h="16840"/>
          <w:pgMar w:header="1133" w:footer="0" w:top="1340" w:bottom="280" w:left="1680" w:right="1020"/>
        </w:sectPr>
      </w:pPr>
    </w:p>
    <w:p>
      <w:pPr>
        <w:pStyle w:val="BodyText"/>
        <w:spacing w:before="6"/>
        <w:rPr>
          <w:sz w:val="20"/>
        </w:rPr>
      </w:pPr>
    </w:p>
    <w:p>
      <w:pPr>
        <w:spacing w:before="95"/>
        <w:ind w:left="2070" w:right="1406" w:hanging="456"/>
        <w:jc w:val="left"/>
        <w:rPr>
          <w:b/>
          <w:sz w:val="20"/>
        </w:rPr>
      </w:pPr>
      <w:r>
        <w:rPr/>
        <w:pict>
          <v:group style="position:absolute;margin-left:150.925003pt;margin-top:31.36488pt;width:335.95pt;height:234.3pt;mso-position-horizontal-relative:page;mso-position-vertical-relative:paragraph;z-index:1720;mso-wrap-distance-left:0;mso-wrap-distance-right:0" coordorigin="3019,627" coordsize="6719,4686">
            <v:shape style="position:absolute;left:3034;top:642;width:6689;height:4656" type="#_x0000_t75" stroked="false">
              <v:imagedata r:id="rId21" o:title=""/>
            </v:shape>
            <v:rect style="position:absolute;left:3026;top:635;width:6704;height:4671" filled="false" stroked="true" strokeweight=".75pt" strokecolor="#000000">
              <v:stroke dashstyle="solid"/>
            </v:rect>
            <w10:wrap type="topAndBottom"/>
          </v:group>
        </w:pict>
      </w:r>
      <w:r>
        <w:rPr>
          <w:b/>
          <w:sz w:val="20"/>
        </w:rPr>
        <w:t>Gráfico 01: Percepção da evidência de criatividade na categoria I (gestores, professores, servidores, pais ou responsáveis).</w:t>
      </w:r>
    </w:p>
    <w:p>
      <w:pPr>
        <w:spacing w:before="0"/>
        <w:ind w:left="1359" w:right="0" w:firstLine="0"/>
        <w:jc w:val="left"/>
        <w:rPr>
          <w:sz w:val="20"/>
        </w:rPr>
      </w:pPr>
      <w:r>
        <w:rPr>
          <w:sz w:val="20"/>
        </w:rPr>
        <w:t>Fonte: Dados da pesquisa – Mestrado – Pinho (2014)</w:t>
      </w:r>
    </w:p>
    <w:p>
      <w:pPr>
        <w:pStyle w:val="BodyText"/>
        <w:rPr>
          <w:sz w:val="22"/>
        </w:rPr>
      </w:pPr>
    </w:p>
    <w:p>
      <w:pPr>
        <w:pStyle w:val="BodyText"/>
        <w:rPr>
          <w:sz w:val="22"/>
        </w:rPr>
      </w:pPr>
    </w:p>
    <w:p>
      <w:pPr>
        <w:pStyle w:val="BodyText"/>
        <w:spacing w:before="10"/>
        <w:rPr>
          <w:sz w:val="27"/>
        </w:rPr>
      </w:pPr>
    </w:p>
    <w:p>
      <w:pPr>
        <w:pStyle w:val="BodyText"/>
        <w:spacing w:line="360" w:lineRule="auto" w:before="1"/>
        <w:ind w:left="308" w:right="110" w:firstLine="710"/>
        <w:jc w:val="both"/>
      </w:pPr>
      <w:r>
        <w:rPr/>
        <w:t>Os dados do gráfico 01 expressam que os maiores índices das respostas da comunidade investigada concentram-se nos valores que correspondem à existência de evidência de criatividade nos parâmetros que obtiveram conceitos B e A, conforme foram diagnosticados.</w:t>
      </w:r>
    </w:p>
    <w:p>
      <w:pPr>
        <w:pStyle w:val="BodyText"/>
        <w:spacing w:line="360" w:lineRule="auto" w:before="3"/>
        <w:ind w:left="308" w:right="104" w:firstLine="705"/>
        <w:jc w:val="both"/>
      </w:pPr>
      <w:r>
        <w:rPr/>
        <w:t>Dessa forma, os dados observados, em relação aos parâmetros podem ser descritos da seguinte forma: a) </w:t>
      </w:r>
      <w:r>
        <w:rPr>
          <w:b/>
        </w:rPr>
        <w:t>Cultura inovadora </w:t>
      </w:r>
      <w:r>
        <w:rPr/>
        <w:t>com índices de 7,69% no conceito D; de 19,86% no conceito C; de 30,21% no conceito B e 41,76% no conceito A; b) </w:t>
      </w:r>
      <w:r>
        <w:rPr>
          <w:b/>
        </w:rPr>
        <w:t>Criatividade como valor </w:t>
      </w:r>
      <w:r>
        <w:rPr/>
        <w:t>com índices de 6,49% no conceito D; de 18,41% no conceito C; de 36,85% no conceito B e 38,25% no conceito  A;  c) </w:t>
      </w:r>
      <w:r>
        <w:rPr>
          <w:b/>
        </w:rPr>
        <w:t>Visão transdisciplinar no projeto educativo </w:t>
      </w:r>
      <w:r>
        <w:rPr/>
        <w:t>com índices de 8,80% no conceito D; de 23,88% no conceito C; de 39,90% no conceito B e 27,42% no conceito A   e</w:t>
      </w:r>
    </w:p>
    <w:p>
      <w:pPr>
        <w:spacing w:line="362" w:lineRule="auto" w:before="0"/>
        <w:ind w:left="308" w:right="111" w:firstLine="0"/>
        <w:jc w:val="both"/>
        <w:rPr>
          <w:sz w:val="24"/>
        </w:rPr>
      </w:pPr>
      <w:r>
        <w:rPr>
          <w:sz w:val="24"/>
        </w:rPr>
        <w:t>d) </w:t>
      </w:r>
      <w:r>
        <w:rPr>
          <w:b/>
          <w:sz w:val="24"/>
        </w:rPr>
        <w:t>Valores humanos, sociais, meios ambientais </w:t>
      </w:r>
      <w:r>
        <w:rPr>
          <w:sz w:val="24"/>
        </w:rPr>
        <w:t>com índices de 4,76% no conceito D; de 16,93% no conceito C; de 39,90% no conceito B e 38,41% no conceito A. (grifo nosso).</w:t>
      </w:r>
    </w:p>
    <w:p>
      <w:pPr>
        <w:pStyle w:val="BodyText"/>
        <w:spacing w:line="360" w:lineRule="auto" w:before="1"/>
        <w:ind w:left="308" w:right="110" w:firstLine="705"/>
        <w:jc w:val="both"/>
      </w:pPr>
      <w:r>
        <w:rPr/>
        <w:t>Nessa categoria as descrições dos indicadores relacionam o saber à consciência e encontrar evidências de criatividade nos seus respectivos parâmetros indica, em síntese, que a escola apresenta características como: coerência entre as atividades educativas e o projeto da escola; considera criatividade como conceito e valor explícito; integra pensamento, emoção e  ação;</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right="106"/>
        <w:jc w:val="both"/>
      </w:pPr>
      <w:r>
        <w:rPr/>
        <w:t>o trabalho com valores sociais, afetivos e meio-ambientais, liberdade e convivência, solidariedade e colaboração, direitos e deveres como cidadão, entre outros.</w:t>
      </w:r>
    </w:p>
    <w:p>
      <w:pPr>
        <w:pStyle w:val="BodyText"/>
        <w:spacing w:line="360" w:lineRule="auto"/>
        <w:ind w:left="308" w:right="110" w:firstLine="710"/>
        <w:jc w:val="both"/>
      </w:pPr>
      <w:r>
        <w:rPr/>
        <w:t>Para Torre (2009, p.60), a consciência “adota </w:t>
      </w:r>
      <w:r>
        <w:rPr>
          <w:spacing w:val="3"/>
        </w:rPr>
        <w:t>em </w:t>
      </w:r>
      <w:r>
        <w:rPr/>
        <w:t>certas ocasiões, </w:t>
      </w:r>
      <w:r>
        <w:rPr>
          <w:spacing w:val="-3"/>
        </w:rPr>
        <w:t>forma </w:t>
      </w:r>
      <w:r>
        <w:rPr/>
        <w:t>de projetos, de sonho, de meta, de expectativa [...] é a medida de existência das coisas para nós”. Para o autor, onde não há consciência há carência de significado e de</w:t>
      </w:r>
      <w:r>
        <w:rPr>
          <w:spacing w:val="-9"/>
        </w:rPr>
        <w:t> </w:t>
      </w:r>
      <w:r>
        <w:rPr/>
        <w:t>consistência.</w:t>
      </w:r>
    </w:p>
    <w:p>
      <w:pPr>
        <w:pStyle w:val="BodyText"/>
        <w:spacing w:line="360" w:lineRule="auto" w:before="3"/>
        <w:ind w:left="308" w:right="99" w:firstLine="710"/>
        <w:jc w:val="both"/>
      </w:pPr>
      <w:r>
        <w:rPr/>
        <w:t>Os dados seguintes referem-se aos resultados das respostas relativas às evidências de criatividade no nível pessoal que trata do potencial e recursos humanos.</w:t>
      </w:r>
    </w:p>
    <w:p>
      <w:pPr>
        <w:pStyle w:val="BodyText"/>
        <w:rPr>
          <w:sz w:val="26"/>
        </w:rPr>
      </w:pPr>
    </w:p>
    <w:p>
      <w:pPr>
        <w:pStyle w:val="BodyText"/>
        <w:rPr>
          <w:sz w:val="26"/>
        </w:rPr>
      </w:pPr>
    </w:p>
    <w:p>
      <w:pPr>
        <w:pStyle w:val="Heading3"/>
        <w:numPr>
          <w:ilvl w:val="2"/>
          <w:numId w:val="13"/>
        </w:numPr>
        <w:tabs>
          <w:tab w:pos="912" w:val="left" w:leader="none"/>
        </w:tabs>
        <w:spacing w:line="240" w:lineRule="auto" w:before="226" w:after="0"/>
        <w:ind w:left="911" w:right="0" w:hanging="603"/>
        <w:jc w:val="both"/>
      </w:pPr>
      <w:r>
        <w:rPr/>
        <w:t>Criatividade em nível pessoal: potencial e recursos</w:t>
      </w:r>
      <w:r>
        <w:rPr>
          <w:spacing w:val="-43"/>
        </w:rPr>
        <w:t> </w:t>
      </w:r>
      <w:r>
        <w:rPr/>
        <w:t>humanos</w:t>
      </w:r>
    </w:p>
    <w:p>
      <w:pPr>
        <w:pStyle w:val="BodyText"/>
        <w:rPr>
          <w:b/>
          <w:sz w:val="26"/>
        </w:rPr>
      </w:pPr>
    </w:p>
    <w:p>
      <w:pPr>
        <w:pStyle w:val="BodyText"/>
        <w:rPr>
          <w:b/>
          <w:sz w:val="26"/>
        </w:rPr>
      </w:pPr>
    </w:p>
    <w:p>
      <w:pPr>
        <w:pStyle w:val="BodyText"/>
        <w:spacing w:before="6"/>
        <w:rPr>
          <w:b/>
          <w:sz w:val="32"/>
        </w:rPr>
      </w:pPr>
    </w:p>
    <w:p>
      <w:pPr>
        <w:pStyle w:val="BodyText"/>
        <w:spacing w:line="360" w:lineRule="auto"/>
        <w:ind w:left="308" w:right="113" w:firstLine="705"/>
        <w:jc w:val="both"/>
      </w:pPr>
      <w:r>
        <w:rPr/>
        <w:t>O nível de criatividade pessoal está relacionado ao potencial e recursos humanos e considera as pessoas que compõem a instituição como o bem mais valioso. O gráfico 02 mostra o registro das respostas da comunidade escolar em relação a esse indicador de criatividade.</w:t>
      </w:r>
    </w:p>
    <w:p>
      <w:pPr>
        <w:pStyle w:val="BodyText"/>
        <w:rPr>
          <w:sz w:val="26"/>
        </w:rPr>
      </w:pPr>
    </w:p>
    <w:p>
      <w:pPr>
        <w:pStyle w:val="BodyText"/>
        <w:rPr>
          <w:sz w:val="26"/>
        </w:rPr>
      </w:pPr>
    </w:p>
    <w:p>
      <w:pPr>
        <w:spacing w:before="224"/>
        <w:ind w:left="1955" w:right="1380" w:hanging="370"/>
        <w:jc w:val="left"/>
        <w:rPr>
          <w:b/>
          <w:sz w:val="20"/>
        </w:rPr>
      </w:pPr>
      <w:r>
        <w:rPr/>
        <w:pict>
          <v:group style="position:absolute;margin-left:138.925003pt;margin-top:37.721870pt;width:359.25pt;height:219.75pt;mso-position-horizontal-relative:page;mso-position-vertical-relative:paragraph;z-index:1744;mso-wrap-distance-left:0;mso-wrap-distance-right:0" coordorigin="2779,754" coordsize="7185,4395">
            <v:shape style="position:absolute;left:2794;top:769;width:7155;height:4365" type="#_x0000_t75" stroked="false">
              <v:imagedata r:id="rId22" o:title=""/>
            </v:shape>
            <v:rect style="position:absolute;left:2786;top:762;width:7170;height:4380" filled="false" stroked="true" strokeweight=".75pt" strokecolor="#000000">
              <v:stroke dashstyle="solid"/>
            </v:rect>
            <w10:wrap type="topAndBottom"/>
          </v:group>
        </w:pict>
      </w:r>
      <w:r>
        <w:rPr>
          <w:b/>
          <w:sz w:val="20"/>
        </w:rPr>
        <w:t>Gráfico 02: Percepção da evidência de criatividade na categoria II (gestores, professores, servidores, pais ou responsáveis)</w:t>
      </w:r>
    </w:p>
    <w:p>
      <w:pPr>
        <w:spacing w:before="0"/>
        <w:ind w:left="1076" w:right="0" w:firstLine="0"/>
        <w:jc w:val="left"/>
        <w:rPr>
          <w:sz w:val="20"/>
        </w:rPr>
      </w:pPr>
      <w:r>
        <w:rPr>
          <w:sz w:val="20"/>
        </w:rPr>
        <w:t>Fonte: Dados da pesquisa – Mestrado – Pinho (2014)</w:t>
      </w:r>
    </w:p>
    <w:p>
      <w:pPr>
        <w:spacing w:after="0"/>
        <w:jc w:val="left"/>
        <w:rPr>
          <w:sz w:val="20"/>
        </w:rPr>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11" w:firstLine="710"/>
        <w:jc w:val="both"/>
      </w:pPr>
      <w:r>
        <w:rPr/>
        <w:t>Em relação ao nível pessoal o gráfico 02 indica que de modo semelhante ao resultado expresso no gráfico 01, os maiores índices de resposta da comunidade investigada concentram-se nos valores que correspondem à existência de evidência de criatividade nos parâmetros avaliados com  os conceitos B e A conforme foram</w:t>
      </w:r>
      <w:r>
        <w:rPr>
          <w:spacing w:val="-21"/>
        </w:rPr>
        <w:t> </w:t>
      </w:r>
      <w:r>
        <w:rPr/>
        <w:t>diagnosticados.</w:t>
      </w:r>
    </w:p>
    <w:p>
      <w:pPr>
        <w:pStyle w:val="BodyText"/>
        <w:spacing w:line="360" w:lineRule="auto" w:before="7"/>
        <w:ind w:left="308" w:right="101" w:firstLine="710"/>
        <w:jc w:val="both"/>
      </w:pPr>
      <w:r>
        <w:rPr/>
        <w:t>Nesse sentido, os dados observados em relação aos parâmetros podem ser descritos da seguinte forma: a) </w:t>
      </w:r>
      <w:r>
        <w:rPr>
          <w:b/>
        </w:rPr>
        <w:t>Liderança estimulante </w:t>
      </w:r>
      <w:r>
        <w:rPr/>
        <w:t>com índices de 5,95% no conceito D; de 8,19% no conceito C; de 42,89% no conceito B e 42,97% no conceito A; b) </w:t>
      </w:r>
      <w:r>
        <w:rPr>
          <w:b/>
        </w:rPr>
        <w:t>Professores criativos </w:t>
      </w:r>
      <w:r>
        <w:rPr/>
        <w:t>com índices de 8,52% no conceito D; de 23,79% no conceito C; de 36,62% no conceito B e 31,07% no conceito A e </w:t>
      </w:r>
      <w:r>
        <w:rPr>
          <w:spacing w:val="-3"/>
        </w:rPr>
        <w:t>c) </w:t>
      </w:r>
      <w:r>
        <w:rPr>
          <w:b/>
        </w:rPr>
        <w:t>Espírito Empreendedor </w:t>
      </w:r>
      <w:r>
        <w:rPr/>
        <w:t>com índices de 4,91% no conceito D; de 17,15% no conceito C; de 42,46% no conceito B e 37,97% no conceito A. (grifo</w:t>
      </w:r>
      <w:r>
        <w:rPr>
          <w:spacing w:val="-23"/>
        </w:rPr>
        <w:t> </w:t>
      </w:r>
      <w:r>
        <w:rPr/>
        <w:t>nosso).</w:t>
      </w:r>
    </w:p>
    <w:p>
      <w:pPr>
        <w:pStyle w:val="BodyText"/>
        <w:spacing w:line="360" w:lineRule="auto" w:before="2"/>
        <w:ind w:left="308" w:right="104" w:firstLine="710"/>
        <w:jc w:val="both"/>
      </w:pPr>
      <w:r>
        <w:rPr/>
        <w:t>Os parâmetros que compõem essa categoria percebem o reconhecimento como melhor estímulo às ideias criativas com base na compreensão de que a “organização criativa nutre-se de pessoas criativas, de pessoas que são capazes de expressar suas ideias” (TORRE, 2009, p.65). Assim, as características atribuídas às instituições que apresentam evidências de criatividade na categoria II são: liderança que impulsiona e facilita projetos inovadores e criativos, professores têm atitudes abertas, flexíveis e colaborativas, e consciência do trabalho em equipe voltado à educação e à criatividade como transformação pessoal e social. (TORRE,</w:t>
      </w:r>
      <w:r>
        <w:rPr>
          <w:spacing w:val="-9"/>
        </w:rPr>
        <w:t> </w:t>
      </w:r>
      <w:r>
        <w:rPr/>
        <w:t>2012).</w:t>
      </w:r>
    </w:p>
    <w:p>
      <w:pPr>
        <w:pStyle w:val="BodyText"/>
        <w:spacing w:line="362" w:lineRule="auto" w:before="2"/>
        <w:ind w:left="308" w:right="100" w:firstLine="710"/>
        <w:jc w:val="both"/>
      </w:pPr>
      <w:r>
        <w:rPr/>
        <w:t>O próximo texto refere-se à descrição dos dados obtidos nas respostas relativas às evidências de criatividade no nível plano estratégico e ação.</w:t>
      </w:r>
    </w:p>
    <w:p>
      <w:pPr>
        <w:pStyle w:val="BodyText"/>
        <w:rPr>
          <w:sz w:val="26"/>
        </w:rPr>
      </w:pPr>
    </w:p>
    <w:p>
      <w:pPr>
        <w:pStyle w:val="BodyText"/>
        <w:rPr>
          <w:sz w:val="26"/>
        </w:rPr>
      </w:pPr>
    </w:p>
    <w:p>
      <w:pPr>
        <w:pStyle w:val="Heading3"/>
        <w:numPr>
          <w:ilvl w:val="2"/>
          <w:numId w:val="13"/>
        </w:numPr>
        <w:tabs>
          <w:tab w:pos="912" w:val="left" w:leader="none"/>
        </w:tabs>
        <w:spacing w:line="240" w:lineRule="auto" w:before="223" w:after="0"/>
        <w:ind w:left="911" w:right="0" w:hanging="603"/>
        <w:jc w:val="left"/>
      </w:pPr>
      <w:bookmarkStart w:name="_TOC_250004" w:id="13"/>
      <w:r>
        <w:rPr/>
        <w:t>Criatividade em nível de Plano Estratégico e</w:t>
      </w:r>
      <w:r>
        <w:rPr>
          <w:spacing w:val="-30"/>
        </w:rPr>
        <w:t> </w:t>
      </w:r>
      <w:bookmarkEnd w:id="13"/>
      <w:r>
        <w:rPr/>
        <w:t>Ação</w:t>
      </w:r>
    </w:p>
    <w:p>
      <w:pPr>
        <w:pStyle w:val="BodyText"/>
        <w:rPr>
          <w:b/>
          <w:sz w:val="26"/>
        </w:rPr>
      </w:pPr>
    </w:p>
    <w:p>
      <w:pPr>
        <w:pStyle w:val="BodyText"/>
        <w:rPr>
          <w:b/>
          <w:sz w:val="26"/>
        </w:rPr>
      </w:pPr>
    </w:p>
    <w:p>
      <w:pPr>
        <w:pStyle w:val="BodyText"/>
        <w:spacing w:before="6"/>
        <w:rPr>
          <w:b/>
          <w:sz w:val="32"/>
        </w:rPr>
      </w:pPr>
    </w:p>
    <w:p>
      <w:pPr>
        <w:pStyle w:val="BodyText"/>
        <w:spacing w:line="360" w:lineRule="auto"/>
        <w:ind w:left="308" w:right="112" w:firstLine="710"/>
        <w:jc w:val="both"/>
      </w:pPr>
      <w:r>
        <w:rPr/>
        <w:t>O nível do Plano Estratégico e de Ação está relacionado à criatividade, como potencial transformador do currículo e consciência no planejamento e ação. Os dados apresentados no gráfico 03 expressam os resultados obtidos nas respostas aos parâmetros da categoria III.</w:t>
      </w:r>
    </w:p>
    <w:p>
      <w:pPr>
        <w:spacing w:after="0" w:line="360" w:lineRule="auto"/>
        <w:jc w:val="both"/>
        <w:sectPr>
          <w:pgSz w:w="11910" w:h="16840"/>
          <w:pgMar w:header="1133" w:footer="0" w:top="1340" w:bottom="280" w:left="1680" w:right="1020"/>
        </w:sectPr>
      </w:pPr>
    </w:p>
    <w:p>
      <w:pPr>
        <w:pStyle w:val="BodyText"/>
        <w:spacing w:before="6"/>
        <w:rPr>
          <w:sz w:val="20"/>
        </w:rPr>
      </w:pPr>
    </w:p>
    <w:p>
      <w:pPr>
        <w:spacing w:before="95"/>
        <w:ind w:left="1955" w:right="1348" w:hanging="394"/>
        <w:jc w:val="left"/>
        <w:rPr>
          <w:b/>
          <w:sz w:val="20"/>
        </w:rPr>
      </w:pPr>
      <w:r>
        <w:rPr/>
        <w:pict>
          <v:group style="position:absolute;margin-left:141.175003pt;margin-top:31.36488pt;width:355.1pt;height:233.9pt;mso-position-horizontal-relative:page;mso-position-vertical-relative:paragraph;z-index:1768;mso-wrap-distance-left:0;mso-wrap-distance-right:0" coordorigin="2824,627" coordsize="7102,4678">
            <v:shape style="position:absolute;left:2839;top:642;width:7072;height:4648" type="#_x0000_t75" stroked="false">
              <v:imagedata r:id="rId23" o:title=""/>
            </v:shape>
            <v:rect style="position:absolute;left:2831;top:635;width:7087;height:4663" filled="false" stroked="true" strokeweight=".75pt" strokecolor="#000000">
              <v:stroke dashstyle="solid"/>
            </v:rect>
            <w10:wrap type="topAndBottom"/>
          </v:group>
        </w:pict>
      </w:r>
      <w:r>
        <w:rPr>
          <w:b/>
          <w:sz w:val="20"/>
        </w:rPr>
        <w:t>Gráfico 03: Percepção de evidência de criatividade na categoria III (gestores, professores, servidores, pais ou responsáveis)</w:t>
      </w:r>
    </w:p>
    <w:p>
      <w:pPr>
        <w:spacing w:before="0"/>
        <w:ind w:left="1158" w:right="0" w:firstLine="0"/>
        <w:jc w:val="left"/>
        <w:rPr>
          <w:sz w:val="20"/>
        </w:rPr>
      </w:pPr>
      <w:r>
        <w:rPr>
          <w:sz w:val="20"/>
        </w:rPr>
        <w:t>Fonte: Dados da pesquisa – Mestrado – Pinho (2014)</w:t>
      </w:r>
    </w:p>
    <w:p>
      <w:pPr>
        <w:pStyle w:val="BodyText"/>
        <w:rPr>
          <w:sz w:val="22"/>
        </w:rPr>
      </w:pPr>
    </w:p>
    <w:p>
      <w:pPr>
        <w:pStyle w:val="BodyText"/>
        <w:rPr>
          <w:sz w:val="22"/>
        </w:rPr>
      </w:pPr>
    </w:p>
    <w:p>
      <w:pPr>
        <w:pStyle w:val="BodyText"/>
        <w:spacing w:before="10"/>
        <w:rPr>
          <w:sz w:val="27"/>
        </w:rPr>
      </w:pPr>
    </w:p>
    <w:p>
      <w:pPr>
        <w:pStyle w:val="BodyText"/>
        <w:spacing w:line="360" w:lineRule="auto" w:before="1"/>
        <w:ind w:left="308" w:right="106" w:firstLine="705"/>
        <w:jc w:val="both"/>
      </w:pPr>
      <w:r>
        <w:rPr/>
        <w:t>Os dados expressos no gráfico 03 indicam que os resultados, com maiores índices de resposta da comunidade investigada, concentram-se nos valores que correspondem à existência de evidência de criatividade nos parâmetros avaliados conceitos B e A conforme foram diagnosticados.</w:t>
      </w:r>
    </w:p>
    <w:p>
      <w:pPr>
        <w:pStyle w:val="BodyText"/>
        <w:spacing w:line="360" w:lineRule="auto" w:before="3"/>
        <w:ind w:left="308" w:right="98" w:firstLine="705"/>
        <w:jc w:val="both"/>
      </w:pPr>
      <w:r>
        <w:rPr/>
        <w:t>Os dados observados, em relação aos parâmetros podem ser descritos da seguinte forma: a) </w:t>
      </w:r>
      <w:r>
        <w:rPr>
          <w:b/>
        </w:rPr>
        <w:t>Currículo polivalente </w:t>
      </w:r>
      <w:r>
        <w:rPr/>
        <w:t>com índices obtidos de 5,85% no conceito D; de 32,34% no conceito C; de 36,72 % no conceito B e 25,10% no conceito A; b) </w:t>
      </w:r>
      <w:r>
        <w:rPr>
          <w:b/>
        </w:rPr>
        <w:t>Metodologias e estratégias diversificadas </w:t>
      </w:r>
      <w:r>
        <w:rPr/>
        <w:t>com índices obtidos  de 2,98% no conceito D; de 19,52% no conceito C; de 36,24 % no conceito B e 38,13% no conceito A, e c) </w:t>
      </w:r>
      <w:r>
        <w:rPr>
          <w:b/>
        </w:rPr>
        <w:t>Avaliação formadora emergente </w:t>
      </w:r>
      <w:r>
        <w:rPr/>
        <w:t>com índices obtidos de 5,86% no conceito D; de 31,18% no conceito C; de 37,37 % no conceito B e 25,60% no conceito A (grifos</w:t>
      </w:r>
      <w:r>
        <w:rPr>
          <w:spacing w:val="-12"/>
        </w:rPr>
        <w:t> </w:t>
      </w:r>
      <w:r>
        <w:rPr/>
        <w:t>nosso).</w:t>
      </w:r>
    </w:p>
    <w:p>
      <w:pPr>
        <w:pStyle w:val="BodyText"/>
        <w:spacing w:line="360" w:lineRule="auto" w:before="3"/>
        <w:ind w:left="308" w:right="104" w:firstLine="705"/>
        <w:jc w:val="both"/>
      </w:pPr>
      <w:r>
        <w:rPr/>
        <w:t>Verifica-se que há evidência de criatividade nos parâmetros da categoria III indicam uma instituição que busca conhecer suas forças e fraquezas, o contexto e a realidade que se insere como forma de previsão das dificuldades e valorização das contribuições, que para Torre (2009, p.65), corresponde a uma instituição criativa, que “busca qualidade e a excelência em processos e resultados [...] está em permanente revisão dos objetivos, de seus processos e seus resultados para adaptar-se a contextos e necessidades”.</w:t>
      </w:r>
    </w:p>
    <w:p>
      <w:pPr>
        <w:spacing w:after="0" w:line="360" w:lineRule="auto"/>
        <w:jc w:val="both"/>
        <w:sectPr>
          <w:pgSz w:w="11910" w:h="16840"/>
          <w:pgMar w:header="1133" w:footer="0" w:top="1340" w:bottom="280" w:left="1680" w:right="1020"/>
        </w:sectPr>
      </w:pPr>
    </w:p>
    <w:p>
      <w:pPr>
        <w:pStyle w:val="BodyText"/>
        <w:spacing w:before="10"/>
        <w:rPr>
          <w:sz w:val="20"/>
        </w:rPr>
      </w:pPr>
    </w:p>
    <w:p>
      <w:pPr>
        <w:pStyle w:val="Heading3"/>
        <w:numPr>
          <w:ilvl w:val="2"/>
          <w:numId w:val="13"/>
        </w:numPr>
        <w:tabs>
          <w:tab w:pos="912" w:val="left" w:leader="none"/>
        </w:tabs>
        <w:spacing w:line="240" w:lineRule="auto" w:before="92" w:after="0"/>
        <w:ind w:left="911" w:right="0" w:hanging="603"/>
        <w:jc w:val="left"/>
      </w:pPr>
      <w:bookmarkStart w:name="_TOC_250003" w:id="14"/>
      <w:r>
        <w:rPr/>
        <w:t>Aparições criativas na</w:t>
      </w:r>
      <w:r>
        <w:rPr>
          <w:spacing w:val="-21"/>
        </w:rPr>
        <w:t> </w:t>
      </w:r>
      <w:bookmarkEnd w:id="14"/>
      <w:r>
        <w:rPr/>
        <w:t>escola</w:t>
      </w:r>
    </w:p>
    <w:p>
      <w:pPr>
        <w:pStyle w:val="BodyText"/>
        <w:rPr>
          <w:b/>
          <w:sz w:val="26"/>
        </w:rPr>
      </w:pPr>
    </w:p>
    <w:p>
      <w:pPr>
        <w:pStyle w:val="BodyText"/>
        <w:rPr>
          <w:b/>
          <w:sz w:val="26"/>
        </w:rPr>
      </w:pPr>
    </w:p>
    <w:p>
      <w:pPr>
        <w:pStyle w:val="BodyText"/>
        <w:spacing w:before="6"/>
        <w:rPr>
          <w:b/>
          <w:sz w:val="32"/>
        </w:rPr>
      </w:pPr>
    </w:p>
    <w:p>
      <w:pPr>
        <w:pStyle w:val="BodyText"/>
        <w:spacing w:line="360" w:lineRule="auto"/>
        <w:ind w:left="308" w:right="146" w:firstLine="710"/>
        <w:jc w:val="both"/>
      </w:pPr>
      <w:r>
        <w:rPr/>
        <w:t>Os gráficos observados apontam que a avaliação realizada pela comunidade escolar indica respostas nas opções de valores relacionadas aos conceitos B e A do quadro de valoração Vadecrie. Nesse sentido, para mostrar a evidência de criatividade nas categorias avaliadas optou-se pelo agrupamento  dos valores obtidos pela escola (SUANNO, 2013), de modo que possa identificar se os valores obtidos atendem ao mínimo necessário </w:t>
      </w:r>
      <w:r>
        <w:rPr>
          <w:spacing w:val="3"/>
        </w:rPr>
        <w:t>para </w:t>
      </w:r>
      <w:r>
        <w:rPr/>
        <w:t>que a escola seja considerada como</w:t>
      </w:r>
      <w:r>
        <w:rPr>
          <w:spacing w:val="-7"/>
        </w:rPr>
        <w:t> </w:t>
      </w:r>
      <w:r>
        <w:rPr/>
        <w:t>criativa.</w:t>
      </w:r>
    </w:p>
    <w:p>
      <w:pPr>
        <w:pStyle w:val="BodyText"/>
        <w:spacing w:line="360" w:lineRule="auto" w:before="3"/>
        <w:ind w:left="308" w:right="146" w:firstLine="710"/>
        <w:jc w:val="both"/>
      </w:pPr>
      <w:r>
        <w:rPr/>
        <w:t>Na tabela 05 estão registradas as evidências de criatividade diagnosticadas nas categorias e parâmetros, elaborada com base no agrupamento dos valores obtidos nos gráficos 01, 02 e 03, que representam a avaliação diagnóstica da escola estudada.</w:t>
      </w:r>
    </w:p>
    <w:p>
      <w:pPr>
        <w:pStyle w:val="BodyText"/>
        <w:rPr>
          <w:sz w:val="26"/>
        </w:rPr>
      </w:pPr>
    </w:p>
    <w:p>
      <w:pPr>
        <w:pStyle w:val="BodyText"/>
        <w:spacing w:before="8"/>
        <w:rPr>
          <w:sz w:val="29"/>
        </w:rPr>
      </w:pPr>
    </w:p>
    <w:p>
      <w:pPr>
        <w:spacing w:before="0" w:after="10"/>
        <w:ind w:left="3559" w:right="1249" w:hanging="2137"/>
        <w:jc w:val="left"/>
        <w:rPr>
          <w:b/>
          <w:sz w:val="20"/>
        </w:rPr>
      </w:pPr>
      <w:r>
        <w:rPr>
          <w:b/>
          <w:sz w:val="20"/>
        </w:rPr>
        <w:t>Tabela 05: Agrupamento de valores avaliação diagnóstica Vadecrie – Categorias e parâmetros</w:t>
      </w:r>
    </w:p>
    <w:tbl>
      <w:tblPr>
        <w:tblW w:w="0" w:type="auto"/>
        <w:jc w:val="left"/>
        <w:tblInd w:w="284"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4507"/>
        <w:gridCol w:w="4286"/>
      </w:tblGrid>
      <w:tr>
        <w:trPr>
          <w:trHeight w:val="612" w:hRule="exact"/>
        </w:trPr>
        <w:tc>
          <w:tcPr>
            <w:tcW w:w="4507" w:type="dxa"/>
            <w:tcBorders>
              <w:right w:val="single" w:sz="4" w:space="0" w:color="000000"/>
            </w:tcBorders>
            <w:shd w:val="clear" w:color="auto" w:fill="DEEAF6"/>
          </w:tcPr>
          <w:p>
            <w:pPr>
              <w:pStyle w:val="TableParagraph"/>
              <w:spacing w:before="158"/>
              <w:ind w:left="1637" w:right="1649"/>
              <w:rPr>
                <w:b/>
                <w:sz w:val="20"/>
              </w:rPr>
            </w:pPr>
            <w:r>
              <w:rPr>
                <w:b/>
                <w:sz w:val="20"/>
              </w:rPr>
              <w:t>Categorias</w:t>
            </w:r>
          </w:p>
        </w:tc>
        <w:tc>
          <w:tcPr>
            <w:tcW w:w="4286" w:type="dxa"/>
            <w:tcBorders>
              <w:left w:val="single" w:sz="4" w:space="0" w:color="000000"/>
            </w:tcBorders>
            <w:shd w:val="clear" w:color="auto" w:fill="DEEAF6"/>
          </w:tcPr>
          <w:p>
            <w:pPr>
              <w:pStyle w:val="TableParagraph"/>
              <w:spacing w:before="43"/>
              <w:ind w:left="1147" w:right="914" w:hanging="212"/>
              <w:jc w:val="left"/>
              <w:rPr>
                <w:b/>
                <w:sz w:val="20"/>
              </w:rPr>
            </w:pPr>
            <w:r>
              <w:rPr>
                <w:b/>
                <w:sz w:val="20"/>
              </w:rPr>
              <w:t>Evidência de criatividade (agrupamento B e A)</w:t>
            </w:r>
          </w:p>
        </w:tc>
      </w:tr>
      <w:tr>
        <w:trPr>
          <w:trHeight w:val="329" w:hRule="exact"/>
        </w:trPr>
        <w:tc>
          <w:tcPr>
            <w:tcW w:w="4507" w:type="dxa"/>
            <w:tcBorders>
              <w:right w:val="single" w:sz="4" w:space="0" w:color="000000"/>
            </w:tcBorders>
            <w:shd w:val="clear" w:color="auto" w:fill="BEBEBE"/>
          </w:tcPr>
          <w:p>
            <w:pPr>
              <w:pStyle w:val="TableParagraph"/>
              <w:spacing w:before="21"/>
              <w:ind w:left="1637" w:right="1652"/>
              <w:rPr>
                <w:b/>
                <w:sz w:val="20"/>
              </w:rPr>
            </w:pPr>
            <w:r>
              <w:rPr>
                <w:b/>
                <w:sz w:val="20"/>
              </w:rPr>
              <w:t>Categoria I</w:t>
            </w:r>
          </w:p>
        </w:tc>
        <w:tc>
          <w:tcPr>
            <w:tcW w:w="4286" w:type="dxa"/>
            <w:tcBorders>
              <w:left w:val="single" w:sz="4" w:space="0" w:color="000000"/>
            </w:tcBorders>
            <w:shd w:val="clear" w:color="auto" w:fill="BEBEBE"/>
          </w:tcPr>
          <w:p>
            <w:pPr>
              <w:pStyle w:val="TableParagraph"/>
              <w:spacing w:before="21"/>
              <w:ind w:left="11"/>
              <w:rPr>
                <w:b/>
                <w:sz w:val="20"/>
              </w:rPr>
            </w:pPr>
            <w:r>
              <w:rPr>
                <w:b/>
                <w:w w:val="100"/>
                <w:sz w:val="20"/>
              </w:rPr>
              <w:t>%</w:t>
            </w:r>
          </w:p>
        </w:tc>
      </w:tr>
      <w:tr>
        <w:trPr>
          <w:trHeight w:val="266" w:hRule="exact"/>
        </w:trPr>
        <w:tc>
          <w:tcPr>
            <w:tcW w:w="4507" w:type="dxa"/>
            <w:tcBorders>
              <w:bottom w:val="single" w:sz="4" w:space="0" w:color="000000"/>
              <w:right w:val="single" w:sz="4" w:space="0" w:color="000000"/>
            </w:tcBorders>
          </w:tcPr>
          <w:p>
            <w:pPr>
              <w:pStyle w:val="TableParagraph"/>
              <w:spacing w:before="4"/>
              <w:ind w:left="86"/>
              <w:jc w:val="left"/>
              <w:rPr>
                <w:sz w:val="20"/>
              </w:rPr>
            </w:pPr>
            <w:r>
              <w:rPr>
                <w:sz w:val="20"/>
              </w:rPr>
              <w:t>Cultura Inovadora</w:t>
            </w:r>
          </w:p>
        </w:tc>
        <w:tc>
          <w:tcPr>
            <w:tcW w:w="4286" w:type="dxa"/>
            <w:tcBorders>
              <w:left w:val="single" w:sz="4" w:space="0" w:color="000000"/>
              <w:bottom w:val="single" w:sz="4" w:space="0" w:color="000000"/>
            </w:tcBorders>
          </w:tcPr>
          <w:p>
            <w:pPr>
              <w:pStyle w:val="TableParagraph"/>
              <w:spacing w:before="4"/>
              <w:ind w:left="1862" w:right="1857"/>
              <w:rPr>
                <w:sz w:val="20"/>
              </w:rPr>
            </w:pPr>
            <w:r>
              <w:rPr>
                <w:sz w:val="20"/>
              </w:rPr>
              <w:t>71,97</w:t>
            </w:r>
          </w:p>
        </w:tc>
      </w:tr>
      <w:tr>
        <w:trPr>
          <w:trHeight w:val="307" w:hRule="exact"/>
        </w:trPr>
        <w:tc>
          <w:tcPr>
            <w:tcW w:w="4507" w:type="dxa"/>
            <w:tcBorders>
              <w:top w:val="single" w:sz="4" w:space="0" w:color="000000"/>
              <w:bottom w:val="single" w:sz="4" w:space="0" w:color="000000"/>
              <w:right w:val="single" w:sz="4" w:space="0" w:color="000000"/>
            </w:tcBorders>
          </w:tcPr>
          <w:p>
            <w:pPr>
              <w:pStyle w:val="TableParagraph"/>
              <w:spacing w:before="28"/>
              <w:ind w:left="86"/>
              <w:jc w:val="left"/>
              <w:rPr>
                <w:sz w:val="20"/>
              </w:rPr>
            </w:pPr>
            <w:r>
              <w:rPr>
                <w:sz w:val="20"/>
              </w:rPr>
              <w:t>Criatividade como Valor</w:t>
            </w:r>
          </w:p>
        </w:tc>
        <w:tc>
          <w:tcPr>
            <w:tcW w:w="4286" w:type="dxa"/>
            <w:tcBorders>
              <w:top w:val="single" w:sz="4" w:space="0" w:color="000000"/>
              <w:left w:val="single" w:sz="4" w:space="0" w:color="000000"/>
              <w:bottom w:val="single" w:sz="4" w:space="0" w:color="000000"/>
            </w:tcBorders>
          </w:tcPr>
          <w:p>
            <w:pPr>
              <w:pStyle w:val="TableParagraph"/>
              <w:spacing w:before="28"/>
              <w:ind w:left="1862" w:right="1857"/>
              <w:rPr>
                <w:sz w:val="20"/>
              </w:rPr>
            </w:pPr>
            <w:r>
              <w:rPr>
                <w:sz w:val="20"/>
              </w:rPr>
              <w:t>75,10</w:t>
            </w:r>
          </w:p>
        </w:tc>
      </w:tr>
      <w:tr>
        <w:trPr>
          <w:trHeight w:val="298" w:hRule="exact"/>
        </w:trPr>
        <w:tc>
          <w:tcPr>
            <w:tcW w:w="4507" w:type="dxa"/>
            <w:tcBorders>
              <w:top w:val="single" w:sz="4" w:space="0" w:color="000000"/>
              <w:bottom w:val="single" w:sz="4" w:space="0" w:color="000000"/>
              <w:right w:val="single" w:sz="4" w:space="0" w:color="000000"/>
            </w:tcBorders>
          </w:tcPr>
          <w:p>
            <w:pPr>
              <w:pStyle w:val="TableParagraph"/>
              <w:spacing w:before="23"/>
              <w:ind w:left="86"/>
              <w:jc w:val="left"/>
              <w:rPr>
                <w:sz w:val="20"/>
              </w:rPr>
            </w:pPr>
            <w:r>
              <w:rPr>
                <w:sz w:val="20"/>
              </w:rPr>
              <w:t>Visão Transdisciplinar no Projeto Educativo</w:t>
            </w:r>
          </w:p>
        </w:tc>
        <w:tc>
          <w:tcPr>
            <w:tcW w:w="4286" w:type="dxa"/>
            <w:tcBorders>
              <w:top w:val="single" w:sz="4" w:space="0" w:color="000000"/>
              <w:left w:val="single" w:sz="4" w:space="0" w:color="000000"/>
              <w:bottom w:val="single" w:sz="4" w:space="0" w:color="000000"/>
            </w:tcBorders>
          </w:tcPr>
          <w:p>
            <w:pPr>
              <w:pStyle w:val="TableParagraph"/>
              <w:spacing w:before="23"/>
              <w:ind w:left="1862" w:right="1857"/>
              <w:rPr>
                <w:sz w:val="20"/>
              </w:rPr>
            </w:pPr>
            <w:r>
              <w:rPr>
                <w:sz w:val="20"/>
              </w:rPr>
              <w:t>67,32</w:t>
            </w:r>
          </w:p>
        </w:tc>
      </w:tr>
      <w:tr>
        <w:trPr>
          <w:trHeight w:val="314" w:hRule="exact"/>
        </w:trPr>
        <w:tc>
          <w:tcPr>
            <w:tcW w:w="4507" w:type="dxa"/>
            <w:tcBorders>
              <w:top w:val="single" w:sz="4" w:space="0" w:color="000000"/>
              <w:right w:val="single" w:sz="4" w:space="0" w:color="000000"/>
            </w:tcBorders>
          </w:tcPr>
          <w:p>
            <w:pPr>
              <w:pStyle w:val="TableParagraph"/>
              <w:spacing w:before="23"/>
              <w:ind w:left="86"/>
              <w:jc w:val="left"/>
              <w:rPr>
                <w:sz w:val="20"/>
              </w:rPr>
            </w:pPr>
            <w:r>
              <w:rPr>
                <w:sz w:val="20"/>
              </w:rPr>
              <w:t>Valores Humanos, Sociais, Meio ambiente.</w:t>
            </w:r>
          </w:p>
        </w:tc>
        <w:tc>
          <w:tcPr>
            <w:tcW w:w="4286" w:type="dxa"/>
            <w:tcBorders>
              <w:top w:val="single" w:sz="4" w:space="0" w:color="000000"/>
              <w:left w:val="single" w:sz="4" w:space="0" w:color="000000"/>
            </w:tcBorders>
          </w:tcPr>
          <w:p>
            <w:pPr>
              <w:pStyle w:val="TableParagraph"/>
              <w:spacing w:before="23"/>
              <w:ind w:left="1862" w:right="1857"/>
              <w:rPr>
                <w:sz w:val="20"/>
              </w:rPr>
            </w:pPr>
            <w:r>
              <w:rPr>
                <w:sz w:val="20"/>
              </w:rPr>
              <w:t>78,31</w:t>
            </w:r>
          </w:p>
        </w:tc>
      </w:tr>
      <w:tr>
        <w:trPr>
          <w:trHeight w:val="325" w:hRule="exact"/>
        </w:trPr>
        <w:tc>
          <w:tcPr>
            <w:tcW w:w="4507" w:type="dxa"/>
            <w:tcBorders>
              <w:bottom w:val="single" w:sz="4" w:space="0" w:color="000000"/>
              <w:right w:val="single" w:sz="4" w:space="0" w:color="000000"/>
            </w:tcBorders>
            <w:shd w:val="clear" w:color="auto" w:fill="BEBEBE"/>
          </w:tcPr>
          <w:p>
            <w:pPr>
              <w:pStyle w:val="TableParagraph"/>
              <w:spacing w:before="23"/>
              <w:ind w:left="1637" w:right="1652"/>
              <w:rPr>
                <w:b/>
                <w:sz w:val="20"/>
              </w:rPr>
            </w:pPr>
            <w:r>
              <w:rPr>
                <w:b/>
                <w:sz w:val="20"/>
              </w:rPr>
              <w:t>Categoria II</w:t>
            </w:r>
          </w:p>
        </w:tc>
        <w:tc>
          <w:tcPr>
            <w:tcW w:w="4286" w:type="dxa"/>
            <w:tcBorders>
              <w:left w:val="single" w:sz="4" w:space="0" w:color="000000"/>
              <w:bottom w:val="single" w:sz="4" w:space="0" w:color="000000"/>
            </w:tcBorders>
            <w:shd w:val="clear" w:color="auto" w:fill="BEBEBE"/>
          </w:tcPr>
          <w:p>
            <w:pPr>
              <w:pStyle w:val="TableParagraph"/>
              <w:spacing w:before="28"/>
              <w:ind w:left="11"/>
              <w:rPr>
                <w:sz w:val="20"/>
              </w:rPr>
            </w:pPr>
            <w:r>
              <w:rPr>
                <w:w w:val="100"/>
                <w:sz w:val="20"/>
              </w:rPr>
              <w:t>%</w:t>
            </w:r>
          </w:p>
        </w:tc>
      </w:tr>
      <w:tr>
        <w:trPr>
          <w:trHeight w:val="298" w:hRule="exact"/>
        </w:trPr>
        <w:tc>
          <w:tcPr>
            <w:tcW w:w="4507" w:type="dxa"/>
            <w:tcBorders>
              <w:top w:val="single" w:sz="4" w:space="0" w:color="000000"/>
              <w:bottom w:val="single" w:sz="4" w:space="0" w:color="000000"/>
              <w:right w:val="single" w:sz="4" w:space="0" w:color="000000"/>
            </w:tcBorders>
          </w:tcPr>
          <w:p>
            <w:pPr>
              <w:pStyle w:val="TableParagraph"/>
              <w:spacing w:before="23"/>
              <w:ind w:left="86"/>
              <w:jc w:val="left"/>
              <w:rPr>
                <w:sz w:val="20"/>
              </w:rPr>
            </w:pPr>
            <w:r>
              <w:rPr>
                <w:sz w:val="20"/>
              </w:rPr>
              <w:t>Liderança Estimulante</w:t>
            </w:r>
          </w:p>
        </w:tc>
        <w:tc>
          <w:tcPr>
            <w:tcW w:w="4286" w:type="dxa"/>
            <w:tcBorders>
              <w:top w:val="single" w:sz="4" w:space="0" w:color="000000"/>
              <w:left w:val="single" w:sz="4" w:space="0" w:color="000000"/>
              <w:bottom w:val="single" w:sz="4" w:space="0" w:color="000000"/>
            </w:tcBorders>
          </w:tcPr>
          <w:p>
            <w:pPr>
              <w:pStyle w:val="TableParagraph"/>
              <w:spacing w:before="23"/>
              <w:ind w:left="1862" w:right="1857"/>
              <w:rPr>
                <w:sz w:val="20"/>
              </w:rPr>
            </w:pPr>
            <w:r>
              <w:rPr>
                <w:sz w:val="20"/>
              </w:rPr>
              <w:t>85,86</w:t>
            </w:r>
          </w:p>
        </w:tc>
      </w:tr>
      <w:tr>
        <w:trPr>
          <w:trHeight w:val="307" w:hRule="exact"/>
        </w:trPr>
        <w:tc>
          <w:tcPr>
            <w:tcW w:w="4507" w:type="dxa"/>
            <w:tcBorders>
              <w:top w:val="single" w:sz="4" w:space="0" w:color="000000"/>
              <w:bottom w:val="single" w:sz="4" w:space="0" w:color="000000"/>
              <w:right w:val="single" w:sz="4" w:space="0" w:color="000000"/>
            </w:tcBorders>
          </w:tcPr>
          <w:p>
            <w:pPr>
              <w:pStyle w:val="TableParagraph"/>
              <w:spacing w:before="28"/>
              <w:ind w:left="86"/>
              <w:jc w:val="left"/>
              <w:rPr>
                <w:sz w:val="20"/>
              </w:rPr>
            </w:pPr>
            <w:r>
              <w:rPr>
                <w:sz w:val="20"/>
              </w:rPr>
              <w:t>Professores Criativos</w:t>
            </w:r>
          </w:p>
        </w:tc>
        <w:tc>
          <w:tcPr>
            <w:tcW w:w="4286" w:type="dxa"/>
            <w:tcBorders>
              <w:top w:val="single" w:sz="4" w:space="0" w:color="000000"/>
              <w:left w:val="single" w:sz="4" w:space="0" w:color="000000"/>
              <w:bottom w:val="single" w:sz="4" w:space="0" w:color="000000"/>
            </w:tcBorders>
          </w:tcPr>
          <w:p>
            <w:pPr>
              <w:pStyle w:val="TableParagraph"/>
              <w:spacing w:before="28"/>
              <w:ind w:left="1862" w:right="1857"/>
              <w:rPr>
                <w:sz w:val="20"/>
              </w:rPr>
            </w:pPr>
            <w:r>
              <w:rPr>
                <w:sz w:val="20"/>
              </w:rPr>
              <w:t>67,69</w:t>
            </w:r>
          </w:p>
        </w:tc>
      </w:tr>
      <w:tr>
        <w:trPr>
          <w:trHeight w:val="312" w:hRule="exact"/>
        </w:trPr>
        <w:tc>
          <w:tcPr>
            <w:tcW w:w="4507" w:type="dxa"/>
            <w:tcBorders>
              <w:top w:val="single" w:sz="4" w:space="0" w:color="000000"/>
              <w:right w:val="single" w:sz="4" w:space="0" w:color="000000"/>
            </w:tcBorders>
          </w:tcPr>
          <w:p>
            <w:pPr>
              <w:pStyle w:val="TableParagraph"/>
              <w:spacing w:before="23"/>
              <w:ind w:left="86"/>
              <w:jc w:val="left"/>
              <w:rPr>
                <w:sz w:val="20"/>
              </w:rPr>
            </w:pPr>
            <w:r>
              <w:rPr>
                <w:sz w:val="20"/>
              </w:rPr>
              <w:t>Espírito Empreendedor</w:t>
            </w:r>
          </w:p>
        </w:tc>
        <w:tc>
          <w:tcPr>
            <w:tcW w:w="4286" w:type="dxa"/>
            <w:tcBorders>
              <w:top w:val="single" w:sz="4" w:space="0" w:color="000000"/>
              <w:left w:val="single" w:sz="4" w:space="0" w:color="000000"/>
            </w:tcBorders>
          </w:tcPr>
          <w:p>
            <w:pPr>
              <w:pStyle w:val="TableParagraph"/>
              <w:spacing w:before="23"/>
              <w:ind w:left="1862" w:right="1857"/>
              <w:rPr>
                <w:sz w:val="20"/>
              </w:rPr>
            </w:pPr>
            <w:r>
              <w:rPr>
                <w:sz w:val="20"/>
              </w:rPr>
              <w:t>80,43</w:t>
            </w:r>
          </w:p>
        </w:tc>
      </w:tr>
      <w:tr>
        <w:trPr>
          <w:trHeight w:val="322" w:hRule="exact"/>
        </w:trPr>
        <w:tc>
          <w:tcPr>
            <w:tcW w:w="4507" w:type="dxa"/>
            <w:tcBorders>
              <w:bottom w:val="single" w:sz="4" w:space="0" w:color="000000"/>
              <w:right w:val="single" w:sz="4" w:space="0" w:color="000000"/>
            </w:tcBorders>
            <w:shd w:val="clear" w:color="auto" w:fill="BEBEBE"/>
          </w:tcPr>
          <w:p>
            <w:pPr>
              <w:pStyle w:val="TableParagraph"/>
              <w:spacing w:before="26"/>
              <w:ind w:left="1637" w:right="1657"/>
              <w:rPr>
                <w:b/>
                <w:sz w:val="20"/>
              </w:rPr>
            </w:pPr>
            <w:r>
              <w:rPr>
                <w:b/>
                <w:sz w:val="20"/>
              </w:rPr>
              <w:t>Categoria III</w:t>
            </w:r>
          </w:p>
        </w:tc>
        <w:tc>
          <w:tcPr>
            <w:tcW w:w="4286" w:type="dxa"/>
            <w:tcBorders>
              <w:left w:val="single" w:sz="4" w:space="0" w:color="000000"/>
              <w:bottom w:val="single" w:sz="4" w:space="0" w:color="000000"/>
            </w:tcBorders>
            <w:shd w:val="clear" w:color="auto" w:fill="BEBEBE"/>
          </w:tcPr>
          <w:p>
            <w:pPr>
              <w:pStyle w:val="TableParagraph"/>
              <w:spacing w:before="31"/>
              <w:ind w:left="11"/>
              <w:rPr>
                <w:sz w:val="20"/>
              </w:rPr>
            </w:pPr>
            <w:r>
              <w:rPr>
                <w:w w:val="100"/>
                <w:sz w:val="20"/>
              </w:rPr>
              <w:t>%</w:t>
            </w:r>
          </w:p>
        </w:tc>
      </w:tr>
      <w:tr>
        <w:trPr>
          <w:trHeight w:val="298" w:hRule="exact"/>
        </w:trPr>
        <w:tc>
          <w:tcPr>
            <w:tcW w:w="4507" w:type="dxa"/>
            <w:tcBorders>
              <w:top w:val="single" w:sz="4" w:space="0" w:color="000000"/>
              <w:bottom w:val="single" w:sz="4" w:space="0" w:color="000000"/>
              <w:right w:val="single" w:sz="4" w:space="0" w:color="000000"/>
            </w:tcBorders>
          </w:tcPr>
          <w:p>
            <w:pPr>
              <w:pStyle w:val="TableParagraph"/>
              <w:spacing w:before="23"/>
              <w:ind w:left="86"/>
              <w:jc w:val="left"/>
              <w:rPr>
                <w:sz w:val="20"/>
              </w:rPr>
            </w:pPr>
            <w:r>
              <w:rPr>
                <w:sz w:val="20"/>
              </w:rPr>
              <w:t>Currículo Polivalente</w:t>
            </w:r>
          </w:p>
        </w:tc>
        <w:tc>
          <w:tcPr>
            <w:tcW w:w="4286" w:type="dxa"/>
            <w:tcBorders>
              <w:top w:val="single" w:sz="4" w:space="0" w:color="000000"/>
              <w:left w:val="single" w:sz="4" w:space="0" w:color="000000"/>
              <w:bottom w:val="single" w:sz="4" w:space="0" w:color="000000"/>
            </w:tcBorders>
          </w:tcPr>
          <w:p>
            <w:pPr>
              <w:pStyle w:val="TableParagraph"/>
              <w:spacing w:before="23"/>
              <w:ind w:left="1862" w:right="1857"/>
              <w:rPr>
                <w:sz w:val="20"/>
              </w:rPr>
            </w:pPr>
            <w:r>
              <w:rPr>
                <w:sz w:val="20"/>
              </w:rPr>
              <w:t>61,82</w:t>
            </w:r>
          </w:p>
        </w:tc>
      </w:tr>
      <w:tr>
        <w:trPr>
          <w:trHeight w:val="255" w:hRule="exact"/>
        </w:trPr>
        <w:tc>
          <w:tcPr>
            <w:tcW w:w="4507" w:type="dxa"/>
            <w:tcBorders>
              <w:top w:val="single" w:sz="4" w:space="0" w:color="000000"/>
              <w:bottom w:val="single" w:sz="4" w:space="0" w:color="000000"/>
              <w:right w:val="single" w:sz="4" w:space="0" w:color="000000"/>
            </w:tcBorders>
          </w:tcPr>
          <w:p>
            <w:pPr>
              <w:pStyle w:val="TableParagraph"/>
              <w:spacing w:before="5"/>
              <w:ind w:left="86"/>
              <w:jc w:val="left"/>
              <w:rPr>
                <w:sz w:val="20"/>
              </w:rPr>
            </w:pPr>
            <w:r>
              <w:rPr>
                <w:sz w:val="20"/>
              </w:rPr>
              <w:t>Metodologia e Estratégicas Diversificadas</w:t>
            </w:r>
          </w:p>
        </w:tc>
        <w:tc>
          <w:tcPr>
            <w:tcW w:w="4286" w:type="dxa"/>
            <w:tcBorders>
              <w:top w:val="single" w:sz="4" w:space="0" w:color="000000"/>
              <w:left w:val="single" w:sz="4" w:space="0" w:color="000000"/>
              <w:bottom w:val="single" w:sz="4" w:space="0" w:color="000000"/>
            </w:tcBorders>
          </w:tcPr>
          <w:p>
            <w:pPr>
              <w:pStyle w:val="TableParagraph"/>
              <w:spacing w:before="5"/>
              <w:ind w:left="1862" w:right="1857"/>
              <w:rPr>
                <w:sz w:val="20"/>
              </w:rPr>
            </w:pPr>
            <w:r>
              <w:rPr>
                <w:sz w:val="20"/>
              </w:rPr>
              <w:t>74.37</w:t>
            </w:r>
          </w:p>
        </w:tc>
      </w:tr>
      <w:tr>
        <w:trPr>
          <w:trHeight w:val="314" w:hRule="exact"/>
        </w:trPr>
        <w:tc>
          <w:tcPr>
            <w:tcW w:w="4507" w:type="dxa"/>
            <w:tcBorders>
              <w:top w:val="single" w:sz="4" w:space="0" w:color="000000"/>
              <w:right w:val="single" w:sz="4" w:space="0" w:color="000000"/>
            </w:tcBorders>
          </w:tcPr>
          <w:p>
            <w:pPr>
              <w:pStyle w:val="TableParagraph"/>
              <w:spacing w:before="23"/>
              <w:ind w:left="86"/>
              <w:jc w:val="left"/>
              <w:rPr>
                <w:sz w:val="20"/>
              </w:rPr>
            </w:pPr>
            <w:r>
              <w:rPr>
                <w:sz w:val="20"/>
              </w:rPr>
              <w:t>Avaliação Formadora e Emergente</w:t>
            </w:r>
          </w:p>
        </w:tc>
        <w:tc>
          <w:tcPr>
            <w:tcW w:w="4286" w:type="dxa"/>
            <w:tcBorders>
              <w:top w:val="single" w:sz="4" w:space="0" w:color="000000"/>
              <w:left w:val="single" w:sz="4" w:space="0" w:color="000000"/>
            </w:tcBorders>
          </w:tcPr>
          <w:p>
            <w:pPr>
              <w:pStyle w:val="TableParagraph"/>
              <w:spacing w:before="23"/>
              <w:ind w:left="1862" w:right="1857"/>
              <w:rPr>
                <w:sz w:val="20"/>
              </w:rPr>
            </w:pPr>
            <w:r>
              <w:rPr>
                <w:sz w:val="20"/>
              </w:rPr>
              <w:t>62,97</w:t>
            </w:r>
          </w:p>
        </w:tc>
      </w:tr>
    </w:tbl>
    <w:p>
      <w:pPr>
        <w:spacing w:before="43"/>
        <w:ind w:left="308" w:right="0" w:firstLine="0"/>
        <w:jc w:val="left"/>
        <w:rPr>
          <w:sz w:val="20"/>
        </w:rPr>
      </w:pPr>
      <w:r>
        <w:rPr>
          <w:sz w:val="20"/>
        </w:rPr>
        <w:t>Fonte: Dados da pesquisa – Mestrado – Pinho (2014)</w:t>
      </w:r>
    </w:p>
    <w:p>
      <w:pPr>
        <w:pStyle w:val="BodyText"/>
        <w:rPr>
          <w:sz w:val="22"/>
        </w:rPr>
      </w:pPr>
    </w:p>
    <w:p>
      <w:pPr>
        <w:pStyle w:val="BodyText"/>
        <w:rPr>
          <w:sz w:val="22"/>
        </w:rPr>
      </w:pPr>
    </w:p>
    <w:p>
      <w:pPr>
        <w:pStyle w:val="BodyText"/>
        <w:spacing w:before="11"/>
        <w:rPr>
          <w:sz w:val="27"/>
        </w:rPr>
      </w:pPr>
    </w:p>
    <w:p>
      <w:pPr>
        <w:pStyle w:val="BodyText"/>
        <w:spacing w:line="360" w:lineRule="auto"/>
        <w:ind w:left="308" w:right="153" w:firstLine="705"/>
        <w:jc w:val="both"/>
      </w:pPr>
      <w:r>
        <w:rPr/>
        <w:t>Com base nos dados da tabela 05 a escola apresenta evidências de criatividade nos 10 parâmetros que compõem as 03 categorias do questionário Vadecrie, cuja leitura permite observar que dos 10 parâmetros 06 apresentam</w:t>
      </w:r>
    </w:p>
    <w:p>
      <w:pPr>
        <w:spacing w:after="0" w:line="360" w:lineRule="auto"/>
        <w:jc w:val="both"/>
        <w:sectPr>
          <w:pgSz w:w="11910" w:h="16840"/>
          <w:pgMar w:header="1133" w:footer="0" w:top="1340" w:bottom="280" w:left="1680" w:right="980"/>
        </w:sectPr>
      </w:pPr>
    </w:p>
    <w:p>
      <w:pPr>
        <w:pStyle w:val="BodyText"/>
        <w:spacing w:before="3"/>
        <w:rPr>
          <w:sz w:val="21"/>
        </w:rPr>
      </w:pPr>
    </w:p>
    <w:p>
      <w:pPr>
        <w:pStyle w:val="BodyText"/>
        <w:spacing w:line="362" w:lineRule="auto" w:before="92"/>
        <w:ind w:left="308"/>
      </w:pPr>
      <w:r>
        <w:rPr/>
        <w:t>valores acima dos 60% mínimos previstos para caracterizar uma escola como criativa.</w:t>
      </w:r>
    </w:p>
    <w:p>
      <w:pPr>
        <w:pStyle w:val="BodyText"/>
        <w:spacing w:line="360" w:lineRule="auto"/>
        <w:ind w:left="308" w:right="99" w:firstLine="705"/>
        <w:jc w:val="both"/>
      </w:pPr>
      <w:r>
        <w:rPr/>
        <w:t>Assim, na categoria I que trata da Consciência Criativa / visão, missão, cultura e valor, destacam-se com maior evidência os parâmetros Valores humanos, sociais, e o meio ambiente com 78% e criatividade como </w:t>
      </w:r>
      <w:r>
        <w:rPr>
          <w:spacing w:val="3"/>
        </w:rPr>
        <w:t>valor </w:t>
      </w:r>
      <w:r>
        <w:rPr/>
        <w:t>com 75,10%. Na categoria II, que trata do potencial e Recursos Humanos destacam- se os parâmetros liderança estimulante com 85,86% e espírito  empreendedor  com 80,43% e na categoria III que trata do plano estratégico e ação destaca-se o parâmetro metodologia e estratégias diversificadas com</w:t>
      </w:r>
      <w:r>
        <w:rPr>
          <w:spacing w:val="-26"/>
        </w:rPr>
        <w:t> </w:t>
      </w:r>
      <w:r>
        <w:rPr/>
        <w:t>74,37%.</w:t>
      </w:r>
    </w:p>
    <w:p>
      <w:pPr>
        <w:pStyle w:val="BodyText"/>
        <w:spacing w:line="360" w:lineRule="auto" w:before="7"/>
        <w:ind w:left="308" w:right="103" w:firstLine="705"/>
        <w:jc w:val="both"/>
      </w:pPr>
      <w:r>
        <w:rPr/>
        <w:t>Esses dados indicam que a Escola Municipal Orlindo Pereira da Mota apresenta evidências de criatividade nos 10 parâmetros das 03 categorias analisadas, e que obteve acentuada evidência em 02 parâmetros localizados na categoria II: liderança estimulante e espírito empreendedor. Torre (2009) ao expor sobre a identificação de escolas criativas diz que</w:t>
      </w:r>
    </w:p>
    <w:p>
      <w:pPr>
        <w:pStyle w:val="BodyText"/>
        <w:rPr>
          <w:sz w:val="26"/>
        </w:rPr>
      </w:pPr>
    </w:p>
    <w:p>
      <w:pPr>
        <w:pStyle w:val="BodyText"/>
        <w:rPr>
          <w:sz w:val="26"/>
        </w:rPr>
      </w:pPr>
    </w:p>
    <w:p>
      <w:pPr>
        <w:spacing w:before="229"/>
        <w:ind w:left="2574" w:right="102" w:firstLine="0"/>
        <w:jc w:val="both"/>
        <w:rPr>
          <w:sz w:val="20"/>
        </w:rPr>
      </w:pPr>
      <w:r>
        <w:rPr>
          <w:spacing w:val="-3"/>
          <w:sz w:val="20"/>
        </w:rPr>
        <w:t>se </w:t>
      </w:r>
      <w:r>
        <w:rPr>
          <w:sz w:val="20"/>
        </w:rPr>
        <w:t>aplicarmos às escolas o conceito de criatividade, significa que nelas deveríamos encontrar os indicadores, qualidades ou atributos nos quatros parâmetros ou dimensões substanciais da criatividade: as pessoas, os processos, os ambientes e os resultados. (TORRE, 2009, p.57).</w:t>
      </w:r>
    </w:p>
    <w:p>
      <w:pPr>
        <w:pStyle w:val="BodyText"/>
        <w:rPr>
          <w:sz w:val="22"/>
        </w:rPr>
      </w:pPr>
    </w:p>
    <w:p>
      <w:pPr>
        <w:pStyle w:val="BodyText"/>
        <w:rPr>
          <w:sz w:val="22"/>
        </w:rPr>
      </w:pPr>
    </w:p>
    <w:p>
      <w:pPr>
        <w:pStyle w:val="BodyText"/>
        <w:spacing w:before="9"/>
        <w:rPr>
          <w:sz w:val="27"/>
        </w:rPr>
      </w:pPr>
    </w:p>
    <w:p>
      <w:pPr>
        <w:pStyle w:val="BodyText"/>
        <w:spacing w:line="360" w:lineRule="auto" w:before="1"/>
        <w:ind w:left="308" w:right="110" w:firstLine="705"/>
        <w:jc w:val="both"/>
      </w:pPr>
      <w:r>
        <w:rPr/>
        <w:t>Para o autor, a criatividade é um potencial que aflora onde possui clima e condições favoráveis para que realmente aconteça. Dessa forma, as pessoas têm seus efeitos no desenvolvimento organizacional. Nessa dinâmica, as escolas que apresentam evidências de criatividade em relação ao parâmetro de liderança estimulante, segundo Torre (2009, p.112), são aquelas que possuem</w:t>
      </w:r>
    </w:p>
    <w:p>
      <w:pPr>
        <w:pStyle w:val="BodyText"/>
        <w:rPr>
          <w:sz w:val="26"/>
        </w:rPr>
      </w:pPr>
    </w:p>
    <w:p>
      <w:pPr>
        <w:pStyle w:val="BodyText"/>
        <w:rPr>
          <w:sz w:val="26"/>
        </w:rPr>
      </w:pPr>
    </w:p>
    <w:p>
      <w:pPr>
        <w:pStyle w:val="BodyText"/>
        <w:spacing w:before="4"/>
        <w:rPr>
          <w:sz w:val="20"/>
        </w:rPr>
      </w:pPr>
    </w:p>
    <w:p>
      <w:pPr>
        <w:spacing w:before="1"/>
        <w:ind w:left="2574" w:right="105" w:firstLine="0"/>
        <w:jc w:val="both"/>
        <w:rPr>
          <w:sz w:val="20"/>
        </w:rPr>
      </w:pPr>
      <w:r>
        <w:rPr>
          <w:sz w:val="20"/>
        </w:rPr>
        <w:t>equipe diretiva com consciência do papel relevante da criatividade na educação. Liderança comprometida e compartilhada, impulsionadora e facilitadora de projetos inovadores e criativos [...] capaz de gera cultura própria, de crescer de dentro para fora [...] promove a formação docente.</w:t>
      </w:r>
    </w:p>
    <w:p>
      <w:pPr>
        <w:pStyle w:val="BodyText"/>
        <w:rPr>
          <w:sz w:val="22"/>
        </w:rPr>
      </w:pPr>
    </w:p>
    <w:p>
      <w:pPr>
        <w:pStyle w:val="BodyText"/>
        <w:rPr>
          <w:sz w:val="22"/>
        </w:rPr>
      </w:pPr>
    </w:p>
    <w:p>
      <w:pPr>
        <w:pStyle w:val="BodyText"/>
        <w:spacing w:before="11"/>
        <w:rPr>
          <w:sz w:val="27"/>
        </w:rPr>
      </w:pPr>
    </w:p>
    <w:p>
      <w:pPr>
        <w:pStyle w:val="BodyText"/>
        <w:spacing w:line="360" w:lineRule="auto"/>
        <w:ind w:left="308" w:right="103" w:firstLine="705"/>
        <w:jc w:val="both"/>
      </w:pPr>
      <w:r>
        <w:rPr/>
        <w:t>E em relação ao espírito empreendedor diz-se das escolas que apresentam espírito criativo porque nelas há</w:t>
      </w:r>
    </w:p>
    <w:p>
      <w:pPr>
        <w:spacing w:after="0" w:line="360" w:lineRule="auto"/>
        <w:jc w:val="both"/>
        <w:sectPr>
          <w:pgSz w:w="11910" w:h="16840"/>
          <w:pgMar w:header="1133" w:footer="0" w:top="1340" w:bottom="280" w:left="1680" w:right="1020"/>
        </w:sectPr>
      </w:pPr>
    </w:p>
    <w:p>
      <w:pPr>
        <w:pStyle w:val="BodyText"/>
        <w:spacing w:before="11"/>
        <w:rPr>
          <w:sz w:val="20"/>
        </w:rPr>
      </w:pPr>
    </w:p>
    <w:p>
      <w:pPr>
        <w:spacing w:before="95"/>
        <w:ind w:left="2574" w:right="100" w:firstLine="0"/>
        <w:jc w:val="both"/>
        <w:rPr>
          <w:sz w:val="20"/>
        </w:rPr>
      </w:pPr>
      <w:r>
        <w:rPr>
          <w:sz w:val="20"/>
        </w:rPr>
        <w:t>uma consciência da direção e equipe docente quanto à educação e à criatividade como transformação </w:t>
      </w:r>
      <w:r>
        <w:rPr>
          <w:spacing w:val="-3"/>
          <w:sz w:val="20"/>
        </w:rPr>
        <w:t>pessoal </w:t>
      </w:r>
      <w:r>
        <w:rPr>
          <w:sz w:val="20"/>
        </w:rPr>
        <w:t>e social. </w:t>
      </w:r>
      <w:r>
        <w:rPr>
          <w:spacing w:val="-4"/>
          <w:sz w:val="20"/>
        </w:rPr>
        <w:t>Um </w:t>
      </w:r>
      <w:r>
        <w:rPr>
          <w:sz w:val="20"/>
        </w:rPr>
        <w:t>consenso relativo  à escola como célula social geradora de mudanças para melhorar, desenvolvendo </w:t>
      </w:r>
      <w:r>
        <w:rPr>
          <w:spacing w:val="-4"/>
          <w:sz w:val="20"/>
        </w:rPr>
        <w:t>um </w:t>
      </w:r>
      <w:r>
        <w:rPr>
          <w:sz w:val="20"/>
        </w:rPr>
        <w:t>espírito empreendedor e transformador em docentes e</w:t>
      </w:r>
      <w:r>
        <w:rPr>
          <w:spacing w:val="-7"/>
          <w:sz w:val="20"/>
        </w:rPr>
        <w:t> </w:t>
      </w:r>
      <w:r>
        <w:rPr>
          <w:sz w:val="20"/>
        </w:rPr>
        <w:t>estudantes.</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07" w:firstLine="705"/>
        <w:jc w:val="both"/>
      </w:pPr>
      <w:r>
        <w:rPr/>
        <w:t>Assim sendo, as escolas consideradas criativas partem da “relevância da criatividade como potencial humano para gerar ideias e propostas novas, buscando a melhoria das instituições dentro de um marco de valores essenciais para o bem estar individual, social e planetário”. (TORRE, 2009, p.55).</w:t>
      </w:r>
    </w:p>
    <w:p>
      <w:pPr>
        <w:pStyle w:val="BodyText"/>
        <w:spacing w:line="360" w:lineRule="auto" w:before="2"/>
        <w:ind w:left="308" w:right="98" w:firstLine="710"/>
        <w:jc w:val="both"/>
      </w:pPr>
      <w:r>
        <w:rPr/>
        <w:t>Com base nos dados percentuais apresentados na identificação da categoria e dos parâmetros com maior evidência na escola, para atender ao proposto na investigação, fez-se também delimitação dos indicadores de maior evidência nos parâmetros destacados anteriormente, e posteriormente a opção pelo indicador cuja evidência foi a mais acentuada em cada um dos parâmetros analisados.</w:t>
      </w:r>
    </w:p>
    <w:p>
      <w:pPr>
        <w:pStyle w:val="BodyText"/>
        <w:spacing w:line="360" w:lineRule="auto" w:before="2"/>
        <w:ind w:left="308" w:right="103" w:firstLine="710"/>
        <w:jc w:val="both"/>
      </w:pPr>
      <w:r>
        <w:rPr/>
        <w:t>Para esse fim foi utiliza a </w:t>
      </w:r>
      <w:r>
        <w:rPr>
          <w:spacing w:val="-3"/>
        </w:rPr>
        <w:t>mesma </w:t>
      </w:r>
      <w:r>
        <w:rPr/>
        <w:t>estratégia de agrupamento dos dados  nos valores correspondentes às respostas nos conceitos B e A dos parâmetros liderança estimulante e espírito estimulante (APÊNDICE G), conforme descrito  nas tabelas</w:t>
      </w:r>
      <w:r>
        <w:rPr>
          <w:spacing w:val="-11"/>
        </w:rPr>
        <w:t> </w:t>
      </w:r>
      <w:r>
        <w:rPr/>
        <w:t>abaixo.</w:t>
      </w:r>
    </w:p>
    <w:p>
      <w:pPr>
        <w:pStyle w:val="BodyText"/>
        <w:spacing w:line="360" w:lineRule="auto" w:before="2"/>
        <w:ind w:left="308" w:right="111" w:firstLine="710"/>
        <w:jc w:val="both"/>
      </w:pPr>
      <w:r>
        <w:rPr/>
        <w:t>Na tabela 06 estão registrados os dados que evidenciam a criatividade diagnosticada nos indicadores do parâmetro liderança estimulante.</w:t>
      </w:r>
    </w:p>
    <w:p>
      <w:pPr>
        <w:pStyle w:val="BodyText"/>
        <w:rPr>
          <w:sz w:val="26"/>
        </w:rPr>
      </w:pPr>
    </w:p>
    <w:p>
      <w:pPr>
        <w:pStyle w:val="BodyText"/>
        <w:rPr>
          <w:sz w:val="26"/>
        </w:rPr>
      </w:pPr>
    </w:p>
    <w:p>
      <w:pPr>
        <w:spacing w:before="229" w:after="10"/>
        <w:ind w:left="2397" w:right="1230" w:hanging="951"/>
        <w:jc w:val="left"/>
        <w:rPr>
          <w:b/>
          <w:sz w:val="20"/>
        </w:rPr>
      </w:pPr>
      <w:r>
        <w:rPr>
          <w:b/>
          <w:sz w:val="20"/>
        </w:rPr>
        <w:t>Tabela 06: Agrupamento de valores avaliação diagnóstica Vadecrie - Indicadores do parâmetro liderança estimulante.</w:t>
      </w:r>
    </w:p>
    <w:tbl>
      <w:tblPr>
        <w:tblW w:w="0" w:type="auto"/>
        <w:jc w:val="left"/>
        <w:tblInd w:w="375"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4934"/>
        <w:gridCol w:w="3671"/>
      </w:tblGrid>
      <w:tr>
        <w:trPr>
          <w:trHeight w:val="554" w:hRule="exact"/>
        </w:trPr>
        <w:tc>
          <w:tcPr>
            <w:tcW w:w="4934" w:type="dxa"/>
            <w:tcBorders>
              <w:right w:val="single" w:sz="4" w:space="0" w:color="000000"/>
            </w:tcBorders>
            <w:shd w:val="clear" w:color="auto" w:fill="DEEAF6"/>
          </w:tcPr>
          <w:p>
            <w:pPr>
              <w:pStyle w:val="TableParagraph"/>
              <w:spacing w:before="129"/>
              <w:ind w:left="249"/>
              <w:jc w:val="left"/>
              <w:rPr>
                <w:b/>
                <w:sz w:val="20"/>
              </w:rPr>
            </w:pPr>
            <w:r>
              <w:rPr>
                <w:b/>
                <w:sz w:val="20"/>
              </w:rPr>
              <w:t>Categoria II: Parâmetro Liderança Estimulante</w:t>
            </w:r>
          </w:p>
        </w:tc>
        <w:tc>
          <w:tcPr>
            <w:tcW w:w="3671" w:type="dxa"/>
            <w:tcBorders>
              <w:left w:val="single" w:sz="4" w:space="0" w:color="000000"/>
              <w:right w:val="single" w:sz="17" w:space="0" w:color="000000"/>
            </w:tcBorders>
            <w:shd w:val="clear" w:color="auto" w:fill="DEEAF6"/>
          </w:tcPr>
          <w:p>
            <w:pPr>
              <w:pStyle w:val="TableParagraph"/>
              <w:spacing w:before="14"/>
              <w:ind w:left="845" w:right="601" w:hanging="212"/>
              <w:jc w:val="left"/>
              <w:rPr>
                <w:b/>
                <w:sz w:val="20"/>
              </w:rPr>
            </w:pPr>
            <w:r>
              <w:rPr>
                <w:b/>
                <w:sz w:val="20"/>
              </w:rPr>
              <w:t>Evidência de criatividade (agrupamento B e A)</w:t>
            </w:r>
          </w:p>
        </w:tc>
      </w:tr>
      <w:tr>
        <w:trPr>
          <w:trHeight w:val="329" w:hRule="exact"/>
        </w:trPr>
        <w:tc>
          <w:tcPr>
            <w:tcW w:w="4934" w:type="dxa"/>
            <w:tcBorders>
              <w:right w:val="single" w:sz="4" w:space="0" w:color="000000"/>
            </w:tcBorders>
            <w:shd w:val="clear" w:color="auto" w:fill="BEBEBE"/>
          </w:tcPr>
          <w:p>
            <w:pPr>
              <w:pStyle w:val="TableParagraph"/>
              <w:spacing w:before="21"/>
              <w:ind w:left="1440"/>
              <w:jc w:val="left"/>
              <w:rPr>
                <w:b/>
                <w:sz w:val="20"/>
              </w:rPr>
            </w:pPr>
            <w:r>
              <w:rPr>
                <w:b/>
                <w:sz w:val="20"/>
              </w:rPr>
              <w:t>Indicadores (síntese)</w:t>
            </w:r>
          </w:p>
        </w:tc>
        <w:tc>
          <w:tcPr>
            <w:tcW w:w="3671" w:type="dxa"/>
            <w:tcBorders>
              <w:left w:val="single" w:sz="4" w:space="0" w:color="000000"/>
              <w:right w:val="single" w:sz="17" w:space="0" w:color="000000"/>
            </w:tcBorders>
            <w:shd w:val="clear" w:color="auto" w:fill="BEBEBE"/>
          </w:tcPr>
          <w:p>
            <w:pPr>
              <w:pStyle w:val="TableParagraph"/>
              <w:spacing w:before="21"/>
              <w:ind w:left="21"/>
              <w:rPr>
                <w:b/>
                <w:sz w:val="20"/>
              </w:rPr>
            </w:pPr>
            <w:r>
              <w:rPr>
                <w:b/>
                <w:w w:val="100"/>
                <w:sz w:val="20"/>
              </w:rPr>
              <w:t>%</w:t>
            </w:r>
          </w:p>
        </w:tc>
      </w:tr>
      <w:tr>
        <w:trPr>
          <w:trHeight w:val="262" w:hRule="exact"/>
        </w:trPr>
        <w:tc>
          <w:tcPr>
            <w:tcW w:w="4934" w:type="dxa"/>
            <w:tcBorders>
              <w:bottom w:val="single" w:sz="4" w:space="0" w:color="000000"/>
              <w:right w:val="single" w:sz="4" w:space="0" w:color="000000"/>
            </w:tcBorders>
          </w:tcPr>
          <w:p>
            <w:pPr>
              <w:pStyle w:val="TableParagraph"/>
              <w:spacing w:line="230" w:lineRule="exact"/>
              <w:ind w:left="86"/>
              <w:jc w:val="left"/>
              <w:rPr>
                <w:sz w:val="20"/>
              </w:rPr>
            </w:pPr>
            <w:r>
              <w:rPr>
                <w:sz w:val="20"/>
              </w:rPr>
              <w:t>Metas compartilhadas</w:t>
            </w:r>
          </w:p>
        </w:tc>
        <w:tc>
          <w:tcPr>
            <w:tcW w:w="3671" w:type="dxa"/>
            <w:tcBorders>
              <w:left w:val="single" w:sz="4" w:space="0" w:color="000000"/>
              <w:bottom w:val="single" w:sz="4" w:space="0" w:color="000000"/>
              <w:right w:val="single" w:sz="17" w:space="0" w:color="000000"/>
            </w:tcBorders>
          </w:tcPr>
          <w:p>
            <w:pPr>
              <w:pStyle w:val="TableParagraph"/>
              <w:spacing w:line="230" w:lineRule="exact"/>
              <w:ind w:left="1560" w:right="1544"/>
              <w:rPr>
                <w:sz w:val="20"/>
              </w:rPr>
            </w:pPr>
            <w:r>
              <w:rPr>
                <w:sz w:val="20"/>
              </w:rPr>
              <w:t>53,97</w:t>
            </w:r>
          </w:p>
        </w:tc>
      </w:tr>
      <w:tr>
        <w:trPr>
          <w:trHeight w:val="240" w:hRule="exact"/>
        </w:trPr>
        <w:tc>
          <w:tcPr>
            <w:tcW w:w="4934" w:type="dxa"/>
            <w:tcBorders>
              <w:top w:val="single" w:sz="4" w:space="0" w:color="000000"/>
              <w:bottom w:val="single" w:sz="4" w:space="0" w:color="000000"/>
              <w:right w:val="single" w:sz="4" w:space="0" w:color="000000"/>
            </w:tcBorders>
          </w:tcPr>
          <w:p>
            <w:pPr>
              <w:pStyle w:val="TableParagraph"/>
              <w:spacing w:line="225" w:lineRule="exact"/>
              <w:ind w:left="86"/>
              <w:jc w:val="left"/>
              <w:rPr>
                <w:sz w:val="20"/>
              </w:rPr>
            </w:pPr>
            <w:r>
              <w:rPr>
                <w:sz w:val="20"/>
              </w:rPr>
              <w:t>Crescimento interno</w:t>
            </w:r>
          </w:p>
        </w:tc>
        <w:tc>
          <w:tcPr>
            <w:tcW w:w="3671" w:type="dxa"/>
            <w:tcBorders>
              <w:top w:val="single" w:sz="4" w:space="0" w:color="000000"/>
              <w:left w:val="single" w:sz="4" w:space="0" w:color="000000"/>
              <w:bottom w:val="single" w:sz="4" w:space="0" w:color="000000"/>
              <w:right w:val="single" w:sz="17" w:space="0" w:color="000000"/>
            </w:tcBorders>
          </w:tcPr>
          <w:p>
            <w:pPr>
              <w:pStyle w:val="TableParagraph"/>
              <w:spacing w:line="225" w:lineRule="exact"/>
              <w:ind w:left="1560" w:right="1544"/>
              <w:rPr>
                <w:sz w:val="20"/>
              </w:rPr>
            </w:pPr>
            <w:r>
              <w:rPr>
                <w:sz w:val="20"/>
              </w:rPr>
              <w:t>64.29</w:t>
            </w:r>
          </w:p>
        </w:tc>
      </w:tr>
      <w:tr>
        <w:trPr>
          <w:trHeight w:val="240" w:hRule="exact"/>
        </w:trPr>
        <w:tc>
          <w:tcPr>
            <w:tcW w:w="4934" w:type="dxa"/>
            <w:tcBorders>
              <w:top w:val="single" w:sz="4" w:space="0" w:color="000000"/>
              <w:bottom w:val="single" w:sz="4" w:space="0" w:color="000000"/>
              <w:right w:val="single" w:sz="4" w:space="0" w:color="000000"/>
            </w:tcBorders>
          </w:tcPr>
          <w:p>
            <w:pPr>
              <w:pStyle w:val="TableParagraph"/>
              <w:spacing w:line="225" w:lineRule="exact"/>
              <w:ind w:left="86"/>
              <w:jc w:val="left"/>
              <w:rPr>
                <w:sz w:val="20"/>
              </w:rPr>
            </w:pPr>
            <w:r>
              <w:rPr>
                <w:sz w:val="20"/>
              </w:rPr>
              <w:t>Recursos humanos competentes e criativos</w:t>
            </w:r>
          </w:p>
        </w:tc>
        <w:tc>
          <w:tcPr>
            <w:tcW w:w="3671" w:type="dxa"/>
            <w:tcBorders>
              <w:top w:val="single" w:sz="4" w:space="0" w:color="000000"/>
              <w:left w:val="single" w:sz="4" w:space="0" w:color="000000"/>
              <w:bottom w:val="single" w:sz="4" w:space="0" w:color="000000"/>
              <w:right w:val="single" w:sz="17" w:space="0" w:color="000000"/>
            </w:tcBorders>
          </w:tcPr>
          <w:p>
            <w:pPr>
              <w:pStyle w:val="TableParagraph"/>
              <w:spacing w:line="225" w:lineRule="exact"/>
              <w:ind w:left="1560" w:right="1544"/>
              <w:rPr>
                <w:sz w:val="20"/>
              </w:rPr>
            </w:pPr>
            <w:r>
              <w:rPr>
                <w:sz w:val="20"/>
              </w:rPr>
              <w:t>56.74</w:t>
            </w:r>
          </w:p>
        </w:tc>
      </w:tr>
      <w:tr>
        <w:trPr>
          <w:trHeight w:val="240" w:hRule="exact"/>
        </w:trPr>
        <w:tc>
          <w:tcPr>
            <w:tcW w:w="4934" w:type="dxa"/>
            <w:tcBorders>
              <w:top w:val="single" w:sz="4" w:space="0" w:color="000000"/>
              <w:bottom w:val="single" w:sz="4" w:space="0" w:color="000000"/>
              <w:right w:val="single" w:sz="4" w:space="0" w:color="000000"/>
            </w:tcBorders>
          </w:tcPr>
          <w:p>
            <w:pPr>
              <w:pStyle w:val="TableParagraph"/>
              <w:spacing w:line="225" w:lineRule="exact"/>
              <w:ind w:left="86"/>
              <w:jc w:val="left"/>
              <w:rPr>
                <w:sz w:val="20"/>
              </w:rPr>
            </w:pPr>
            <w:r>
              <w:rPr>
                <w:sz w:val="20"/>
              </w:rPr>
              <w:t>Formação e inovação permanentes</w:t>
            </w:r>
          </w:p>
        </w:tc>
        <w:tc>
          <w:tcPr>
            <w:tcW w:w="3671" w:type="dxa"/>
            <w:tcBorders>
              <w:top w:val="single" w:sz="4" w:space="0" w:color="000000"/>
              <w:left w:val="single" w:sz="4" w:space="0" w:color="000000"/>
              <w:bottom w:val="single" w:sz="4" w:space="0" w:color="000000"/>
              <w:right w:val="single" w:sz="17" w:space="0" w:color="000000"/>
            </w:tcBorders>
          </w:tcPr>
          <w:p>
            <w:pPr>
              <w:pStyle w:val="TableParagraph"/>
              <w:spacing w:line="225" w:lineRule="exact"/>
              <w:ind w:left="1560" w:right="1544"/>
              <w:rPr>
                <w:sz w:val="20"/>
              </w:rPr>
            </w:pPr>
            <w:r>
              <w:rPr>
                <w:sz w:val="20"/>
              </w:rPr>
              <w:t>55.16</w:t>
            </w:r>
          </w:p>
        </w:tc>
      </w:tr>
      <w:tr>
        <w:trPr>
          <w:trHeight w:val="240" w:hRule="exact"/>
        </w:trPr>
        <w:tc>
          <w:tcPr>
            <w:tcW w:w="4934" w:type="dxa"/>
            <w:tcBorders>
              <w:top w:val="single" w:sz="4" w:space="0" w:color="000000"/>
              <w:bottom w:val="single" w:sz="4" w:space="0" w:color="000000"/>
              <w:right w:val="single" w:sz="4" w:space="0" w:color="000000"/>
            </w:tcBorders>
          </w:tcPr>
          <w:p>
            <w:pPr>
              <w:pStyle w:val="TableParagraph"/>
              <w:spacing w:line="225" w:lineRule="exact"/>
              <w:ind w:left="86"/>
              <w:jc w:val="left"/>
              <w:rPr>
                <w:sz w:val="20"/>
              </w:rPr>
            </w:pPr>
            <w:r>
              <w:rPr>
                <w:sz w:val="20"/>
              </w:rPr>
              <w:t>Trabalho cooperativo</w:t>
            </w:r>
          </w:p>
        </w:tc>
        <w:tc>
          <w:tcPr>
            <w:tcW w:w="3671" w:type="dxa"/>
            <w:tcBorders>
              <w:top w:val="single" w:sz="4" w:space="0" w:color="000000"/>
              <w:left w:val="single" w:sz="4" w:space="0" w:color="000000"/>
              <w:bottom w:val="single" w:sz="4" w:space="0" w:color="000000"/>
              <w:right w:val="single" w:sz="17" w:space="0" w:color="000000"/>
            </w:tcBorders>
          </w:tcPr>
          <w:p>
            <w:pPr>
              <w:pStyle w:val="TableParagraph"/>
              <w:spacing w:line="225" w:lineRule="exact"/>
              <w:ind w:left="1560" w:right="1544"/>
              <w:rPr>
                <w:sz w:val="20"/>
              </w:rPr>
            </w:pPr>
            <w:r>
              <w:rPr>
                <w:sz w:val="20"/>
              </w:rPr>
              <w:t>56.95</w:t>
            </w:r>
          </w:p>
        </w:tc>
      </w:tr>
      <w:tr>
        <w:trPr>
          <w:trHeight w:val="257" w:hRule="exact"/>
        </w:trPr>
        <w:tc>
          <w:tcPr>
            <w:tcW w:w="4934" w:type="dxa"/>
            <w:tcBorders>
              <w:top w:val="single" w:sz="4" w:space="0" w:color="000000"/>
              <w:right w:val="single" w:sz="4" w:space="0" w:color="000000"/>
            </w:tcBorders>
          </w:tcPr>
          <w:p>
            <w:pPr>
              <w:pStyle w:val="TableParagraph"/>
              <w:spacing w:line="225" w:lineRule="exact"/>
              <w:ind w:left="86"/>
              <w:jc w:val="left"/>
              <w:rPr>
                <w:sz w:val="20"/>
              </w:rPr>
            </w:pPr>
            <w:r>
              <w:rPr>
                <w:sz w:val="20"/>
              </w:rPr>
              <w:t>Auto análise e avaliação</w:t>
            </w:r>
          </w:p>
        </w:tc>
        <w:tc>
          <w:tcPr>
            <w:tcW w:w="3671" w:type="dxa"/>
            <w:tcBorders>
              <w:top w:val="single" w:sz="4" w:space="0" w:color="000000"/>
              <w:left w:val="single" w:sz="4" w:space="0" w:color="000000"/>
              <w:right w:val="single" w:sz="17" w:space="0" w:color="000000"/>
            </w:tcBorders>
          </w:tcPr>
          <w:p>
            <w:pPr>
              <w:pStyle w:val="TableParagraph"/>
              <w:spacing w:line="225" w:lineRule="exact"/>
              <w:ind w:left="1560" w:right="1544"/>
              <w:rPr>
                <w:sz w:val="20"/>
              </w:rPr>
            </w:pPr>
            <w:r>
              <w:rPr>
                <w:sz w:val="20"/>
              </w:rPr>
              <w:t>56.35</w:t>
            </w:r>
          </w:p>
        </w:tc>
      </w:tr>
    </w:tbl>
    <w:p>
      <w:pPr>
        <w:spacing w:before="0"/>
        <w:ind w:left="365" w:right="0" w:firstLine="0"/>
        <w:jc w:val="left"/>
        <w:rPr>
          <w:sz w:val="20"/>
        </w:rPr>
      </w:pPr>
      <w:r>
        <w:rPr>
          <w:sz w:val="20"/>
        </w:rPr>
        <w:t>Fonte: Dados da pesquisa – Mestrado – Pinho (2014)</w:t>
      </w:r>
    </w:p>
    <w:p>
      <w:pPr>
        <w:spacing w:after="0"/>
        <w:jc w:val="left"/>
        <w:rPr>
          <w:sz w:val="20"/>
        </w:rPr>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2" w:firstLine="710"/>
        <w:jc w:val="both"/>
      </w:pPr>
      <w:r>
        <w:rPr/>
        <w:t>A tabela 06 mostra os resultados do agrupamento dos valores correspondentes aos indicadores do parâmetro liderança estimulante. Os percentuais apontam evidência de criatividade em 01 dos 06 indicadores, que corresponde a 64,29% no indicador que trata do crescimento interno, que diz respeito à capacidade que a escola possui, a partir do reconhecimento das suas fraquezas, para potencializar as forças, e assim encontrar solução de problemas a partir da análise e da revisão das situações e contextos. São escolas que veem oportunidade de crescimento na adversidade e no erro. Nesse aspecto o papel do líder determinante. (TORRE, 2009).</w:t>
      </w:r>
    </w:p>
    <w:p>
      <w:pPr>
        <w:pStyle w:val="BodyText"/>
        <w:spacing w:line="360" w:lineRule="auto" w:before="7"/>
        <w:ind w:left="308" w:right="115" w:firstLine="710"/>
        <w:jc w:val="both"/>
      </w:pPr>
      <w:r>
        <w:rPr/>
        <w:t>Na tabela 07 estão agrupados os valores obtidos pelos indicadores dos parâmetros referentes ao espírito empreendedor e também mostram </w:t>
      </w:r>
      <w:r>
        <w:rPr>
          <w:spacing w:val="2"/>
        </w:rPr>
        <w:t>as </w:t>
      </w:r>
      <w:r>
        <w:rPr/>
        <w:t>evidências de criatividade diagnosticadas nos</w:t>
      </w:r>
      <w:r>
        <w:rPr>
          <w:spacing w:val="-34"/>
        </w:rPr>
        <w:t> </w:t>
      </w:r>
      <w:r>
        <w:rPr/>
        <w:t>mesmos.</w:t>
      </w:r>
    </w:p>
    <w:p>
      <w:pPr>
        <w:pStyle w:val="BodyText"/>
        <w:rPr>
          <w:sz w:val="26"/>
        </w:rPr>
      </w:pPr>
    </w:p>
    <w:p>
      <w:pPr>
        <w:pStyle w:val="BodyText"/>
        <w:rPr>
          <w:sz w:val="26"/>
        </w:rPr>
      </w:pPr>
    </w:p>
    <w:p>
      <w:pPr>
        <w:spacing w:before="230" w:after="11"/>
        <w:ind w:left="2363" w:right="1210" w:hanging="942"/>
        <w:jc w:val="left"/>
        <w:rPr>
          <w:b/>
          <w:sz w:val="20"/>
        </w:rPr>
      </w:pPr>
      <w:r>
        <w:rPr>
          <w:b/>
          <w:sz w:val="20"/>
        </w:rPr>
        <w:t>Tabela 07: Agrupamento de valores avaliação diagnóstica Vadecrie – Indicadores do parâmetro espírito empreendedor</w:t>
      </w:r>
    </w:p>
    <w:tbl>
      <w:tblPr>
        <w:tblW w:w="0" w:type="auto"/>
        <w:jc w:val="left"/>
        <w:tblInd w:w="375"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5227"/>
        <w:gridCol w:w="3379"/>
      </w:tblGrid>
      <w:tr>
        <w:trPr>
          <w:trHeight w:val="554" w:hRule="exact"/>
        </w:trPr>
        <w:tc>
          <w:tcPr>
            <w:tcW w:w="5227" w:type="dxa"/>
            <w:tcBorders>
              <w:right w:val="single" w:sz="4" w:space="0" w:color="000000"/>
            </w:tcBorders>
            <w:shd w:val="clear" w:color="auto" w:fill="DEEAF6"/>
          </w:tcPr>
          <w:p>
            <w:pPr>
              <w:pStyle w:val="TableParagraph"/>
              <w:spacing w:before="120"/>
              <w:ind w:left="129"/>
              <w:jc w:val="left"/>
              <w:rPr>
                <w:b/>
                <w:sz w:val="22"/>
              </w:rPr>
            </w:pPr>
            <w:r>
              <w:rPr>
                <w:b/>
                <w:sz w:val="22"/>
              </w:rPr>
              <w:t>Categoria II: Parâmetro Espírito Empreendedor</w:t>
            </w:r>
          </w:p>
        </w:tc>
        <w:tc>
          <w:tcPr>
            <w:tcW w:w="3379" w:type="dxa"/>
            <w:tcBorders>
              <w:left w:val="single" w:sz="4" w:space="0" w:color="000000"/>
              <w:right w:val="single" w:sz="17" w:space="0" w:color="000000"/>
            </w:tcBorders>
            <w:shd w:val="clear" w:color="auto" w:fill="DEEAF6"/>
          </w:tcPr>
          <w:p>
            <w:pPr>
              <w:pStyle w:val="TableParagraph"/>
              <w:spacing w:line="242" w:lineRule="auto"/>
              <w:ind w:left="600" w:right="339" w:hanging="236"/>
              <w:jc w:val="left"/>
              <w:rPr>
                <w:b/>
                <w:sz w:val="22"/>
              </w:rPr>
            </w:pPr>
            <w:r>
              <w:rPr>
                <w:b/>
                <w:sz w:val="22"/>
              </w:rPr>
              <w:t>Evidência de criatividade (agrupamento B e A)</w:t>
            </w:r>
          </w:p>
        </w:tc>
      </w:tr>
      <w:tr>
        <w:trPr>
          <w:trHeight w:val="329" w:hRule="exact"/>
        </w:trPr>
        <w:tc>
          <w:tcPr>
            <w:tcW w:w="5227" w:type="dxa"/>
            <w:tcBorders>
              <w:right w:val="single" w:sz="4" w:space="0" w:color="000000"/>
            </w:tcBorders>
            <w:shd w:val="clear" w:color="auto" w:fill="BEBEBE"/>
          </w:tcPr>
          <w:p>
            <w:pPr>
              <w:pStyle w:val="TableParagraph"/>
              <w:spacing w:before="7"/>
              <w:ind w:left="1488"/>
              <w:jc w:val="left"/>
              <w:rPr>
                <w:b/>
                <w:sz w:val="22"/>
              </w:rPr>
            </w:pPr>
            <w:r>
              <w:rPr>
                <w:b/>
                <w:sz w:val="22"/>
              </w:rPr>
              <w:t>Indicadores (síntese)</w:t>
            </w:r>
          </w:p>
        </w:tc>
        <w:tc>
          <w:tcPr>
            <w:tcW w:w="3379" w:type="dxa"/>
            <w:tcBorders>
              <w:left w:val="single" w:sz="4" w:space="0" w:color="000000"/>
              <w:right w:val="single" w:sz="17" w:space="0" w:color="000000"/>
            </w:tcBorders>
            <w:shd w:val="clear" w:color="auto" w:fill="BEBEBE"/>
          </w:tcPr>
          <w:p>
            <w:pPr>
              <w:pStyle w:val="TableParagraph"/>
              <w:spacing w:before="7"/>
              <w:ind w:left="14"/>
              <w:rPr>
                <w:b/>
                <w:sz w:val="22"/>
              </w:rPr>
            </w:pPr>
            <w:r>
              <w:rPr>
                <w:b/>
                <w:w w:val="100"/>
                <w:sz w:val="22"/>
              </w:rPr>
              <w:t>%</w:t>
            </w:r>
          </w:p>
        </w:tc>
      </w:tr>
      <w:tr>
        <w:trPr>
          <w:trHeight w:val="281" w:hRule="exact"/>
        </w:trPr>
        <w:tc>
          <w:tcPr>
            <w:tcW w:w="5227" w:type="dxa"/>
            <w:tcBorders>
              <w:bottom w:val="single" w:sz="4" w:space="0" w:color="000000"/>
              <w:right w:val="single" w:sz="4" w:space="0" w:color="000000"/>
            </w:tcBorders>
          </w:tcPr>
          <w:p>
            <w:pPr>
              <w:pStyle w:val="TableParagraph"/>
              <w:ind w:left="86"/>
              <w:jc w:val="left"/>
              <w:rPr>
                <w:sz w:val="22"/>
              </w:rPr>
            </w:pPr>
            <w:r>
              <w:rPr>
                <w:sz w:val="22"/>
              </w:rPr>
              <w:t>Autoconfiança e independência</w:t>
            </w:r>
          </w:p>
        </w:tc>
        <w:tc>
          <w:tcPr>
            <w:tcW w:w="3379" w:type="dxa"/>
            <w:tcBorders>
              <w:left w:val="single" w:sz="4" w:space="0" w:color="000000"/>
              <w:bottom w:val="single" w:sz="4" w:space="0" w:color="000000"/>
              <w:right w:val="single" w:sz="17" w:space="0" w:color="000000"/>
            </w:tcBorders>
          </w:tcPr>
          <w:p>
            <w:pPr>
              <w:pStyle w:val="TableParagraph"/>
              <w:ind w:left="1388" w:right="1372"/>
              <w:rPr>
                <w:sz w:val="22"/>
              </w:rPr>
            </w:pPr>
            <w:r>
              <w:rPr>
                <w:sz w:val="22"/>
              </w:rPr>
              <w:t>65,48</w:t>
            </w:r>
          </w:p>
        </w:tc>
      </w:tr>
      <w:tr>
        <w:trPr>
          <w:trHeight w:val="308" w:hRule="exact"/>
        </w:trPr>
        <w:tc>
          <w:tcPr>
            <w:tcW w:w="5227" w:type="dxa"/>
            <w:tcBorders>
              <w:top w:val="single" w:sz="4" w:space="0" w:color="000000"/>
              <w:bottom w:val="single" w:sz="4" w:space="0" w:color="000000"/>
              <w:right w:val="single" w:sz="4" w:space="0" w:color="000000"/>
            </w:tcBorders>
          </w:tcPr>
          <w:p>
            <w:pPr>
              <w:pStyle w:val="TableParagraph"/>
              <w:spacing w:before="19"/>
              <w:ind w:left="86"/>
              <w:jc w:val="left"/>
              <w:rPr>
                <w:sz w:val="22"/>
              </w:rPr>
            </w:pPr>
            <w:r>
              <w:rPr>
                <w:sz w:val="22"/>
              </w:rPr>
              <w:t>Persistência</w:t>
            </w:r>
          </w:p>
        </w:tc>
        <w:tc>
          <w:tcPr>
            <w:tcW w:w="3379" w:type="dxa"/>
            <w:tcBorders>
              <w:top w:val="single" w:sz="4" w:space="0" w:color="000000"/>
              <w:left w:val="single" w:sz="4" w:space="0" w:color="000000"/>
              <w:bottom w:val="single" w:sz="4" w:space="0" w:color="000000"/>
              <w:right w:val="single" w:sz="17" w:space="0" w:color="000000"/>
            </w:tcBorders>
          </w:tcPr>
          <w:p>
            <w:pPr>
              <w:pStyle w:val="TableParagraph"/>
              <w:spacing w:before="19"/>
              <w:ind w:left="1388" w:right="1372"/>
              <w:rPr>
                <w:sz w:val="22"/>
              </w:rPr>
            </w:pPr>
            <w:r>
              <w:rPr>
                <w:sz w:val="22"/>
              </w:rPr>
              <w:t>53,02</w:t>
            </w:r>
          </w:p>
        </w:tc>
      </w:tr>
      <w:tr>
        <w:trPr>
          <w:trHeight w:val="298" w:hRule="exact"/>
        </w:trPr>
        <w:tc>
          <w:tcPr>
            <w:tcW w:w="5227" w:type="dxa"/>
            <w:tcBorders>
              <w:top w:val="single" w:sz="4" w:space="0" w:color="000000"/>
              <w:bottom w:val="single" w:sz="4" w:space="0" w:color="000000"/>
              <w:right w:val="single" w:sz="4" w:space="0" w:color="000000"/>
            </w:tcBorders>
          </w:tcPr>
          <w:p>
            <w:pPr>
              <w:pStyle w:val="TableParagraph"/>
              <w:spacing w:before="14"/>
              <w:ind w:left="86"/>
              <w:jc w:val="left"/>
              <w:rPr>
                <w:sz w:val="22"/>
              </w:rPr>
            </w:pPr>
            <w:r>
              <w:rPr>
                <w:sz w:val="22"/>
              </w:rPr>
              <w:t>Correr riscos calculados</w:t>
            </w:r>
          </w:p>
        </w:tc>
        <w:tc>
          <w:tcPr>
            <w:tcW w:w="3379" w:type="dxa"/>
            <w:tcBorders>
              <w:top w:val="single" w:sz="4" w:space="0" w:color="000000"/>
              <w:left w:val="single" w:sz="4" w:space="0" w:color="000000"/>
              <w:bottom w:val="single" w:sz="4" w:space="0" w:color="000000"/>
              <w:right w:val="single" w:sz="17" w:space="0" w:color="000000"/>
            </w:tcBorders>
          </w:tcPr>
          <w:p>
            <w:pPr>
              <w:pStyle w:val="TableParagraph"/>
              <w:spacing w:before="14"/>
              <w:ind w:left="1388" w:right="1372"/>
              <w:rPr>
                <w:sz w:val="22"/>
              </w:rPr>
            </w:pPr>
            <w:r>
              <w:rPr>
                <w:sz w:val="22"/>
              </w:rPr>
              <w:t>50,48</w:t>
            </w:r>
          </w:p>
        </w:tc>
      </w:tr>
      <w:tr>
        <w:trPr>
          <w:trHeight w:val="298" w:hRule="exact"/>
        </w:trPr>
        <w:tc>
          <w:tcPr>
            <w:tcW w:w="5227" w:type="dxa"/>
            <w:tcBorders>
              <w:top w:val="single" w:sz="4" w:space="0" w:color="000000"/>
              <w:bottom w:val="single" w:sz="4" w:space="0" w:color="000000"/>
              <w:right w:val="single" w:sz="4" w:space="0" w:color="000000"/>
            </w:tcBorders>
          </w:tcPr>
          <w:p>
            <w:pPr>
              <w:pStyle w:val="TableParagraph"/>
              <w:spacing w:before="14"/>
              <w:ind w:left="86"/>
              <w:jc w:val="left"/>
              <w:rPr>
                <w:sz w:val="22"/>
              </w:rPr>
            </w:pPr>
            <w:r>
              <w:rPr>
                <w:sz w:val="22"/>
              </w:rPr>
              <w:t>Busca de informação</w:t>
            </w:r>
          </w:p>
        </w:tc>
        <w:tc>
          <w:tcPr>
            <w:tcW w:w="3379" w:type="dxa"/>
            <w:tcBorders>
              <w:top w:val="single" w:sz="4" w:space="0" w:color="000000"/>
              <w:left w:val="single" w:sz="4" w:space="0" w:color="000000"/>
              <w:bottom w:val="single" w:sz="4" w:space="0" w:color="000000"/>
              <w:right w:val="single" w:sz="17" w:space="0" w:color="000000"/>
            </w:tcBorders>
          </w:tcPr>
          <w:p>
            <w:pPr>
              <w:pStyle w:val="TableParagraph"/>
              <w:spacing w:before="14"/>
              <w:ind w:left="1388" w:right="1372"/>
              <w:rPr>
                <w:sz w:val="22"/>
              </w:rPr>
            </w:pPr>
            <w:r>
              <w:rPr>
                <w:sz w:val="22"/>
              </w:rPr>
              <w:t>61,91</w:t>
            </w:r>
          </w:p>
        </w:tc>
      </w:tr>
      <w:tr>
        <w:trPr>
          <w:trHeight w:val="298" w:hRule="exact"/>
        </w:trPr>
        <w:tc>
          <w:tcPr>
            <w:tcW w:w="5227" w:type="dxa"/>
            <w:tcBorders>
              <w:top w:val="single" w:sz="4" w:space="0" w:color="000000"/>
              <w:bottom w:val="single" w:sz="4" w:space="0" w:color="000000"/>
              <w:right w:val="single" w:sz="4" w:space="0" w:color="000000"/>
            </w:tcBorders>
          </w:tcPr>
          <w:p>
            <w:pPr>
              <w:pStyle w:val="TableParagraph"/>
              <w:spacing w:before="14"/>
              <w:ind w:left="86"/>
              <w:jc w:val="left"/>
              <w:rPr>
                <w:sz w:val="22"/>
              </w:rPr>
            </w:pPr>
            <w:r>
              <w:rPr>
                <w:sz w:val="22"/>
              </w:rPr>
              <w:t>Fixar metas</w:t>
            </w:r>
          </w:p>
        </w:tc>
        <w:tc>
          <w:tcPr>
            <w:tcW w:w="3379" w:type="dxa"/>
            <w:tcBorders>
              <w:top w:val="single" w:sz="4" w:space="0" w:color="000000"/>
              <w:left w:val="single" w:sz="4" w:space="0" w:color="000000"/>
              <w:bottom w:val="single" w:sz="4" w:space="0" w:color="000000"/>
              <w:right w:val="single" w:sz="17" w:space="0" w:color="000000"/>
            </w:tcBorders>
          </w:tcPr>
          <w:p>
            <w:pPr>
              <w:pStyle w:val="TableParagraph"/>
              <w:spacing w:before="14"/>
              <w:ind w:left="1388" w:right="1372"/>
              <w:rPr>
                <w:sz w:val="22"/>
              </w:rPr>
            </w:pPr>
            <w:r>
              <w:rPr>
                <w:sz w:val="22"/>
              </w:rPr>
              <w:t>38,57</w:t>
            </w:r>
          </w:p>
        </w:tc>
      </w:tr>
      <w:tr>
        <w:trPr>
          <w:trHeight w:val="314" w:hRule="exact"/>
        </w:trPr>
        <w:tc>
          <w:tcPr>
            <w:tcW w:w="5227" w:type="dxa"/>
            <w:tcBorders>
              <w:top w:val="single" w:sz="4" w:space="0" w:color="000000"/>
              <w:right w:val="single" w:sz="4" w:space="0" w:color="000000"/>
            </w:tcBorders>
          </w:tcPr>
          <w:p>
            <w:pPr>
              <w:pStyle w:val="TableParagraph"/>
              <w:spacing w:before="9"/>
              <w:ind w:left="86"/>
              <w:jc w:val="left"/>
              <w:rPr>
                <w:sz w:val="22"/>
              </w:rPr>
            </w:pPr>
            <w:r>
              <w:rPr>
                <w:sz w:val="22"/>
              </w:rPr>
              <w:t>Planificação sistemática e seguimento</w:t>
            </w:r>
          </w:p>
        </w:tc>
        <w:tc>
          <w:tcPr>
            <w:tcW w:w="3379" w:type="dxa"/>
            <w:tcBorders>
              <w:top w:val="single" w:sz="4" w:space="0" w:color="000000"/>
              <w:left w:val="single" w:sz="4" w:space="0" w:color="000000"/>
              <w:right w:val="single" w:sz="17" w:space="0" w:color="000000"/>
            </w:tcBorders>
          </w:tcPr>
          <w:p>
            <w:pPr>
              <w:pStyle w:val="TableParagraph"/>
              <w:spacing w:before="9"/>
              <w:ind w:left="1388" w:right="1372"/>
              <w:rPr>
                <w:sz w:val="22"/>
              </w:rPr>
            </w:pPr>
            <w:r>
              <w:rPr>
                <w:sz w:val="22"/>
              </w:rPr>
              <w:t>52,26</w:t>
            </w:r>
          </w:p>
        </w:tc>
      </w:tr>
    </w:tbl>
    <w:p>
      <w:pPr>
        <w:spacing w:before="43"/>
        <w:ind w:left="365" w:right="0" w:firstLine="0"/>
        <w:jc w:val="left"/>
        <w:rPr>
          <w:sz w:val="20"/>
        </w:rPr>
      </w:pPr>
      <w:r>
        <w:rPr>
          <w:sz w:val="20"/>
        </w:rPr>
        <w:t>Fonte: Dados da pesquisa – Mestrado – Pinho (2014)</w:t>
      </w:r>
    </w:p>
    <w:p>
      <w:pPr>
        <w:pStyle w:val="BodyText"/>
        <w:rPr>
          <w:sz w:val="22"/>
        </w:rPr>
      </w:pPr>
    </w:p>
    <w:p>
      <w:pPr>
        <w:pStyle w:val="BodyText"/>
        <w:rPr>
          <w:sz w:val="22"/>
        </w:rPr>
      </w:pPr>
    </w:p>
    <w:p>
      <w:pPr>
        <w:pStyle w:val="BodyText"/>
        <w:spacing w:before="11"/>
        <w:rPr>
          <w:sz w:val="27"/>
        </w:rPr>
      </w:pPr>
    </w:p>
    <w:p>
      <w:pPr>
        <w:pStyle w:val="BodyText"/>
        <w:spacing w:line="360" w:lineRule="auto"/>
        <w:ind w:left="308" w:right="103" w:firstLine="710"/>
        <w:jc w:val="both"/>
      </w:pPr>
      <w:r>
        <w:rPr/>
        <w:t>Conforme a tabela 07 observa-se que o agrupamento de valores correspondente aos indicadores do parâmetro espírito empreendedor. Os percentuais encontrados evidenciam criatividade em 02 dos 06 indicadores, que correspondem a 65,48% no indicador que trata de autoconfiança  e  independência, e 61,91% no indicador que se refere à busca de</w:t>
      </w:r>
      <w:r>
        <w:rPr>
          <w:spacing w:val="-39"/>
        </w:rPr>
        <w:t> </w:t>
      </w:r>
      <w:r>
        <w:rPr/>
        <w:t>informação.</w:t>
      </w:r>
    </w:p>
    <w:p>
      <w:pPr>
        <w:pStyle w:val="BodyText"/>
        <w:spacing w:line="360" w:lineRule="auto" w:before="2"/>
        <w:ind w:left="308" w:right="112" w:firstLine="710"/>
        <w:jc w:val="both"/>
      </w:pPr>
      <w:r>
        <w:rPr/>
        <w:t>Nesse agrupamento a maior evidência observada corresponde ao indicador autoconfiança e independência que trata das escolas com a capacidade de analisar as regras para seguir em frente e prever resultados em relação às diversas  ações  realizadas.   Assumem  a   responsabilidade   do   sucesso   e do</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fracasso e confiam em sua própria capacidade de lidar com os desafios. (TORRE, 2012).</w:t>
      </w:r>
    </w:p>
    <w:p>
      <w:pPr>
        <w:pStyle w:val="BodyText"/>
        <w:spacing w:line="360" w:lineRule="auto"/>
        <w:ind w:left="308" w:right="123" w:firstLine="705"/>
        <w:jc w:val="both"/>
      </w:pPr>
      <w:r>
        <w:rPr/>
        <w:t>Com essa compreensão, após concluir o diagnóstico, e considerando a perspectiva ecossistêmica adotada pela pesquisa, a segunda parte da análise corresponde à triangulação com cruzamento das informações obtidas no diagnóstico a partir do Vadecrie e demais levantamentos de dados mencionados no início deste capítulo, tomando como referência as evidências de criatividades delimitadas para o estudo, são eles: a entrevista semiestruturada com membros de cada </w:t>
      </w:r>
      <w:r>
        <w:rPr>
          <w:spacing w:val="-3"/>
        </w:rPr>
        <w:t>uma </w:t>
      </w:r>
      <w:r>
        <w:rPr/>
        <w:t>das categorias da comunidade escolar, as informações coletadas nos documentos institucionais como Projeto Político Pedagógico, os relatórios dos projetos realizados pela escola e anotações do caderno de bordo da  pesquisadora.</w:t>
      </w:r>
    </w:p>
    <w:p>
      <w:pPr>
        <w:pStyle w:val="BodyText"/>
        <w:rPr>
          <w:sz w:val="26"/>
        </w:rPr>
      </w:pPr>
    </w:p>
    <w:p>
      <w:pPr>
        <w:pStyle w:val="BodyText"/>
        <w:rPr>
          <w:sz w:val="26"/>
        </w:rPr>
      </w:pPr>
    </w:p>
    <w:p>
      <w:pPr>
        <w:pStyle w:val="BodyText"/>
        <w:spacing w:before="5"/>
        <w:rPr>
          <w:sz w:val="20"/>
        </w:rPr>
      </w:pPr>
    </w:p>
    <w:p>
      <w:pPr>
        <w:pStyle w:val="ListParagraph"/>
        <w:numPr>
          <w:ilvl w:val="1"/>
          <w:numId w:val="13"/>
        </w:numPr>
        <w:tabs>
          <w:tab w:pos="711" w:val="left" w:leader="none"/>
        </w:tabs>
        <w:spacing w:line="240" w:lineRule="auto" w:before="0" w:after="0"/>
        <w:ind w:left="710" w:right="0" w:hanging="402"/>
        <w:jc w:val="left"/>
        <w:rPr>
          <w:sz w:val="24"/>
        </w:rPr>
      </w:pPr>
      <w:r>
        <w:rPr>
          <w:sz w:val="24"/>
        </w:rPr>
        <w:t>O POTENCIAL CRIATIVO: TECENDO </w:t>
      </w:r>
      <w:r>
        <w:rPr>
          <w:spacing w:val="-3"/>
          <w:sz w:val="24"/>
        </w:rPr>
        <w:t>OS</w:t>
      </w:r>
      <w:r>
        <w:rPr>
          <w:spacing w:val="-11"/>
          <w:sz w:val="24"/>
        </w:rPr>
        <w:t> </w:t>
      </w:r>
      <w:r>
        <w:rPr>
          <w:sz w:val="24"/>
        </w:rPr>
        <w:t>FIOS</w:t>
      </w:r>
    </w:p>
    <w:p>
      <w:pPr>
        <w:pStyle w:val="BodyText"/>
        <w:rPr>
          <w:sz w:val="26"/>
        </w:rPr>
      </w:pPr>
    </w:p>
    <w:p>
      <w:pPr>
        <w:pStyle w:val="BodyText"/>
        <w:rPr>
          <w:sz w:val="26"/>
        </w:rPr>
      </w:pPr>
    </w:p>
    <w:p>
      <w:pPr>
        <w:pStyle w:val="BodyText"/>
        <w:spacing w:before="3"/>
        <w:rPr>
          <w:sz w:val="23"/>
        </w:rPr>
      </w:pPr>
    </w:p>
    <w:p>
      <w:pPr>
        <w:pStyle w:val="BodyText"/>
        <w:spacing w:line="360" w:lineRule="auto"/>
        <w:ind w:left="308" w:right="117" w:firstLine="710"/>
        <w:jc w:val="both"/>
      </w:pPr>
      <w:r>
        <w:rPr/>
        <w:t>Nessa parte do texto a interpretação dos dados está apresentada com  base na técnica da triangulação (TRIVIÑOS, 2006) e buscou entrecruzar, à luz do referencial teórico que norteia este estudo, os dados do diagnóstico obtidos pela aplicação do questionário Vadecrie, as entrevistas semiestruturadas, as anotações das visitas realizadas nas escolas e de documentos, a saber: o Projeto Político Pedagógico e os Relatórios de projetos e ações desenvolvidas. A finalidade de tais ações é justamente uma melhor compreensão dos dados coletados para responder as questões formuladas e ao </w:t>
      </w:r>
      <w:r>
        <w:rPr>
          <w:spacing w:val="-3"/>
        </w:rPr>
        <w:t>mesmo </w:t>
      </w:r>
      <w:r>
        <w:rPr/>
        <w:t>tempo, articular o conhecimento adquirido com as questões com o contexto cultural no qual os sujeitos da pesquisa estão inseridos (MINAYO,</w:t>
      </w:r>
      <w:r>
        <w:rPr>
          <w:spacing w:val="-21"/>
        </w:rPr>
        <w:t> </w:t>
      </w:r>
      <w:r>
        <w:rPr/>
        <w:t>2003).</w:t>
      </w:r>
    </w:p>
    <w:p>
      <w:pPr>
        <w:pStyle w:val="BodyText"/>
        <w:spacing w:line="360" w:lineRule="auto" w:before="2"/>
        <w:ind w:left="308" w:right="118" w:firstLine="710"/>
        <w:jc w:val="both"/>
      </w:pPr>
      <w:r>
        <w:rPr/>
        <w:t>As entrevistas ocorreram, em clima de muita tranquilidade, em sua maioria na escola, na sala da biblioteca. Das dez entrevistas realizadas somente duas alunas foram entrevistadas em suas próprias residências, em data e horário devidamente agendados com os responsáveis. Todos os participantes ou responsáveis assinaram termo de concordância que permitiam a gravação da entrevista e divulgação dos dados, assegurada a preservação da identidade da pessoa entrevistada.</w:t>
      </w:r>
    </w:p>
    <w:p>
      <w:pPr>
        <w:spacing w:after="0" w:line="360" w:lineRule="auto"/>
        <w:jc w:val="both"/>
        <w:sectPr>
          <w:pgSz w:w="11910" w:h="16840"/>
          <w:pgMar w:header="1133" w:footer="0" w:top="1340" w:bottom="280" w:left="1680" w:right="1000"/>
        </w:sectPr>
      </w:pPr>
    </w:p>
    <w:p>
      <w:pPr>
        <w:pStyle w:val="BodyText"/>
        <w:spacing w:before="3"/>
        <w:rPr>
          <w:sz w:val="21"/>
        </w:rPr>
      </w:pPr>
    </w:p>
    <w:p>
      <w:pPr>
        <w:pStyle w:val="BodyText"/>
        <w:spacing w:line="360" w:lineRule="auto" w:before="92"/>
        <w:ind w:left="308" w:right="403" w:firstLine="710"/>
        <w:jc w:val="both"/>
      </w:pPr>
      <w:r>
        <w:rPr/>
        <w:t>Por esse motivo, os nomes dos entrevistados foram substituídos por </w:t>
      </w:r>
      <w:r>
        <w:rPr>
          <w:spacing w:val="-3"/>
        </w:rPr>
        <w:t>uma </w:t>
      </w:r>
      <w:r>
        <w:rPr/>
        <w:t>identificação alfabética que corresponde à categoria a qual o entrevistado pertence na escola, e </w:t>
      </w:r>
      <w:r>
        <w:rPr>
          <w:spacing w:val="-3"/>
        </w:rPr>
        <w:t>uma </w:t>
      </w:r>
      <w:r>
        <w:rPr/>
        <w:t>identificação numérica que corresponde a sequência da realização da entrevista. Ficando da seguinte forma: Gestores = G1 e G2; Professores = P1 e P2; Servidores = S1 e S2; Pais ou responsáveis = M1 </w:t>
      </w:r>
      <w:r>
        <w:rPr>
          <w:spacing w:val="6"/>
        </w:rPr>
        <w:t>ou </w:t>
      </w:r>
      <w:r>
        <w:rPr/>
        <w:t>M2 e alunos = A1 e</w:t>
      </w:r>
      <w:r>
        <w:rPr>
          <w:spacing w:val="-4"/>
        </w:rPr>
        <w:t> </w:t>
      </w:r>
      <w:r>
        <w:rPr/>
        <w:t>A2.</w:t>
      </w:r>
    </w:p>
    <w:p>
      <w:pPr>
        <w:pStyle w:val="BodyText"/>
        <w:spacing w:line="360" w:lineRule="auto" w:before="2"/>
        <w:ind w:left="308" w:right="413" w:firstLine="705"/>
        <w:jc w:val="both"/>
      </w:pPr>
      <w:r>
        <w:rPr/>
        <w:t>A seguir, é apresentada a caracterização dos entrevistados. As informações foram organizadas visando revelar o perfil dos entrevistados  por meio dos seguintes dados: o gênero, a formação escolar, </w:t>
      </w:r>
      <w:r>
        <w:rPr>
          <w:spacing w:val="-3"/>
        </w:rPr>
        <w:t>tempo </w:t>
      </w:r>
      <w:r>
        <w:rPr/>
        <w:t>como membro da comunidade escolar e função que ocupa na</w:t>
      </w:r>
      <w:r>
        <w:rPr>
          <w:spacing w:val="-14"/>
        </w:rPr>
        <w:t> </w:t>
      </w:r>
      <w:r>
        <w:rPr/>
        <w:t>escola.</w:t>
      </w:r>
    </w:p>
    <w:p>
      <w:pPr>
        <w:pStyle w:val="BodyText"/>
        <w:rPr>
          <w:sz w:val="26"/>
        </w:rPr>
      </w:pPr>
    </w:p>
    <w:p>
      <w:pPr>
        <w:pStyle w:val="BodyText"/>
        <w:rPr>
          <w:sz w:val="26"/>
        </w:rPr>
      </w:pPr>
    </w:p>
    <w:p>
      <w:pPr>
        <w:spacing w:before="224" w:after="10"/>
        <w:ind w:left="2987" w:right="0" w:firstLine="0"/>
        <w:jc w:val="left"/>
        <w:rPr>
          <w:b/>
          <w:sz w:val="20"/>
        </w:rPr>
      </w:pPr>
      <w:r>
        <w:rPr>
          <w:b/>
          <w:sz w:val="20"/>
        </w:rPr>
        <w:t>Quadro 05 - Perfil dos entrevistados</w:t>
      </w:r>
    </w:p>
    <w:tbl>
      <w:tblPr>
        <w:tblW w:w="0" w:type="auto"/>
        <w:jc w:val="left"/>
        <w:tblInd w:w="3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0"/>
        <w:gridCol w:w="1133"/>
        <w:gridCol w:w="2838"/>
        <w:gridCol w:w="1700"/>
        <w:gridCol w:w="1844"/>
      </w:tblGrid>
      <w:tr>
        <w:trPr>
          <w:trHeight w:val="932" w:hRule="exact"/>
        </w:trPr>
        <w:tc>
          <w:tcPr>
            <w:tcW w:w="1560" w:type="dxa"/>
            <w:shd w:val="clear" w:color="auto" w:fill="D9D9D9"/>
          </w:tcPr>
          <w:p>
            <w:pPr>
              <w:pStyle w:val="TableParagraph"/>
              <w:spacing w:before="2"/>
              <w:jc w:val="left"/>
              <w:rPr>
                <w:b/>
                <w:sz w:val="29"/>
              </w:rPr>
            </w:pPr>
          </w:p>
          <w:p>
            <w:pPr>
              <w:pStyle w:val="TableParagraph"/>
              <w:ind w:left="141" w:right="146"/>
              <w:rPr>
                <w:b/>
                <w:sz w:val="20"/>
              </w:rPr>
            </w:pPr>
            <w:r>
              <w:rPr>
                <w:b/>
                <w:sz w:val="20"/>
              </w:rPr>
              <w:t>Identificação</w:t>
            </w:r>
          </w:p>
        </w:tc>
        <w:tc>
          <w:tcPr>
            <w:tcW w:w="1133" w:type="dxa"/>
            <w:shd w:val="clear" w:color="auto" w:fill="D9D9D9"/>
          </w:tcPr>
          <w:p>
            <w:pPr>
              <w:pStyle w:val="TableParagraph"/>
              <w:spacing w:before="2"/>
              <w:jc w:val="left"/>
              <w:rPr>
                <w:b/>
                <w:sz w:val="29"/>
              </w:rPr>
            </w:pPr>
          </w:p>
          <w:p>
            <w:pPr>
              <w:pStyle w:val="TableParagraph"/>
              <w:ind w:left="125" w:right="130"/>
              <w:rPr>
                <w:b/>
                <w:sz w:val="20"/>
              </w:rPr>
            </w:pPr>
            <w:r>
              <w:rPr>
                <w:b/>
                <w:sz w:val="20"/>
              </w:rPr>
              <w:t>Gênero</w:t>
            </w:r>
          </w:p>
        </w:tc>
        <w:tc>
          <w:tcPr>
            <w:tcW w:w="2838" w:type="dxa"/>
            <w:shd w:val="clear" w:color="auto" w:fill="D9D9D9"/>
          </w:tcPr>
          <w:p>
            <w:pPr>
              <w:pStyle w:val="TableParagraph"/>
              <w:spacing w:before="2"/>
              <w:jc w:val="left"/>
              <w:rPr>
                <w:b/>
                <w:sz w:val="29"/>
              </w:rPr>
            </w:pPr>
          </w:p>
          <w:p>
            <w:pPr>
              <w:pStyle w:val="TableParagraph"/>
              <w:ind w:left="526" w:right="528"/>
              <w:rPr>
                <w:b/>
                <w:sz w:val="20"/>
              </w:rPr>
            </w:pPr>
            <w:r>
              <w:rPr>
                <w:b/>
                <w:sz w:val="20"/>
              </w:rPr>
              <w:t>Formação Escolar</w:t>
            </w:r>
          </w:p>
        </w:tc>
        <w:tc>
          <w:tcPr>
            <w:tcW w:w="1700" w:type="dxa"/>
            <w:shd w:val="clear" w:color="auto" w:fill="D9D9D9"/>
          </w:tcPr>
          <w:p>
            <w:pPr>
              <w:pStyle w:val="TableParagraph"/>
              <w:ind w:left="215" w:right="226"/>
              <w:rPr>
                <w:b/>
                <w:sz w:val="20"/>
              </w:rPr>
            </w:pPr>
            <w:r>
              <w:rPr>
                <w:b/>
                <w:sz w:val="20"/>
              </w:rPr>
              <w:t>Tempo como membro da comunidade escolar</w:t>
            </w:r>
          </w:p>
        </w:tc>
        <w:tc>
          <w:tcPr>
            <w:tcW w:w="1844" w:type="dxa"/>
            <w:shd w:val="clear" w:color="auto" w:fill="D9D9D9"/>
          </w:tcPr>
          <w:p>
            <w:pPr>
              <w:pStyle w:val="TableParagraph"/>
              <w:spacing w:before="1"/>
              <w:jc w:val="left"/>
              <w:rPr>
                <w:b/>
                <w:sz w:val="19"/>
              </w:rPr>
            </w:pPr>
          </w:p>
          <w:p>
            <w:pPr>
              <w:pStyle w:val="TableParagraph"/>
              <w:spacing w:before="1"/>
              <w:ind w:left="619" w:right="342" w:hanging="269"/>
              <w:jc w:val="left"/>
              <w:rPr>
                <w:b/>
                <w:sz w:val="20"/>
              </w:rPr>
            </w:pPr>
            <w:r>
              <w:rPr>
                <w:b/>
                <w:sz w:val="20"/>
              </w:rPr>
              <w:t>Função que ocupa</w:t>
            </w:r>
          </w:p>
        </w:tc>
      </w:tr>
      <w:tr>
        <w:trPr>
          <w:trHeight w:val="701" w:hRule="exact"/>
        </w:trPr>
        <w:tc>
          <w:tcPr>
            <w:tcW w:w="1560" w:type="dxa"/>
          </w:tcPr>
          <w:p>
            <w:pPr>
              <w:pStyle w:val="TableParagraph"/>
              <w:spacing w:before="6"/>
              <w:jc w:val="left"/>
              <w:rPr>
                <w:b/>
                <w:sz w:val="19"/>
              </w:rPr>
            </w:pPr>
          </w:p>
          <w:p>
            <w:pPr>
              <w:pStyle w:val="TableParagraph"/>
              <w:ind w:left="141" w:right="142"/>
              <w:rPr>
                <w:sz w:val="20"/>
              </w:rPr>
            </w:pPr>
            <w:r>
              <w:rPr>
                <w:sz w:val="20"/>
              </w:rPr>
              <w:t>G1</w:t>
            </w:r>
          </w:p>
        </w:tc>
        <w:tc>
          <w:tcPr>
            <w:tcW w:w="1133" w:type="dxa"/>
          </w:tcPr>
          <w:p>
            <w:pPr>
              <w:pStyle w:val="TableParagraph"/>
              <w:spacing w:before="6"/>
              <w:jc w:val="left"/>
              <w:rPr>
                <w:b/>
                <w:sz w:val="19"/>
              </w:rPr>
            </w:pPr>
          </w:p>
          <w:p>
            <w:pPr>
              <w:pStyle w:val="TableParagraph"/>
              <w:ind w:left="130" w:right="130"/>
              <w:rPr>
                <w:sz w:val="20"/>
              </w:rPr>
            </w:pPr>
            <w:r>
              <w:rPr>
                <w:sz w:val="20"/>
              </w:rPr>
              <w:t>Feminino</w:t>
            </w:r>
          </w:p>
        </w:tc>
        <w:tc>
          <w:tcPr>
            <w:tcW w:w="2838" w:type="dxa"/>
          </w:tcPr>
          <w:p>
            <w:pPr>
              <w:pStyle w:val="TableParagraph"/>
              <w:ind w:left="100" w:right="96" w:firstLine="331"/>
              <w:jc w:val="left"/>
              <w:rPr>
                <w:sz w:val="20"/>
              </w:rPr>
            </w:pPr>
            <w:r>
              <w:rPr>
                <w:sz w:val="20"/>
              </w:rPr>
              <w:t>Graduada em História Pós- graduação em Gestão e</w:t>
            </w:r>
          </w:p>
          <w:p>
            <w:pPr>
              <w:pStyle w:val="TableParagraph"/>
              <w:spacing w:before="5"/>
              <w:ind w:left="350"/>
              <w:jc w:val="left"/>
              <w:rPr>
                <w:sz w:val="20"/>
              </w:rPr>
            </w:pPr>
            <w:r>
              <w:rPr>
                <w:sz w:val="20"/>
              </w:rPr>
              <w:t>Orientação Educacional</w:t>
            </w:r>
          </w:p>
        </w:tc>
        <w:tc>
          <w:tcPr>
            <w:tcW w:w="1700" w:type="dxa"/>
          </w:tcPr>
          <w:p>
            <w:pPr>
              <w:pStyle w:val="TableParagraph"/>
              <w:spacing w:before="6"/>
              <w:jc w:val="left"/>
              <w:rPr>
                <w:b/>
                <w:sz w:val="19"/>
              </w:rPr>
            </w:pPr>
          </w:p>
          <w:p>
            <w:pPr>
              <w:pStyle w:val="TableParagraph"/>
              <w:ind w:left="215" w:right="224"/>
              <w:rPr>
                <w:sz w:val="20"/>
              </w:rPr>
            </w:pPr>
            <w:r>
              <w:rPr>
                <w:sz w:val="20"/>
              </w:rPr>
              <w:t>14 anos</w:t>
            </w:r>
          </w:p>
        </w:tc>
        <w:tc>
          <w:tcPr>
            <w:tcW w:w="1844" w:type="dxa"/>
          </w:tcPr>
          <w:p>
            <w:pPr>
              <w:pStyle w:val="TableParagraph"/>
              <w:spacing w:before="6"/>
              <w:jc w:val="left"/>
              <w:rPr>
                <w:b/>
                <w:sz w:val="19"/>
              </w:rPr>
            </w:pPr>
          </w:p>
          <w:p>
            <w:pPr>
              <w:pStyle w:val="TableParagraph"/>
              <w:ind w:left="201" w:right="202"/>
              <w:rPr>
                <w:sz w:val="20"/>
              </w:rPr>
            </w:pPr>
            <w:r>
              <w:rPr>
                <w:sz w:val="20"/>
              </w:rPr>
              <w:t>Diretora</w:t>
            </w:r>
          </w:p>
        </w:tc>
      </w:tr>
      <w:tr>
        <w:trPr>
          <w:trHeight w:val="701" w:hRule="exact"/>
        </w:trPr>
        <w:tc>
          <w:tcPr>
            <w:tcW w:w="1560" w:type="dxa"/>
          </w:tcPr>
          <w:p>
            <w:pPr>
              <w:pStyle w:val="TableParagraph"/>
              <w:spacing w:before="6"/>
              <w:jc w:val="left"/>
              <w:rPr>
                <w:b/>
                <w:sz w:val="19"/>
              </w:rPr>
            </w:pPr>
          </w:p>
          <w:p>
            <w:pPr>
              <w:pStyle w:val="TableParagraph"/>
              <w:ind w:left="141" w:right="142"/>
              <w:rPr>
                <w:sz w:val="20"/>
              </w:rPr>
            </w:pPr>
            <w:r>
              <w:rPr>
                <w:sz w:val="20"/>
              </w:rPr>
              <w:t>G2</w:t>
            </w:r>
          </w:p>
        </w:tc>
        <w:tc>
          <w:tcPr>
            <w:tcW w:w="1133" w:type="dxa"/>
          </w:tcPr>
          <w:p>
            <w:pPr>
              <w:pStyle w:val="TableParagraph"/>
              <w:spacing w:before="6"/>
              <w:jc w:val="left"/>
              <w:rPr>
                <w:b/>
                <w:sz w:val="19"/>
              </w:rPr>
            </w:pPr>
          </w:p>
          <w:p>
            <w:pPr>
              <w:pStyle w:val="TableParagraph"/>
              <w:ind w:left="130" w:right="130"/>
              <w:rPr>
                <w:sz w:val="20"/>
              </w:rPr>
            </w:pPr>
            <w:r>
              <w:rPr>
                <w:sz w:val="20"/>
              </w:rPr>
              <w:t>Feminino</w:t>
            </w:r>
          </w:p>
        </w:tc>
        <w:tc>
          <w:tcPr>
            <w:tcW w:w="2838" w:type="dxa"/>
          </w:tcPr>
          <w:p>
            <w:pPr>
              <w:pStyle w:val="TableParagraph"/>
              <w:ind w:left="355" w:right="273" w:hanging="77"/>
              <w:jc w:val="left"/>
              <w:rPr>
                <w:sz w:val="20"/>
              </w:rPr>
            </w:pPr>
            <w:r>
              <w:rPr>
                <w:sz w:val="20"/>
              </w:rPr>
              <w:t>Graduação em Biologia e Educação artística Pós- graduação em Ciências</w:t>
            </w:r>
          </w:p>
        </w:tc>
        <w:tc>
          <w:tcPr>
            <w:tcW w:w="1700" w:type="dxa"/>
          </w:tcPr>
          <w:p>
            <w:pPr>
              <w:pStyle w:val="TableParagraph"/>
              <w:spacing w:before="6"/>
              <w:jc w:val="left"/>
              <w:rPr>
                <w:b/>
                <w:sz w:val="19"/>
              </w:rPr>
            </w:pPr>
          </w:p>
          <w:p>
            <w:pPr>
              <w:pStyle w:val="TableParagraph"/>
              <w:ind w:left="215" w:right="222"/>
              <w:rPr>
                <w:sz w:val="20"/>
              </w:rPr>
            </w:pPr>
            <w:r>
              <w:rPr>
                <w:sz w:val="20"/>
              </w:rPr>
              <w:t>03 anos</w:t>
            </w:r>
          </w:p>
        </w:tc>
        <w:tc>
          <w:tcPr>
            <w:tcW w:w="1844" w:type="dxa"/>
          </w:tcPr>
          <w:p>
            <w:pPr>
              <w:pStyle w:val="TableParagraph"/>
              <w:spacing w:before="110"/>
              <w:ind w:left="480" w:right="342" w:hanging="34"/>
              <w:jc w:val="left"/>
              <w:rPr>
                <w:sz w:val="20"/>
              </w:rPr>
            </w:pPr>
            <w:r>
              <w:rPr>
                <w:sz w:val="20"/>
              </w:rPr>
              <w:t>Coord. da Biblioteca</w:t>
            </w:r>
          </w:p>
        </w:tc>
      </w:tr>
      <w:tr>
        <w:trPr>
          <w:trHeight w:val="466" w:hRule="exact"/>
        </w:trPr>
        <w:tc>
          <w:tcPr>
            <w:tcW w:w="1560" w:type="dxa"/>
          </w:tcPr>
          <w:p>
            <w:pPr>
              <w:pStyle w:val="TableParagraph"/>
              <w:spacing w:before="110"/>
              <w:ind w:left="140" w:right="146"/>
              <w:rPr>
                <w:sz w:val="20"/>
              </w:rPr>
            </w:pPr>
            <w:r>
              <w:rPr>
                <w:sz w:val="20"/>
              </w:rPr>
              <w:t>P1</w:t>
            </w:r>
          </w:p>
        </w:tc>
        <w:tc>
          <w:tcPr>
            <w:tcW w:w="1133" w:type="dxa"/>
          </w:tcPr>
          <w:p>
            <w:pPr>
              <w:pStyle w:val="TableParagraph"/>
              <w:spacing w:before="110"/>
              <w:ind w:left="130" w:right="130"/>
              <w:rPr>
                <w:sz w:val="20"/>
              </w:rPr>
            </w:pPr>
            <w:r>
              <w:rPr>
                <w:sz w:val="20"/>
              </w:rPr>
              <w:t>Feminino</w:t>
            </w:r>
          </w:p>
        </w:tc>
        <w:tc>
          <w:tcPr>
            <w:tcW w:w="2838" w:type="dxa"/>
          </w:tcPr>
          <w:p>
            <w:pPr>
              <w:pStyle w:val="TableParagraph"/>
              <w:ind w:left="657" w:right="598" w:hanging="48"/>
              <w:jc w:val="left"/>
              <w:rPr>
                <w:sz w:val="20"/>
              </w:rPr>
            </w:pPr>
            <w:r>
              <w:rPr>
                <w:sz w:val="20"/>
              </w:rPr>
              <w:t>Graduação Letras Português/Inglês</w:t>
            </w:r>
          </w:p>
        </w:tc>
        <w:tc>
          <w:tcPr>
            <w:tcW w:w="1700" w:type="dxa"/>
          </w:tcPr>
          <w:p>
            <w:pPr>
              <w:pStyle w:val="TableParagraph"/>
              <w:ind w:left="547" w:right="250" w:hanging="284"/>
              <w:jc w:val="left"/>
              <w:rPr>
                <w:sz w:val="20"/>
              </w:rPr>
            </w:pPr>
            <w:r>
              <w:rPr>
                <w:sz w:val="20"/>
              </w:rPr>
              <w:t>03 anos e 06 meses</w:t>
            </w:r>
          </w:p>
        </w:tc>
        <w:tc>
          <w:tcPr>
            <w:tcW w:w="1844" w:type="dxa"/>
          </w:tcPr>
          <w:p>
            <w:pPr>
              <w:pStyle w:val="TableParagraph"/>
              <w:ind w:left="163" w:right="150" w:firstLine="129"/>
              <w:jc w:val="left"/>
              <w:rPr>
                <w:sz w:val="20"/>
              </w:rPr>
            </w:pPr>
            <w:r>
              <w:rPr>
                <w:sz w:val="20"/>
              </w:rPr>
              <w:t>Professora da educação infantil</w:t>
            </w:r>
          </w:p>
        </w:tc>
      </w:tr>
      <w:tr>
        <w:trPr>
          <w:trHeight w:val="470" w:hRule="exact"/>
        </w:trPr>
        <w:tc>
          <w:tcPr>
            <w:tcW w:w="1560" w:type="dxa"/>
          </w:tcPr>
          <w:p>
            <w:pPr>
              <w:pStyle w:val="TableParagraph"/>
              <w:spacing w:before="115"/>
              <w:ind w:left="140" w:right="146"/>
              <w:rPr>
                <w:sz w:val="20"/>
              </w:rPr>
            </w:pPr>
            <w:r>
              <w:rPr>
                <w:sz w:val="20"/>
              </w:rPr>
              <w:t>P2</w:t>
            </w:r>
          </w:p>
        </w:tc>
        <w:tc>
          <w:tcPr>
            <w:tcW w:w="1133" w:type="dxa"/>
          </w:tcPr>
          <w:p>
            <w:pPr>
              <w:pStyle w:val="TableParagraph"/>
              <w:spacing w:before="115"/>
              <w:ind w:left="130" w:right="130"/>
              <w:rPr>
                <w:sz w:val="20"/>
              </w:rPr>
            </w:pPr>
            <w:r>
              <w:rPr>
                <w:sz w:val="20"/>
              </w:rPr>
              <w:t>Feminino</w:t>
            </w:r>
          </w:p>
        </w:tc>
        <w:tc>
          <w:tcPr>
            <w:tcW w:w="2838" w:type="dxa"/>
          </w:tcPr>
          <w:p>
            <w:pPr>
              <w:pStyle w:val="TableParagraph"/>
              <w:spacing w:before="115"/>
              <w:ind w:left="526" w:right="527"/>
              <w:rPr>
                <w:sz w:val="20"/>
              </w:rPr>
            </w:pPr>
            <w:r>
              <w:rPr>
                <w:sz w:val="20"/>
              </w:rPr>
              <w:t>Geografia</w:t>
            </w:r>
          </w:p>
        </w:tc>
        <w:tc>
          <w:tcPr>
            <w:tcW w:w="1700" w:type="dxa"/>
          </w:tcPr>
          <w:p>
            <w:pPr>
              <w:pStyle w:val="TableParagraph"/>
              <w:spacing w:before="115"/>
              <w:ind w:left="215" w:right="222"/>
              <w:rPr>
                <w:sz w:val="20"/>
              </w:rPr>
            </w:pPr>
            <w:r>
              <w:rPr>
                <w:sz w:val="20"/>
              </w:rPr>
              <w:t>04 anos</w:t>
            </w:r>
          </w:p>
        </w:tc>
        <w:tc>
          <w:tcPr>
            <w:tcW w:w="1844" w:type="dxa"/>
          </w:tcPr>
          <w:p>
            <w:pPr>
              <w:pStyle w:val="TableParagraph"/>
              <w:spacing w:line="226" w:lineRule="exact" w:before="6"/>
              <w:ind w:left="744" w:right="105" w:hanging="572"/>
              <w:jc w:val="left"/>
              <w:rPr>
                <w:sz w:val="20"/>
              </w:rPr>
            </w:pPr>
            <w:r>
              <w:rPr>
                <w:sz w:val="20"/>
              </w:rPr>
              <w:t>Professora do 1º ano</w:t>
            </w:r>
          </w:p>
        </w:tc>
      </w:tr>
      <w:tr>
        <w:trPr>
          <w:trHeight w:val="470" w:hRule="exact"/>
        </w:trPr>
        <w:tc>
          <w:tcPr>
            <w:tcW w:w="1560" w:type="dxa"/>
          </w:tcPr>
          <w:p>
            <w:pPr>
              <w:pStyle w:val="TableParagraph"/>
              <w:spacing w:before="110"/>
              <w:ind w:left="140" w:right="146"/>
              <w:rPr>
                <w:sz w:val="20"/>
              </w:rPr>
            </w:pPr>
            <w:r>
              <w:rPr>
                <w:sz w:val="20"/>
              </w:rPr>
              <w:t>S1</w:t>
            </w:r>
          </w:p>
        </w:tc>
        <w:tc>
          <w:tcPr>
            <w:tcW w:w="1133" w:type="dxa"/>
          </w:tcPr>
          <w:p>
            <w:pPr>
              <w:pStyle w:val="TableParagraph"/>
              <w:spacing w:before="110"/>
              <w:ind w:left="130" w:right="130"/>
              <w:rPr>
                <w:sz w:val="20"/>
              </w:rPr>
            </w:pPr>
            <w:r>
              <w:rPr>
                <w:sz w:val="20"/>
              </w:rPr>
              <w:t>Feminino</w:t>
            </w:r>
          </w:p>
        </w:tc>
        <w:tc>
          <w:tcPr>
            <w:tcW w:w="2838" w:type="dxa"/>
          </w:tcPr>
          <w:p>
            <w:pPr>
              <w:pStyle w:val="TableParagraph"/>
              <w:ind w:left="518" w:right="202" w:hanging="313"/>
              <w:jc w:val="left"/>
              <w:rPr>
                <w:sz w:val="20"/>
              </w:rPr>
            </w:pPr>
            <w:r>
              <w:rPr>
                <w:sz w:val="20"/>
              </w:rPr>
              <w:t>Ensino Médio e técnico em alimentação escolar</w:t>
            </w:r>
          </w:p>
        </w:tc>
        <w:tc>
          <w:tcPr>
            <w:tcW w:w="1700" w:type="dxa"/>
          </w:tcPr>
          <w:p>
            <w:pPr>
              <w:pStyle w:val="TableParagraph"/>
              <w:ind w:left="547" w:right="250" w:hanging="284"/>
              <w:jc w:val="left"/>
              <w:rPr>
                <w:sz w:val="20"/>
              </w:rPr>
            </w:pPr>
            <w:r>
              <w:rPr>
                <w:sz w:val="20"/>
              </w:rPr>
              <w:t>06 anos e 06 meses</w:t>
            </w:r>
          </w:p>
        </w:tc>
        <w:tc>
          <w:tcPr>
            <w:tcW w:w="1844" w:type="dxa"/>
          </w:tcPr>
          <w:p>
            <w:pPr>
              <w:pStyle w:val="TableParagraph"/>
              <w:ind w:left="244" w:right="236" w:firstLine="202"/>
              <w:jc w:val="left"/>
              <w:rPr>
                <w:sz w:val="20"/>
              </w:rPr>
            </w:pPr>
            <w:r>
              <w:rPr>
                <w:sz w:val="20"/>
              </w:rPr>
              <w:t>Auxiliar de serviços gerais</w:t>
            </w:r>
          </w:p>
        </w:tc>
      </w:tr>
      <w:tr>
        <w:trPr>
          <w:trHeight w:val="701" w:hRule="exact"/>
        </w:trPr>
        <w:tc>
          <w:tcPr>
            <w:tcW w:w="1560" w:type="dxa"/>
          </w:tcPr>
          <w:p>
            <w:pPr>
              <w:pStyle w:val="TableParagraph"/>
              <w:spacing w:before="7"/>
              <w:jc w:val="left"/>
              <w:rPr>
                <w:b/>
                <w:sz w:val="19"/>
              </w:rPr>
            </w:pPr>
          </w:p>
          <w:p>
            <w:pPr>
              <w:pStyle w:val="TableParagraph"/>
              <w:ind w:left="140" w:right="146"/>
              <w:rPr>
                <w:sz w:val="20"/>
              </w:rPr>
            </w:pPr>
            <w:r>
              <w:rPr>
                <w:sz w:val="20"/>
              </w:rPr>
              <w:t>S2</w:t>
            </w:r>
          </w:p>
        </w:tc>
        <w:tc>
          <w:tcPr>
            <w:tcW w:w="1133" w:type="dxa"/>
          </w:tcPr>
          <w:p>
            <w:pPr>
              <w:pStyle w:val="TableParagraph"/>
              <w:spacing w:before="7"/>
              <w:jc w:val="left"/>
              <w:rPr>
                <w:b/>
                <w:sz w:val="19"/>
              </w:rPr>
            </w:pPr>
          </w:p>
          <w:p>
            <w:pPr>
              <w:pStyle w:val="TableParagraph"/>
              <w:ind w:left="130" w:right="130"/>
              <w:rPr>
                <w:sz w:val="20"/>
              </w:rPr>
            </w:pPr>
            <w:r>
              <w:rPr>
                <w:sz w:val="20"/>
              </w:rPr>
              <w:t>Feminino</w:t>
            </w:r>
          </w:p>
        </w:tc>
        <w:tc>
          <w:tcPr>
            <w:tcW w:w="2838" w:type="dxa"/>
          </w:tcPr>
          <w:p>
            <w:pPr>
              <w:pStyle w:val="TableParagraph"/>
              <w:ind w:left="403" w:right="412" w:firstLine="43"/>
              <w:jc w:val="both"/>
              <w:rPr>
                <w:sz w:val="20"/>
              </w:rPr>
            </w:pPr>
            <w:r>
              <w:rPr>
                <w:sz w:val="20"/>
              </w:rPr>
              <w:t>Graduada em Normal Superior e Técnica em alimentação escolar.</w:t>
            </w:r>
          </w:p>
        </w:tc>
        <w:tc>
          <w:tcPr>
            <w:tcW w:w="1700" w:type="dxa"/>
          </w:tcPr>
          <w:p>
            <w:pPr>
              <w:pStyle w:val="TableParagraph"/>
              <w:spacing w:before="7"/>
              <w:jc w:val="left"/>
              <w:rPr>
                <w:b/>
                <w:sz w:val="19"/>
              </w:rPr>
            </w:pPr>
          </w:p>
          <w:p>
            <w:pPr>
              <w:pStyle w:val="TableParagraph"/>
              <w:ind w:left="215" w:right="222"/>
              <w:rPr>
                <w:sz w:val="20"/>
              </w:rPr>
            </w:pPr>
            <w:r>
              <w:rPr>
                <w:sz w:val="20"/>
              </w:rPr>
              <w:t>02 anos</w:t>
            </w:r>
          </w:p>
        </w:tc>
        <w:tc>
          <w:tcPr>
            <w:tcW w:w="1844" w:type="dxa"/>
          </w:tcPr>
          <w:p>
            <w:pPr>
              <w:pStyle w:val="TableParagraph"/>
              <w:spacing w:before="7"/>
              <w:jc w:val="left"/>
              <w:rPr>
                <w:b/>
                <w:sz w:val="19"/>
              </w:rPr>
            </w:pPr>
          </w:p>
          <w:p>
            <w:pPr>
              <w:pStyle w:val="TableParagraph"/>
              <w:ind w:left="201" w:right="202"/>
              <w:rPr>
                <w:sz w:val="20"/>
              </w:rPr>
            </w:pPr>
            <w:r>
              <w:rPr>
                <w:sz w:val="20"/>
              </w:rPr>
              <w:t>Secretária</w:t>
            </w:r>
          </w:p>
        </w:tc>
      </w:tr>
      <w:tr>
        <w:trPr>
          <w:trHeight w:val="470" w:hRule="exact"/>
        </w:trPr>
        <w:tc>
          <w:tcPr>
            <w:tcW w:w="1560" w:type="dxa"/>
          </w:tcPr>
          <w:p>
            <w:pPr>
              <w:pStyle w:val="TableParagraph"/>
              <w:spacing w:before="110"/>
              <w:ind w:left="141" w:right="142"/>
              <w:rPr>
                <w:sz w:val="20"/>
              </w:rPr>
            </w:pPr>
            <w:r>
              <w:rPr>
                <w:sz w:val="20"/>
              </w:rPr>
              <w:t>M1</w:t>
            </w:r>
          </w:p>
        </w:tc>
        <w:tc>
          <w:tcPr>
            <w:tcW w:w="1133" w:type="dxa"/>
          </w:tcPr>
          <w:p>
            <w:pPr>
              <w:pStyle w:val="TableParagraph"/>
              <w:spacing w:before="110"/>
              <w:ind w:left="130" w:right="130"/>
              <w:rPr>
                <w:sz w:val="20"/>
              </w:rPr>
            </w:pPr>
            <w:r>
              <w:rPr>
                <w:sz w:val="20"/>
              </w:rPr>
              <w:t>Feminino</w:t>
            </w:r>
          </w:p>
        </w:tc>
        <w:tc>
          <w:tcPr>
            <w:tcW w:w="2838" w:type="dxa"/>
          </w:tcPr>
          <w:p>
            <w:pPr>
              <w:pStyle w:val="TableParagraph"/>
              <w:ind w:left="1003" w:right="517" w:hanging="480"/>
              <w:jc w:val="left"/>
              <w:rPr>
                <w:sz w:val="20"/>
              </w:rPr>
            </w:pPr>
            <w:r>
              <w:rPr>
                <w:sz w:val="20"/>
              </w:rPr>
              <w:t>Ensino fundamental completo</w:t>
            </w:r>
          </w:p>
        </w:tc>
        <w:tc>
          <w:tcPr>
            <w:tcW w:w="1700" w:type="dxa"/>
          </w:tcPr>
          <w:p>
            <w:pPr>
              <w:pStyle w:val="TableParagraph"/>
              <w:spacing w:before="110"/>
              <w:ind w:left="215" w:right="222"/>
              <w:rPr>
                <w:sz w:val="20"/>
              </w:rPr>
            </w:pPr>
            <w:r>
              <w:rPr>
                <w:sz w:val="20"/>
              </w:rPr>
              <w:t>02 anos</w:t>
            </w:r>
          </w:p>
        </w:tc>
        <w:tc>
          <w:tcPr>
            <w:tcW w:w="1844" w:type="dxa"/>
          </w:tcPr>
          <w:p>
            <w:pPr>
              <w:pStyle w:val="TableParagraph"/>
              <w:ind w:left="485" w:right="105" w:hanging="366"/>
              <w:jc w:val="left"/>
              <w:rPr>
                <w:sz w:val="20"/>
              </w:rPr>
            </w:pPr>
            <w:r>
              <w:rPr>
                <w:sz w:val="20"/>
              </w:rPr>
              <w:t>Mãe de 02 alunos da escola</w:t>
            </w:r>
          </w:p>
        </w:tc>
      </w:tr>
      <w:tr>
        <w:trPr>
          <w:trHeight w:val="470" w:hRule="exact"/>
        </w:trPr>
        <w:tc>
          <w:tcPr>
            <w:tcW w:w="1560" w:type="dxa"/>
          </w:tcPr>
          <w:p>
            <w:pPr>
              <w:pStyle w:val="TableParagraph"/>
              <w:spacing w:before="110"/>
              <w:ind w:left="141" w:right="142"/>
              <w:rPr>
                <w:sz w:val="20"/>
              </w:rPr>
            </w:pPr>
            <w:r>
              <w:rPr>
                <w:sz w:val="20"/>
              </w:rPr>
              <w:t>M2</w:t>
            </w:r>
          </w:p>
        </w:tc>
        <w:tc>
          <w:tcPr>
            <w:tcW w:w="1133" w:type="dxa"/>
          </w:tcPr>
          <w:p>
            <w:pPr>
              <w:pStyle w:val="TableParagraph"/>
              <w:spacing w:before="110"/>
              <w:ind w:left="130" w:right="130"/>
              <w:rPr>
                <w:sz w:val="20"/>
              </w:rPr>
            </w:pPr>
            <w:r>
              <w:rPr>
                <w:sz w:val="20"/>
              </w:rPr>
              <w:t>Feminino</w:t>
            </w:r>
          </w:p>
        </w:tc>
        <w:tc>
          <w:tcPr>
            <w:tcW w:w="2838" w:type="dxa"/>
          </w:tcPr>
          <w:p>
            <w:pPr>
              <w:pStyle w:val="TableParagraph"/>
              <w:ind w:left="509" w:right="154" w:hanging="346"/>
              <w:jc w:val="left"/>
              <w:rPr>
                <w:sz w:val="20"/>
              </w:rPr>
            </w:pPr>
            <w:r>
              <w:rPr>
                <w:sz w:val="20"/>
              </w:rPr>
              <w:t>Estudante de Tecnologia na UFT campus Gurupi</w:t>
            </w:r>
          </w:p>
        </w:tc>
        <w:tc>
          <w:tcPr>
            <w:tcW w:w="1700" w:type="dxa"/>
          </w:tcPr>
          <w:p>
            <w:pPr>
              <w:pStyle w:val="TableParagraph"/>
              <w:spacing w:before="110"/>
              <w:ind w:left="215" w:right="222"/>
              <w:rPr>
                <w:sz w:val="20"/>
              </w:rPr>
            </w:pPr>
            <w:r>
              <w:rPr>
                <w:sz w:val="20"/>
              </w:rPr>
              <w:t>02 anos</w:t>
            </w:r>
          </w:p>
        </w:tc>
        <w:tc>
          <w:tcPr>
            <w:tcW w:w="1844" w:type="dxa"/>
          </w:tcPr>
          <w:p>
            <w:pPr>
              <w:pStyle w:val="TableParagraph"/>
              <w:ind w:left="485" w:right="105" w:hanging="366"/>
              <w:jc w:val="left"/>
              <w:rPr>
                <w:sz w:val="20"/>
              </w:rPr>
            </w:pPr>
            <w:r>
              <w:rPr>
                <w:sz w:val="20"/>
              </w:rPr>
              <w:t>Mãe de 02 alunos da escola</w:t>
            </w:r>
          </w:p>
        </w:tc>
      </w:tr>
      <w:tr>
        <w:trPr>
          <w:trHeight w:val="932" w:hRule="exact"/>
        </w:trPr>
        <w:tc>
          <w:tcPr>
            <w:tcW w:w="1560" w:type="dxa"/>
          </w:tcPr>
          <w:p>
            <w:pPr>
              <w:pStyle w:val="TableParagraph"/>
              <w:spacing w:before="7"/>
              <w:jc w:val="left"/>
              <w:rPr>
                <w:b/>
                <w:sz w:val="29"/>
              </w:rPr>
            </w:pPr>
          </w:p>
          <w:p>
            <w:pPr>
              <w:pStyle w:val="TableParagraph"/>
              <w:ind w:left="140" w:right="146"/>
              <w:rPr>
                <w:sz w:val="20"/>
              </w:rPr>
            </w:pPr>
            <w:r>
              <w:rPr>
                <w:sz w:val="20"/>
              </w:rPr>
              <w:t>A1</w:t>
            </w:r>
          </w:p>
        </w:tc>
        <w:tc>
          <w:tcPr>
            <w:tcW w:w="1133" w:type="dxa"/>
          </w:tcPr>
          <w:p>
            <w:pPr>
              <w:pStyle w:val="TableParagraph"/>
              <w:spacing w:before="7"/>
              <w:jc w:val="left"/>
              <w:rPr>
                <w:b/>
                <w:sz w:val="29"/>
              </w:rPr>
            </w:pPr>
          </w:p>
          <w:p>
            <w:pPr>
              <w:pStyle w:val="TableParagraph"/>
              <w:ind w:left="130" w:right="130"/>
              <w:rPr>
                <w:sz w:val="20"/>
              </w:rPr>
            </w:pPr>
            <w:r>
              <w:rPr>
                <w:sz w:val="20"/>
              </w:rPr>
              <w:t>Feminino</w:t>
            </w:r>
          </w:p>
        </w:tc>
        <w:tc>
          <w:tcPr>
            <w:tcW w:w="2838" w:type="dxa"/>
          </w:tcPr>
          <w:p>
            <w:pPr>
              <w:pStyle w:val="TableParagraph"/>
              <w:spacing w:before="7"/>
              <w:jc w:val="left"/>
              <w:rPr>
                <w:b/>
                <w:sz w:val="29"/>
              </w:rPr>
            </w:pPr>
          </w:p>
          <w:p>
            <w:pPr>
              <w:pStyle w:val="TableParagraph"/>
              <w:ind w:left="522" w:right="528"/>
              <w:rPr>
                <w:sz w:val="20"/>
              </w:rPr>
            </w:pPr>
            <w:r>
              <w:rPr>
                <w:sz w:val="20"/>
              </w:rPr>
              <w:t>Estudante</w:t>
            </w:r>
          </w:p>
        </w:tc>
        <w:tc>
          <w:tcPr>
            <w:tcW w:w="1700" w:type="dxa"/>
          </w:tcPr>
          <w:p>
            <w:pPr>
              <w:pStyle w:val="TableParagraph"/>
              <w:spacing w:before="7"/>
              <w:jc w:val="left"/>
              <w:rPr>
                <w:b/>
                <w:sz w:val="29"/>
              </w:rPr>
            </w:pPr>
          </w:p>
          <w:p>
            <w:pPr>
              <w:pStyle w:val="TableParagraph"/>
              <w:ind w:left="215" w:right="222"/>
              <w:rPr>
                <w:sz w:val="20"/>
              </w:rPr>
            </w:pPr>
            <w:r>
              <w:rPr>
                <w:sz w:val="20"/>
              </w:rPr>
              <w:t>03 anos</w:t>
            </w:r>
          </w:p>
        </w:tc>
        <w:tc>
          <w:tcPr>
            <w:tcW w:w="1844" w:type="dxa"/>
          </w:tcPr>
          <w:p>
            <w:pPr>
              <w:pStyle w:val="TableParagraph"/>
              <w:ind w:left="123" w:right="125"/>
              <w:rPr>
                <w:sz w:val="20"/>
              </w:rPr>
            </w:pPr>
            <w:r>
              <w:rPr>
                <w:sz w:val="20"/>
              </w:rPr>
              <w:t>Aluna do 3º ano e dirigente do governo estudantil</w:t>
            </w:r>
          </w:p>
        </w:tc>
      </w:tr>
      <w:tr>
        <w:trPr>
          <w:trHeight w:val="926" w:hRule="exact"/>
        </w:trPr>
        <w:tc>
          <w:tcPr>
            <w:tcW w:w="1560" w:type="dxa"/>
          </w:tcPr>
          <w:p>
            <w:pPr>
              <w:pStyle w:val="TableParagraph"/>
              <w:spacing w:before="6"/>
              <w:jc w:val="left"/>
              <w:rPr>
                <w:b/>
                <w:sz w:val="29"/>
              </w:rPr>
            </w:pPr>
          </w:p>
          <w:p>
            <w:pPr>
              <w:pStyle w:val="TableParagraph"/>
              <w:spacing w:before="1"/>
              <w:ind w:left="140" w:right="146"/>
              <w:rPr>
                <w:sz w:val="20"/>
              </w:rPr>
            </w:pPr>
            <w:r>
              <w:rPr>
                <w:sz w:val="20"/>
              </w:rPr>
              <w:t>A2</w:t>
            </w:r>
          </w:p>
        </w:tc>
        <w:tc>
          <w:tcPr>
            <w:tcW w:w="1133" w:type="dxa"/>
          </w:tcPr>
          <w:p>
            <w:pPr>
              <w:pStyle w:val="TableParagraph"/>
              <w:spacing w:before="6"/>
              <w:jc w:val="left"/>
              <w:rPr>
                <w:b/>
                <w:sz w:val="29"/>
              </w:rPr>
            </w:pPr>
          </w:p>
          <w:p>
            <w:pPr>
              <w:pStyle w:val="TableParagraph"/>
              <w:spacing w:before="1"/>
              <w:ind w:left="130" w:right="130"/>
              <w:rPr>
                <w:sz w:val="20"/>
              </w:rPr>
            </w:pPr>
            <w:r>
              <w:rPr>
                <w:sz w:val="20"/>
              </w:rPr>
              <w:t>Feminino</w:t>
            </w:r>
          </w:p>
        </w:tc>
        <w:tc>
          <w:tcPr>
            <w:tcW w:w="2838" w:type="dxa"/>
          </w:tcPr>
          <w:p>
            <w:pPr>
              <w:pStyle w:val="TableParagraph"/>
              <w:spacing w:before="6"/>
              <w:jc w:val="left"/>
              <w:rPr>
                <w:b/>
                <w:sz w:val="29"/>
              </w:rPr>
            </w:pPr>
          </w:p>
          <w:p>
            <w:pPr>
              <w:pStyle w:val="TableParagraph"/>
              <w:spacing w:before="1"/>
              <w:ind w:left="522" w:right="528"/>
              <w:rPr>
                <w:sz w:val="20"/>
              </w:rPr>
            </w:pPr>
            <w:r>
              <w:rPr>
                <w:sz w:val="20"/>
              </w:rPr>
              <w:t>Estudante</w:t>
            </w:r>
          </w:p>
        </w:tc>
        <w:tc>
          <w:tcPr>
            <w:tcW w:w="1700" w:type="dxa"/>
          </w:tcPr>
          <w:p>
            <w:pPr>
              <w:pStyle w:val="TableParagraph"/>
              <w:spacing w:before="6"/>
              <w:jc w:val="left"/>
              <w:rPr>
                <w:b/>
                <w:sz w:val="29"/>
              </w:rPr>
            </w:pPr>
          </w:p>
          <w:p>
            <w:pPr>
              <w:pStyle w:val="TableParagraph"/>
              <w:spacing w:before="1"/>
              <w:ind w:left="215" w:right="222"/>
              <w:rPr>
                <w:sz w:val="20"/>
              </w:rPr>
            </w:pPr>
            <w:r>
              <w:rPr>
                <w:sz w:val="20"/>
              </w:rPr>
              <w:t>02 anos</w:t>
            </w:r>
          </w:p>
        </w:tc>
        <w:tc>
          <w:tcPr>
            <w:tcW w:w="1844" w:type="dxa"/>
          </w:tcPr>
          <w:p>
            <w:pPr>
              <w:pStyle w:val="TableParagraph"/>
              <w:spacing w:line="237" w:lineRule="auto"/>
              <w:ind w:left="201" w:right="207"/>
              <w:rPr>
                <w:sz w:val="20"/>
              </w:rPr>
            </w:pPr>
            <w:r>
              <w:rPr>
                <w:sz w:val="20"/>
              </w:rPr>
              <w:t>Aluna do 4º ano e dirigente do governo estudantil</w:t>
            </w:r>
          </w:p>
        </w:tc>
      </w:tr>
    </w:tbl>
    <w:p>
      <w:pPr>
        <w:spacing w:before="0"/>
        <w:ind w:left="308" w:right="0" w:firstLine="0"/>
        <w:jc w:val="left"/>
        <w:rPr>
          <w:sz w:val="20"/>
        </w:rPr>
      </w:pPr>
      <w:r>
        <w:rPr>
          <w:sz w:val="20"/>
        </w:rPr>
        <w:t>Fonte: Dados da pesquisa – Mestrado – Pinho (2014).</w:t>
      </w:r>
    </w:p>
    <w:p>
      <w:pPr>
        <w:spacing w:after="0"/>
        <w:jc w:val="left"/>
        <w:rPr>
          <w:sz w:val="20"/>
        </w:rPr>
        <w:sectPr>
          <w:pgSz w:w="11910" w:h="16840"/>
          <w:pgMar w:header="1133" w:footer="0" w:top="1340" w:bottom="280" w:left="1680" w:right="720"/>
        </w:sectPr>
      </w:pPr>
    </w:p>
    <w:p>
      <w:pPr>
        <w:pStyle w:val="BodyText"/>
        <w:spacing w:before="3"/>
        <w:rPr>
          <w:sz w:val="21"/>
        </w:rPr>
      </w:pPr>
    </w:p>
    <w:p>
      <w:pPr>
        <w:pStyle w:val="BodyText"/>
        <w:spacing w:line="360" w:lineRule="auto" w:before="92"/>
        <w:ind w:left="308" w:right="106" w:firstLine="710"/>
        <w:jc w:val="both"/>
      </w:pPr>
      <w:r>
        <w:rPr/>
        <w:t>Conforme quadro 05 foram entrevistadas dez pessoas da comunidade escolar, sendo duas de cada categoria representativa, escolhidas com base nos critérios estabelecidos já mencionados anteriormente. Quanto ao perfil das pessoas entrevistadas observa-se que todas são todas do gênero feminino, e que possuem nível de escolaridade diversificado de acordo com a categoria a que representam.</w:t>
      </w:r>
    </w:p>
    <w:p>
      <w:pPr>
        <w:pStyle w:val="BodyText"/>
        <w:spacing w:line="360" w:lineRule="auto" w:before="2"/>
        <w:ind w:left="308" w:right="101" w:firstLine="710"/>
        <w:jc w:val="both"/>
      </w:pPr>
      <w:r>
        <w:rPr/>
        <w:t>Das entrevistadas que pertencem ao quadro de servidores da escola observa-se que a formação informada é compatível com as funções que exercem, embora seja importante mencionar que as duas professoras entrevistadas, formadas em letras e geografia respectivamente, não possuem a formação inicial recomendada para o exercício da docência a que se dedicam, uma vez que a exigência de formação para educação infantil e anos iniciais é a graduação em pedagogia, conforme diretriz curricular do curso de pedagogia,</w:t>
      </w:r>
      <w:r>
        <w:rPr>
          <w:position w:val="10"/>
          <w:sz w:val="14"/>
        </w:rPr>
        <w:t>25 </w:t>
      </w:r>
      <w:r>
        <w:rPr/>
        <w:t>ou graduação em Normal Superior, conforme LDB 9394/96. Ambas se tornaram docentes das respectivas turmas recentemente em razão das mudanças do público atendido pela escola, que passou a trabalhar só com anos iniciais e educação infantil, fato mencionado anteriormente nesse texto.</w:t>
      </w:r>
    </w:p>
    <w:p>
      <w:pPr>
        <w:pStyle w:val="BodyText"/>
        <w:spacing w:line="360" w:lineRule="auto" w:before="7"/>
        <w:ind w:left="308" w:right="105" w:firstLine="710"/>
        <w:jc w:val="both"/>
      </w:pPr>
      <w:r>
        <w:rPr/>
        <w:t>Entre as mães observou-se que </w:t>
      </w:r>
      <w:r>
        <w:rPr>
          <w:spacing w:val="-3"/>
        </w:rPr>
        <w:t>uma </w:t>
      </w:r>
      <w:r>
        <w:rPr/>
        <w:t>delas é aluna de curso superior e a outra possui o ensino fundamental. As alunas cursam 3º e 4º anos respectivamente, e ocupam os cargos de presidente e vice –presidente do governo estudantil da</w:t>
      </w:r>
      <w:r>
        <w:rPr>
          <w:spacing w:val="-11"/>
        </w:rPr>
        <w:t> </w:t>
      </w:r>
      <w:r>
        <w:rPr/>
        <w:t>escola.</w:t>
      </w:r>
    </w:p>
    <w:p>
      <w:pPr>
        <w:pStyle w:val="BodyText"/>
        <w:spacing w:line="360" w:lineRule="auto" w:before="3"/>
        <w:ind w:left="308" w:right="106" w:firstLine="710"/>
        <w:jc w:val="both"/>
      </w:pPr>
      <w:r>
        <w:rPr/>
        <w:t>Em relação ao tempo de relacionamento das entrevistadas como membro da comunidade escolar notou-se que o tempo mínimo é de dois e o máximo quatorze anos. O perfil das entrevistadas mostra-se compatível com os critérios estabelecidos na pesquisa o que as tornou aptas a falar sobre a escola para esse estudo.</w:t>
      </w:r>
    </w:p>
    <w:p>
      <w:pPr>
        <w:pStyle w:val="BodyText"/>
        <w:spacing w:line="360" w:lineRule="auto" w:before="7"/>
        <w:ind w:left="308" w:right="103" w:firstLine="710"/>
        <w:jc w:val="both"/>
      </w:pPr>
      <w:r>
        <w:rPr/>
        <w:t>Segue abaixo análise e interpretações das percepções dos comportamentos e das ações dos sujeitos. Assim como dos documentos internos como o Projeto Político Pedagógico e Relatórios dos Projetos (Consciência  Negra, Meio Ambiente e Olimpíadas de Português), acessados durante as visitas e as observações livres do cotidiano da escola (TRIVIÑOS, 1987), e com os quais se</w:t>
      </w:r>
      <w:r>
        <w:rPr>
          <w:spacing w:val="51"/>
        </w:rPr>
        <w:t> </w:t>
      </w:r>
      <w:r>
        <w:rPr/>
        <w:t>realizou</w:t>
      </w:r>
      <w:r>
        <w:rPr>
          <w:spacing w:val="51"/>
        </w:rPr>
        <w:t> </w:t>
      </w:r>
      <w:r>
        <w:rPr/>
        <w:t>as</w:t>
      </w:r>
      <w:r>
        <w:rPr>
          <w:spacing w:val="50"/>
        </w:rPr>
        <w:t> </w:t>
      </w:r>
      <w:r>
        <w:rPr/>
        <w:t>análises</w:t>
      </w:r>
      <w:r>
        <w:rPr>
          <w:spacing w:val="50"/>
        </w:rPr>
        <w:t> </w:t>
      </w:r>
      <w:r>
        <w:rPr/>
        <w:t>dos</w:t>
      </w:r>
      <w:r>
        <w:rPr>
          <w:spacing w:val="50"/>
        </w:rPr>
        <w:t> </w:t>
      </w:r>
      <w:r>
        <w:rPr/>
        <w:t>conteúdos,</w:t>
      </w:r>
      <w:r>
        <w:rPr>
          <w:spacing w:val="50"/>
        </w:rPr>
        <w:t> </w:t>
      </w:r>
      <w:r>
        <w:rPr/>
        <w:t>que</w:t>
      </w:r>
      <w:r>
        <w:rPr>
          <w:spacing w:val="51"/>
        </w:rPr>
        <w:t> </w:t>
      </w:r>
      <w:r>
        <w:rPr/>
        <w:t>nesse</w:t>
      </w:r>
      <w:r>
        <w:rPr>
          <w:spacing w:val="51"/>
        </w:rPr>
        <w:t> </w:t>
      </w:r>
      <w:r>
        <w:rPr/>
        <w:t>sentido,</w:t>
      </w:r>
      <w:r>
        <w:rPr>
          <w:spacing w:val="50"/>
        </w:rPr>
        <w:t> </w:t>
      </w:r>
      <w:r>
        <w:rPr/>
        <w:t>funcionaram</w:t>
      </w:r>
      <w:r>
        <w:rPr>
          <w:spacing w:val="42"/>
        </w:rPr>
        <w:t> </w:t>
      </w:r>
      <w:r>
        <w:rPr/>
        <w:t>como</w:t>
      </w:r>
    </w:p>
    <w:p>
      <w:pPr>
        <w:pStyle w:val="BodyText"/>
        <w:spacing w:before="6"/>
        <w:rPr>
          <w:sz w:val="12"/>
        </w:rPr>
      </w:pPr>
      <w:r>
        <w:rPr/>
        <w:pict>
          <v:line style="position:absolute;mso-position-horizontal-relative:page;mso-position-vertical-relative:paragraph;z-index:1792;mso-wrap-distance-left:0;mso-wrap-distance-right:0" from="99.407997pt,9.555794pt" to="243.457997pt,9.555794pt" stroked="true" strokeweight=".72003pt" strokecolor="#000000">
            <v:stroke dashstyle="solid"/>
            <w10:wrap type="topAndBottom"/>
          </v:line>
        </w:pict>
      </w:r>
    </w:p>
    <w:p>
      <w:pPr>
        <w:spacing w:before="32"/>
        <w:ind w:left="308" w:right="0" w:firstLine="0"/>
        <w:jc w:val="left"/>
        <w:rPr>
          <w:sz w:val="20"/>
        </w:rPr>
      </w:pPr>
      <w:r>
        <w:rPr>
          <w:b/>
          <w:position w:val="10"/>
          <w:sz w:val="13"/>
        </w:rPr>
        <w:t>25  </w:t>
      </w:r>
      <w:hyperlink r:id="rId24">
        <w:r>
          <w:rPr>
            <w:sz w:val="20"/>
          </w:rPr>
          <w:t>Resolução CNE/CP nº 1, de 15 de maio de 2006</w:t>
        </w:r>
      </w:hyperlink>
      <w:r>
        <w:rPr>
          <w:sz w:val="20"/>
        </w:rPr>
        <w:t>.</w:t>
      </w:r>
    </w:p>
    <w:p>
      <w:pPr>
        <w:spacing w:after="0"/>
        <w:jc w:val="left"/>
        <w:rPr>
          <w:sz w:val="20"/>
        </w:rPr>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meios de absorver as percepções dos entrevistados acerca dos objetivos desta pesquisa.</w:t>
      </w:r>
    </w:p>
    <w:p>
      <w:pPr>
        <w:pStyle w:val="BodyText"/>
        <w:spacing w:line="352" w:lineRule="auto"/>
        <w:ind w:left="308" w:right="124" w:firstLine="710"/>
        <w:jc w:val="both"/>
      </w:pPr>
      <w:r>
        <w:rPr/>
        <w:t>Convém lembrar que os dados utilizados como referências para as entrevistas foram obtidos por meio da análise do questionário Vadecrie. Assim, possibilitaram identificar a Escola Municipal Orlindo Pereira da Mota como uma escola criativa, cujas evidências de criatividade são mais acentuadas nos parâmetros  referentes  à  liderança  estimulante  e  ao  espírito   empreendedor</w:t>
      </w:r>
      <w:r>
        <w:rPr>
          <w:position w:val="11"/>
          <w:sz w:val="16"/>
        </w:rPr>
        <w:t>26</w:t>
      </w:r>
      <w:r>
        <w:rPr/>
        <w:t>,</w:t>
      </w:r>
    </w:p>
    <w:p>
      <w:pPr>
        <w:pStyle w:val="BodyText"/>
        <w:spacing w:line="269" w:lineRule="exact"/>
        <w:ind w:left="308"/>
      </w:pPr>
      <w:r>
        <w:rPr/>
        <w:t>pertencentes à categoria que trata do potencial e dos recursos humanos.</w:t>
      </w:r>
    </w:p>
    <w:p>
      <w:pPr>
        <w:pStyle w:val="BodyText"/>
        <w:spacing w:line="360" w:lineRule="auto" w:before="137"/>
        <w:ind w:left="308" w:right="127" w:firstLine="710"/>
        <w:jc w:val="both"/>
      </w:pPr>
      <w:r>
        <w:rPr/>
        <w:t>Cada um dos parâmetros avaliados possui um conjunto de seis  indicadores. Assim sendo, no parâmetro liderança estimulante a escola foi avaliada pelos indicadores: metas compartilhadas, crescimento interno, recursos humanos competentes e criativos, formação e inovação permanentes, trabalho cooperativo e autoanálise e avaliação. Quanto ao parâmetro espírito empreendedor a escola foi avaliada pelos indicadores: autoconfiança e independência, persistência, correr riscos calculados, busca de informação, fixar metas e planificação sistemática e seguimentos. Enfim, nesse conjunto de doze indicadores, o diagnóstico mostrou que a escola apresenta acentuada criatividade nos indicadores de crescimento interno, autoconfiança e</w:t>
      </w:r>
      <w:r>
        <w:rPr>
          <w:spacing w:val="-32"/>
        </w:rPr>
        <w:t> </w:t>
      </w:r>
      <w:r>
        <w:rPr/>
        <w:t>independência.</w:t>
      </w:r>
    </w:p>
    <w:p>
      <w:pPr>
        <w:pStyle w:val="BodyText"/>
        <w:rPr>
          <w:sz w:val="26"/>
        </w:rPr>
      </w:pPr>
    </w:p>
    <w:p>
      <w:pPr>
        <w:pStyle w:val="BodyText"/>
        <w:rPr>
          <w:sz w:val="26"/>
        </w:rPr>
      </w:pPr>
    </w:p>
    <w:p>
      <w:pPr>
        <w:pStyle w:val="Heading3"/>
        <w:numPr>
          <w:ilvl w:val="2"/>
          <w:numId w:val="13"/>
        </w:numPr>
        <w:tabs>
          <w:tab w:pos="908" w:val="left" w:leader="none"/>
        </w:tabs>
        <w:spacing w:line="240" w:lineRule="auto" w:before="226" w:after="0"/>
        <w:ind w:left="907" w:right="0" w:hanging="599"/>
        <w:jc w:val="left"/>
      </w:pPr>
      <w:bookmarkStart w:name="_TOC_250002" w:id="15"/>
      <w:r>
        <w:rPr/>
        <w:t>Trama I: A liderança estimulante na percepção dos</w:t>
      </w:r>
      <w:r>
        <w:rPr>
          <w:spacing w:val="-41"/>
        </w:rPr>
        <w:t> </w:t>
      </w:r>
      <w:bookmarkEnd w:id="15"/>
      <w:r>
        <w:rPr/>
        <w:t>interlocutores</w:t>
      </w:r>
    </w:p>
    <w:p>
      <w:pPr>
        <w:pStyle w:val="BodyText"/>
        <w:rPr>
          <w:b/>
          <w:sz w:val="26"/>
        </w:rPr>
      </w:pPr>
    </w:p>
    <w:p>
      <w:pPr>
        <w:pStyle w:val="BodyText"/>
        <w:rPr>
          <w:b/>
          <w:sz w:val="26"/>
        </w:rPr>
      </w:pPr>
    </w:p>
    <w:p>
      <w:pPr>
        <w:pStyle w:val="BodyText"/>
        <w:spacing w:before="6"/>
        <w:rPr>
          <w:b/>
          <w:sz w:val="32"/>
        </w:rPr>
      </w:pPr>
    </w:p>
    <w:p>
      <w:pPr>
        <w:pStyle w:val="BodyText"/>
        <w:spacing w:line="360" w:lineRule="auto"/>
        <w:ind w:left="308" w:right="118" w:firstLine="710"/>
        <w:jc w:val="both"/>
      </w:pPr>
      <w:r>
        <w:rPr/>
        <w:t>Para investigar o potencial criativo da liderança da Escola Municipal Orlindo Pereira  da  Mota  a  entrevista  verificou  a  atuação  gestão  (equipe  gestora), as</w:t>
      </w:r>
    </w:p>
    <w:p>
      <w:pPr>
        <w:pStyle w:val="BodyText"/>
        <w:rPr>
          <w:sz w:val="20"/>
        </w:rPr>
      </w:pPr>
    </w:p>
    <w:p>
      <w:pPr>
        <w:pStyle w:val="BodyText"/>
        <w:spacing w:before="8"/>
      </w:pPr>
      <w:r>
        <w:rPr/>
        <w:pict>
          <v:line style="position:absolute;mso-position-horizontal-relative:page;mso-position-vertical-relative:paragraph;z-index:1816;mso-wrap-distance-left:0;mso-wrap-distance-right:0" from="99.407997pt,16.53903pt" to="243.457997pt,16.53903pt" stroked="true" strokeweight=".72003pt" strokecolor="#000000">
            <v:stroke dashstyle="solid"/>
            <w10:wrap type="topAndBottom"/>
          </v:line>
        </w:pict>
      </w:r>
    </w:p>
    <w:p>
      <w:pPr>
        <w:spacing w:line="240" w:lineRule="auto" w:before="47"/>
        <w:ind w:left="533" w:right="115" w:hanging="226"/>
        <w:jc w:val="both"/>
        <w:rPr>
          <w:sz w:val="20"/>
        </w:rPr>
      </w:pPr>
      <w:r>
        <w:rPr>
          <w:rFonts w:ascii="Times New Roman" w:hAnsi="Times New Roman"/>
          <w:position w:val="9"/>
          <w:sz w:val="13"/>
        </w:rPr>
        <w:t>26 </w:t>
      </w:r>
      <w:r>
        <w:rPr>
          <w:sz w:val="20"/>
        </w:rPr>
        <w:t>Para Suanno (2013, p.198), o espirito empreendedor está relacionado a capacidade de  introduzir a inovação articulando “teoria, prática e valores para construir uma ação transformadora”. Ou seja, diz da capacidade dos indivíduos em manifestar uma postura diferenciada diante das circunstâncias, buscando superação dos problemas por meio de estratégias criativas que valorizam o desenvolvimento humano. No contexto escolar, como mencionado nesse trabalho, empreender está relacionado com a capacidade de </w:t>
      </w:r>
      <w:r>
        <w:rPr>
          <w:spacing w:val="-3"/>
          <w:sz w:val="20"/>
        </w:rPr>
        <w:t>pensar </w:t>
      </w:r>
      <w:r>
        <w:rPr>
          <w:sz w:val="20"/>
        </w:rPr>
        <w:t>outras possibilidades para as situações existentes. Reflete uma iniciativa consciente diante de </w:t>
      </w:r>
      <w:r>
        <w:rPr>
          <w:spacing w:val="-4"/>
          <w:sz w:val="20"/>
        </w:rPr>
        <w:t>um </w:t>
      </w:r>
      <w:r>
        <w:rPr>
          <w:sz w:val="20"/>
        </w:rPr>
        <w:t>contexto, situação ou necessidade de mudança. Ou no dizer de (SUANNO, TORRE E  SUANNO, 2014, p.23), pessoas com inciativa </w:t>
      </w:r>
      <w:r>
        <w:rPr>
          <w:spacing w:val="-3"/>
          <w:sz w:val="20"/>
        </w:rPr>
        <w:t>são </w:t>
      </w:r>
      <w:r>
        <w:rPr>
          <w:sz w:val="20"/>
        </w:rPr>
        <w:t>aquelas “capazes de criar ideias, propostas, projetos e que sejam reconhecidas pelo grupo e dedicadas a pensar a inovação”. É nesse sentido, que o termo empreender é utilizado nesse trabalho, relacionado a iniciativa </w:t>
      </w:r>
      <w:r>
        <w:rPr>
          <w:spacing w:val="-3"/>
          <w:sz w:val="20"/>
        </w:rPr>
        <w:t>pessoal </w:t>
      </w:r>
      <w:r>
        <w:rPr>
          <w:sz w:val="20"/>
        </w:rPr>
        <w:t>ou institucional que aborde os problemas e as situações educativas cotidianas </w:t>
      </w:r>
      <w:r>
        <w:rPr>
          <w:spacing w:val="-3"/>
          <w:sz w:val="20"/>
        </w:rPr>
        <w:t>sob </w:t>
      </w:r>
      <w:r>
        <w:rPr>
          <w:sz w:val="20"/>
        </w:rPr>
        <w:t>nova perspectiva, de modo que recrie e colabore na construção coletiva de novas</w:t>
      </w:r>
      <w:r>
        <w:rPr>
          <w:spacing w:val="-27"/>
          <w:sz w:val="20"/>
        </w:rPr>
        <w:t> </w:t>
      </w:r>
      <w:r>
        <w:rPr>
          <w:sz w:val="20"/>
        </w:rPr>
        <w:t>realidades.</w:t>
      </w:r>
    </w:p>
    <w:p>
      <w:pPr>
        <w:spacing w:after="0" w:line="240" w:lineRule="auto"/>
        <w:jc w:val="both"/>
        <w:rPr>
          <w:sz w:val="20"/>
        </w:rPr>
        <w:sectPr>
          <w:pgSz w:w="11910" w:h="16840"/>
          <w:pgMar w:header="1133" w:footer="0" w:top="1340" w:bottom="280" w:left="1680" w:right="1000"/>
        </w:sectPr>
      </w:pPr>
    </w:p>
    <w:p>
      <w:pPr>
        <w:pStyle w:val="BodyText"/>
        <w:spacing w:before="3"/>
        <w:rPr>
          <w:sz w:val="21"/>
        </w:rPr>
      </w:pPr>
    </w:p>
    <w:p>
      <w:pPr>
        <w:pStyle w:val="BodyText"/>
        <w:spacing w:line="362" w:lineRule="auto" w:before="92"/>
        <w:ind w:left="308"/>
      </w:pPr>
      <w:r>
        <w:rPr/>
        <w:t>relações e interações estabelecidas, o compromisso da equipe com as ações coletivas.</w:t>
      </w:r>
    </w:p>
    <w:p>
      <w:pPr>
        <w:pStyle w:val="BodyText"/>
        <w:rPr>
          <w:sz w:val="26"/>
        </w:rPr>
      </w:pPr>
    </w:p>
    <w:p>
      <w:pPr>
        <w:pStyle w:val="BodyText"/>
        <w:rPr>
          <w:sz w:val="26"/>
        </w:rPr>
      </w:pPr>
    </w:p>
    <w:p>
      <w:pPr>
        <w:pStyle w:val="ListParagraph"/>
        <w:numPr>
          <w:ilvl w:val="3"/>
          <w:numId w:val="13"/>
        </w:numPr>
        <w:tabs>
          <w:tab w:pos="1114" w:val="left" w:leader="none"/>
        </w:tabs>
        <w:spacing w:line="240" w:lineRule="auto" w:before="228" w:after="0"/>
        <w:ind w:left="1113" w:right="0" w:hanging="805"/>
        <w:jc w:val="left"/>
        <w:rPr>
          <w:sz w:val="24"/>
        </w:rPr>
      </w:pPr>
      <w:r>
        <w:rPr>
          <w:sz w:val="24"/>
        </w:rPr>
        <w:t>A atuação da</w:t>
      </w:r>
      <w:r>
        <w:rPr>
          <w:spacing w:val="-13"/>
          <w:sz w:val="24"/>
        </w:rPr>
        <w:t> </w:t>
      </w:r>
      <w:r>
        <w:rPr>
          <w:sz w:val="24"/>
        </w:rPr>
        <w:t>gestão</w:t>
      </w:r>
    </w:p>
    <w:p>
      <w:pPr>
        <w:pStyle w:val="BodyText"/>
        <w:rPr>
          <w:sz w:val="26"/>
        </w:rPr>
      </w:pPr>
    </w:p>
    <w:p>
      <w:pPr>
        <w:pStyle w:val="BodyText"/>
        <w:rPr>
          <w:sz w:val="26"/>
        </w:rPr>
      </w:pPr>
    </w:p>
    <w:p>
      <w:pPr>
        <w:pStyle w:val="BodyText"/>
        <w:spacing w:before="1"/>
        <w:rPr>
          <w:sz w:val="32"/>
        </w:rPr>
      </w:pPr>
    </w:p>
    <w:p>
      <w:pPr>
        <w:pStyle w:val="BodyText"/>
        <w:spacing w:line="360" w:lineRule="auto" w:before="1"/>
        <w:ind w:left="308" w:right="104" w:firstLine="705"/>
        <w:jc w:val="both"/>
      </w:pPr>
      <w:r>
        <w:rPr/>
        <w:t>As escolas criativas são concebidas como sistemas abertos, interativos e de autodesenvolvimento. Assim, afirma-se que as escolas criativas caracterizam- se pela complexidade das estruturas e na pluralidade de interesses. Para Torre (2009, p.59), “a imagem de uma organização criativa é todo contrário de </w:t>
      </w:r>
      <w:r>
        <w:rPr>
          <w:spacing w:val="-3"/>
        </w:rPr>
        <w:t>uma </w:t>
      </w:r>
      <w:r>
        <w:rPr/>
        <w:t>agrupação regida pela ordem estabelecida ou submetimento das diretrizes emanadas de cima”, são portanto, caracterizadas por atuações e relações heterogêneas e por </w:t>
      </w:r>
      <w:r>
        <w:rPr>
          <w:spacing w:val="-3"/>
        </w:rPr>
        <w:t>uma </w:t>
      </w:r>
      <w:r>
        <w:rPr/>
        <w:t>densa rede de ideias. As escolas criativas são instituições que valorizam a pluralidade de seus integrantes porque os reconhece como seres complexos, assim como a complexidade das relações, dos contextos, das situações e dos</w:t>
      </w:r>
      <w:r>
        <w:rPr>
          <w:spacing w:val="-12"/>
        </w:rPr>
        <w:t> </w:t>
      </w:r>
      <w:r>
        <w:rPr/>
        <w:t>ambientes.</w:t>
      </w:r>
    </w:p>
    <w:p>
      <w:pPr>
        <w:pStyle w:val="BodyText"/>
        <w:spacing w:line="360" w:lineRule="auto" w:before="7"/>
        <w:ind w:left="308" w:right="99" w:firstLine="705"/>
        <w:jc w:val="both"/>
      </w:pPr>
      <w:r>
        <w:rPr/>
        <w:t>Nessa perspectiva a sua liderança tem papel fundamental de impulsionar e estimular a criatividade a partir da promoção da colaboração e da utilização do potencial coletivo do grupo ou da equipe do qual é líder. Para Torre (2009, p. 61), o líder transformador é aquele que “estimula, promove, reconhece e valoriza as contribuições” porque em lugar do seu protagonismo individual, preocupa-se com a cultura colaborativa e compartilha a responsabilidade de pensar e gerir a instituição.</w:t>
      </w:r>
    </w:p>
    <w:p>
      <w:pPr>
        <w:spacing w:line="360" w:lineRule="auto" w:before="2"/>
        <w:ind w:left="308" w:right="105" w:firstLine="705"/>
        <w:jc w:val="both"/>
        <w:rPr>
          <w:b/>
          <w:sz w:val="24"/>
        </w:rPr>
      </w:pPr>
      <w:r>
        <w:rPr>
          <w:sz w:val="24"/>
        </w:rPr>
        <w:t>Na escola criativa Orlindo Pereira da Mota as respostas obtidas nas falas dos interlocutores evidenciam que o estímulo à criatividade na atuação da gestão está relacionado: </w:t>
      </w:r>
      <w:r>
        <w:rPr>
          <w:b/>
          <w:sz w:val="24"/>
        </w:rPr>
        <w:t>a) a abertura ao diálogo; b) ao trabalho integrado c) a participação.</w:t>
      </w:r>
    </w:p>
    <w:p>
      <w:pPr>
        <w:pStyle w:val="BodyText"/>
        <w:spacing w:line="360" w:lineRule="auto" w:before="7"/>
        <w:ind w:left="308" w:right="113" w:firstLine="705"/>
        <w:jc w:val="both"/>
      </w:pPr>
      <w:r>
        <w:rPr/>
        <w:t>Moraes (2004) diz que no novo enfoque paradigmático o conhecimento é construído a partir de interações, diálogos e enriquecimentos mútuos. Analisando as respostas sobre a categoria abertura ao diálogo foi identificado que para quatro dos interlocutores a expressão está relacionada à disponibilidade da equipe gestora  em ouvir  e  valorizar  a  opinião  dos  membros  da  comunidade escolar,</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conforme a fala de uma das professoras, referindo-se a atitude da coordenadora pedagógica,</w:t>
      </w:r>
    </w:p>
    <w:p>
      <w:pPr>
        <w:pStyle w:val="BodyText"/>
        <w:rPr>
          <w:sz w:val="26"/>
        </w:rPr>
      </w:pPr>
    </w:p>
    <w:p>
      <w:pPr>
        <w:pStyle w:val="BodyText"/>
        <w:rPr>
          <w:sz w:val="26"/>
        </w:rPr>
      </w:pPr>
    </w:p>
    <w:p>
      <w:pPr>
        <w:spacing w:before="227"/>
        <w:ind w:left="2574" w:right="104" w:firstLine="0"/>
        <w:jc w:val="both"/>
        <w:rPr>
          <w:sz w:val="20"/>
        </w:rPr>
      </w:pPr>
      <w:r>
        <w:rPr>
          <w:sz w:val="20"/>
        </w:rPr>
        <w:t>Ela dá espaço pra gente dar opinião. Ela coloca a opinião dela e fala: “vocês aceitam ou </w:t>
      </w:r>
      <w:r>
        <w:rPr>
          <w:spacing w:val="-3"/>
          <w:sz w:val="20"/>
        </w:rPr>
        <w:t>querem </w:t>
      </w:r>
      <w:r>
        <w:rPr>
          <w:sz w:val="20"/>
        </w:rPr>
        <w:t>de outra maneira? Vocês podem manifestar opinião, dizer do jeito que </w:t>
      </w:r>
      <w:r>
        <w:rPr>
          <w:spacing w:val="-3"/>
          <w:sz w:val="20"/>
        </w:rPr>
        <w:t>acham </w:t>
      </w:r>
      <w:r>
        <w:rPr>
          <w:sz w:val="20"/>
        </w:rPr>
        <w:t>melhor, ai vamos discutir e ver o que é melhor”. Então eu acho interessante porque ambas as partes dizem o que pensam e a gente chega a </w:t>
      </w:r>
      <w:r>
        <w:rPr>
          <w:spacing w:val="-4"/>
          <w:sz w:val="20"/>
        </w:rPr>
        <w:t>um </w:t>
      </w:r>
      <w:r>
        <w:rPr>
          <w:sz w:val="20"/>
        </w:rPr>
        <w:t>consenso. (P2,</w:t>
      </w:r>
      <w:r>
        <w:rPr>
          <w:spacing w:val="12"/>
          <w:sz w:val="20"/>
        </w:rPr>
        <w:t> </w:t>
      </w:r>
      <w:r>
        <w:rPr>
          <w:spacing w:val="-3"/>
          <w:sz w:val="20"/>
        </w:rPr>
        <w:t>2014);</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08" w:firstLine="705"/>
        <w:jc w:val="both"/>
      </w:pPr>
      <w:r>
        <w:rPr/>
        <w:t>Nota-se assim, pela fala da professora, que o diálogo é, de fato,  </w:t>
      </w:r>
      <w:r>
        <w:rPr>
          <w:spacing w:val="2"/>
        </w:rPr>
        <w:t>um </w:t>
      </w:r>
      <w:r>
        <w:rPr/>
        <w:t>recurso de compartilhamento das diferentes concepções para que haja uma tomada de decisão coletiva. Para Freire (1967), o ato de decidir coletivamente resulta em mudanças nos sujeitos, nos currículos, nas avaliações e na direção dos recursos financeiros porque, segundo o autor, é na possibilidade de dialogar que há mudança interna e também</w:t>
      </w:r>
      <w:r>
        <w:rPr>
          <w:spacing w:val="-22"/>
        </w:rPr>
        <w:t> </w:t>
      </w:r>
      <w:r>
        <w:rPr/>
        <w:t>externa.</w:t>
      </w:r>
    </w:p>
    <w:p>
      <w:pPr>
        <w:pStyle w:val="BodyText"/>
        <w:spacing w:line="360" w:lineRule="auto" w:before="2"/>
        <w:ind w:left="308" w:right="102" w:firstLine="705"/>
        <w:jc w:val="both"/>
      </w:pPr>
      <w:r>
        <w:rPr/>
        <w:t>A segunda categoria identificada, o trabalho integrado é mencionado nas entrevistas como </w:t>
      </w:r>
      <w:r>
        <w:rPr>
          <w:spacing w:val="2"/>
        </w:rPr>
        <w:t>um </w:t>
      </w:r>
      <w:r>
        <w:rPr/>
        <w:t>pano de fundo para evidenciar a comunicação e o fluxo de informações na escola, e também na fala da diretora ao afirmar que não trabalha sozinha e toda vez que “[...] recebe alguma coisa, repasso para os funcionários [...] há essa comunicação e a gente se dá </w:t>
      </w:r>
      <w:r>
        <w:rPr>
          <w:spacing w:val="-3"/>
        </w:rPr>
        <w:t>bem </w:t>
      </w:r>
      <w:r>
        <w:rPr/>
        <w:t>com todos” (G1), ou da professora quando diz, “tudo é muito bem informado, divulgado” (P1). Ou ainda, para referir- se ao trabalho coletivo e à união demonstrada pela equipe e mencionada pela servidora que destacada o empenho da diretora e da coordenadora pedagógica em envolver e manter os funcionários bem informados a respeito das questões da escola</w:t>
      </w:r>
      <w:r>
        <w:rPr>
          <w:spacing w:val="-1"/>
        </w:rPr>
        <w:t> </w:t>
      </w:r>
      <w:r>
        <w:rPr/>
        <w:t>(S1).</w:t>
      </w:r>
    </w:p>
    <w:p>
      <w:pPr>
        <w:pStyle w:val="BodyText"/>
        <w:spacing w:line="360" w:lineRule="auto" w:before="2"/>
        <w:ind w:left="308" w:right="111" w:firstLine="705"/>
        <w:jc w:val="both"/>
      </w:pPr>
      <w:r>
        <w:rPr/>
        <w:t>Destaca-se que a comunicação também é mencionada como estratégia da gestão para envolver os pais na rotina da escola como afirma uma das gestoras: “buscamos manter constante comunicação com alunos e com os pais, para que saibam e se envolvam no que acontece na escola” (G2).</w:t>
      </w:r>
    </w:p>
    <w:p>
      <w:pPr>
        <w:pStyle w:val="BodyText"/>
        <w:spacing w:line="360" w:lineRule="auto" w:before="2"/>
        <w:ind w:left="308" w:right="114" w:firstLine="705"/>
        <w:jc w:val="both"/>
      </w:pPr>
      <w:r>
        <w:rPr/>
        <w:t>A união da equipe é observada pela comunidade interna e aparece </w:t>
      </w:r>
      <w:r>
        <w:rPr>
          <w:spacing w:val="2"/>
        </w:rPr>
        <w:t>em </w:t>
      </w:r>
      <w:r>
        <w:rPr/>
        <w:t>duas falas em que </w:t>
      </w:r>
      <w:r>
        <w:rPr>
          <w:spacing w:val="-3"/>
        </w:rPr>
        <w:t>uma mãe </w:t>
      </w:r>
      <w:r>
        <w:rPr/>
        <w:t>diz sobre as gestoras: “elas conversam,  estão sempre resolvendo as coisas juntas”. (M1), e </w:t>
      </w:r>
      <w:r>
        <w:rPr>
          <w:spacing w:val="-3"/>
        </w:rPr>
        <w:t>uma </w:t>
      </w:r>
      <w:r>
        <w:rPr/>
        <w:t>das alunas que declara que “todos trabalham juntos para a escola ser melhor” (A2), evidenciando assim, que  a união da equipe é visível para os</w:t>
      </w:r>
      <w:r>
        <w:rPr>
          <w:spacing w:val="-14"/>
        </w:rPr>
        <w:t> </w:t>
      </w:r>
      <w:r>
        <w:rPr/>
        <w:t>interlocutores.</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13" w:firstLine="705"/>
        <w:jc w:val="both"/>
      </w:pPr>
      <w:r>
        <w:rPr/>
        <w:t>A última categoria identificada sobre atuação da gestão é a participação. Segundo Mello (2007) o conceito de participação está fundamentado no conceito de autonomia e este se refere à capacidade das pessoas e dos grupos gerir suas próprias vidas, tomar as próprias decisões. Na organização escolar o conceito associa-se com a ideia dos objetivos compartilhados.</w:t>
      </w:r>
    </w:p>
    <w:p>
      <w:pPr>
        <w:pStyle w:val="BodyText"/>
        <w:spacing w:line="360" w:lineRule="auto" w:before="7"/>
        <w:ind w:left="308" w:right="101" w:firstLine="705"/>
        <w:jc w:val="both"/>
      </w:pPr>
      <w:r>
        <w:rPr/>
        <w:t>Essa categoria é reconhecida por todos os interlocutores como </w:t>
      </w:r>
      <w:r>
        <w:rPr>
          <w:spacing w:val="-3"/>
        </w:rPr>
        <w:t>uma </w:t>
      </w:r>
      <w:r>
        <w:rPr/>
        <w:t>das características mais fortes da gestão da escola, ainda em algumas </w:t>
      </w:r>
      <w:r>
        <w:rPr>
          <w:spacing w:val="3"/>
        </w:rPr>
        <w:t>falas  </w:t>
      </w:r>
      <w:r>
        <w:rPr/>
        <w:t>aparecem empregadas no sentido da receptividade e das novas ideias, à democracia e a transparência como observado nas falas das gestoras: “aqui o trabalho é bem participativo. Quando vamos desenvolver </w:t>
      </w:r>
      <w:r>
        <w:rPr>
          <w:spacing w:val="-2"/>
        </w:rPr>
        <w:t>alguma </w:t>
      </w:r>
      <w:r>
        <w:rPr/>
        <w:t>ação reunimos e todos participam daquela concepção” (G2); e ainda, “quando a gente coloca </w:t>
      </w:r>
      <w:r>
        <w:rPr>
          <w:spacing w:val="-3"/>
        </w:rPr>
        <w:t>uma </w:t>
      </w:r>
      <w:r>
        <w:rPr/>
        <w:t>coisa, ficamos pensando como fazer e de que forma realizar. Ai, todos abraçam a ideia, se relacionam, discutem, planejam, interagem... e assim  conseguimos”. (G1).</w:t>
      </w:r>
    </w:p>
    <w:p>
      <w:pPr>
        <w:pStyle w:val="BodyText"/>
        <w:spacing w:line="360" w:lineRule="auto" w:before="3"/>
        <w:ind w:left="308" w:right="103" w:firstLine="705"/>
        <w:jc w:val="both"/>
      </w:pPr>
      <w:r>
        <w:rPr/>
        <w:t>Uma das servidoras comenta sobre a receptividade da gestão de novas ideias e diz, “aqui a equipe é muito boa. Todos podem participar, pode chegar com uma nova ideia, propor </w:t>
      </w:r>
      <w:r>
        <w:rPr>
          <w:spacing w:val="-2"/>
        </w:rPr>
        <w:t>alguma </w:t>
      </w:r>
      <w:r>
        <w:rPr/>
        <w:t>coisa [...]” (S1). Sobre essa </w:t>
      </w:r>
      <w:r>
        <w:rPr>
          <w:spacing w:val="-3"/>
        </w:rPr>
        <w:t>mesma </w:t>
      </w:r>
      <w:r>
        <w:rPr/>
        <w:t>questão,  a nova presidente do governo estudantil declarou que foi procurada pela diretora para discutir sobre as ideias que tem para melhorar o trabalho da escola</w:t>
      </w:r>
      <w:r>
        <w:rPr>
          <w:spacing w:val="-35"/>
        </w:rPr>
        <w:t> </w:t>
      </w:r>
      <w:r>
        <w:rPr/>
        <w:t>(A1).</w:t>
      </w:r>
    </w:p>
    <w:p>
      <w:pPr>
        <w:pStyle w:val="BodyText"/>
        <w:spacing w:line="360" w:lineRule="auto" w:before="2"/>
        <w:ind w:left="308" w:right="103" w:firstLine="705"/>
        <w:jc w:val="both"/>
      </w:pPr>
      <w:r>
        <w:rPr/>
        <w:t>A participação com sentido de transparência é reconhecida por membros das categorias entrevistadas e pôde ser observada, principalmente nos relatos que tratam sobre a utilização dos recursos financeiros recebidos pela escola, oriundos de repasses do PPDE, do Programa Mais Educação</w:t>
      </w:r>
      <w:r>
        <w:rPr>
          <w:position w:val="10"/>
          <w:sz w:val="14"/>
        </w:rPr>
        <w:t>27 </w:t>
      </w:r>
      <w:r>
        <w:rPr/>
        <w:t>e da SEMEG. As gestoras afirmam que as decisões para aquisição de materiais ou outros gastos são tomadas de forma coletiva, ouvindo a opinião </w:t>
      </w:r>
      <w:r>
        <w:rPr>
          <w:spacing w:val="5"/>
        </w:rPr>
        <w:t>de </w:t>
      </w:r>
      <w:r>
        <w:rPr/>
        <w:t>cada setor. Outras falas, a respeito, confirmam que a gestão procura envolver professores (P1), alunos (A2)  e servidores (S1) nas decisões sobre a melhor forma de utilização dos recursos  da escola, e que prioriza as necessidades com total controle de </w:t>
      </w:r>
      <w:r>
        <w:rPr>
          <w:spacing w:val="2"/>
        </w:rPr>
        <w:t>gastos </w:t>
      </w:r>
      <w:r>
        <w:rPr/>
        <w:t>(P1), planejamento participativo (G2), e divulgação da prestação de contas (G1) e</w:t>
      </w:r>
      <w:r>
        <w:rPr>
          <w:spacing w:val="-35"/>
        </w:rPr>
        <w:t> </w:t>
      </w:r>
      <w:r>
        <w:rPr/>
        <w:t>(S1).</w:t>
      </w: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1840;mso-wrap-distance-left:0;mso-wrap-distance-right:0" from="99.407997pt,14.191865pt" to="243.457997pt,14.191865pt" stroked="true" strokeweight=".72003pt" strokecolor="#000000">
            <v:stroke dashstyle="solid"/>
            <w10:wrap type="topAndBottom"/>
          </v:line>
        </w:pict>
      </w:r>
    </w:p>
    <w:p>
      <w:pPr>
        <w:spacing w:before="36"/>
        <w:ind w:left="533" w:right="105" w:hanging="226"/>
        <w:jc w:val="both"/>
        <w:rPr>
          <w:sz w:val="20"/>
        </w:rPr>
      </w:pPr>
      <w:r>
        <w:rPr>
          <w:position w:val="10"/>
          <w:sz w:val="13"/>
        </w:rPr>
        <w:t>27 </w:t>
      </w:r>
      <w:r>
        <w:rPr>
          <w:sz w:val="20"/>
        </w:rPr>
        <w:t>Programa do governo federal que repassa recursos financeiros as escolas para o desenvolvimento de atividades educação ambiental; esporte e lazer; direitos humanos em educação; cultura e artes; cultura digital; promoção da saúde; comunicação e uso de mídias; investigação no campo das ciências da natureza e educação econômica como incentivo a ampliação da jornada escolar e a organização curricular na perspectiva da Educação Integral.</w:t>
      </w:r>
    </w:p>
    <w:p>
      <w:pPr>
        <w:spacing w:after="0"/>
        <w:jc w:val="both"/>
        <w:rPr>
          <w:sz w:val="20"/>
        </w:rPr>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13" w:firstLine="705"/>
        <w:jc w:val="both"/>
      </w:pPr>
      <w:r>
        <w:rPr/>
        <w:t>Ainda no aspecto financeiro, mães e alunas destacam a atenção que a gestão escolar dispensa aos projetos que a escola realiza, considerando que “sempre que está faltando alguma coisa a escola providencia, principalmente para os projetos” (M2) e porque “a diretora não deixa faltar material para os projetos”. (A1).</w:t>
      </w:r>
    </w:p>
    <w:p>
      <w:pPr>
        <w:pStyle w:val="BodyText"/>
        <w:spacing w:line="360" w:lineRule="auto" w:before="7"/>
        <w:ind w:left="308" w:right="101" w:firstLine="705"/>
        <w:jc w:val="both"/>
      </w:pPr>
      <w:r>
        <w:rPr/>
        <w:t>Pelas falas expostas até o momento, nota-se que a gestão  da  escola detém o reconhecimento, a força moral e a confiança da comunidade (Torre, 2009). Os interlocutores expressam satisfação com atuação da gestão da escola  e todas as falas apontam para </w:t>
      </w:r>
      <w:r>
        <w:rPr>
          <w:spacing w:val="-3"/>
        </w:rPr>
        <w:t>uma </w:t>
      </w:r>
      <w:r>
        <w:rPr/>
        <w:t>liderança comprometida, impulsionadora e facilitadora dos processos educativos. O que pode ser confirmado na fala de </w:t>
      </w:r>
      <w:r>
        <w:rPr>
          <w:spacing w:val="2"/>
        </w:rPr>
        <w:t>um </w:t>
      </w:r>
      <w:r>
        <w:rPr/>
        <w:t>dos entrevistados que manifestou não se sentir contemplado nas estratégias de comunicação e repasse de informação adotada por parte da gestão da escola, </w:t>
      </w:r>
      <w:r>
        <w:rPr>
          <w:spacing w:val="-3"/>
        </w:rPr>
        <w:t>mas </w:t>
      </w:r>
      <w:r>
        <w:rPr/>
        <w:t>que reconhece o empenho e a dedicação dos gestores, principalmente da coordenação pedagógica para que todos se sintam</w:t>
      </w:r>
      <w:r>
        <w:rPr>
          <w:spacing w:val="-28"/>
        </w:rPr>
        <w:t> </w:t>
      </w:r>
      <w:r>
        <w:rPr/>
        <w:t>envolvidos.</w:t>
      </w:r>
    </w:p>
    <w:p>
      <w:pPr>
        <w:pStyle w:val="BodyText"/>
        <w:spacing w:line="360" w:lineRule="auto" w:before="3"/>
        <w:ind w:left="308" w:right="98" w:firstLine="705"/>
        <w:jc w:val="both"/>
      </w:pPr>
      <w:r>
        <w:rPr/>
        <w:t>A convivência com as ideias divergentes não descaracteriza a potencialidade da criatividade da escola, ao contrário a evidencia, porque na perspectiva da gestão orientada pelos princípios a complexidade e da criatividade, atua </w:t>
      </w:r>
      <w:r>
        <w:rPr>
          <w:spacing w:val="-3"/>
        </w:rPr>
        <w:t>numa </w:t>
      </w:r>
      <w:r>
        <w:rPr/>
        <w:t>perspectiva dialógica, e por isso reconhece a pluralidade dos interesses, dos conflitos que existem entre seus membros (Torre, 2009), e também percebe as ideias contrárias ou diferentes </w:t>
      </w:r>
      <w:r>
        <w:rPr>
          <w:spacing w:val="-4"/>
        </w:rPr>
        <w:t>como </w:t>
      </w:r>
      <w:r>
        <w:rPr/>
        <w:t>oportunidade para o diálogo (Moraes e Torre 2004), porque aceita a pluralidade de seus</w:t>
      </w:r>
      <w:r>
        <w:rPr>
          <w:spacing w:val="-35"/>
        </w:rPr>
        <w:t> </w:t>
      </w:r>
      <w:r>
        <w:rPr/>
        <w:t>componentes.</w:t>
      </w:r>
    </w:p>
    <w:p>
      <w:pPr>
        <w:pStyle w:val="BodyText"/>
        <w:rPr>
          <w:sz w:val="26"/>
        </w:rPr>
      </w:pPr>
    </w:p>
    <w:p>
      <w:pPr>
        <w:pStyle w:val="BodyText"/>
        <w:rPr>
          <w:sz w:val="26"/>
        </w:rPr>
      </w:pPr>
    </w:p>
    <w:p>
      <w:pPr>
        <w:pStyle w:val="BodyText"/>
        <w:spacing w:before="5"/>
        <w:rPr>
          <w:sz w:val="20"/>
        </w:rPr>
      </w:pPr>
    </w:p>
    <w:p>
      <w:pPr>
        <w:pStyle w:val="ListParagraph"/>
        <w:numPr>
          <w:ilvl w:val="3"/>
          <w:numId w:val="13"/>
        </w:numPr>
        <w:tabs>
          <w:tab w:pos="1114" w:val="left" w:leader="none"/>
        </w:tabs>
        <w:spacing w:line="240" w:lineRule="auto" w:before="0" w:after="0"/>
        <w:ind w:left="1113" w:right="0" w:hanging="805"/>
        <w:jc w:val="left"/>
        <w:rPr>
          <w:sz w:val="24"/>
        </w:rPr>
      </w:pPr>
      <w:r>
        <w:rPr>
          <w:sz w:val="24"/>
        </w:rPr>
        <w:t>As relações e interações</w:t>
      </w:r>
      <w:r>
        <w:rPr>
          <w:spacing w:val="-21"/>
          <w:sz w:val="24"/>
        </w:rPr>
        <w:t> </w:t>
      </w:r>
      <w:r>
        <w:rPr>
          <w:sz w:val="24"/>
        </w:rPr>
        <w:t>estabelecidas</w:t>
      </w:r>
    </w:p>
    <w:p>
      <w:pPr>
        <w:pStyle w:val="BodyText"/>
        <w:rPr>
          <w:sz w:val="26"/>
        </w:rPr>
      </w:pPr>
    </w:p>
    <w:p>
      <w:pPr>
        <w:pStyle w:val="BodyText"/>
        <w:rPr>
          <w:sz w:val="26"/>
        </w:rPr>
      </w:pPr>
    </w:p>
    <w:p>
      <w:pPr>
        <w:pStyle w:val="BodyText"/>
        <w:rPr>
          <w:sz w:val="32"/>
        </w:rPr>
      </w:pPr>
    </w:p>
    <w:p>
      <w:pPr>
        <w:pStyle w:val="BodyText"/>
        <w:spacing w:line="360" w:lineRule="auto"/>
        <w:ind w:left="308" w:right="102" w:firstLine="705"/>
        <w:jc w:val="both"/>
      </w:pPr>
      <w:r>
        <w:rPr/>
        <w:t>Numa escola criativa as interações e relações são concebidas e vivenciadas de </w:t>
      </w:r>
      <w:r>
        <w:rPr>
          <w:spacing w:val="-3"/>
        </w:rPr>
        <w:t>forma </w:t>
      </w:r>
      <w:r>
        <w:rPr/>
        <w:t>relacional mediante diálogos, enriquecimentos mútuos que se entrecruzam </w:t>
      </w:r>
      <w:r>
        <w:rPr>
          <w:spacing w:val="2"/>
        </w:rPr>
        <w:t>em </w:t>
      </w:r>
      <w:r>
        <w:rPr/>
        <w:t>ações ecologizadas, que traduzem, ao mesmo tempo, autonomia e dependência (Morin,1993), e que são representadas por diferentes tipos de interações mútuas que acontecem nas organizações vivas. Como no dizer (Moraes, 2004, p.43), “entre os diferentes sujeitos, entre sujeito e objeto, sujeito e meio. Isto sugere que construímos um mundo influenciado </w:t>
      </w:r>
      <w:r>
        <w:rPr>
          <w:spacing w:val="3"/>
        </w:rPr>
        <w:t>pelas   </w:t>
      </w:r>
      <w:r>
        <w:rPr/>
        <w:t>ações,</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ideias, emoções, e também pelos pensamentos, sentimentos, valores, sonhos, entre outros”.</w:t>
      </w:r>
    </w:p>
    <w:p>
      <w:pPr>
        <w:pStyle w:val="BodyText"/>
        <w:spacing w:line="360" w:lineRule="auto"/>
        <w:ind w:left="308" w:right="108" w:firstLine="705"/>
        <w:jc w:val="both"/>
      </w:pPr>
      <w:r>
        <w:rPr/>
        <w:t>As interações mútuas se caracterizam como um sistema aberto, que forma um todo global, cujos elementos são interdependentes. Para melhor perceber como pode acontecer o processo relacional, parte-se do entendimento de que a interação corresponde ao envolvimento dos sujeitos empenhados em trabalhar juntos e as ações de um influenciam nas reações do outro. Assim, a relação corresponde às formas como os sujeitos comunicam-se na organização.</w:t>
      </w:r>
    </w:p>
    <w:p>
      <w:pPr>
        <w:pStyle w:val="BodyText"/>
        <w:spacing w:line="360" w:lineRule="auto" w:before="2"/>
        <w:ind w:left="308" w:right="115" w:firstLine="705"/>
        <w:jc w:val="both"/>
      </w:pPr>
      <w:r>
        <w:rPr/>
        <w:t>Para Moraes (2004, p.44), na convivência relacional e nas interações surgem novas estruturas, oriundas dos processos de negociações, nas  quais cada sujeito participa e se afeta mutuamente e assim gera nova transcendência, que gera “novas formas de conhecimento, de individualidade, de coletividade e de solidariedade”.</w:t>
      </w:r>
    </w:p>
    <w:p>
      <w:pPr>
        <w:pStyle w:val="BodyText"/>
        <w:spacing w:line="360" w:lineRule="auto" w:before="7"/>
        <w:ind w:left="308" w:right="114" w:firstLine="705"/>
        <w:jc w:val="both"/>
      </w:pPr>
      <w:r>
        <w:rPr/>
        <w:t>Nesse sentido, o entendimento das interações e relações, estabelecidas pela escola criativa Orlindo Pereira da Mota e reveladas pelas entrevistas, mostra que a equipe escolar cultiva um clima de muita tranquilidade no seu ambiente de trabalho. Portanto, pode ser identificado nos diferentes espaços onde acontecem as atividades pedagógicas.</w:t>
      </w:r>
    </w:p>
    <w:p>
      <w:pPr>
        <w:pStyle w:val="BodyText"/>
        <w:spacing w:line="360" w:lineRule="auto" w:before="3"/>
        <w:ind w:left="308" w:right="108" w:firstLine="705"/>
        <w:jc w:val="both"/>
        <w:rPr>
          <w:b/>
        </w:rPr>
      </w:pPr>
      <w:r>
        <w:rPr/>
        <w:t>Uma característica muito peculiar e bastante incomum na escola é o fato  de que pouco se ouve gritos ou até </w:t>
      </w:r>
      <w:r>
        <w:rPr>
          <w:spacing w:val="-3"/>
        </w:rPr>
        <w:t>mesmo </w:t>
      </w:r>
      <w:r>
        <w:rPr>
          <w:spacing w:val="2"/>
        </w:rPr>
        <w:t>um </w:t>
      </w:r>
      <w:r>
        <w:rPr/>
        <w:t>tom de voz exaltado de adulto ou de criança. Foi possível perceber, durante as visitas à escola, </w:t>
      </w:r>
      <w:r>
        <w:rPr>
          <w:spacing w:val="-3"/>
        </w:rPr>
        <w:t>uma </w:t>
      </w:r>
      <w:r>
        <w:rPr/>
        <w:t>preocupação em manter a conversa em </w:t>
      </w:r>
      <w:r>
        <w:rPr>
          <w:spacing w:val="2"/>
        </w:rPr>
        <w:t>um </w:t>
      </w:r>
      <w:r>
        <w:rPr/>
        <w:t>tom mais baixo, o que torna o ambiente mais agradável. Essa característica é notada pelos visitantes e também pela comunidade, como expressa a aluna ao declarar “aqui eu sinto tanta paz, é muito bom ficar. Todo dia eu quero ficar mais </w:t>
      </w:r>
      <w:r>
        <w:rPr>
          <w:spacing w:val="2"/>
        </w:rPr>
        <w:t>um </w:t>
      </w:r>
      <w:r>
        <w:rPr/>
        <w:t>pouco” (A2). </w:t>
      </w:r>
      <w:r>
        <w:rPr>
          <w:spacing w:val="-3"/>
        </w:rPr>
        <w:t>Uma </w:t>
      </w:r>
      <w:r>
        <w:rPr/>
        <w:t>servidora também comentou sobre o assunto dizendo que “a escola tem </w:t>
      </w:r>
      <w:r>
        <w:rPr>
          <w:spacing w:val="2"/>
        </w:rPr>
        <w:t>um </w:t>
      </w:r>
      <w:r>
        <w:rPr/>
        <w:t>ambiente muito bom, tranquilo, sem muito barulho”. (S2). Ainda a esse respeito, a diretora declara que  o “ambiente da escola é muito bom e tranquilo, pois transmite paz” (G1). A pesquisa mostra ainda, que segundo os interlocutores as interações na escola  são orientadas pela </w:t>
      </w:r>
      <w:r>
        <w:rPr>
          <w:b/>
        </w:rPr>
        <w:t>valorização</w:t>
      </w:r>
      <w:r>
        <w:rPr>
          <w:b/>
          <w:spacing w:val="-24"/>
        </w:rPr>
        <w:t> </w:t>
      </w:r>
      <w:r>
        <w:rPr>
          <w:b/>
        </w:rPr>
        <w:t>humana.</w:t>
      </w:r>
    </w:p>
    <w:p>
      <w:pPr>
        <w:pStyle w:val="BodyText"/>
        <w:spacing w:line="360" w:lineRule="auto" w:before="12"/>
        <w:ind w:left="308" w:right="101" w:firstLine="705"/>
        <w:jc w:val="both"/>
      </w:pPr>
      <w:r>
        <w:rPr/>
        <w:t>A valorização </w:t>
      </w:r>
      <w:r>
        <w:rPr>
          <w:spacing w:val="-2"/>
        </w:rPr>
        <w:t>humana </w:t>
      </w:r>
      <w:r>
        <w:rPr/>
        <w:t>como categoria de análise é percebida e  manifestada por todos os entrevistados </w:t>
      </w:r>
      <w:r>
        <w:rPr>
          <w:spacing w:val="-4"/>
        </w:rPr>
        <w:t>como</w:t>
      </w:r>
      <w:r>
        <w:rPr>
          <w:spacing w:val="58"/>
        </w:rPr>
        <w:t> </w:t>
      </w:r>
      <w:r>
        <w:rPr/>
        <w:t>motivação por pertencerem à comunidade escolar. Para os gestores a valorização configura-se no respeito profissional  (G1), no  trabalho em equipe  e na  oportunidade  de  trabalhar  </w:t>
      </w:r>
      <w:r>
        <w:rPr>
          <w:spacing w:val="64"/>
        </w:rPr>
        <w:t> </w:t>
      </w:r>
      <w:r>
        <w:rPr/>
        <w:t>com</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7"/>
        <w:jc w:val="both"/>
      </w:pPr>
      <w:r>
        <w:rPr/>
        <w:t>novas ideias (G2). Já os professores destacam a valorização da equipe e solidariedade do grupo (P1) e (P2). Na opinião dos servidores a valorização humana está no respeito ao próximo e atenção dispensada à família. Mães e alunas mencionam a atenção e o cuidado dispensados ao aluno como fator de valorização humana.</w:t>
      </w:r>
    </w:p>
    <w:p>
      <w:pPr>
        <w:pStyle w:val="BodyText"/>
        <w:spacing w:line="360" w:lineRule="auto" w:before="7"/>
        <w:ind w:left="308" w:right="106" w:firstLine="705"/>
        <w:jc w:val="both"/>
      </w:pPr>
      <w:r>
        <w:rPr/>
        <w:t>Os relatos evidenciam que a Escola Municipal Orlindo Pereira da Mota como uma instituição que busca o crescimento e a transformação das pessoas. É uma escola que “potencializa o melhor de cada sujeito para enfrentar as dificuldades, encontrar seu espaço na sociedade e ser feliz”. (TORRE, 2009, p. 27).</w:t>
      </w:r>
    </w:p>
    <w:p>
      <w:pPr>
        <w:pStyle w:val="BodyText"/>
        <w:spacing w:line="360" w:lineRule="auto" w:before="3"/>
        <w:ind w:left="308" w:right="108" w:firstLine="705"/>
        <w:jc w:val="both"/>
      </w:pPr>
      <w:r>
        <w:rPr/>
        <w:t>Diante das colocações feitas acima, é oportuno reforçá-las com as afirmações de Suanno, Torre e Suanno (2014, p.5), “escolas criativas valorizam e reconhecem os potenciais explícitos ou implícitos dos alunos, professores, familiares dos alunos, comunidade. Valorizam-se as pessoas e reconhecem que são e o que sabem até então, para assim ir aprendendo”.</w:t>
      </w:r>
    </w:p>
    <w:p>
      <w:pPr>
        <w:pStyle w:val="BodyText"/>
        <w:spacing w:line="360" w:lineRule="auto" w:before="2"/>
        <w:ind w:left="308" w:right="112" w:firstLine="705"/>
        <w:jc w:val="both"/>
      </w:pPr>
      <w:r>
        <w:rPr/>
        <w:t>Para Santos, Santos e Correia (2013, p. 76) citando Baumann (2001), essa é </w:t>
      </w:r>
      <w:r>
        <w:rPr>
          <w:spacing w:val="-3"/>
        </w:rPr>
        <w:t>uma </w:t>
      </w:r>
      <w:r>
        <w:rPr/>
        <w:t>característica encontrada em instituições que se configuram como “espaço pleno de identidades, expressões simbólicas, relações e história de vida sempre em movimentos fluidos” e são, elas, que no cumprimento de seu papel, por meio do conhecimento institucional e das interações que possibilitam as tipificações  que expressam padrões de conduta e desempenho oportunizados pela convivência.</w:t>
      </w:r>
    </w:p>
    <w:p>
      <w:pPr>
        <w:pStyle w:val="BodyText"/>
        <w:spacing w:line="360" w:lineRule="auto" w:before="7"/>
        <w:ind w:left="308" w:right="109" w:firstLine="705"/>
        <w:jc w:val="both"/>
      </w:pPr>
      <w:r>
        <w:rPr/>
        <w:t>Dessa forma, valorizar a pessoa humana também implica em promover o desenvolvimento da consciência individual, social e grupal, de modo que o sujeito se perceba como parte do todo, como corresponsável. Assim, a forma como os indivíduos estão inseridos numa instituição, e como experimentam, entendem e interpretam, estabelece um padrão de conduta recorrente que manifestam no clima organizacional (TORRE, 2009, p.67) e as “percepções que se tem sobre essas condutas exercem influências nas atitudes para o trabalho, assim como nos níveis de execução”, constituindo assim o clima organizacional.</w:t>
      </w:r>
    </w:p>
    <w:p>
      <w:pPr>
        <w:pStyle w:val="BodyText"/>
        <w:spacing w:line="360" w:lineRule="auto" w:before="7"/>
        <w:ind w:left="308" w:right="103" w:firstLine="705"/>
        <w:jc w:val="both"/>
      </w:pPr>
      <w:r>
        <w:rPr/>
        <w:t>No clima organizacional é possível identificar como as pessoas se relacionam. Torre (2009) citando Yañez (2005) diz que a comunicação é um aspecto relevante, pois o estado de bem estar em uma instituição surge da combinação  de  elementos  que  agregam a  harmonia  estrutural,  interpessoal e</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funcional, em outras palavras, reúne os elementos da organização, da ética e das aspirações de seus membros.</w:t>
      </w:r>
    </w:p>
    <w:p>
      <w:pPr>
        <w:pStyle w:val="BodyText"/>
        <w:spacing w:line="360" w:lineRule="auto"/>
        <w:ind w:left="308" w:right="102" w:firstLine="705"/>
        <w:jc w:val="both"/>
      </w:pPr>
      <w:r>
        <w:rPr/>
        <w:t>Nesse aspecto, referentes às relações estabelecidas na escola investigada, as entrevistadas consideram que há na escola um </w:t>
      </w:r>
      <w:r>
        <w:rPr>
          <w:b/>
        </w:rPr>
        <w:t>bom relacionamento </w:t>
      </w:r>
      <w:r>
        <w:rPr/>
        <w:t>entre seus membros, assim como destes com os membros da comunidade.  Consideram ainda que a motivação para que as relações na escola sejam tão boas e significativas é o fato de que as pessoas na escola são tratadas com </w:t>
      </w:r>
      <w:r>
        <w:rPr>
          <w:b/>
        </w:rPr>
        <w:t>igualdade </w:t>
      </w:r>
      <w:r>
        <w:rPr/>
        <w:t>tanto nas relações entre setores como nas decisões da escola, como afirma uma servidora: “aqui todo mundo é igual. Não tem diferença e somos tratados de </w:t>
      </w:r>
      <w:r>
        <w:rPr>
          <w:spacing w:val="-3"/>
        </w:rPr>
        <w:t>forma </w:t>
      </w:r>
      <w:r>
        <w:rPr/>
        <w:t>igual. ”</w:t>
      </w:r>
      <w:r>
        <w:rPr>
          <w:spacing w:val="4"/>
        </w:rPr>
        <w:t> </w:t>
      </w:r>
      <w:r>
        <w:rPr/>
        <w:t>(S2).</w:t>
      </w:r>
    </w:p>
    <w:p>
      <w:pPr>
        <w:pStyle w:val="BodyText"/>
        <w:spacing w:line="360" w:lineRule="auto" w:before="3"/>
        <w:ind w:left="308" w:right="103" w:firstLine="705"/>
        <w:jc w:val="both"/>
      </w:pPr>
      <w:r>
        <w:rPr/>
        <w:t>Torre (2009, p. 67) diz que “a percepção que se tem sobre a conduta exerce influência nas atitudes para o trabalho, assim como nos níveis de execução”. O autor, subsidiando-se em Dabdoub (1999) aponta sete fatores como indicadores do clima organizacional favorável à criatividade, são eles: desafios e compromissos, liberdade e autonomia, confiança e abertura, tempo de idear, jogo e sentido do humor, apoiar novas ideais e aceitação dos</w:t>
      </w:r>
      <w:r>
        <w:rPr>
          <w:spacing w:val="-26"/>
        </w:rPr>
        <w:t> </w:t>
      </w:r>
      <w:r>
        <w:rPr/>
        <w:t>riscos.</w:t>
      </w:r>
    </w:p>
    <w:p>
      <w:pPr>
        <w:pStyle w:val="BodyText"/>
        <w:spacing w:line="360" w:lineRule="auto" w:before="2"/>
        <w:ind w:left="308" w:right="103" w:firstLine="705"/>
        <w:jc w:val="both"/>
      </w:pPr>
      <w:r>
        <w:rPr/>
        <w:t>A pesquisa identificou que em relação à </w:t>
      </w:r>
      <w:r>
        <w:rPr>
          <w:u w:val="single"/>
        </w:rPr>
        <w:t>liberdade e autonomia </w:t>
      </w:r>
      <w:r>
        <w:rPr/>
        <w:t>que trata das iniciativas dos membros nas tomadas de decisão; </w:t>
      </w:r>
      <w:r>
        <w:rPr>
          <w:u w:val="single"/>
        </w:rPr>
        <w:t>confiança e abertura</w:t>
      </w:r>
      <w:r>
        <w:rPr/>
        <w:t>, que tratada segurança emocional nas relações; </w:t>
      </w:r>
      <w:r>
        <w:rPr>
          <w:u w:val="single"/>
        </w:rPr>
        <w:t>riso e humor </w:t>
      </w:r>
      <w:r>
        <w:rPr/>
        <w:t>que contribuem para  criar climas distendidos e gratificantes; e </w:t>
      </w:r>
      <w:r>
        <w:rPr>
          <w:u w:val="single"/>
        </w:rPr>
        <w:t>apoiar novas ideias </w:t>
      </w:r>
      <w:r>
        <w:rPr/>
        <w:t>que trata do clima de apoio, de receber proposta de todos; são os quatro dos sete fatores mencionados que podem ser identificados no cotidiano das relações estabelecidas na escola. A presença dos </w:t>
      </w:r>
      <w:r>
        <w:rPr>
          <w:spacing w:val="-2"/>
        </w:rPr>
        <w:t>mesmos </w:t>
      </w:r>
      <w:r>
        <w:rPr/>
        <w:t>possibilita ao ambiente educativo configurar-se como espaço de aceitação e de cooperação, ao mesmo tempo, segundo Moraes (2004, p.67), revela ‘’seres linguajantes, amorosos e cooperativos, com consciência de </w:t>
      </w:r>
      <w:r>
        <w:rPr>
          <w:spacing w:val="-3"/>
        </w:rPr>
        <w:t>si </w:t>
      </w:r>
      <w:r>
        <w:rPr/>
        <w:t>mesmo, com consciência social, no respeito a si </w:t>
      </w:r>
      <w:r>
        <w:rPr>
          <w:spacing w:val="-3"/>
        </w:rPr>
        <w:t>mesmo </w:t>
      </w:r>
      <w:r>
        <w:rPr/>
        <w:t>e ao grupo.</w:t>
      </w:r>
      <w:r>
        <w:rPr>
          <w:spacing w:val="-11"/>
        </w:rPr>
        <w:t> </w:t>
      </w:r>
      <w:r>
        <w:rPr/>
        <w:t>”</w:t>
      </w:r>
    </w:p>
    <w:p>
      <w:pPr>
        <w:pStyle w:val="BodyText"/>
        <w:spacing w:line="360" w:lineRule="auto" w:before="7"/>
        <w:ind w:left="308" w:right="101" w:firstLine="705"/>
        <w:jc w:val="both"/>
      </w:pPr>
      <w:r>
        <w:rPr/>
        <w:t>Outro aspecto das relações, na escola investigada, trata-se da  comunicação com comunidade externa. Foi revelado por meio das respostas dos interlocutores que esse relacionamento é bom e receptivo e que “a escola tem  boa imagem e é bem respeitada pela comunidade” (G1), e que “possui muitos parceiros que prestam serviços como palestras, cursos, oficinas” (S2) que são direcionados para “toda equipe escolar, principalmente aos </w:t>
      </w:r>
      <w:r>
        <w:rPr>
          <w:spacing w:val="4"/>
        </w:rPr>
        <w:t>pais </w:t>
      </w:r>
      <w:r>
        <w:rPr/>
        <w:t>e alunos” (G2) e (P1), como pode ser conferido no PPP quando menciona que o compromisso da escola com a comunidade tem como finalidade estabelecer relações de  </w:t>
      </w:r>
      <w:r>
        <w:rPr>
          <w:spacing w:val="27"/>
        </w:rPr>
        <w:t> </w:t>
      </w:r>
      <w:r>
        <w:rPr/>
        <w:t>amizade</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17"/>
        <w:jc w:val="both"/>
      </w:pPr>
      <w:r>
        <w:rPr/>
        <w:t>e fortalecer as relações entre a família e a escola com objetivo de “motivar os pais a se tornarem mais participativos, mesmo que sejam necessárias parcerias com outros profissionais para que esta motivação aconteça”. (E. O. P. MOTA, 2013</w:t>
      </w:r>
      <w:r>
        <w:rPr>
          <w:sz w:val="22"/>
        </w:rPr>
        <w:t>, </w:t>
      </w:r>
      <w:r>
        <w:rPr/>
        <w:t>p.42).</w:t>
      </w:r>
    </w:p>
    <w:p>
      <w:pPr>
        <w:pStyle w:val="BodyText"/>
        <w:spacing w:line="360" w:lineRule="auto" w:before="2"/>
        <w:ind w:left="308" w:right="127" w:firstLine="705"/>
        <w:jc w:val="both"/>
      </w:pPr>
      <w:r>
        <w:rPr/>
        <w:t>Assim, ao longo do ano a Escola Municipal Orlindo Pereira da Mota, “procura sempre envolver seus projetos e suas ações com outros órgãos como: Secretária de Saúde, UNIRG, IBAMA, Polícia Militar, Conselho Tutelar e outros” (E. O. P. MOTA, 2013, p. 17). Alguns projetos foram conferidos pela pesquisadora pôde conferir a atuação durante as observações, principalmente da Associação  de amigos do Basquetebol - AAGAB, que disponibiliza transporte com motorista para escola e oportuniza aulas de basquetebol para as crianças duas vezes por semana.</w:t>
      </w:r>
    </w:p>
    <w:p>
      <w:pPr>
        <w:pStyle w:val="BodyText"/>
        <w:spacing w:line="360" w:lineRule="auto" w:before="2"/>
        <w:ind w:left="308" w:right="123" w:firstLine="705"/>
        <w:jc w:val="both"/>
      </w:pPr>
      <w:r>
        <w:rPr/>
        <w:t>Confirma-se assim, o propósito expresso no PPP, quando a escola declara que pretende através das atividades educativas, “se abrir para relações mais amplas entre o indivíduo e o meio humano, social, físico, ecológico, cultural e econômico, diversificando assim as formas de atuação, possibilitando maior interação entre esta instituição e a comunidade onde está inserida” (E. O. P. MOTA, 2013, p.24), o que evidencia ainda mais o seu caráter criativo.</w:t>
      </w:r>
    </w:p>
    <w:p>
      <w:pPr>
        <w:pStyle w:val="BodyText"/>
        <w:spacing w:line="360" w:lineRule="auto" w:before="2"/>
        <w:ind w:left="308" w:right="124" w:firstLine="705"/>
        <w:jc w:val="both"/>
      </w:pPr>
      <w:r>
        <w:rPr/>
        <w:t>Suanno, Torre e Suanno (2014, p.25) afirmam que a transformação é um conceito subjetivo da criatividade, que as escolas criativas são escolas transformadoras porque abordam problemas cotidianos de outro modo, transformando as “pessoas, a comunidade e o entorno no qual atuam”.</w:t>
      </w:r>
    </w:p>
    <w:p>
      <w:pPr>
        <w:pStyle w:val="BodyText"/>
        <w:rPr>
          <w:sz w:val="26"/>
        </w:rPr>
      </w:pPr>
    </w:p>
    <w:p>
      <w:pPr>
        <w:pStyle w:val="BodyText"/>
        <w:rPr>
          <w:sz w:val="26"/>
        </w:rPr>
      </w:pPr>
    </w:p>
    <w:p>
      <w:pPr>
        <w:pStyle w:val="BodyText"/>
        <w:spacing w:before="5"/>
        <w:rPr>
          <w:sz w:val="20"/>
        </w:rPr>
      </w:pPr>
    </w:p>
    <w:p>
      <w:pPr>
        <w:pStyle w:val="ListParagraph"/>
        <w:numPr>
          <w:ilvl w:val="3"/>
          <w:numId w:val="13"/>
        </w:numPr>
        <w:tabs>
          <w:tab w:pos="1114" w:val="left" w:leader="none"/>
        </w:tabs>
        <w:spacing w:line="240" w:lineRule="auto" w:before="0" w:after="0"/>
        <w:ind w:left="1113" w:right="0" w:hanging="805"/>
        <w:jc w:val="left"/>
        <w:rPr>
          <w:sz w:val="24"/>
        </w:rPr>
      </w:pPr>
      <w:r>
        <w:rPr>
          <w:sz w:val="24"/>
        </w:rPr>
        <w:t>O compromisso da equipe com as ações</w:t>
      </w:r>
      <w:r>
        <w:rPr>
          <w:spacing w:val="-17"/>
          <w:sz w:val="24"/>
        </w:rPr>
        <w:t> </w:t>
      </w:r>
      <w:r>
        <w:rPr>
          <w:sz w:val="24"/>
        </w:rPr>
        <w:t>coletivas</w:t>
      </w:r>
    </w:p>
    <w:p>
      <w:pPr>
        <w:pStyle w:val="BodyText"/>
        <w:rPr>
          <w:sz w:val="26"/>
        </w:rPr>
      </w:pPr>
    </w:p>
    <w:p>
      <w:pPr>
        <w:pStyle w:val="BodyText"/>
        <w:rPr>
          <w:sz w:val="26"/>
        </w:rPr>
      </w:pPr>
    </w:p>
    <w:p>
      <w:pPr>
        <w:pStyle w:val="BodyText"/>
        <w:spacing w:before="1"/>
        <w:rPr>
          <w:sz w:val="32"/>
        </w:rPr>
      </w:pPr>
    </w:p>
    <w:p>
      <w:pPr>
        <w:pStyle w:val="BodyText"/>
        <w:spacing w:line="360" w:lineRule="auto"/>
        <w:ind w:left="308" w:right="129" w:firstLine="705"/>
        <w:jc w:val="both"/>
      </w:pPr>
      <w:r>
        <w:rPr/>
        <w:t>Sabe-se que educar na perspectiva do paradigma emergente é reconhecer que o conhecimento e o ensino se materializam em interações enriquecidas pelo diálogo e pelas ações ecologizadas, desenvolvidas por meio de experiências vividas que influenciam na “qualidade das ações, das reflexões e dos comportamentos dos seres aprendentes” (MORAES, 2013, p. 65), envolvidos em todo o processo de aprendizagem.</w:t>
      </w:r>
    </w:p>
    <w:p>
      <w:pPr>
        <w:spacing w:after="0" w:line="360" w:lineRule="auto"/>
        <w:jc w:val="both"/>
        <w:sectPr>
          <w:pgSz w:w="11910" w:h="16840"/>
          <w:pgMar w:header="1133" w:footer="0" w:top="1340" w:bottom="280" w:left="1680" w:right="1000"/>
        </w:sectPr>
      </w:pPr>
    </w:p>
    <w:p>
      <w:pPr>
        <w:pStyle w:val="BodyText"/>
        <w:spacing w:before="3"/>
        <w:rPr>
          <w:sz w:val="21"/>
        </w:rPr>
      </w:pPr>
    </w:p>
    <w:p>
      <w:pPr>
        <w:pStyle w:val="BodyText"/>
        <w:spacing w:line="360" w:lineRule="auto" w:before="92"/>
        <w:ind w:left="308" w:right="108" w:firstLine="705"/>
        <w:jc w:val="both"/>
      </w:pPr>
      <w:r>
        <w:rPr/>
        <w:t>Esse reconhecimento contribui para busca de novos referenciais, para o conhecimento e para a prática educativa nas escolas, de modo que possa despertar a consciência para as novas possibilidades cognitivas dos sujeitos e respectivas alternativas pedagógicas. (BELLÓN, 2013).</w:t>
      </w:r>
    </w:p>
    <w:p>
      <w:pPr>
        <w:pStyle w:val="BodyText"/>
        <w:spacing w:line="360" w:lineRule="auto" w:before="2"/>
        <w:ind w:left="308" w:right="105" w:firstLine="705"/>
        <w:jc w:val="both"/>
      </w:pPr>
      <w:r>
        <w:rPr/>
        <w:t>Nessa perspectiva, as escolas criativas configuram-se como organizações humanas que possuem vida própria, agrupamentos complexos com as metas, estratégias e realizações compartilhadas. Visto que, as metas correspondem aos valores, ou aos pontos de referências, que atraem ou movem as ações e geram compromissos nos membros de uma instituição. (TORRE, 2009).</w:t>
      </w:r>
    </w:p>
    <w:p>
      <w:pPr>
        <w:spacing w:line="357" w:lineRule="auto" w:before="7"/>
        <w:ind w:left="308" w:right="103" w:firstLine="705"/>
        <w:jc w:val="both"/>
        <w:rPr>
          <w:sz w:val="24"/>
        </w:rPr>
      </w:pPr>
      <w:r>
        <w:rPr>
          <w:sz w:val="24"/>
        </w:rPr>
        <w:t>A esse respeito, a pesquisa mostrou que os elementos sinalizados pelos interlocutores como fator de compromisso da equipe da escola com ações coletivas estão referenciados no </w:t>
      </w:r>
      <w:r>
        <w:rPr>
          <w:b/>
          <w:sz w:val="24"/>
        </w:rPr>
        <w:t>planejamento sistêmico </w:t>
      </w:r>
      <w:r>
        <w:rPr>
          <w:sz w:val="24"/>
        </w:rPr>
        <w:t>e nos </w:t>
      </w:r>
      <w:r>
        <w:rPr>
          <w:b/>
          <w:sz w:val="24"/>
        </w:rPr>
        <w:t>projetos interdisciplinares</w:t>
      </w:r>
      <w:r>
        <w:rPr>
          <w:sz w:val="24"/>
        </w:rPr>
        <w:t>.</w:t>
      </w:r>
    </w:p>
    <w:p>
      <w:pPr>
        <w:pStyle w:val="BodyText"/>
        <w:spacing w:line="360" w:lineRule="auto" w:before="14"/>
        <w:ind w:left="308" w:right="106" w:firstLine="705"/>
        <w:jc w:val="both"/>
      </w:pPr>
      <w:r>
        <w:rPr/>
        <w:t>O planejamento sistêmico, como ação pedagógica, envolve  conhecimentos, direcionalidades e instrumentos que são desenvolvidos a partir da consciência dos deveres e valores de </w:t>
      </w:r>
      <w:r>
        <w:rPr>
          <w:spacing w:val="-3"/>
        </w:rPr>
        <w:t>uma </w:t>
      </w:r>
      <w:r>
        <w:rPr/>
        <w:t>pessoa, grupo ou instituição que tem como finalidade apontar a necessidade de mudanças </w:t>
      </w:r>
      <w:r>
        <w:rPr>
          <w:spacing w:val="3"/>
        </w:rPr>
        <w:t>pelo </w:t>
      </w:r>
      <w:r>
        <w:rPr/>
        <w:t>reconhecimento dos problemas e das dificuldades, a fim de melhorar o conjunto como </w:t>
      </w:r>
      <w:r>
        <w:rPr>
          <w:spacing w:val="2"/>
        </w:rPr>
        <w:t>um </w:t>
      </w:r>
      <w:r>
        <w:rPr/>
        <w:t>todo, independentemente de sua</w:t>
      </w:r>
      <w:r>
        <w:rPr>
          <w:spacing w:val="-17"/>
        </w:rPr>
        <w:t> </w:t>
      </w:r>
      <w:r>
        <w:rPr/>
        <w:t>complexidade.</w:t>
      </w:r>
    </w:p>
    <w:p>
      <w:pPr>
        <w:pStyle w:val="BodyText"/>
        <w:spacing w:line="360" w:lineRule="auto" w:before="2"/>
        <w:ind w:left="308" w:right="108" w:firstLine="710"/>
        <w:jc w:val="both"/>
      </w:pPr>
      <w:r>
        <w:rPr/>
        <w:t>Pensar a escola nessa perspectiva de planejamento implica em ter clareza e conhecimento a respeito das reais necessidades da comunidade que atende, e dos problemas e dificuldades que a envolve, alguns dos quais foram confirmados pela pesquisadora em algumas situações durante o contato com escola.</w:t>
      </w:r>
    </w:p>
    <w:p>
      <w:pPr>
        <w:pStyle w:val="BodyText"/>
        <w:spacing w:line="360" w:lineRule="auto" w:before="3"/>
        <w:ind w:left="308" w:right="109" w:firstLine="710"/>
        <w:jc w:val="both"/>
      </w:pPr>
      <w:r>
        <w:rPr/>
        <w:t>De fato, durante visitas às residências dos responsáveis foi possível identificar que o perfil do público descrito no PPP é compatível com o perfil das famílias visitadas, o que mostra que a escola tem conhecimento das características da sua comunidade interna. Saviani (1983), tratando sobre o projeto pedagógico da escola diz que o mesmo também é um projeto político porque deve estar intimamente alinhado aos compromissos sociais e econômicos que tratam do interesse da coletividade da instituição.</w:t>
      </w:r>
    </w:p>
    <w:p>
      <w:pPr>
        <w:pStyle w:val="BodyText"/>
        <w:spacing w:line="360" w:lineRule="auto" w:before="7"/>
        <w:ind w:left="308" w:right="115" w:firstLine="705"/>
        <w:jc w:val="both"/>
      </w:pPr>
      <w:r>
        <w:rPr/>
        <w:t>Outros aspectos do PPP se fizeram relevantes, a saber: a articulação das metas e ações do projeto da escola com as metas e ações do Plano municipal de educação em relação ao controle e avaliação do PPP, e as ações estratégicas</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para redução das taxas reprovação e melhoria nos indicadores de desempenho escolar.</w:t>
      </w:r>
    </w:p>
    <w:p>
      <w:pPr>
        <w:pStyle w:val="BodyText"/>
        <w:spacing w:line="360" w:lineRule="auto"/>
        <w:ind w:left="308" w:right="102" w:firstLine="710"/>
        <w:jc w:val="both"/>
      </w:pPr>
      <w:r>
        <w:rPr/>
        <w:t>Assim, no contexto da escola, o planejamento é reconhecido </w:t>
      </w:r>
      <w:r>
        <w:rPr>
          <w:spacing w:val="-4"/>
        </w:rPr>
        <w:t>como </w:t>
      </w:r>
      <w:r>
        <w:rPr/>
        <w:t>uma ação coletiva e orientadora das ações realizadas, evidente na fala dos entrevistados, quando afirmam que na escola tudo é planejado de forma coletiva (G1), organizado com distribuição de tarefas (G2) e (P2), publicado </w:t>
      </w:r>
      <w:r>
        <w:rPr>
          <w:spacing w:val="3"/>
        </w:rPr>
        <w:t>nos </w:t>
      </w:r>
      <w:r>
        <w:rPr/>
        <w:t>murais (M1) e (S2) de modo que envolva a todos (P1) e (S1). Enfim, essas afirmações foram constatadas nas observações do espaço interno da escola, onde se verificou a existência de um cronograma elencando as ações do PPP, fixado </w:t>
      </w:r>
      <w:r>
        <w:rPr>
          <w:spacing w:val="2"/>
        </w:rPr>
        <w:t>em </w:t>
      </w:r>
      <w:r>
        <w:rPr/>
        <w:t>um mural, com as respectivas indicações das responsabilidades e dos prazos  para as</w:t>
      </w:r>
      <w:r>
        <w:rPr>
          <w:spacing w:val="-9"/>
        </w:rPr>
        <w:t> </w:t>
      </w:r>
      <w:r>
        <w:rPr/>
        <w:t>realizações.</w:t>
      </w:r>
    </w:p>
    <w:p>
      <w:pPr>
        <w:pStyle w:val="BodyText"/>
        <w:spacing w:line="360" w:lineRule="auto" w:before="2"/>
        <w:ind w:left="308" w:right="106" w:firstLine="710"/>
        <w:jc w:val="both"/>
      </w:pPr>
      <w:r>
        <w:rPr/>
        <w:t>A análise do documento, PPP da escola, associada às entrevistas e às observações realizadas, evidencia que o </w:t>
      </w:r>
      <w:r>
        <w:rPr>
          <w:spacing w:val="-3"/>
        </w:rPr>
        <w:t>mesmo </w:t>
      </w:r>
      <w:r>
        <w:rPr/>
        <w:t>vai ao encontro das necessidades da comunidade, que a escola mantém </w:t>
      </w:r>
      <w:r>
        <w:rPr>
          <w:spacing w:val="2"/>
        </w:rPr>
        <w:t>um </w:t>
      </w:r>
      <w:r>
        <w:rPr/>
        <w:t>sistema de controle e revisão das metas do plano de ação através da avaliação bimestral, visando à análise dos resultados alcançados, e o replanejamento das metas não alcançadas, visando “direcionar a prática pedagógica, contribuindo no enfrentamento dos desafios do cotidiano de forma sistematizada, consciente, científica e participativa.” (E. O. P. MOTA,</w:t>
      </w:r>
      <w:r>
        <w:rPr>
          <w:spacing w:val="-16"/>
        </w:rPr>
        <w:t> </w:t>
      </w:r>
      <w:r>
        <w:rPr/>
        <w:t>2013).</w:t>
      </w:r>
    </w:p>
    <w:p>
      <w:pPr>
        <w:pStyle w:val="BodyText"/>
        <w:spacing w:line="360" w:lineRule="auto" w:before="2"/>
        <w:ind w:left="308" w:right="112" w:firstLine="705"/>
        <w:jc w:val="both"/>
      </w:pPr>
      <w:r>
        <w:rPr/>
        <w:t>No documento transparece o caráter coletivo de sua concepção, elaboração e execução, assim evidencia o caráter colaborativo da atuação articulada da equipe pedagógica com tudo o que acontece na sala de aula, evidenciando a preocupação da escola com a interação dinâmica entre os agentes</w:t>
      </w:r>
      <w:r>
        <w:rPr>
          <w:spacing w:val="-5"/>
        </w:rPr>
        <w:t> </w:t>
      </w:r>
      <w:r>
        <w:rPr/>
        <w:t>educativos.</w:t>
      </w:r>
    </w:p>
    <w:p>
      <w:pPr>
        <w:pStyle w:val="BodyText"/>
        <w:spacing w:line="360" w:lineRule="auto" w:before="2"/>
        <w:ind w:left="308" w:right="101" w:firstLine="705"/>
        <w:jc w:val="both"/>
      </w:pPr>
      <w:r>
        <w:rPr/>
        <w:t>Assim sendo, a escola consegue traduzir em suas interações o compromisso de desenvolver suas atividades com base no respeito à diversidade, tolerância, solidariedade, participação, cooperação, autonomia e liberdade. São esses valores e essas características que priorizam suas ações, tornando-as visíveis à comunidade, como expresso na fala de todos interlocutores da pesquisa que citaram “tolerância, solidariedade, participação e cooperação” </w:t>
      </w:r>
      <w:r>
        <w:rPr>
          <w:spacing w:val="-4"/>
        </w:rPr>
        <w:t>como</w:t>
      </w:r>
      <w:r>
        <w:rPr>
          <w:spacing w:val="58"/>
        </w:rPr>
        <w:t> </w:t>
      </w:r>
      <w:r>
        <w:rPr/>
        <w:t>características da escola.</w:t>
      </w:r>
    </w:p>
    <w:p>
      <w:pPr>
        <w:pStyle w:val="BodyText"/>
        <w:spacing w:line="360" w:lineRule="auto" w:before="2"/>
        <w:ind w:left="308" w:right="98" w:firstLine="705"/>
        <w:jc w:val="both"/>
      </w:pPr>
      <w:r>
        <w:rPr/>
        <w:t>Outra característica perceptível no documento é a valorização do pensamento complexo expresso no objetivo geral, onde a escola manifesta o compromisso  de  oferecer  um  ensino  que  responda  às  necessidades  sociais,</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6"/>
        <w:jc w:val="both"/>
      </w:pPr>
      <w:r>
        <w:rPr/>
        <w:t>históricas e educacionais da comunidade em que está inserida. Antunes de Sá (2013, p.135), esclarece que pensar a escola à luz do pensamento complexo é vê-la como “organização que só materializa seu papel societário por meio de seus agentes educativos”, e a partir da compreensão dos fatos, fenômenos e  interações como interligados. De modo que nenhuma ação aconteça de forma isolada do todo que constrói as</w:t>
      </w:r>
      <w:r>
        <w:rPr>
          <w:spacing w:val="-10"/>
        </w:rPr>
        <w:t> </w:t>
      </w:r>
      <w:r>
        <w:rPr/>
        <w:t>partes.</w:t>
      </w:r>
    </w:p>
    <w:p>
      <w:pPr>
        <w:pStyle w:val="BodyText"/>
        <w:spacing w:line="360" w:lineRule="auto" w:before="2"/>
        <w:ind w:left="308" w:right="112" w:firstLine="705"/>
        <w:jc w:val="both"/>
      </w:pPr>
      <w:r>
        <w:rPr/>
        <w:t>Nesse sentido, o projeto político pedagógico da Escola Municipal Orlindo Pereira da Mota pode ser considerado </w:t>
      </w:r>
      <w:r>
        <w:rPr>
          <w:spacing w:val="-3"/>
        </w:rPr>
        <w:t>como </w:t>
      </w:r>
      <w:r>
        <w:rPr/>
        <w:t>forte indicador de crescimento  interno da escola, à medida</w:t>
      </w:r>
      <w:r>
        <w:rPr>
          <w:spacing w:val="-14"/>
        </w:rPr>
        <w:t> </w:t>
      </w:r>
      <w:r>
        <w:rPr/>
        <w:t>que:</w:t>
      </w:r>
    </w:p>
    <w:p>
      <w:pPr>
        <w:pStyle w:val="ListParagraph"/>
        <w:numPr>
          <w:ilvl w:val="0"/>
          <w:numId w:val="14"/>
        </w:numPr>
        <w:tabs>
          <w:tab w:pos="2863" w:val="left" w:leader="none"/>
        </w:tabs>
        <w:spacing w:line="360" w:lineRule="auto" w:before="7" w:after="0"/>
        <w:ind w:left="2862" w:right="112" w:hanging="288"/>
        <w:jc w:val="left"/>
        <w:rPr>
          <w:sz w:val="24"/>
        </w:rPr>
      </w:pPr>
      <w:r>
        <w:rPr>
          <w:sz w:val="24"/>
        </w:rPr>
        <w:t>Materializa os anseios e as aspirações da comunidade escolar;</w:t>
      </w:r>
    </w:p>
    <w:p>
      <w:pPr>
        <w:pStyle w:val="ListParagraph"/>
        <w:numPr>
          <w:ilvl w:val="0"/>
          <w:numId w:val="14"/>
        </w:numPr>
        <w:tabs>
          <w:tab w:pos="2863" w:val="left" w:leader="none"/>
        </w:tabs>
        <w:spacing w:line="240" w:lineRule="auto" w:before="3" w:after="0"/>
        <w:ind w:left="2862" w:right="0" w:hanging="288"/>
        <w:jc w:val="left"/>
        <w:rPr>
          <w:sz w:val="24"/>
        </w:rPr>
      </w:pPr>
      <w:r>
        <w:rPr>
          <w:sz w:val="24"/>
        </w:rPr>
        <w:t>Traduz a leitura consciente da</w:t>
      </w:r>
      <w:r>
        <w:rPr>
          <w:spacing w:val="-11"/>
          <w:sz w:val="24"/>
        </w:rPr>
        <w:t> </w:t>
      </w:r>
      <w:r>
        <w:rPr>
          <w:sz w:val="24"/>
        </w:rPr>
        <w:t>realidade;</w:t>
      </w:r>
    </w:p>
    <w:p>
      <w:pPr>
        <w:pStyle w:val="ListParagraph"/>
        <w:numPr>
          <w:ilvl w:val="0"/>
          <w:numId w:val="14"/>
        </w:numPr>
        <w:tabs>
          <w:tab w:pos="2863" w:val="left" w:leader="none"/>
        </w:tabs>
        <w:spacing w:line="240" w:lineRule="auto" w:before="137" w:after="0"/>
        <w:ind w:left="2862" w:right="0" w:hanging="288"/>
        <w:jc w:val="left"/>
        <w:rPr>
          <w:sz w:val="24"/>
        </w:rPr>
      </w:pPr>
      <w:r>
        <w:rPr>
          <w:sz w:val="24"/>
        </w:rPr>
        <w:t>Orienta a prática</w:t>
      </w:r>
      <w:r>
        <w:rPr>
          <w:spacing w:val="-9"/>
          <w:sz w:val="24"/>
        </w:rPr>
        <w:t> </w:t>
      </w:r>
      <w:r>
        <w:rPr>
          <w:sz w:val="24"/>
        </w:rPr>
        <w:t>pedagógica;</w:t>
      </w:r>
    </w:p>
    <w:p>
      <w:pPr>
        <w:pStyle w:val="ListParagraph"/>
        <w:numPr>
          <w:ilvl w:val="0"/>
          <w:numId w:val="14"/>
        </w:numPr>
        <w:tabs>
          <w:tab w:pos="2863" w:val="left" w:leader="none"/>
        </w:tabs>
        <w:spacing w:line="240" w:lineRule="auto" w:before="141" w:after="0"/>
        <w:ind w:left="2862" w:right="0" w:hanging="288"/>
        <w:jc w:val="left"/>
        <w:rPr>
          <w:sz w:val="24"/>
        </w:rPr>
      </w:pPr>
      <w:r>
        <w:rPr>
          <w:sz w:val="24"/>
        </w:rPr>
        <w:t>Tem valor reconhecido pela comunidade</w:t>
      </w:r>
      <w:r>
        <w:rPr>
          <w:spacing w:val="-20"/>
          <w:sz w:val="24"/>
        </w:rPr>
        <w:t> </w:t>
      </w:r>
      <w:r>
        <w:rPr>
          <w:sz w:val="24"/>
        </w:rPr>
        <w:t>escolar;</w:t>
      </w:r>
    </w:p>
    <w:p>
      <w:pPr>
        <w:pStyle w:val="ListParagraph"/>
        <w:numPr>
          <w:ilvl w:val="0"/>
          <w:numId w:val="14"/>
        </w:numPr>
        <w:tabs>
          <w:tab w:pos="2863" w:val="left" w:leader="none"/>
        </w:tabs>
        <w:spacing w:line="360" w:lineRule="auto" w:before="136" w:after="0"/>
        <w:ind w:left="2862" w:right="109" w:hanging="288"/>
        <w:jc w:val="left"/>
        <w:rPr>
          <w:sz w:val="24"/>
        </w:rPr>
      </w:pPr>
      <w:r>
        <w:rPr>
          <w:sz w:val="24"/>
        </w:rPr>
        <w:t>Estimula o trabalho coletivo por meio da realização de projetos</w:t>
      </w:r>
      <w:r>
        <w:rPr>
          <w:spacing w:val="-10"/>
          <w:sz w:val="24"/>
        </w:rPr>
        <w:t> </w:t>
      </w:r>
      <w:r>
        <w:rPr>
          <w:sz w:val="24"/>
        </w:rPr>
        <w:t>interdisciplinares.</w:t>
      </w:r>
    </w:p>
    <w:p>
      <w:pPr>
        <w:pStyle w:val="BodyText"/>
        <w:spacing w:line="360" w:lineRule="auto"/>
        <w:ind w:left="308" w:right="99" w:firstLine="705"/>
        <w:jc w:val="both"/>
      </w:pPr>
      <w:r>
        <w:rPr/>
        <w:t>Os </w:t>
      </w:r>
      <w:r>
        <w:rPr>
          <w:b/>
        </w:rPr>
        <w:t>projetos interdisciplinares </w:t>
      </w:r>
      <w:r>
        <w:rPr/>
        <w:t>são mencionados pelos interlocutores como ações de sucesso da escola porque foram pensados como resposta alternativa para melhoria da eficácia do processo ensino aprendizagem a partir do estudo das situações críticas apresentadas pela escola, principalmente </w:t>
      </w:r>
      <w:r>
        <w:rPr>
          <w:spacing w:val="2"/>
        </w:rPr>
        <w:t>em </w:t>
      </w:r>
      <w:r>
        <w:rPr/>
        <w:t>relação à falta de envolvimento da família com a aprendizagem dos filhos. Nesse aspecto, os projetos figuram também como ação estratégica de fortalecimento da relação família escola. Conforme trecho extraído do PPP que</w:t>
      </w:r>
      <w:r>
        <w:rPr>
          <w:spacing w:val="-22"/>
        </w:rPr>
        <w:t> </w:t>
      </w:r>
      <w:r>
        <w:rPr/>
        <w:t>diz</w:t>
      </w:r>
    </w:p>
    <w:p>
      <w:pPr>
        <w:pStyle w:val="BodyText"/>
        <w:rPr>
          <w:sz w:val="26"/>
        </w:rPr>
      </w:pPr>
    </w:p>
    <w:p>
      <w:pPr>
        <w:pStyle w:val="BodyText"/>
        <w:rPr>
          <w:sz w:val="26"/>
        </w:rPr>
      </w:pPr>
    </w:p>
    <w:p>
      <w:pPr>
        <w:spacing w:before="232"/>
        <w:ind w:left="2574" w:right="103" w:firstLine="0"/>
        <w:jc w:val="both"/>
        <w:rPr>
          <w:sz w:val="20"/>
        </w:rPr>
      </w:pPr>
      <w:r>
        <w:rPr>
          <w:sz w:val="20"/>
        </w:rPr>
        <w:t>O trabalho com projetos é altamente enriquecedor para toda escola, pois mobilizam alunos, professores, comunidade escolar e a comunidade em geral. Temos alguns projetos que contribuem para reforçar a convivência democrática, em que todos da UE são convidados a participar, tendo como finalidade resolver alguns problemas significativos para comunidade escolar.  (E.M.O.P.MOTA, 2013, p.16).</w:t>
      </w:r>
    </w:p>
    <w:p>
      <w:pPr>
        <w:pStyle w:val="BodyText"/>
        <w:rPr>
          <w:sz w:val="22"/>
        </w:rPr>
      </w:pPr>
    </w:p>
    <w:p>
      <w:pPr>
        <w:pStyle w:val="BodyText"/>
        <w:rPr>
          <w:sz w:val="22"/>
        </w:rPr>
      </w:pPr>
    </w:p>
    <w:p>
      <w:pPr>
        <w:pStyle w:val="BodyText"/>
        <w:spacing w:before="10"/>
        <w:rPr>
          <w:sz w:val="27"/>
        </w:rPr>
      </w:pPr>
    </w:p>
    <w:p>
      <w:pPr>
        <w:pStyle w:val="BodyText"/>
        <w:spacing w:line="362" w:lineRule="auto"/>
        <w:ind w:left="308" w:right="120" w:firstLine="705"/>
        <w:jc w:val="both"/>
      </w:pPr>
      <w:r>
        <w:rPr/>
        <w:t>E ainda, esse outro que relata as experiências adquiridas com os projetos e suas repercussões na escola,</w:t>
      </w:r>
    </w:p>
    <w:p>
      <w:pPr>
        <w:spacing w:after="0" w:line="362" w:lineRule="auto"/>
        <w:jc w:val="both"/>
        <w:sectPr>
          <w:pgSz w:w="11910" w:h="16840"/>
          <w:pgMar w:header="1133" w:footer="0" w:top="1340" w:bottom="280" w:left="1680" w:right="1020"/>
        </w:sectPr>
      </w:pPr>
    </w:p>
    <w:p>
      <w:pPr>
        <w:pStyle w:val="BodyText"/>
        <w:spacing w:before="11"/>
        <w:rPr>
          <w:sz w:val="20"/>
        </w:rPr>
      </w:pPr>
    </w:p>
    <w:p>
      <w:pPr>
        <w:spacing w:before="95"/>
        <w:ind w:left="2574" w:right="104" w:firstLine="0"/>
        <w:jc w:val="both"/>
        <w:rPr>
          <w:sz w:val="20"/>
        </w:rPr>
      </w:pPr>
      <w:r>
        <w:rPr>
          <w:sz w:val="20"/>
        </w:rPr>
        <w:t>Grandes experiências temos adquirido com o trabalho com projetos. Os que tiveram maior repercussão foram: Projeto de leitura: A Arte de Ler, com o objetivo de despertar nos alunos o gosto pela leitura; Projeto Fazendo Arte na Escola, Projeto Meio Ambiente, Consciência Negra e Higiene e Saúde. (E.M.O.P.MOTA, 2013, p.16).</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16" w:firstLine="705"/>
        <w:jc w:val="both"/>
      </w:pPr>
      <w:r>
        <w:rPr/>
        <w:t>O texto aponta ainda que o trabalho, com projetos, tem provocado mudanças na organização escola, assim como aproximou a família e melhorou a participação dos alunos nas aulas. Essa constatação foi verificada na fala dos interlocutores da pesquisa, quando relataram que a experiência com os projetos interdisciplinares é significativa, e destacam que:</w:t>
      </w:r>
    </w:p>
    <w:p>
      <w:pPr>
        <w:pStyle w:val="ListParagraph"/>
        <w:numPr>
          <w:ilvl w:val="0"/>
          <w:numId w:val="15"/>
        </w:numPr>
        <w:tabs>
          <w:tab w:pos="2863" w:val="left" w:leader="none"/>
        </w:tabs>
        <w:spacing w:line="360" w:lineRule="auto" w:before="7" w:after="0"/>
        <w:ind w:left="2862" w:right="112" w:hanging="288"/>
        <w:jc w:val="left"/>
        <w:rPr>
          <w:sz w:val="24"/>
        </w:rPr>
      </w:pPr>
      <w:r>
        <w:rPr>
          <w:sz w:val="24"/>
        </w:rPr>
        <w:t>Melhora a convivência da equipe e a consciência das pessoas, principalmente sobre o meio ambiente</w:t>
      </w:r>
      <w:r>
        <w:rPr>
          <w:spacing w:val="-19"/>
          <w:sz w:val="24"/>
        </w:rPr>
        <w:t> </w:t>
      </w:r>
      <w:r>
        <w:rPr>
          <w:sz w:val="24"/>
        </w:rPr>
        <w:t>(P1);</w:t>
      </w:r>
    </w:p>
    <w:p>
      <w:pPr>
        <w:pStyle w:val="ListParagraph"/>
        <w:numPr>
          <w:ilvl w:val="0"/>
          <w:numId w:val="15"/>
        </w:numPr>
        <w:tabs>
          <w:tab w:pos="2863" w:val="left" w:leader="none"/>
        </w:tabs>
        <w:spacing w:line="360" w:lineRule="auto" w:before="2" w:after="0"/>
        <w:ind w:left="2862" w:right="102" w:hanging="288"/>
        <w:jc w:val="left"/>
        <w:rPr>
          <w:sz w:val="24"/>
        </w:rPr>
      </w:pPr>
      <w:r>
        <w:rPr>
          <w:sz w:val="24"/>
        </w:rPr>
        <w:t>Ajuda na aprendizagem, na interação do aluno e da equipe</w:t>
      </w:r>
      <w:r>
        <w:rPr>
          <w:spacing w:val="-4"/>
          <w:sz w:val="24"/>
        </w:rPr>
        <w:t> </w:t>
      </w:r>
      <w:r>
        <w:rPr>
          <w:sz w:val="24"/>
        </w:rPr>
        <w:t>(P2);</w:t>
      </w:r>
    </w:p>
    <w:p>
      <w:pPr>
        <w:pStyle w:val="ListParagraph"/>
        <w:numPr>
          <w:ilvl w:val="0"/>
          <w:numId w:val="15"/>
        </w:numPr>
        <w:tabs>
          <w:tab w:pos="2863" w:val="left" w:leader="none"/>
        </w:tabs>
        <w:spacing w:line="360" w:lineRule="auto" w:before="7" w:after="0"/>
        <w:ind w:left="2862" w:right="108" w:hanging="288"/>
        <w:jc w:val="left"/>
        <w:rPr>
          <w:sz w:val="24"/>
        </w:rPr>
      </w:pPr>
      <w:r>
        <w:rPr>
          <w:sz w:val="24"/>
        </w:rPr>
        <w:t>Todos aprendem, os pais, a equipe escolar e as crianças (S1);</w:t>
      </w:r>
    </w:p>
    <w:p>
      <w:pPr>
        <w:pStyle w:val="ListParagraph"/>
        <w:numPr>
          <w:ilvl w:val="0"/>
          <w:numId w:val="15"/>
        </w:numPr>
        <w:tabs>
          <w:tab w:pos="2863" w:val="left" w:leader="none"/>
        </w:tabs>
        <w:spacing w:line="240" w:lineRule="auto" w:before="2" w:after="0"/>
        <w:ind w:left="2862" w:right="0" w:hanging="288"/>
        <w:jc w:val="left"/>
        <w:rPr>
          <w:sz w:val="24"/>
        </w:rPr>
      </w:pPr>
      <w:r>
        <w:rPr>
          <w:sz w:val="24"/>
        </w:rPr>
        <w:t>Explora temas importantes e promove a integração</w:t>
      </w:r>
      <w:r>
        <w:rPr>
          <w:spacing w:val="-23"/>
          <w:sz w:val="24"/>
        </w:rPr>
        <w:t> </w:t>
      </w:r>
      <w:r>
        <w:rPr>
          <w:sz w:val="24"/>
        </w:rPr>
        <w:t>(S2);</w:t>
      </w:r>
    </w:p>
    <w:p>
      <w:pPr>
        <w:pStyle w:val="ListParagraph"/>
        <w:numPr>
          <w:ilvl w:val="0"/>
          <w:numId w:val="15"/>
        </w:numPr>
        <w:tabs>
          <w:tab w:pos="2863" w:val="left" w:leader="none"/>
        </w:tabs>
        <w:spacing w:line="240" w:lineRule="auto" w:before="136" w:after="0"/>
        <w:ind w:left="2862" w:right="0" w:hanging="288"/>
        <w:jc w:val="left"/>
        <w:rPr>
          <w:sz w:val="24"/>
        </w:rPr>
      </w:pPr>
      <w:r>
        <w:rPr>
          <w:sz w:val="24"/>
        </w:rPr>
        <w:t>Motiva as crianças e envolve a família</w:t>
      </w:r>
      <w:r>
        <w:rPr>
          <w:spacing w:val="-17"/>
          <w:sz w:val="24"/>
        </w:rPr>
        <w:t> </w:t>
      </w:r>
      <w:r>
        <w:rPr>
          <w:sz w:val="24"/>
        </w:rPr>
        <w:t>(M2);</w:t>
      </w:r>
    </w:p>
    <w:p>
      <w:pPr>
        <w:pStyle w:val="ListParagraph"/>
        <w:numPr>
          <w:ilvl w:val="0"/>
          <w:numId w:val="15"/>
        </w:numPr>
        <w:tabs>
          <w:tab w:pos="2863" w:val="left" w:leader="none"/>
        </w:tabs>
        <w:spacing w:line="360" w:lineRule="auto" w:before="141" w:after="0"/>
        <w:ind w:left="2862" w:right="109" w:hanging="288"/>
        <w:jc w:val="left"/>
        <w:rPr>
          <w:sz w:val="24"/>
        </w:rPr>
      </w:pPr>
      <w:r>
        <w:rPr>
          <w:sz w:val="24"/>
        </w:rPr>
        <w:t>Fortalece a amizade entre os alunos e a relação professor aluno</w:t>
      </w:r>
      <w:r>
        <w:rPr>
          <w:spacing w:val="-3"/>
          <w:sz w:val="24"/>
        </w:rPr>
        <w:t> </w:t>
      </w:r>
      <w:r>
        <w:rPr>
          <w:sz w:val="24"/>
        </w:rPr>
        <w:t>(M2);</w:t>
      </w:r>
    </w:p>
    <w:p>
      <w:pPr>
        <w:pStyle w:val="ListParagraph"/>
        <w:numPr>
          <w:ilvl w:val="0"/>
          <w:numId w:val="15"/>
        </w:numPr>
        <w:tabs>
          <w:tab w:pos="2863" w:val="left" w:leader="none"/>
        </w:tabs>
        <w:spacing w:line="240" w:lineRule="auto" w:before="2" w:after="0"/>
        <w:ind w:left="2862" w:right="0" w:hanging="288"/>
        <w:jc w:val="left"/>
        <w:rPr>
          <w:sz w:val="24"/>
        </w:rPr>
      </w:pPr>
      <w:r>
        <w:rPr>
          <w:sz w:val="24"/>
        </w:rPr>
        <w:t>A escola fica melhor e mais forte (A 1 e</w:t>
      </w:r>
      <w:r>
        <w:rPr>
          <w:spacing w:val="-14"/>
          <w:sz w:val="24"/>
        </w:rPr>
        <w:t> </w:t>
      </w:r>
      <w:r>
        <w:rPr>
          <w:sz w:val="24"/>
        </w:rPr>
        <w:t>2).</w:t>
      </w:r>
    </w:p>
    <w:p>
      <w:pPr>
        <w:pStyle w:val="BodyText"/>
        <w:spacing w:line="360" w:lineRule="auto" w:before="136"/>
        <w:ind w:left="308" w:right="104" w:firstLine="705"/>
        <w:jc w:val="both"/>
      </w:pPr>
      <w:r>
        <w:rPr/>
        <w:t>Como alternativas metodológicas, vale frisar, que os projetos interdisciplinares são considerados por muitos autores como tentativas de superação das práticas de ensino tradicional e linear herdadas do modo de conceber o conhecimento difundido pelo paradigma dominante.</w:t>
      </w:r>
    </w:p>
    <w:p>
      <w:pPr>
        <w:pStyle w:val="BodyText"/>
        <w:spacing w:line="360" w:lineRule="auto" w:before="2"/>
        <w:ind w:left="308" w:right="105" w:firstLine="705"/>
        <w:jc w:val="both"/>
      </w:pPr>
      <w:r>
        <w:rPr/>
        <w:t>A interdisciplinaridade, enquanto processo, contribui de forma significativa para superação da fragmentação e das barreiras relacionais do conhecimento e das pessoas (FAZENDA, 2006). Assim como, de acordo com Luck (1994), estimula o reencontro das identidades dos saberes. É antes de tudo, um repensar das próprias certezas, porque desperta o desprendimento e a abertura ao novo (PURIFICAÇÃO).</w:t>
      </w:r>
    </w:p>
    <w:p>
      <w:pPr>
        <w:pStyle w:val="BodyText"/>
        <w:spacing w:line="360" w:lineRule="auto" w:before="7"/>
        <w:ind w:left="308" w:right="110" w:firstLine="705"/>
        <w:jc w:val="both"/>
      </w:pPr>
      <w:r>
        <w:rPr/>
        <w:t>As experiências interdisciplinares quando </w:t>
      </w:r>
      <w:r>
        <w:rPr>
          <w:spacing w:val="-3"/>
        </w:rPr>
        <w:t>bem </w:t>
      </w:r>
      <w:r>
        <w:rPr/>
        <w:t>desenvolvidas caracterizam- se pela provocação de mudanças nos tempos, espaços, conteúdos e nas atividades  que  promovem  a  integração  curricular,  estimulam  a  criatividade </w:t>
      </w:r>
      <w:r>
        <w:rPr>
          <w:spacing w:val="54"/>
        </w:rPr>
        <w:t> </w:t>
      </w:r>
      <w:r>
        <w:rPr/>
        <w:t>e</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despertam o senso de compromisso e responsabilidade com o ensino (KOFF, 2012), indicativos já apontados na escola.</w:t>
      </w:r>
    </w:p>
    <w:p>
      <w:pPr>
        <w:pStyle w:val="BodyText"/>
        <w:spacing w:line="360" w:lineRule="auto"/>
        <w:ind w:left="308" w:right="99" w:firstLine="705"/>
        <w:jc w:val="both"/>
      </w:pPr>
      <w:r>
        <w:rPr/>
        <w:t>A pesquisa trouxe até aqui evidências de liderança estimulante e criativa na prática educativa da escola investigada. Os estímulos à criatividade identificados permitem afirmar que há na Escola Municipal Orlindo Pereira da Mota a presença da liderança transformadora e compartilhada, marcada por uma gestão criativa, que fortalece as ações por meio do planejamento sistêmico e das práticas pedagógicas interdisciplinares. Assim sendo, promove, reconhece e valoriza a pessoa humana nas diferentes interações e contextos.</w:t>
      </w:r>
    </w:p>
    <w:p>
      <w:pPr>
        <w:pStyle w:val="BodyText"/>
        <w:rPr>
          <w:sz w:val="26"/>
        </w:rPr>
      </w:pPr>
    </w:p>
    <w:p>
      <w:pPr>
        <w:pStyle w:val="BodyText"/>
        <w:rPr>
          <w:sz w:val="26"/>
        </w:rPr>
      </w:pPr>
    </w:p>
    <w:p>
      <w:pPr>
        <w:pStyle w:val="Heading3"/>
        <w:numPr>
          <w:ilvl w:val="2"/>
          <w:numId w:val="16"/>
        </w:numPr>
        <w:tabs>
          <w:tab w:pos="908" w:val="left" w:leader="none"/>
        </w:tabs>
        <w:spacing w:line="240" w:lineRule="auto" w:before="231" w:after="0"/>
        <w:ind w:left="907" w:right="0" w:hanging="599"/>
        <w:jc w:val="left"/>
      </w:pPr>
      <w:r>
        <w:rPr/>
        <w:t>Trama </w:t>
      </w:r>
      <w:r>
        <w:rPr>
          <w:spacing w:val="-3"/>
        </w:rPr>
        <w:t>II: </w:t>
      </w:r>
      <w:r>
        <w:rPr/>
        <w:t>o espírito empreendedor na percepção dos</w:t>
      </w:r>
      <w:r>
        <w:rPr>
          <w:spacing w:val="-27"/>
        </w:rPr>
        <w:t> </w:t>
      </w:r>
      <w:r>
        <w:rPr/>
        <w:t>interlocutores</w:t>
      </w:r>
    </w:p>
    <w:p>
      <w:pPr>
        <w:pStyle w:val="BodyText"/>
        <w:rPr>
          <w:b/>
          <w:sz w:val="26"/>
        </w:rPr>
      </w:pPr>
    </w:p>
    <w:p>
      <w:pPr>
        <w:pStyle w:val="BodyText"/>
        <w:rPr>
          <w:b/>
          <w:sz w:val="26"/>
        </w:rPr>
      </w:pPr>
    </w:p>
    <w:p>
      <w:pPr>
        <w:pStyle w:val="BodyText"/>
        <w:spacing w:before="6"/>
        <w:rPr>
          <w:b/>
          <w:sz w:val="32"/>
        </w:rPr>
      </w:pPr>
    </w:p>
    <w:p>
      <w:pPr>
        <w:pStyle w:val="BodyText"/>
        <w:spacing w:line="360" w:lineRule="auto"/>
        <w:ind w:left="308" w:right="103" w:firstLine="705"/>
        <w:jc w:val="both"/>
      </w:pPr>
      <w:r>
        <w:rPr/>
        <w:t>Para investigar o potencial criativo do parâmetro espírito empreendedor da Escola Municipal Orlindo Pereira da Mota a entrevista verificou como a equipe escolar reage diante das situações de conflitos e dos desafios educacionais.</w:t>
      </w:r>
    </w:p>
    <w:p>
      <w:pPr>
        <w:pStyle w:val="BodyText"/>
        <w:spacing w:before="7"/>
        <w:ind w:left="1013"/>
      </w:pPr>
      <w:r>
        <w:rPr/>
        <w:t>João Henrique Suanno, discorrendo sobre o espírito empreendedor, afirma</w:t>
      </w:r>
    </w:p>
    <w:p>
      <w:pPr>
        <w:pStyle w:val="BodyText"/>
        <w:spacing w:before="137"/>
        <w:ind w:left="308"/>
      </w:pPr>
      <w:r>
        <w:rPr/>
        <w:t>que,</w:t>
      </w:r>
    </w:p>
    <w:p>
      <w:pPr>
        <w:pStyle w:val="BodyText"/>
        <w:rPr>
          <w:sz w:val="20"/>
        </w:rPr>
      </w:pPr>
    </w:p>
    <w:p>
      <w:pPr>
        <w:pStyle w:val="BodyText"/>
        <w:rPr>
          <w:sz w:val="20"/>
        </w:rPr>
      </w:pPr>
    </w:p>
    <w:p>
      <w:pPr>
        <w:pStyle w:val="BodyText"/>
        <w:rPr>
          <w:sz w:val="20"/>
        </w:rPr>
      </w:pPr>
    </w:p>
    <w:p>
      <w:pPr>
        <w:pStyle w:val="BodyText"/>
        <w:spacing w:before="6"/>
        <w:rPr>
          <w:sz w:val="23"/>
        </w:rPr>
      </w:pPr>
    </w:p>
    <w:p>
      <w:pPr>
        <w:spacing w:before="0"/>
        <w:ind w:left="2574" w:right="102" w:firstLine="0"/>
        <w:jc w:val="both"/>
        <w:rPr>
          <w:sz w:val="20"/>
        </w:rPr>
      </w:pPr>
      <w:r>
        <w:rPr>
          <w:sz w:val="20"/>
        </w:rPr>
        <w:t>o empreendedor é compreendido como </w:t>
      </w:r>
      <w:r>
        <w:rPr>
          <w:spacing w:val="-4"/>
          <w:sz w:val="20"/>
        </w:rPr>
        <w:t>um </w:t>
      </w:r>
      <w:r>
        <w:rPr>
          <w:sz w:val="20"/>
        </w:rPr>
        <w:t>sujeito capaz de introduzir a inovação por meio da ação e da reflexão que substitui, rompe , supera antigos conceitos e processos por outros. A capacidade empreendedora é percebida no sujeito que é capaz de identificar oportunidades, e </w:t>
      </w:r>
      <w:r>
        <w:rPr>
          <w:spacing w:val="3"/>
          <w:sz w:val="20"/>
        </w:rPr>
        <w:t>as </w:t>
      </w:r>
      <w:r>
        <w:rPr>
          <w:sz w:val="20"/>
        </w:rPr>
        <w:t>aproveita criando algo. </w:t>
      </w:r>
      <w:r>
        <w:rPr>
          <w:spacing w:val="-3"/>
          <w:sz w:val="20"/>
        </w:rPr>
        <w:t>Nesse </w:t>
      </w:r>
      <w:r>
        <w:rPr>
          <w:sz w:val="20"/>
        </w:rPr>
        <w:t>sentido é necessário articular teoria,  prática e valores a fim de construir uma ação transformadora. (SUANNO, 2013,</w:t>
      </w:r>
      <w:r>
        <w:rPr>
          <w:spacing w:val="-4"/>
          <w:sz w:val="20"/>
        </w:rPr>
        <w:t> </w:t>
      </w:r>
      <w:r>
        <w:rPr>
          <w:sz w:val="20"/>
        </w:rPr>
        <w:t>p.197).</w:t>
      </w:r>
    </w:p>
    <w:p>
      <w:pPr>
        <w:pStyle w:val="BodyText"/>
        <w:rPr>
          <w:sz w:val="22"/>
        </w:rPr>
      </w:pPr>
    </w:p>
    <w:p>
      <w:pPr>
        <w:pStyle w:val="BodyText"/>
        <w:rPr>
          <w:sz w:val="22"/>
        </w:rPr>
      </w:pPr>
    </w:p>
    <w:p>
      <w:pPr>
        <w:pStyle w:val="BodyText"/>
        <w:spacing w:before="10"/>
        <w:rPr>
          <w:sz w:val="27"/>
        </w:rPr>
      </w:pPr>
    </w:p>
    <w:p>
      <w:pPr>
        <w:pStyle w:val="BodyText"/>
        <w:spacing w:line="360" w:lineRule="auto"/>
        <w:ind w:left="308" w:right="110" w:firstLine="710"/>
        <w:jc w:val="both"/>
      </w:pPr>
      <w:r>
        <w:rPr/>
        <w:t>Com esse entendimento, a pesquisa considerou que o espírito empreendedor da escola investigada está presente na acentuada capacidade de </w:t>
      </w:r>
      <w:r>
        <w:rPr>
          <w:b/>
        </w:rPr>
        <w:t>resiliência </w:t>
      </w:r>
      <w:r>
        <w:rPr/>
        <w:t>da sua equipe, diante dos problemas e das situações difíceis que enfrenta no cotidiano da escola, mostrando assim sua capacidade criadora na adversidade.</w:t>
      </w:r>
    </w:p>
    <w:p>
      <w:pPr>
        <w:pStyle w:val="BodyText"/>
        <w:spacing w:line="360" w:lineRule="auto" w:before="7"/>
        <w:ind w:left="308" w:right="109" w:firstLine="710"/>
        <w:jc w:val="both"/>
      </w:pPr>
      <w:r>
        <w:rPr/>
        <w:t>Entende-se por resiliência a capacidade dos indivíduos de descobrirem novas maneiras de lidar com a vida diante de situações de risco   (ZWIEREWICZ,</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2" w:lineRule="auto" w:before="92"/>
        <w:ind w:left="308" w:right="104"/>
        <w:jc w:val="both"/>
      </w:pPr>
      <w:r>
        <w:rPr/>
        <w:t>2012), ou ainda, pode ser relacionado à capacidade de recuperação ou de adaptação frente às adversidades e ainda desenvolver competências sociais, acadêmicas e vocacionais mesmo em situações aparentemente desfavoráveis.</w:t>
      </w:r>
    </w:p>
    <w:p>
      <w:pPr>
        <w:pStyle w:val="BodyText"/>
        <w:spacing w:line="360" w:lineRule="auto"/>
        <w:ind w:left="308" w:right="111" w:firstLine="710"/>
        <w:jc w:val="both"/>
      </w:pPr>
      <w:r>
        <w:rPr/>
        <w:t>Torre (2012) citando K. Robinson (2011) esclarece que as pessoas que vencem o pessimismo na adversidade são as que conseguem associar aptidões naturais e atitudes pessoais em estreitas relações com o mundo que o rodeia. Que podem ser representadas pela combinação de consciência (compreender), vocação (assumir/ desejo de realizar), atitude (disposição) e oportunidade (situação/porta).</w:t>
      </w:r>
    </w:p>
    <w:p>
      <w:pPr>
        <w:pStyle w:val="BodyText"/>
        <w:spacing w:line="360" w:lineRule="auto" w:before="8"/>
        <w:ind w:left="308" w:right="111" w:firstLine="705"/>
        <w:jc w:val="both"/>
      </w:pPr>
      <w:r>
        <w:rPr/>
        <w:t>Em outras palavras, a resiliência não se constitui somente  do  conhecimento e do desejo de realizar, </w:t>
      </w:r>
      <w:r>
        <w:rPr>
          <w:spacing w:val="-3"/>
        </w:rPr>
        <w:t>mas </w:t>
      </w:r>
      <w:r>
        <w:rPr/>
        <w:t>também da iniciativa e da leitura estratégica do contexto vivido. Ou como diz João Henrique Suanno (2012,</w:t>
      </w:r>
      <w:r>
        <w:rPr>
          <w:spacing w:val="-35"/>
        </w:rPr>
        <w:t> </w:t>
      </w:r>
      <w:r>
        <w:rPr/>
        <w:t>p.31),</w:t>
      </w:r>
    </w:p>
    <w:p>
      <w:pPr>
        <w:pStyle w:val="BodyText"/>
        <w:rPr>
          <w:sz w:val="26"/>
        </w:rPr>
      </w:pPr>
    </w:p>
    <w:p>
      <w:pPr>
        <w:pStyle w:val="BodyText"/>
        <w:rPr>
          <w:sz w:val="26"/>
        </w:rPr>
      </w:pPr>
    </w:p>
    <w:p>
      <w:pPr>
        <w:pStyle w:val="BodyText"/>
        <w:spacing w:before="4"/>
        <w:rPr>
          <w:sz w:val="20"/>
        </w:rPr>
      </w:pPr>
    </w:p>
    <w:p>
      <w:pPr>
        <w:spacing w:line="240" w:lineRule="auto" w:before="0"/>
        <w:ind w:left="2574" w:right="104" w:firstLine="0"/>
        <w:jc w:val="both"/>
        <w:rPr>
          <w:sz w:val="20"/>
        </w:rPr>
      </w:pPr>
      <w:r>
        <w:rPr>
          <w:sz w:val="20"/>
        </w:rPr>
        <w:t>As adversidades, </w:t>
      </w:r>
      <w:r>
        <w:rPr>
          <w:spacing w:val="-3"/>
          <w:sz w:val="20"/>
        </w:rPr>
        <w:t>se </w:t>
      </w:r>
      <w:r>
        <w:rPr>
          <w:sz w:val="20"/>
        </w:rPr>
        <w:t>percebidas como oportunidades de crescimento, podem </w:t>
      </w:r>
      <w:r>
        <w:rPr>
          <w:spacing w:val="-3"/>
          <w:sz w:val="20"/>
        </w:rPr>
        <w:t>ser </w:t>
      </w:r>
      <w:r>
        <w:rPr>
          <w:sz w:val="20"/>
        </w:rPr>
        <w:t>de um novo ciclo e carregar forças de renovação, criação e inovação. </w:t>
      </w:r>
      <w:r>
        <w:rPr>
          <w:spacing w:val="-3"/>
          <w:sz w:val="20"/>
        </w:rPr>
        <w:t>Em </w:t>
      </w:r>
      <w:r>
        <w:rPr>
          <w:sz w:val="20"/>
        </w:rPr>
        <w:t>momentos de crise, em situação de  grandes conflitos,  caso a postura do sujeito, ou instituição, seja de enfrentamento e criatividade, o que é elaborado, </w:t>
      </w:r>
      <w:r>
        <w:rPr>
          <w:spacing w:val="-3"/>
          <w:sz w:val="20"/>
        </w:rPr>
        <w:t>quase </w:t>
      </w:r>
      <w:r>
        <w:rPr>
          <w:sz w:val="20"/>
        </w:rPr>
        <w:t>sempre é</w:t>
      </w:r>
      <w:r>
        <w:rPr>
          <w:spacing w:val="2"/>
          <w:sz w:val="20"/>
        </w:rPr>
        <w:t> </w:t>
      </w:r>
      <w:r>
        <w:rPr>
          <w:sz w:val="20"/>
        </w:rPr>
        <w:t>inovador.</w:t>
      </w:r>
    </w:p>
    <w:p>
      <w:pPr>
        <w:pStyle w:val="BodyText"/>
        <w:rPr>
          <w:sz w:val="22"/>
        </w:rPr>
      </w:pPr>
    </w:p>
    <w:p>
      <w:pPr>
        <w:pStyle w:val="BodyText"/>
        <w:rPr>
          <w:sz w:val="22"/>
        </w:rPr>
      </w:pPr>
    </w:p>
    <w:p>
      <w:pPr>
        <w:pStyle w:val="BodyText"/>
        <w:spacing w:before="3"/>
        <w:rPr>
          <w:sz w:val="28"/>
        </w:rPr>
      </w:pPr>
    </w:p>
    <w:p>
      <w:pPr>
        <w:pStyle w:val="BodyText"/>
        <w:spacing w:line="360" w:lineRule="auto"/>
        <w:ind w:left="308" w:right="110" w:firstLine="772"/>
        <w:jc w:val="both"/>
      </w:pPr>
      <w:r>
        <w:rPr/>
        <w:t>Com esse pensamento, pode-se afirmar que as entrevistas, as análises dos documentos da escola e as visitações mostraram que na sua trajetória educativa há sucessivos acontecimentos marcados por transformações positivas  e também por oportunidades de crescimento para escola, as quais podem ser destacadas:</w:t>
      </w:r>
    </w:p>
    <w:p>
      <w:pPr>
        <w:pStyle w:val="ListParagraph"/>
        <w:numPr>
          <w:ilvl w:val="3"/>
          <w:numId w:val="16"/>
        </w:numPr>
        <w:tabs>
          <w:tab w:pos="2863" w:val="left" w:leader="none"/>
        </w:tabs>
        <w:spacing w:line="360" w:lineRule="auto" w:before="0" w:after="0"/>
        <w:ind w:left="2862" w:right="105" w:hanging="288"/>
        <w:jc w:val="both"/>
        <w:rPr>
          <w:sz w:val="24"/>
        </w:rPr>
      </w:pPr>
      <w:r>
        <w:rPr>
          <w:b/>
          <w:sz w:val="24"/>
        </w:rPr>
        <w:t>Na infraestrutura</w:t>
      </w:r>
      <w:r>
        <w:rPr>
          <w:sz w:val="24"/>
        </w:rPr>
        <w:t>: a arborização do pátio da escola para minimizar efeitos do sol e ausência de </w:t>
      </w:r>
      <w:r>
        <w:rPr>
          <w:spacing w:val="-3"/>
          <w:sz w:val="24"/>
        </w:rPr>
        <w:t>uma </w:t>
      </w:r>
      <w:r>
        <w:rPr>
          <w:sz w:val="24"/>
        </w:rPr>
        <w:t>quadra coberta, a jardinagem que reaproveita pneus e a conservação de </w:t>
      </w:r>
      <w:r>
        <w:rPr>
          <w:spacing w:val="-3"/>
          <w:sz w:val="24"/>
        </w:rPr>
        <w:t>uma </w:t>
      </w:r>
      <w:r>
        <w:rPr>
          <w:sz w:val="24"/>
        </w:rPr>
        <w:t>bonita horta para enriquecimento da merenda escolar. Criando assim </w:t>
      </w:r>
      <w:r>
        <w:rPr>
          <w:spacing w:val="3"/>
          <w:sz w:val="24"/>
        </w:rPr>
        <w:t>um </w:t>
      </w:r>
      <w:r>
        <w:rPr>
          <w:sz w:val="24"/>
        </w:rPr>
        <w:t>ambiente agradável e aconchegante (G1) e (A1 e</w:t>
      </w:r>
      <w:r>
        <w:rPr>
          <w:spacing w:val="-14"/>
          <w:sz w:val="24"/>
        </w:rPr>
        <w:t> </w:t>
      </w:r>
      <w:r>
        <w:rPr>
          <w:sz w:val="24"/>
        </w:rPr>
        <w:t>2);</w:t>
      </w:r>
    </w:p>
    <w:p>
      <w:pPr>
        <w:pStyle w:val="ListParagraph"/>
        <w:numPr>
          <w:ilvl w:val="3"/>
          <w:numId w:val="16"/>
        </w:numPr>
        <w:tabs>
          <w:tab w:pos="2863" w:val="left" w:leader="none"/>
        </w:tabs>
        <w:spacing w:line="362" w:lineRule="auto" w:before="0" w:after="0"/>
        <w:ind w:left="2862" w:right="104" w:hanging="288"/>
        <w:jc w:val="both"/>
        <w:rPr>
          <w:sz w:val="24"/>
        </w:rPr>
      </w:pPr>
      <w:r>
        <w:rPr>
          <w:b/>
          <w:sz w:val="24"/>
        </w:rPr>
        <w:t>No currículo</w:t>
      </w:r>
      <w:r>
        <w:rPr>
          <w:sz w:val="24"/>
        </w:rPr>
        <w:t>: a superação da fragmentação dos saberes pelas práticas de projetos interdisciplinares que  promovem e estimulam o trabalho coletivo e o diálogo entre os saberes (P1 e</w:t>
      </w:r>
      <w:r>
        <w:rPr>
          <w:spacing w:val="-12"/>
          <w:sz w:val="24"/>
        </w:rPr>
        <w:t> </w:t>
      </w:r>
      <w:r>
        <w:rPr>
          <w:sz w:val="24"/>
        </w:rPr>
        <w:t>2);</w:t>
      </w:r>
    </w:p>
    <w:p>
      <w:pPr>
        <w:spacing w:after="0" w:line="362" w:lineRule="auto"/>
        <w:jc w:val="both"/>
        <w:rPr>
          <w:sz w:val="24"/>
        </w:rPr>
        <w:sectPr>
          <w:pgSz w:w="11910" w:h="16840"/>
          <w:pgMar w:header="1133" w:footer="0" w:top="1340" w:bottom="280" w:left="1680" w:right="1020"/>
        </w:sectPr>
      </w:pPr>
    </w:p>
    <w:p>
      <w:pPr>
        <w:pStyle w:val="BodyText"/>
        <w:spacing w:before="10"/>
        <w:rPr>
          <w:sz w:val="20"/>
        </w:rPr>
      </w:pPr>
    </w:p>
    <w:p>
      <w:pPr>
        <w:pStyle w:val="ListParagraph"/>
        <w:numPr>
          <w:ilvl w:val="3"/>
          <w:numId w:val="16"/>
        </w:numPr>
        <w:tabs>
          <w:tab w:pos="2863" w:val="left" w:leader="none"/>
        </w:tabs>
        <w:spacing w:line="360" w:lineRule="auto" w:before="92" w:after="0"/>
        <w:ind w:left="2862" w:right="103" w:hanging="288"/>
        <w:jc w:val="both"/>
        <w:rPr>
          <w:sz w:val="24"/>
        </w:rPr>
      </w:pPr>
      <w:r>
        <w:rPr>
          <w:b/>
          <w:sz w:val="24"/>
        </w:rPr>
        <w:t>Na prática pedagógica</w:t>
      </w:r>
      <w:r>
        <w:rPr>
          <w:sz w:val="24"/>
        </w:rPr>
        <w:t>: pela didática humanizada que valoriza a opinião do aluno (A2) e desenvolve atividades diferenciadas interagindo artes, esportes e uso de novas tecnologias (S2); Ainda na prática pedagógica, as estratégias bem sucedidas de aproximação </w:t>
      </w:r>
      <w:r>
        <w:rPr>
          <w:spacing w:val="2"/>
          <w:sz w:val="24"/>
        </w:rPr>
        <w:t>da </w:t>
      </w:r>
      <w:r>
        <w:rPr>
          <w:sz w:val="24"/>
        </w:rPr>
        <w:t>família por meio das atividades desenvolvidas nos projetos e aproveitamento da horta como espaço de aprendizagem das diferentes disciplinas (A2) e (M1 e</w:t>
      </w:r>
      <w:r>
        <w:rPr>
          <w:spacing w:val="-18"/>
          <w:sz w:val="24"/>
        </w:rPr>
        <w:t> </w:t>
      </w:r>
      <w:r>
        <w:rPr>
          <w:sz w:val="24"/>
        </w:rPr>
        <w:t>2);</w:t>
      </w:r>
    </w:p>
    <w:p>
      <w:pPr>
        <w:pStyle w:val="ListParagraph"/>
        <w:numPr>
          <w:ilvl w:val="3"/>
          <w:numId w:val="16"/>
        </w:numPr>
        <w:tabs>
          <w:tab w:pos="2863" w:val="left" w:leader="none"/>
        </w:tabs>
        <w:spacing w:line="362" w:lineRule="auto" w:before="0" w:after="0"/>
        <w:ind w:left="2862" w:right="106" w:hanging="288"/>
        <w:jc w:val="both"/>
        <w:rPr>
          <w:sz w:val="24"/>
        </w:rPr>
      </w:pPr>
      <w:r>
        <w:rPr>
          <w:b/>
          <w:sz w:val="24"/>
        </w:rPr>
        <w:t>No clima organizacional: </w:t>
      </w:r>
      <w:r>
        <w:rPr>
          <w:sz w:val="24"/>
        </w:rPr>
        <w:t>atitudes de valorização das diferenças, estímulos às iniciativas individuais e grupais e estreitamento das relações interpessoais (G1 e 2), (P1 e 2),</w:t>
      </w:r>
      <w:r>
        <w:rPr>
          <w:spacing w:val="1"/>
          <w:sz w:val="24"/>
        </w:rPr>
        <w:t> </w:t>
      </w:r>
      <w:r>
        <w:rPr>
          <w:sz w:val="24"/>
        </w:rPr>
        <w:t>(S1);</w:t>
      </w:r>
    </w:p>
    <w:p>
      <w:pPr>
        <w:pStyle w:val="ListParagraph"/>
        <w:numPr>
          <w:ilvl w:val="3"/>
          <w:numId w:val="16"/>
        </w:numPr>
        <w:tabs>
          <w:tab w:pos="2863" w:val="left" w:leader="none"/>
        </w:tabs>
        <w:spacing w:line="360" w:lineRule="auto" w:before="0" w:after="0"/>
        <w:ind w:left="2862" w:right="105" w:hanging="288"/>
        <w:jc w:val="both"/>
        <w:rPr>
          <w:sz w:val="24"/>
        </w:rPr>
      </w:pPr>
      <w:r>
        <w:rPr>
          <w:b/>
          <w:sz w:val="24"/>
        </w:rPr>
        <w:t>Na gestão dos processos: </w:t>
      </w:r>
      <w:r>
        <w:rPr>
          <w:sz w:val="24"/>
        </w:rPr>
        <w:t>estratégias de planejamento  e contínuas avaliações dos resultados; estreitamento das relações com a comunidade externa e fortalecimento e ampliação das parcerias com foco na melhoria do processo ensino aprendizagem (E. O. P. MOTA,</w:t>
      </w:r>
      <w:r>
        <w:rPr>
          <w:spacing w:val="-20"/>
          <w:sz w:val="24"/>
        </w:rPr>
        <w:t> </w:t>
      </w:r>
      <w:r>
        <w:rPr>
          <w:sz w:val="24"/>
        </w:rPr>
        <w:t>2013);</w:t>
      </w:r>
    </w:p>
    <w:p>
      <w:pPr>
        <w:pStyle w:val="ListParagraph"/>
        <w:numPr>
          <w:ilvl w:val="3"/>
          <w:numId w:val="16"/>
        </w:numPr>
        <w:tabs>
          <w:tab w:pos="2863" w:val="left" w:leader="none"/>
        </w:tabs>
        <w:spacing w:line="362" w:lineRule="auto" w:before="5" w:after="0"/>
        <w:ind w:left="2862" w:right="101" w:hanging="288"/>
        <w:jc w:val="both"/>
        <w:rPr>
          <w:sz w:val="24"/>
        </w:rPr>
      </w:pPr>
      <w:r>
        <w:rPr>
          <w:b/>
          <w:sz w:val="24"/>
        </w:rPr>
        <w:t>Na gestão de recursos: </w:t>
      </w:r>
      <w:r>
        <w:rPr>
          <w:sz w:val="24"/>
        </w:rPr>
        <w:t>gerenciamento consciente dos recursos destinados à escola como oportunidade para melhor atender as necessidades (S1 e 2), (P2) e (A</w:t>
      </w:r>
      <w:r>
        <w:rPr>
          <w:spacing w:val="-21"/>
          <w:sz w:val="24"/>
        </w:rPr>
        <w:t> </w:t>
      </w:r>
      <w:r>
        <w:rPr>
          <w:sz w:val="24"/>
        </w:rPr>
        <w:t>1).</w:t>
      </w:r>
    </w:p>
    <w:p>
      <w:pPr>
        <w:pStyle w:val="BodyText"/>
        <w:spacing w:line="360" w:lineRule="auto"/>
        <w:ind w:left="308" w:right="107" w:firstLine="705"/>
        <w:jc w:val="both"/>
      </w:pPr>
      <w:r>
        <w:rPr/>
        <w:t>Ainda a partir da fala dos interlocutores, pode-se afirmar que o espírito empreendedor está presente na atuação da diretora como líder da instituição. A gestora é mencionada por todos os entrevistados como </w:t>
      </w:r>
      <w:r>
        <w:rPr>
          <w:spacing w:val="-3"/>
        </w:rPr>
        <w:t>uma </w:t>
      </w:r>
      <w:r>
        <w:rPr/>
        <w:t>pessoa comprometida com a instituição, que agrega ao </w:t>
      </w:r>
      <w:r>
        <w:rPr>
          <w:spacing w:val="-3"/>
        </w:rPr>
        <w:t>mesmo </w:t>
      </w:r>
      <w:r>
        <w:rPr/>
        <w:t>tempo força e sensibilidade diante dos problemas da escola, que demonstra muita habilidade nas relações interpessoais e um forte espírito de</w:t>
      </w:r>
      <w:r>
        <w:rPr>
          <w:spacing w:val="-18"/>
        </w:rPr>
        <w:t> </w:t>
      </w:r>
      <w:r>
        <w:rPr/>
        <w:t>equipe.</w:t>
      </w:r>
    </w:p>
    <w:p>
      <w:pPr>
        <w:pStyle w:val="BodyText"/>
        <w:spacing w:line="360" w:lineRule="auto" w:before="7"/>
        <w:ind w:left="308" w:right="108" w:firstLine="705"/>
        <w:jc w:val="both"/>
      </w:pPr>
      <w:r>
        <w:rPr/>
        <w:t>O estilo inovador da gestora pode ser conferido também nas vozes dos responsáveis por ocasião da aplicação do questionário Vadecrie. Muitas mães e avós</w:t>
      </w:r>
      <w:r>
        <w:rPr>
          <w:position w:val="10"/>
          <w:sz w:val="14"/>
        </w:rPr>
        <w:t>28 </w:t>
      </w:r>
      <w:r>
        <w:rPr/>
        <w:t>mencionaram a atuação da diretora e no tratamento dispensado aos pais como motivação para matricular e manter os filhos/netos na escola. Essa informação pôde ser conferida na fala de uma das mães que diz ter escolhido a escola porque ouviu falar da qualidade no ensino e do bom trabalho da diretora</w:t>
      </w:r>
    </w:p>
    <w:p>
      <w:pPr>
        <w:pStyle w:val="BodyText"/>
        <w:spacing w:before="6"/>
        <w:rPr>
          <w:sz w:val="12"/>
        </w:rPr>
      </w:pPr>
      <w:r>
        <w:rPr/>
        <w:pict>
          <v:line style="position:absolute;mso-position-horizontal-relative:page;mso-position-vertical-relative:paragraph;z-index:1864;mso-wrap-distance-left:0;mso-wrap-distance-right:0" from="99.407997pt,9.552695pt" to="243.457997pt,9.552695pt" stroked="true" strokeweight=".72003pt" strokecolor="#000000">
            <v:stroke dashstyle="solid"/>
            <w10:wrap type="topAndBottom"/>
          </v:line>
        </w:pict>
      </w:r>
    </w:p>
    <w:p>
      <w:pPr>
        <w:spacing w:before="36"/>
        <w:ind w:left="476" w:right="0" w:hanging="169"/>
        <w:jc w:val="left"/>
        <w:rPr>
          <w:sz w:val="20"/>
        </w:rPr>
      </w:pPr>
      <w:r>
        <w:rPr>
          <w:position w:val="10"/>
          <w:sz w:val="13"/>
        </w:rPr>
        <w:t>28 </w:t>
      </w:r>
      <w:r>
        <w:rPr>
          <w:sz w:val="20"/>
        </w:rPr>
        <w:t>A amostra de 28 pais ou responsáveis é constituída por 05 madrastas, 13 mães, 03 pais e 07 avós.</w:t>
      </w:r>
    </w:p>
    <w:p>
      <w:pPr>
        <w:spacing w:after="0"/>
        <w:jc w:val="left"/>
        <w:rPr>
          <w:sz w:val="20"/>
        </w:rPr>
        <w:sectPr>
          <w:pgSz w:w="11910" w:h="16840"/>
          <w:pgMar w:header="1133" w:footer="0" w:top="1340" w:bottom="280" w:left="1680" w:right="1020"/>
        </w:sectPr>
      </w:pPr>
    </w:p>
    <w:p>
      <w:pPr>
        <w:pStyle w:val="BodyText"/>
        <w:spacing w:before="3"/>
        <w:rPr>
          <w:sz w:val="21"/>
        </w:rPr>
      </w:pPr>
    </w:p>
    <w:p>
      <w:pPr>
        <w:pStyle w:val="BodyText"/>
        <w:spacing w:line="362" w:lineRule="auto" w:before="92"/>
        <w:ind w:left="308"/>
      </w:pPr>
      <w:r>
        <w:rPr/>
        <w:t>(M2). As professoras destacam ainda a perseverança e o empenho da gestora na resolução dos problemas e conflitos (P1 e 2).</w:t>
      </w:r>
    </w:p>
    <w:p>
      <w:pPr>
        <w:pStyle w:val="BodyText"/>
        <w:spacing w:line="360" w:lineRule="auto"/>
        <w:ind w:left="308" w:right="107" w:firstLine="705"/>
        <w:jc w:val="both"/>
      </w:pPr>
      <w:r>
        <w:rPr/>
        <w:t>Conforme os dados apontados até aqui, a escola investigada consegue reunir as aptidões naturais e as atitudes pessoais mencionados por Torre (2013), que assim, possibilitam identificar a presença do espírito empreendedor nas interações e relações internas e externas estabelecidas. Suas atitudes e iniciativas são criativas e inovadoras porque ultrapassam as perspectivas individuais e se consolidam nas perspectivas organizacionais. (Torre,</w:t>
      </w:r>
      <w:r>
        <w:rPr>
          <w:spacing w:val="-35"/>
        </w:rPr>
        <w:t> </w:t>
      </w:r>
      <w:r>
        <w:rPr/>
        <w:t>2009).</w:t>
      </w:r>
    </w:p>
    <w:p>
      <w:pPr>
        <w:pStyle w:val="BodyText"/>
        <w:spacing w:line="360" w:lineRule="auto" w:before="2"/>
        <w:ind w:left="308" w:right="106" w:firstLine="705"/>
        <w:jc w:val="both"/>
      </w:pPr>
      <w:r>
        <w:rPr/>
        <w:t>A pesquisa confirma ainda, que a Escola Municipal Orlindo Pereira da Mota é dotada de espírito empreendedor porque é uma instituição consciente da complexa realidade de seus membros e mostra ser capaz de: conviver com as diferenças, adaptar-se às mudanças contextuais a partir do reconhecimento de suas fraquezas e forças, e demonstrar capacidade para gerir respostas ao meio em que está envolvida de forma autônoma e confiante.</w:t>
      </w:r>
    </w:p>
    <w:p>
      <w:pPr>
        <w:pStyle w:val="BodyText"/>
        <w:spacing w:line="360" w:lineRule="auto" w:before="2"/>
        <w:ind w:left="308" w:right="109" w:firstLine="705"/>
        <w:jc w:val="both"/>
      </w:pPr>
      <w:r>
        <w:rPr/>
        <w:t>Os dados apresentados nesse capítulo mostraram a partir dos diagnósticos realizados, pela aplicação do questionário Vadecrie, que a Escola Municipal Orlindo Pereira da Mota apresenta evidências de criatividade nas três categorias que compõem o documento avaliativo e que essas evidências se mostraram mais acentuadas nos parâmetros: liderança estimulante e espírito empreendedor.</w:t>
      </w:r>
    </w:p>
    <w:p>
      <w:pPr>
        <w:pStyle w:val="BodyText"/>
        <w:spacing w:line="360" w:lineRule="auto" w:before="2"/>
        <w:ind w:left="308" w:right="113" w:firstLine="705"/>
        <w:jc w:val="both"/>
      </w:pPr>
      <w:r>
        <w:rPr/>
        <w:t>Por meio do cruzamento de dados que envolveram os diagnósticos, as entrevistas, a análise de documentos e as visitas periódicas à escola, foi possível identificar que os estímulos a criatividade e inovação nas práticas educativas da escola, referem-se à valorização humana, ao trabalho coletivo, ao planejamento sistêmico e à resiliência.</w:t>
      </w:r>
    </w:p>
    <w:p>
      <w:pPr>
        <w:pStyle w:val="BodyText"/>
        <w:spacing w:line="360" w:lineRule="auto" w:before="2"/>
        <w:ind w:left="308" w:right="110" w:firstLine="705"/>
        <w:jc w:val="both"/>
      </w:pPr>
      <w:r>
        <w:rPr/>
        <w:t>Nesse sentido, é possível afirmar que a Escola Municipal Orlindo Pereira  da Mota é, realmente, </w:t>
      </w:r>
      <w:r>
        <w:rPr>
          <w:spacing w:val="-3"/>
        </w:rPr>
        <w:t>uma </w:t>
      </w:r>
      <w:r>
        <w:rPr/>
        <w:t>escola criativa, justamente porque busca o  crescimento interno escolar a partir da valorização humana e das práticas educativas</w:t>
      </w:r>
      <w:r>
        <w:rPr>
          <w:spacing w:val="-12"/>
        </w:rPr>
        <w:t> </w:t>
      </w:r>
      <w:r>
        <w:rPr/>
        <w:t>inovadoras.</w:t>
      </w:r>
    </w:p>
    <w:p>
      <w:pPr>
        <w:pStyle w:val="BodyText"/>
        <w:spacing w:line="360" w:lineRule="auto" w:before="2"/>
        <w:ind w:left="308" w:right="99" w:firstLine="705"/>
        <w:jc w:val="both"/>
      </w:pPr>
      <w:r>
        <w:rPr/>
        <w:t>Em suma, considerando os dados expostos e  os  respectivos entendimentos provocados pela análise de conteúdo ao longo desse capítulo, chegou o momento de tecer algumas considerações sobre a pesquisa e seus resultados.</w:t>
      </w:r>
    </w:p>
    <w:p>
      <w:pPr>
        <w:spacing w:after="0" w:line="360" w:lineRule="auto"/>
        <w:jc w:val="both"/>
        <w:sectPr>
          <w:pgSz w:w="11910" w:h="16840"/>
          <w:pgMar w:header="1133" w:footer="0" w:top="1340" w:bottom="280" w:left="1680" w:right="1020"/>
        </w:sectPr>
      </w:pPr>
    </w:p>
    <w:p>
      <w:pPr>
        <w:pStyle w:val="BodyText"/>
        <w:spacing w:before="10"/>
        <w:rPr>
          <w:sz w:val="20"/>
        </w:rPr>
      </w:pPr>
    </w:p>
    <w:p>
      <w:pPr>
        <w:pStyle w:val="Heading3"/>
        <w:numPr>
          <w:ilvl w:val="0"/>
          <w:numId w:val="13"/>
        </w:numPr>
        <w:tabs>
          <w:tab w:pos="510" w:val="left" w:leader="none"/>
        </w:tabs>
        <w:spacing w:line="240" w:lineRule="auto" w:before="92" w:after="0"/>
        <w:ind w:left="509" w:right="0" w:hanging="201"/>
        <w:jc w:val="left"/>
      </w:pPr>
      <w:bookmarkStart w:name="_TOC_250001" w:id="16"/>
      <w:r>
        <w:rPr/>
        <w:t>CONSIDERAÇÕES</w:t>
      </w:r>
      <w:r>
        <w:rPr>
          <w:spacing w:val="-11"/>
        </w:rPr>
        <w:t> </w:t>
      </w:r>
      <w:bookmarkEnd w:id="16"/>
      <w:r>
        <w:rPr/>
        <w:t>FINAIS</w:t>
      </w:r>
    </w:p>
    <w:p>
      <w:pPr>
        <w:pStyle w:val="BodyText"/>
        <w:rPr>
          <w:b/>
          <w:sz w:val="26"/>
        </w:rPr>
      </w:pPr>
    </w:p>
    <w:p>
      <w:pPr>
        <w:pStyle w:val="BodyText"/>
        <w:rPr>
          <w:b/>
          <w:sz w:val="26"/>
        </w:rPr>
      </w:pPr>
    </w:p>
    <w:p>
      <w:pPr>
        <w:pStyle w:val="BodyText"/>
        <w:spacing w:before="6"/>
        <w:rPr>
          <w:b/>
          <w:sz w:val="32"/>
        </w:rPr>
      </w:pPr>
    </w:p>
    <w:p>
      <w:pPr>
        <w:pStyle w:val="BodyText"/>
        <w:spacing w:line="360" w:lineRule="auto"/>
        <w:ind w:left="308" w:right="103" w:firstLine="705"/>
        <w:jc w:val="both"/>
      </w:pPr>
      <w:r>
        <w:rPr/>
        <w:t>Este trabalho buscou analisar a prática educativa em uma escola pública dos anos iniciais do ensino fundamental à luz dos referenciais teóricos que fundamentam a Escola Criativa, estabelecendo como pano de fundo o processo de transição do paradigma educacional dominante para o paradigma educacional emergente, assim como as perspectivas de um novo pensamento educativo inspirado nos princípios da complexidade e da</w:t>
      </w:r>
      <w:r>
        <w:rPr>
          <w:spacing w:val="-32"/>
        </w:rPr>
        <w:t> </w:t>
      </w:r>
      <w:r>
        <w:rPr/>
        <w:t>criatividade.</w:t>
      </w:r>
    </w:p>
    <w:p>
      <w:pPr>
        <w:pStyle w:val="BodyText"/>
        <w:spacing w:line="360" w:lineRule="auto" w:before="7"/>
        <w:ind w:left="308" w:right="101" w:firstLine="705"/>
        <w:jc w:val="both"/>
      </w:pPr>
      <w:r>
        <w:rPr/>
        <w:t>A proposição de situar a escola e a prática educativa no  contexto  da análise sobre a crise de paradigmas, que nesse trabalho se convencionou em chamar de transição paradigmática, foram tratadas a partir de  referenciais  teóricos que discutem os efeitos da crise na sociedade, os princípios da teoria da complexidade e os indicadores que fundamentam as escolas</w:t>
      </w:r>
      <w:r>
        <w:rPr>
          <w:spacing w:val="-26"/>
        </w:rPr>
        <w:t> </w:t>
      </w:r>
      <w:r>
        <w:rPr/>
        <w:t>criativas.</w:t>
      </w:r>
    </w:p>
    <w:p>
      <w:pPr>
        <w:pStyle w:val="BodyText"/>
        <w:spacing w:line="360" w:lineRule="auto" w:before="3"/>
        <w:ind w:left="308" w:right="113" w:firstLine="705"/>
        <w:jc w:val="both"/>
      </w:pPr>
      <w:r>
        <w:rPr/>
        <w:t>Referenciado nesse entendimento, o estudo procurou responder o que há de criativo e inovador na prática educativa em uma escola de anos iniciais do ensino fundamental em Gurupi, estado do Tocantins.</w:t>
      </w:r>
    </w:p>
    <w:p>
      <w:pPr>
        <w:pStyle w:val="BodyText"/>
        <w:spacing w:line="360" w:lineRule="auto" w:before="7"/>
        <w:ind w:left="308" w:right="106" w:firstLine="705"/>
        <w:jc w:val="both"/>
      </w:pPr>
      <w:r>
        <w:rPr/>
        <w:t>O resultado do diagnóstico realizado mostrou que a Escola Municipal Orlindo Pereira da Mota possui indícios de criatividade nos dez parâmetros do questionário aplicado, no entanto, os que obtiveram maior pontuação foram os parâmetros relacionados à liderança estimulante, onde se destacam os indicadores: crescimento interno e espírito empreendedor, assim como: autoconfiança e independência.</w:t>
      </w:r>
    </w:p>
    <w:p>
      <w:pPr>
        <w:pStyle w:val="BodyText"/>
        <w:spacing w:line="360" w:lineRule="auto" w:before="3"/>
        <w:ind w:left="308" w:right="110" w:firstLine="705"/>
        <w:jc w:val="both"/>
      </w:pPr>
      <w:r>
        <w:rPr/>
        <w:t>Nestes dois parâmetros a escola apresenta fortes indícios de criatividade, assim sendo, com tal identificação, a pesquisa, com bases nos indicadores do documento Vadecrie, reconhece que a instituição investigada é uma escola criativa.</w:t>
      </w:r>
    </w:p>
    <w:p>
      <w:pPr>
        <w:pStyle w:val="BodyText"/>
        <w:spacing w:line="360" w:lineRule="auto" w:before="3"/>
        <w:ind w:left="308" w:right="101" w:firstLine="705"/>
        <w:jc w:val="both"/>
      </w:pPr>
      <w:r>
        <w:rPr/>
        <w:t>Com as entrevistas e posterior triangulação dos dados, foi possível identificar as práticas criativas desenvolvidas pela escola. Desse modo, em relação à liderança estimulante, as práticas criativas comprovadas foram as seguintes: (1) Práticas de incentivo às relações mediadas pelo diálogo e pela predisposição para ouvir; (2) Integração nas atividades e forte trabalho em equipe;</w:t>
      </w:r>
    </w:p>
    <w:p>
      <w:pPr>
        <w:pStyle w:val="BodyText"/>
        <w:spacing w:line="360" w:lineRule="auto" w:before="2"/>
        <w:ind w:left="308"/>
      </w:pPr>
      <w:r>
        <w:rPr/>
        <w:t>(3) Estímulo à participação da comunidade nas atividades da escola; (4) Atitudes cotidianas  de  valorização  humana  como  respeito  profissional,    solidariedade,</w:t>
      </w:r>
    </w:p>
    <w:p>
      <w:pPr>
        <w:spacing w:after="0" w:line="360" w:lineRule="auto"/>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8"/>
        <w:jc w:val="both"/>
      </w:pPr>
      <w:r>
        <w:rPr/>
        <w:t>oportunidade para novas ideias e atenção dispensada às necessidades das famílias; (5) Clima organizacional que valoriza o bom relacionamento e o tratamento igualitário; (6) Cultivo da boa imagem e reconhecimento junto à comunidade externa; (7) Compromisso com ações coletivas pautadas no planejamento sistêmico e na prática de projetos interdisciplinares; (8) Líder institucional que administra bem os recursos humanos e materiais.</w:t>
      </w:r>
    </w:p>
    <w:p>
      <w:pPr>
        <w:pStyle w:val="BodyText"/>
        <w:spacing w:line="360" w:lineRule="auto" w:before="2"/>
        <w:ind w:left="308" w:right="113" w:firstLine="705"/>
        <w:jc w:val="both"/>
      </w:pPr>
      <w:r>
        <w:rPr/>
        <w:t>As práticas educativas, acima citadas, são agrupadas em três importantes indicadores de criatividade, a saber: a valorização humana, o trabalho coletivo e o planejamento sistêmico. Foi possível notar na fala dos interlocutores, que esses indicadores aparecem articulados em todo trabalho da escola, justamente porque foram mencionadas nas respostas relativas ao trabalho da equipe escolar, as ações desenvolvidas pela escola, e as relações que mantém.</w:t>
      </w:r>
    </w:p>
    <w:p>
      <w:pPr>
        <w:pStyle w:val="BodyText"/>
        <w:spacing w:line="360" w:lineRule="auto" w:before="2"/>
        <w:ind w:left="308" w:right="103" w:firstLine="705"/>
        <w:jc w:val="both"/>
      </w:pPr>
      <w:r>
        <w:rPr/>
        <w:t>Esses resultados permitem considerar que os três aspectos trabalhados pela escola são importantes porque a identifica como organização viva, com valores bem definidos, metas compartilhadas e visão estratégica. Outro aspecto importante a esse respeito é que as práticas acima mencionadas são compatíveis com aquelas que definem uma liderança transformadora e compartilhada, que é promovida pela cultura da colaboração e da utilização do potencial coletivo do grupo (TORRE, 2009).</w:t>
      </w:r>
    </w:p>
    <w:p>
      <w:pPr>
        <w:pStyle w:val="BodyText"/>
        <w:spacing w:line="360" w:lineRule="auto" w:before="2"/>
        <w:ind w:left="308" w:right="112" w:firstLine="705"/>
        <w:jc w:val="both"/>
      </w:pPr>
      <w:r>
        <w:rPr/>
        <w:t>Vale ressaltar, que a liderança transformadora e compartilhada é um indicador da escola que é criativa, cujas principais características são: tomada de decisão participativa e colegiada, comunicação aberta e postura flexível.</w:t>
      </w:r>
    </w:p>
    <w:p>
      <w:pPr>
        <w:pStyle w:val="BodyText"/>
        <w:spacing w:line="360" w:lineRule="auto" w:before="7"/>
        <w:ind w:left="308" w:right="117" w:firstLine="705"/>
        <w:jc w:val="both"/>
      </w:pPr>
      <w:r>
        <w:rPr/>
        <w:t>Conclui-se que a gestão, vista sob essa perspectiva, alimenta o sentimento de fraternidade, do diálogo e da boa convivência com todos os membros da comunidade escolar, visando assim, estabelecer a comunhão e o compromisso  da equipe. (COELHO; LINHARES,</w:t>
      </w:r>
      <w:r>
        <w:rPr>
          <w:spacing w:val="-13"/>
        </w:rPr>
        <w:t> </w:t>
      </w:r>
      <w:r>
        <w:rPr/>
        <w:t>2008).</w:t>
      </w:r>
    </w:p>
    <w:p>
      <w:pPr>
        <w:pStyle w:val="BodyText"/>
        <w:spacing w:line="360" w:lineRule="auto" w:before="7"/>
        <w:ind w:left="308" w:right="102" w:firstLine="705"/>
        <w:jc w:val="both"/>
      </w:pPr>
      <w:r>
        <w:rPr/>
        <w:t>No que se refere </w:t>
      </w:r>
      <w:r>
        <w:rPr>
          <w:spacing w:val="2"/>
        </w:rPr>
        <w:t>ao </w:t>
      </w:r>
      <w:r>
        <w:rPr/>
        <w:t>parâmetro espírito empreendedor, os resultados apontam que as práticas criativas e inovadoras estão relacionadas à resiliência demonstrada pela escola diante dos problemas e conflitos cotidianos. Os dados extraídos do PPP mostram que os problemas estão presentes na infraestrutura,  na prática pedagógica; na relação família - escola, entre</w:t>
      </w:r>
      <w:r>
        <w:rPr>
          <w:spacing w:val="-21"/>
        </w:rPr>
        <w:t> </w:t>
      </w:r>
      <w:r>
        <w:rPr/>
        <w:t>outras.</w:t>
      </w:r>
    </w:p>
    <w:p>
      <w:pPr>
        <w:pStyle w:val="BodyText"/>
        <w:spacing w:line="360" w:lineRule="auto" w:before="2"/>
        <w:ind w:left="308" w:right="107" w:firstLine="705"/>
        <w:jc w:val="both"/>
      </w:pPr>
      <w:r>
        <w:rPr/>
        <w:t>No entanto, os dados também evidenciam que a escola possui metas e ações estratégicas para cada um dos problemas identificados, confirmando com base   em  Cunha   (2008),   que   a  prática  educativa  desenvolvida   na </w:t>
      </w:r>
      <w:r>
        <w:rPr>
          <w:spacing w:val="65"/>
        </w:rPr>
        <w:t> </w:t>
      </w:r>
      <w:r>
        <w:rPr/>
        <w:t>escola,</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11"/>
        <w:jc w:val="both"/>
      </w:pPr>
      <w:r>
        <w:rPr/>
        <w:t>principalmente no que se refere ao aspecto organizativo pedagógico, é condizente com a práxis criadora, considerando que a mesma identifica a realidade educacional como complexa e pensa como pode atuar para reconhecimento de saberes e experiências alternativas nos diferentes aspectos da instituição.</w:t>
      </w:r>
    </w:p>
    <w:p>
      <w:pPr>
        <w:pStyle w:val="BodyText"/>
        <w:spacing w:line="360" w:lineRule="auto" w:before="2"/>
        <w:ind w:left="308" w:right="118" w:firstLine="705"/>
        <w:jc w:val="both"/>
      </w:pPr>
      <w:r>
        <w:rPr/>
        <w:t>Ainda sobre espírito empreendedor, os dados mostraram que a diretora da escola é uma referência em atitude resiliente e também inspiradora dos membros da equipe escolar, conforme a fala das mães, avós e alunos que demonstraram o reconhecimento e a admiração pela liderança que desenvolve e pelo empenho na resolução dos problemas da escola.</w:t>
      </w:r>
    </w:p>
    <w:p>
      <w:pPr>
        <w:pStyle w:val="BodyText"/>
        <w:spacing w:line="360" w:lineRule="auto" w:before="7"/>
        <w:ind w:left="308" w:right="103" w:firstLine="705"/>
        <w:jc w:val="right"/>
      </w:pPr>
      <w:r>
        <w:rPr/>
        <w:t>Com base nesses dados, afirma-se que a diretora da escola</w:t>
      </w:r>
      <w:r>
        <w:rPr>
          <w:spacing w:val="23"/>
        </w:rPr>
        <w:t> </w:t>
      </w:r>
      <w:r>
        <w:rPr/>
        <w:t>apresenta</w:t>
      </w:r>
      <w:r>
        <w:rPr>
          <w:spacing w:val="9"/>
        </w:rPr>
        <w:t> </w:t>
      </w:r>
      <w:r>
        <w:rPr>
          <w:spacing w:val="2"/>
        </w:rPr>
        <w:t>um</w:t>
      </w:r>
      <w:r>
        <w:rPr>
          <w:w w:val="99"/>
        </w:rPr>
        <w:t> </w:t>
      </w:r>
      <w:r>
        <w:rPr/>
        <w:t>perfil semelhante ao que a identifica como uma líder criativa, cuja</w:t>
      </w:r>
      <w:r>
        <w:rPr>
          <w:spacing w:val="-29"/>
        </w:rPr>
        <w:t> </w:t>
      </w:r>
      <w:r>
        <w:rPr/>
        <w:t>atuação</w:t>
      </w:r>
      <w:r>
        <w:rPr>
          <w:spacing w:val="-3"/>
        </w:rPr>
        <w:t> </w:t>
      </w:r>
      <w:r>
        <w:rPr/>
        <w:t>envolve</w:t>
      </w:r>
      <w:r>
        <w:rPr>
          <w:w w:val="99"/>
        </w:rPr>
        <w:t> </w:t>
      </w:r>
      <w:r>
        <w:rPr/>
        <w:t>a capacidade criadora, o desenvolvimento da empatia e as</w:t>
      </w:r>
      <w:r>
        <w:rPr>
          <w:spacing w:val="33"/>
        </w:rPr>
        <w:t> </w:t>
      </w:r>
      <w:r>
        <w:rPr/>
        <w:t>condições</w:t>
      </w:r>
      <w:r>
        <w:rPr>
          <w:spacing w:val="32"/>
        </w:rPr>
        <w:t> </w:t>
      </w:r>
      <w:r>
        <w:rPr/>
        <w:t>de</w:t>
      </w:r>
      <w:r>
        <w:rPr>
          <w:w w:val="99"/>
        </w:rPr>
        <w:t> </w:t>
      </w:r>
      <w:r>
        <w:rPr/>
        <w:t>participação dos diferentes atores. Assim como, a habilidade de</w:t>
      </w:r>
      <w:r>
        <w:rPr>
          <w:spacing w:val="13"/>
        </w:rPr>
        <w:t> </w:t>
      </w:r>
      <w:r>
        <w:rPr/>
        <w:t>compartilhar,</w:t>
      </w:r>
      <w:r>
        <w:rPr>
          <w:spacing w:val="13"/>
        </w:rPr>
        <w:t> </w:t>
      </w:r>
      <w:r>
        <w:rPr/>
        <w:t>de</w:t>
      </w:r>
      <w:r>
        <w:rPr>
          <w:w w:val="99"/>
        </w:rPr>
        <w:t> </w:t>
      </w:r>
      <w:r>
        <w:rPr/>
        <w:t>consultar e de promover a interação entre os membros da equipe</w:t>
      </w:r>
      <w:r>
        <w:rPr>
          <w:spacing w:val="-32"/>
        </w:rPr>
        <w:t> </w:t>
      </w:r>
      <w:r>
        <w:rPr/>
        <w:t>(TOORE,</w:t>
      </w:r>
      <w:r>
        <w:rPr>
          <w:spacing w:val="-2"/>
        </w:rPr>
        <w:t> </w:t>
      </w:r>
      <w:r>
        <w:rPr/>
        <w:t>2009).</w:t>
      </w:r>
      <w:r>
        <w:rPr>
          <w:w w:val="100"/>
        </w:rPr>
        <w:t> </w:t>
      </w:r>
      <w:r>
        <w:rPr/>
        <w:t>Ser resiliente, neste contexto, significa ser capaz de</w:t>
      </w:r>
      <w:r>
        <w:rPr>
          <w:spacing w:val="25"/>
        </w:rPr>
        <w:t> </w:t>
      </w:r>
      <w:r>
        <w:rPr/>
        <w:t>administrar</w:t>
      </w:r>
      <w:r>
        <w:rPr>
          <w:spacing w:val="17"/>
        </w:rPr>
        <w:t> </w:t>
      </w:r>
      <w:r>
        <w:rPr/>
        <w:t>situações difíceis e adversas sem se deixar levar por elas. Para Suanno (2013),</w:t>
      </w:r>
      <w:r>
        <w:rPr>
          <w:spacing w:val="58"/>
        </w:rPr>
        <w:t> </w:t>
      </w:r>
      <w:r>
        <w:rPr/>
        <w:t>são</w:t>
      </w:r>
      <w:r>
        <w:rPr>
          <w:spacing w:val="4"/>
        </w:rPr>
        <w:t> </w:t>
      </w:r>
      <w:r>
        <w:rPr/>
        <w:t>nesses tipos de ações que se encontram os comportamentos que provocam  </w:t>
      </w:r>
      <w:r>
        <w:rPr>
          <w:spacing w:val="8"/>
        </w:rPr>
        <w:t> </w:t>
      </w:r>
      <w:r>
        <w:rPr/>
        <w:t>renovações</w:t>
      </w:r>
    </w:p>
    <w:p>
      <w:pPr>
        <w:pStyle w:val="BodyText"/>
        <w:spacing w:before="7"/>
        <w:ind w:left="308"/>
        <w:jc w:val="both"/>
      </w:pPr>
      <w:r>
        <w:rPr/>
        <w:t>e transformações constantes e contínuas nas instituições.</w:t>
      </w:r>
    </w:p>
    <w:p>
      <w:pPr>
        <w:pStyle w:val="BodyText"/>
        <w:spacing w:line="360" w:lineRule="auto" w:before="137"/>
        <w:ind w:left="308" w:right="102" w:firstLine="705"/>
        <w:jc w:val="both"/>
      </w:pPr>
      <w:r>
        <w:rPr/>
        <w:t>A resiliência é, na verdade, um grande vetor de mudanças e de atitudes empreendedoras, porque se refere à ação do sujeito que articula teoria e prática para identificar oportunidades e criar algo inovador. Nesse aspecto, a práxis criadora da Escola Municipal Orlindo Pereira da Mota agrega características semelhantes às do processo e funcionamento das escolas criativas, tais como: conhecimento de forças e debilidades, adaptações ás condições e contextos, combinação de racionalidade e intuição, previsão das dificuldades e problemas, valorização das contribuições dos seus membros e avaliação permanente. (TORRE, 2009).</w:t>
      </w:r>
    </w:p>
    <w:p>
      <w:pPr>
        <w:pStyle w:val="BodyText"/>
        <w:spacing w:line="360" w:lineRule="auto" w:before="3"/>
        <w:ind w:left="308" w:right="112" w:firstLine="705"/>
        <w:jc w:val="both"/>
      </w:pPr>
      <w:r>
        <w:rPr/>
        <w:t>Nesse sentindo, foi possível observar as implicações dessas características na organização do trabalho educativo e na prática pedagógica dos professores da escola. Conforme análise do PPP, elas estão relacionadas ao planejamento sistêmico, que contribui com a visão de totalidade a partir da organização do trabalho pedagógico, quer seja no sentido do espaço e do tempo na escola, quer na sistematização dos saberes na da sala de aula, ou ainda, na definição dos laços de reciprocidade e colaboração entre os membros da equipe escolar.</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5" w:firstLine="705"/>
        <w:jc w:val="both"/>
      </w:pPr>
      <w:r>
        <w:rPr/>
        <w:t>Com efeito, a minimização dos problemas, o fortalecimento das relações, a melhoria do processo ensino aprendizagem e o crescimento interno da comunidade escolar, são alguns indicativos dos resultados positivos em relação a esse quesito.</w:t>
      </w:r>
    </w:p>
    <w:p>
      <w:pPr>
        <w:pStyle w:val="BodyText"/>
        <w:spacing w:line="360" w:lineRule="auto" w:before="2"/>
        <w:ind w:left="308" w:right="112" w:firstLine="705"/>
        <w:jc w:val="both"/>
      </w:pPr>
      <w:r>
        <w:rPr/>
        <w:t>Ao tomar por base as análises apresentadas no percurso desse texto, conclui-se nesse trabalho que as práticas educativas desenvolvidas pela Escola Municipal Orlindo Pereira da Mota são semelhantes aquelas que caracterizam </w:t>
      </w:r>
      <w:r>
        <w:rPr>
          <w:spacing w:val="-3"/>
        </w:rPr>
        <w:t>uma </w:t>
      </w:r>
      <w:r>
        <w:rPr/>
        <w:t>escola como criativa, principalmente porque as atividades educativas que desenvolve são coerentes com o projeto político</w:t>
      </w:r>
      <w:r>
        <w:rPr>
          <w:spacing w:val="-24"/>
        </w:rPr>
        <w:t> </w:t>
      </w:r>
      <w:r>
        <w:rPr/>
        <w:t>pedagógico.</w:t>
      </w:r>
    </w:p>
    <w:p>
      <w:pPr>
        <w:pStyle w:val="BodyText"/>
        <w:spacing w:line="360" w:lineRule="auto" w:before="7"/>
        <w:ind w:left="308" w:right="105" w:firstLine="705"/>
        <w:jc w:val="both"/>
      </w:pPr>
      <w:r>
        <w:rPr/>
        <w:t>E nesse aspecto, embora a referida escola não contemple a abordagem sobre a complexidade no texto do PPP, a mesma compreende o pensamento complexo como paradigma norteador, como referencial adequado para pensar a instituição, principalmente a partir dos princípios dialógicos, recursivos e hologramáticos, que possibilitam conceber as escolas criativas como sistemas abertos, adaptativos, interativos e com capacidade de autodesenvolvimento (TORRE, 2009).</w:t>
      </w:r>
    </w:p>
    <w:p>
      <w:pPr>
        <w:pStyle w:val="BodyText"/>
        <w:spacing w:line="360" w:lineRule="auto" w:before="2"/>
        <w:ind w:left="308" w:right="110" w:firstLine="705"/>
        <w:jc w:val="both"/>
      </w:pPr>
      <w:r>
        <w:rPr/>
        <w:t>Com esse entendimento, o pensamento complexo foi identificado na consciência que a Escola Municipal Orlindo Pereira da Mota possui sobre o seu papel como uma instituição social e educativa, a partir da interação dinâmica e colaborativa de seus membros, da valorização, da multidimensionalidade das pessoas e da multirreferencialidade do ensino.</w:t>
      </w:r>
    </w:p>
    <w:p>
      <w:pPr>
        <w:pStyle w:val="BodyText"/>
        <w:spacing w:line="360" w:lineRule="auto" w:before="2"/>
        <w:ind w:left="308" w:right="113" w:firstLine="705"/>
        <w:jc w:val="both"/>
      </w:pPr>
      <w:r>
        <w:rPr/>
        <w:t>Outro aspecto que ficou evidente foi o caráter dialógico da equipe gestora ao fortalecer a autonomia interna da escola e construir uma identidade coletiva, a despeito da dependência política e financeira que possui em relação aos órgãos públicos a que está vinculada.</w:t>
      </w:r>
    </w:p>
    <w:p>
      <w:pPr>
        <w:pStyle w:val="BodyText"/>
        <w:spacing w:line="360" w:lineRule="auto" w:before="2"/>
        <w:ind w:left="308" w:right="106" w:firstLine="705"/>
        <w:jc w:val="both"/>
      </w:pPr>
      <w:r>
        <w:rPr/>
        <w:t>Ao se estabelecer, na unidade interna, a escola adquire autoconfiança e independência para que a dependência aos órgãos de vinculação administrativa não a impeça de articular a convivência com os opostos ou divergências. Outro ponto que merece destaque a esse respeito, é o amadurecimento do trabalho coletivo na escola, que utiliza o diálogo como referência para administrar consensos ou convergências de ideias, ou das relações professor aluno, cujos indicativos das entrevistas mostram interações dialogantes nas resoluções de problemas na sala de aula. (ANTUNES DE SÁ, 2013).</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06" w:firstLine="705"/>
        <w:jc w:val="both"/>
      </w:pPr>
      <w:r>
        <w:rPr/>
        <w:t>O princípio recursivo ou autopoiético se apresenta nas  interações mediadas pelas práticas pedagógicas diferenciadas que escola costuma desenvolver. Ao estabelecer estratégias para aproximar os pais da escola e os alunos da sala de aula, a escola desencadeou um conjunto de atividades que atingiu pais e alunos, e estes não só </w:t>
      </w:r>
      <w:r>
        <w:rPr>
          <w:spacing w:val="-3"/>
        </w:rPr>
        <w:t>se </w:t>
      </w:r>
      <w:r>
        <w:rPr/>
        <w:t>aproximaram como se tornaram parceiros e divulgadores do trabalho da escola, conforme dados da pesquisa. Nesse  sentido, os efeitos retroagiram para escola na forma de aproximação da família ou por redução de um índice de reprovação em </w:t>
      </w:r>
      <w:r>
        <w:rPr>
          <w:spacing w:val="-3"/>
        </w:rPr>
        <w:t>uma </w:t>
      </w:r>
      <w:r>
        <w:rPr/>
        <w:t>disciplina considerada</w:t>
      </w:r>
      <w:r>
        <w:rPr>
          <w:spacing w:val="-24"/>
        </w:rPr>
        <w:t> </w:t>
      </w:r>
      <w:r>
        <w:rPr/>
        <w:t>crítica.</w:t>
      </w:r>
    </w:p>
    <w:p>
      <w:pPr>
        <w:pStyle w:val="BodyText"/>
        <w:spacing w:line="360" w:lineRule="auto" w:before="2"/>
        <w:ind w:left="308" w:right="103" w:firstLine="710"/>
        <w:jc w:val="both"/>
      </w:pPr>
      <w:r>
        <w:rPr/>
        <w:t>E por fim, o princípio hologramático pode ser identificado na superação da fragmentação do conhecimento por meio das práticas de projetos interdisciplinares, que à medida que provocam reorganização teoria e prática devolvem a visão de totalidade (CUNHA, 2009), que é um pressuposto necessário para contextualizar o ensino, dar sentido aos fenômenos isolados e provocar a ruptura com a forma tradicional de ensinar e de aprender. Acredita-se que esses movimentos de interdisciplinaridade existentes na escola colaboram para uma aproximação mais aberta e dialogal dos conhecimentos escolares.</w:t>
      </w:r>
    </w:p>
    <w:p>
      <w:pPr>
        <w:pStyle w:val="BodyText"/>
        <w:spacing w:line="360" w:lineRule="auto" w:before="2"/>
        <w:ind w:left="308" w:right="107" w:firstLine="710"/>
        <w:jc w:val="both"/>
      </w:pPr>
      <w:r>
        <w:rPr/>
        <w:t>Ainda no sentindo de responder as questões de pesquisa, convém apontar que as práticas criativas identificadas na Escola Municipal Orlindo Pereira  da Mota, são realmente inovadoras. Com bases nos dados expostos até aqui e referenciadas nos estudos realizados por Cunha (2004, 2006), a inovação na escola investigada está presente: a) na ruptura nas formas de ensinar e aprender;</w:t>
      </w:r>
    </w:p>
    <w:p>
      <w:pPr>
        <w:pStyle w:val="BodyText"/>
        <w:spacing w:line="360" w:lineRule="auto" w:before="2"/>
        <w:ind w:left="308" w:right="116"/>
        <w:jc w:val="both"/>
      </w:pPr>
      <w:r>
        <w:rPr/>
        <w:t>b) na gestão participativa que possibilita o envolvimento dos agentes educativos nos processos decisórios; c) na reorganização da teoria e prática; d) no conhecimento que envolve as relações subjetivas entre os sujeitos; e) na valorização da produção pessoal.</w:t>
      </w:r>
    </w:p>
    <w:p>
      <w:pPr>
        <w:pStyle w:val="BodyText"/>
        <w:spacing w:line="360" w:lineRule="auto" w:before="2"/>
        <w:ind w:left="308" w:right="111" w:firstLine="710"/>
        <w:jc w:val="both"/>
      </w:pPr>
      <w:r>
        <w:rPr/>
        <w:t>Os elementos de inovação apresentados supõem uma situação de ruptura com a prática anterior, partindo do conhecimento já existente nas circunstâncias concretas (ROCHA; PINTO E PINHO, 2013), que segundo Demo (2000), implica em situações de construção, desconstrução e reconstrução do conhecimento. Assim, sendo, pode-se afirmar, a partir dessa perspectiva, que a inovação presente nas práticas observadas está relacionada a uma ação consciente que permeia as práticas educativas criativas desenvolvidas pela escola, por meio do planejamento sistêmico que a possibilita tecer novas expectativas a partir do diálogo com os saberes.</w:t>
      </w:r>
    </w:p>
    <w:p>
      <w:pPr>
        <w:spacing w:after="0" w:line="360" w:lineRule="auto"/>
        <w:jc w:val="both"/>
        <w:sectPr>
          <w:pgSz w:w="11910" w:h="16840"/>
          <w:pgMar w:header="1133" w:footer="0" w:top="1340" w:bottom="280" w:left="1680" w:right="1020"/>
        </w:sectPr>
      </w:pPr>
    </w:p>
    <w:p>
      <w:pPr>
        <w:pStyle w:val="BodyText"/>
        <w:spacing w:before="3"/>
        <w:rPr>
          <w:sz w:val="21"/>
        </w:rPr>
      </w:pPr>
    </w:p>
    <w:p>
      <w:pPr>
        <w:pStyle w:val="BodyText"/>
        <w:spacing w:line="360" w:lineRule="auto" w:before="92"/>
        <w:ind w:left="308" w:right="126" w:firstLine="710"/>
        <w:jc w:val="both"/>
      </w:pPr>
      <w:r>
        <w:rPr/>
        <w:t>Nesse aspecto, acredita-se que Escola Municipal Orlindo Pereira da Mota tem contribuído de forma significativa para superação da fragmentação do conhecimento por meio de práticas criativas. E à medida que amplia a sua consciência estabelece novas relações e interações com os sujeitos e com o conhecimento.</w:t>
      </w:r>
    </w:p>
    <w:p>
      <w:pPr>
        <w:pStyle w:val="BodyText"/>
        <w:spacing w:line="360" w:lineRule="auto" w:before="7"/>
        <w:ind w:left="308" w:right="123" w:firstLine="705"/>
        <w:jc w:val="both"/>
      </w:pPr>
      <w:r>
        <w:rPr/>
        <w:t>Dessa forma, o resultado desse percurso permite relacionar as questões que foram pontuadas a partir de algumas reflexões que a pesquisadora considera importante destacar, considerando que:</w:t>
      </w:r>
    </w:p>
    <w:p>
      <w:pPr>
        <w:pStyle w:val="BodyText"/>
        <w:spacing w:line="360" w:lineRule="auto" w:before="2"/>
        <w:ind w:left="308" w:right="125" w:firstLine="705"/>
        <w:jc w:val="both"/>
      </w:pPr>
      <w:r>
        <w:rPr/>
        <w:t>Os consensos que levaram à adoção de uma só forma de conhecimento projetaram na educação um sistema reprodutor, simplificador, que ao longo dos séculos configurou o modo de pensar dos sujeitos e instituiu modelos de ensino fragmentados e de escolas organizadas de forma mecanicista, burocratizadas.</w:t>
      </w:r>
    </w:p>
    <w:p>
      <w:pPr>
        <w:pStyle w:val="BodyText"/>
        <w:spacing w:line="360" w:lineRule="auto" w:before="2"/>
        <w:ind w:left="308" w:right="132" w:firstLine="705"/>
        <w:jc w:val="both"/>
      </w:pPr>
      <w:r>
        <w:rPr/>
        <w:t>A crise de paradigmas atinge todos os setores da vida humana, incluindo a educação e da escola. E esta, diante das rupturas e reconfigurações ocorridas no contexto sócio histórico nas últimas décadas, tem demonstrado dificuldade de adaptar-se às situações e aos saberes que dela emergem, assim como de apresentar uma prática educativa que prepare para esse novo tipo de vida;</w:t>
      </w:r>
    </w:p>
    <w:p>
      <w:pPr>
        <w:pStyle w:val="BodyText"/>
        <w:spacing w:line="360" w:lineRule="auto" w:before="7"/>
        <w:ind w:left="308" w:right="117" w:firstLine="705"/>
        <w:jc w:val="both"/>
      </w:pPr>
      <w:r>
        <w:rPr/>
        <w:t>A teoria da complexidade e os estudos sobre criatividade são exemplos de referências conceituais que apresentam mudanças na forma de conceber o conhecimento e o ensino. Ambas sugerem mudanças conceituais e de princípios para superação da visão descontextualizada e simplificadora da realidade em favor do despertar da consciência em relação aos padrões de percepção sobre a realidade e do estímulo à religação dos saberes;</w:t>
      </w:r>
    </w:p>
    <w:p>
      <w:pPr>
        <w:pStyle w:val="BodyText"/>
        <w:spacing w:line="360" w:lineRule="auto" w:before="3"/>
        <w:ind w:left="308" w:right="126" w:firstLine="705"/>
        <w:jc w:val="both"/>
      </w:pPr>
      <w:r>
        <w:rPr/>
        <w:t>O pensar complexo estimula à práxis educativa, </w:t>
      </w:r>
      <w:r>
        <w:rPr>
          <w:spacing w:val="-3"/>
        </w:rPr>
        <w:t>uma </w:t>
      </w:r>
      <w:r>
        <w:rPr/>
        <w:t>atividade consciente  e transformadora de circunstâncias que concebe a realidade como processo dinâmico, o sujeito como ser social e contextualizado e a escola como uma instituição social</w:t>
      </w:r>
      <w:r>
        <w:rPr>
          <w:spacing w:val="-15"/>
        </w:rPr>
        <w:t> </w:t>
      </w:r>
      <w:r>
        <w:rPr/>
        <w:t>transformadora;</w:t>
      </w:r>
    </w:p>
    <w:p>
      <w:pPr>
        <w:pStyle w:val="BodyText"/>
        <w:spacing w:line="360" w:lineRule="auto" w:before="3"/>
        <w:ind w:left="308" w:right="127" w:firstLine="705"/>
        <w:jc w:val="both"/>
      </w:pPr>
      <w:r>
        <w:rPr/>
        <w:t>A criatividade, no contexto escolar, configurar-se como a capacidade que os agentes educativos possuem de organizar as experiências vividas, realizando, com bases </w:t>
      </w:r>
      <w:r>
        <w:rPr>
          <w:spacing w:val="2"/>
        </w:rPr>
        <w:t>em </w:t>
      </w:r>
      <w:r>
        <w:rPr/>
        <w:t>situações cotidianas, novas combinações de valores, conceitos, projetos e inovações, que possibilitem tanto o crescimento individual quanto o institucional, caracterizando assim a práxis</w:t>
      </w:r>
      <w:r>
        <w:rPr>
          <w:spacing w:val="-16"/>
        </w:rPr>
        <w:t> </w:t>
      </w:r>
      <w:r>
        <w:rPr/>
        <w:t>criadora;</w:t>
      </w:r>
    </w:p>
    <w:p>
      <w:pPr>
        <w:pStyle w:val="BodyText"/>
        <w:spacing w:line="360" w:lineRule="auto" w:before="2"/>
        <w:ind w:left="308" w:right="133" w:firstLine="705"/>
        <w:jc w:val="both"/>
      </w:pPr>
      <w:r>
        <w:rPr/>
        <w:t>Conclui-se nesse estudo que as escolas criativas são instituições que, mesmo  ainda  expostas  às  condições  de  reprodução  das  relações  sociais da</w:t>
      </w:r>
    </w:p>
    <w:p>
      <w:pPr>
        <w:spacing w:after="0" w:line="360" w:lineRule="auto"/>
        <w:jc w:val="both"/>
        <w:sectPr>
          <w:pgSz w:w="11910" w:h="16840"/>
          <w:pgMar w:header="1133" w:footer="0" w:top="1340" w:bottom="280" w:left="1680" w:right="1000"/>
        </w:sectPr>
      </w:pPr>
    </w:p>
    <w:p>
      <w:pPr>
        <w:pStyle w:val="BodyText"/>
        <w:spacing w:before="3"/>
        <w:rPr>
          <w:sz w:val="21"/>
        </w:rPr>
      </w:pPr>
    </w:p>
    <w:p>
      <w:pPr>
        <w:pStyle w:val="BodyText"/>
        <w:spacing w:line="360" w:lineRule="auto" w:before="92"/>
        <w:ind w:left="308" w:right="102"/>
        <w:jc w:val="both"/>
      </w:pPr>
      <w:r>
        <w:rPr/>
        <w:t>produção e ás contingências da transição paradigmática, conseguem, a partir da própria realidade pedagógica, dialogar com as necessidades individuais, sociais e ambientais da sociedade atual, por meio da articulação da criatividade e inovação, que lhe possibilita a realização de estratégias diferenciadas, integradoras e transformadoras que superam a fragmentação do conhecimento e promovem a religação dos saberes.</w:t>
      </w:r>
    </w:p>
    <w:p>
      <w:pPr>
        <w:spacing w:after="0" w:line="360" w:lineRule="auto"/>
        <w:jc w:val="both"/>
        <w:sectPr>
          <w:pgSz w:w="11910" w:h="16840"/>
          <w:pgMar w:header="1133" w:footer="0" w:top="1340" w:bottom="280" w:left="1680" w:right="1020"/>
        </w:sectPr>
      </w:pPr>
    </w:p>
    <w:p>
      <w:pPr>
        <w:pStyle w:val="BodyText"/>
        <w:spacing w:before="10"/>
        <w:rPr>
          <w:sz w:val="20"/>
        </w:rPr>
      </w:pPr>
    </w:p>
    <w:p>
      <w:pPr>
        <w:pStyle w:val="Heading3"/>
        <w:ind w:left="385" w:right="190"/>
        <w:jc w:val="center"/>
      </w:pPr>
      <w:bookmarkStart w:name="_TOC_250000" w:id="17"/>
      <w:bookmarkEnd w:id="17"/>
      <w:r>
        <w:rPr/>
        <w:t>REFERÊNCIAS</w:t>
      </w:r>
    </w:p>
    <w:p>
      <w:pPr>
        <w:pStyle w:val="BodyText"/>
        <w:rPr>
          <w:b/>
          <w:sz w:val="26"/>
        </w:rPr>
      </w:pPr>
    </w:p>
    <w:p>
      <w:pPr>
        <w:pStyle w:val="BodyText"/>
        <w:rPr>
          <w:b/>
          <w:sz w:val="26"/>
        </w:rPr>
      </w:pPr>
    </w:p>
    <w:p>
      <w:pPr>
        <w:pStyle w:val="BodyText"/>
        <w:spacing w:before="1"/>
        <w:rPr>
          <w:b/>
          <w:sz w:val="32"/>
        </w:rPr>
      </w:pPr>
    </w:p>
    <w:p>
      <w:pPr>
        <w:spacing w:line="242" w:lineRule="auto" w:before="0"/>
        <w:ind w:left="308" w:right="100" w:firstLine="0"/>
        <w:jc w:val="both"/>
        <w:rPr>
          <w:sz w:val="24"/>
        </w:rPr>
      </w:pPr>
      <w:r>
        <w:rPr>
          <w:sz w:val="24"/>
        </w:rPr>
        <w:t>ALBUQUERQUE, Jacirene Vasconcelos de. </w:t>
      </w:r>
      <w:r>
        <w:rPr>
          <w:b/>
          <w:sz w:val="24"/>
        </w:rPr>
        <w:t>Programa de interiorização do curso de formação de professores para pré-escolar e 1ª a 4ª série do ensino fundamental da Universidade do Estado do Pará em meio às políticas de formação de professores (as)</w:t>
      </w:r>
      <w:r>
        <w:rPr>
          <w:sz w:val="24"/>
        </w:rPr>
        <w:t>. Dissertação (Mestrado) - Universidade Federal  do Pará, Centro de Educação, Belém, 2007. Programa de Pós-Graduação em Educação.        Disponível   </w:t>
      </w:r>
      <w:r>
        <w:rPr>
          <w:spacing w:val="-3"/>
          <w:sz w:val="24"/>
        </w:rPr>
        <w:t>em: </w:t>
      </w:r>
      <w:r>
        <w:rPr>
          <w:spacing w:val="40"/>
          <w:sz w:val="24"/>
        </w:rPr>
        <w:t> </w:t>
      </w:r>
      <w:r>
        <w:rPr>
          <w:sz w:val="24"/>
        </w:rPr>
        <w:t>&lt;</w:t>
      </w:r>
      <w:hyperlink r:id="rId25">
        <w:r>
          <w:rPr>
            <w:sz w:val="24"/>
          </w:rPr>
          <w:t>http://www.repositorio.ufpa.br/jspui/handle/2011</w:t>
        </w:r>
      </w:hyperlink>
    </w:p>
    <w:p>
      <w:pPr>
        <w:pStyle w:val="BodyText"/>
        <w:spacing w:line="271" w:lineRule="exact"/>
        <w:ind w:left="308"/>
        <w:jc w:val="both"/>
      </w:pPr>
      <w:hyperlink r:id="rId25">
        <w:r>
          <w:rPr/>
          <w:t>/1701</w:t>
        </w:r>
      </w:hyperlink>
      <w:r>
        <w:rPr/>
        <w:t>&gt;. Acesso em 15 jun. 2014.</w:t>
      </w:r>
    </w:p>
    <w:p>
      <w:pPr>
        <w:pStyle w:val="BodyText"/>
      </w:pPr>
    </w:p>
    <w:p>
      <w:pPr>
        <w:spacing w:line="240" w:lineRule="auto" w:before="0"/>
        <w:ind w:left="308" w:right="103" w:firstLine="0"/>
        <w:jc w:val="both"/>
        <w:rPr>
          <w:sz w:val="24"/>
        </w:rPr>
      </w:pPr>
      <w:r>
        <w:rPr>
          <w:sz w:val="24"/>
        </w:rPr>
        <w:t>ALMEIDA, Luiz Henrique Touguinha de. Paradigmas, sociedades e educação. </w:t>
      </w:r>
      <w:r>
        <w:rPr>
          <w:b/>
          <w:sz w:val="24"/>
        </w:rPr>
        <w:t>Revista Triângulo - Ensino, Pesquisa e Extensão</w:t>
      </w:r>
      <w:r>
        <w:rPr>
          <w:sz w:val="24"/>
        </w:rPr>
        <w:t>, v. 2, p. 109-124, 2009. Uberaba, v. 2. n. 2, p. 109-124, Jul./Dez. 2009.</w:t>
      </w:r>
    </w:p>
    <w:p>
      <w:pPr>
        <w:pStyle w:val="BodyText"/>
        <w:spacing w:before="6"/>
        <w:rPr>
          <w:sz w:val="23"/>
        </w:rPr>
      </w:pPr>
    </w:p>
    <w:p>
      <w:pPr>
        <w:spacing w:line="247" w:lineRule="auto" w:before="0"/>
        <w:ind w:left="308" w:right="103" w:firstLine="0"/>
        <w:jc w:val="both"/>
        <w:rPr>
          <w:sz w:val="24"/>
        </w:rPr>
      </w:pPr>
      <w:r>
        <w:rPr>
          <w:sz w:val="24"/>
        </w:rPr>
        <w:t>ALVES, Gilberto Luiz. </w:t>
      </w:r>
      <w:r>
        <w:rPr>
          <w:b/>
          <w:sz w:val="24"/>
        </w:rPr>
        <w:t>A produção da escola pública contemporânea</w:t>
      </w:r>
      <w:r>
        <w:rPr>
          <w:sz w:val="24"/>
        </w:rPr>
        <w:t>. São Paulo: Autores Associados, 2005.</w:t>
      </w:r>
    </w:p>
    <w:p>
      <w:pPr>
        <w:pStyle w:val="BodyText"/>
        <w:spacing w:before="2"/>
        <w:rPr>
          <w:sz w:val="23"/>
        </w:rPr>
      </w:pPr>
    </w:p>
    <w:p>
      <w:pPr>
        <w:pStyle w:val="BodyText"/>
        <w:spacing w:before="1"/>
        <w:ind w:left="308" w:right="104"/>
        <w:jc w:val="both"/>
      </w:pPr>
      <w:r>
        <w:rPr/>
        <w:t>AMORIN, Wellington Lima e SILVA, Everaldo daPrática interdisciplinar e o ato criativo. Simpósio Internacional sobre Interdisciplinaridade no Ensino, na Pesquisa e na Extensão – Região </w:t>
      </w:r>
      <w:r>
        <w:rPr>
          <w:spacing w:val="-2"/>
        </w:rPr>
        <w:t>Sul </w:t>
      </w:r>
      <w:r>
        <w:rPr/>
        <w:t>(SIIEPE – Sul), Florianópolis. </w:t>
      </w:r>
      <w:r>
        <w:rPr>
          <w:b/>
        </w:rPr>
        <w:t>Anais. </w:t>
      </w:r>
      <w:r>
        <w:rPr/>
        <w:t>Florianópolis: EGC/UFSC, 2013. [Recurso eletrônico] ISBN 978-85-61115-04-3. Disponível </w:t>
      </w:r>
      <w:r>
        <w:rPr>
          <w:spacing w:val="54"/>
        </w:rPr>
        <w:t> </w:t>
      </w:r>
      <w:r>
        <w:rPr>
          <w:spacing w:val="-3"/>
        </w:rPr>
        <w:t>em:</w:t>
      </w:r>
    </w:p>
    <w:p>
      <w:pPr>
        <w:pStyle w:val="BodyText"/>
        <w:spacing w:before="2"/>
        <w:ind w:left="308"/>
        <w:jc w:val="both"/>
      </w:pPr>
      <w:r>
        <w:rPr/>
        <w:t>&lt;</w:t>
      </w:r>
      <w:hyperlink r:id="rId26">
        <w:r>
          <w:rPr/>
          <w:t>http://www.siiepe.ufsc.br/anais</w:t>
        </w:r>
      </w:hyperlink>
      <w:r>
        <w:rPr/>
        <w:t>&gt;. Acesso em 13 de agosto de 2014.</w:t>
      </w:r>
    </w:p>
    <w:p>
      <w:pPr>
        <w:pStyle w:val="BodyText"/>
        <w:spacing w:before="6"/>
        <w:rPr>
          <w:sz w:val="23"/>
        </w:rPr>
      </w:pPr>
    </w:p>
    <w:p>
      <w:pPr>
        <w:spacing w:line="240" w:lineRule="auto" w:before="0"/>
        <w:ind w:left="308" w:right="105" w:firstLine="0"/>
        <w:jc w:val="both"/>
        <w:rPr>
          <w:sz w:val="24"/>
        </w:rPr>
      </w:pPr>
      <w:r>
        <w:rPr>
          <w:sz w:val="24"/>
        </w:rPr>
        <w:t>ANASTASIOU, L. das G. C., &amp; ALVES, Leonir Pessate (Orgs.). </w:t>
      </w:r>
      <w:r>
        <w:rPr>
          <w:b/>
          <w:sz w:val="24"/>
        </w:rPr>
        <w:t>Processos de ensinagem na universidade</w:t>
      </w:r>
      <w:r>
        <w:rPr>
          <w:sz w:val="24"/>
        </w:rPr>
        <w:t>: pressupostos para as estratégias de trabalho em aula. Joinville: UNIVILLE, 2003.</w:t>
      </w:r>
    </w:p>
    <w:p>
      <w:pPr>
        <w:pStyle w:val="BodyText"/>
        <w:spacing w:before="11"/>
        <w:rPr>
          <w:sz w:val="23"/>
        </w:rPr>
      </w:pPr>
    </w:p>
    <w:p>
      <w:pPr>
        <w:pStyle w:val="BodyText"/>
        <w:ind w:left="308" w:right="105"/>
        <w:jc w:val="both"/>
      </w:pPr>
      <w:r>
        <w:rPr/>
        <w:t>ANTUNES DE SÁ, Ricardo. O projeto político pedagógico da escola: diálogos  com a complexidade. In: SANTOS, Akiko, SUANNO, João Henrique e SUANNO, Marilza Vanessa. </w:t>
      </w:r>
      <w:r>
        <w:rPr>
          <w:b/>
        </w:rPr>
        <w:t>Didática e formação de professores</w:t>
      </w:r>
      <w:r>
        <w:rPr/>
        <w:t>: complexidade e transdisciplinaridade. Porto Alegre: Sulina,</w:t>
      </w:r>
      <w:r>
        <w:rPr>
          <w:spacing w:val="-19"/>
        </w:rPr>
        <w:t> </w:t>
      </w:r>
      <w:r>
        <w:rPr/>
        <w:t>2013.</w:t>
      </w:r>
    </w:p>
    <w:p>
      <w:pPr>
        <w:pStyle w:val="BodyText"/>
        <w:spacing w:before="7"/>
        <w:rPr>
          <w:sz w:val="23"/>
        </w:rPr>
      </w:pPr>
    </w:p>
    <w:p>
      <w:pPr>
        <w:spacing w:line="242" w:lineRule="auto" w:before="0"/>
        <w:ind w:left="308" w:right="105" w:firstLine="0"/>
        <w:jc w:val="both"/>
        <w:rPr>
          <w:sz w:val="24"/>
        </w:rPr>
      </w:pPr>
      <w:r>
        <w:rPr>
          <w:sz w:val="24"/>
        </w:rPr>
        <w:t>ARROYO, Miguel G. (Org.) </w:t>
      </w:r>
      <w:r>
        <w:rPr>
          <w:b/>
          <w:sz w:val="24"/>
        </w:rPr>
        <w:t>Da escola carente a escola possível</w:t>
      </w:r>
      <w:r>
        <w:rPr>
          <w:sz w:val="24"/>
        </w:rPr>
        <w:t>. 3ª ed. São Paulo, SP: Edições Loyola, 1991.</w:t>
      </w:r>
    </w:p>
    <w:p>
      <w:pPr>
        <w:pStyle w:val="BodyText"/>
        <w:spacing w:before="4"/>
        <w:rPr>
          <w:sz w:val="23"/>
        </w:rPr>
      </w:pPr>
    </w:p>
    <w:p>
      <w:pPr>
        <w:spacing w:line="242" w:lineRule="auto" w:before="0"/>
        <w:ind w:left="308" w:right="239" w:firstLine="0"/>
        <w:jc w:val="left"/>
        <w:rPr>
          <w:sz w:val="24"/>
        </w:rPr>
      </w:pPr>
      <w:r>
        <w:rPr>
          <w:sz w:val="24"/>
        </w:rPr>
        <w:t>BARDIN, L. </w:t>
      </w:r>
      <w:r>
        <w:rPr>
          <w:b/>
          <w:sz w:val="24"/>
        </w:rPr>
        <w:t>Análise de Conteúdo</w:t>
      </w:r>
      <w:r>
        <w:rPr>
          <w:sz w:val="24"/>
        </w:rPr>
        <w:t>. Lisboa, Portugal; Edições 70, LDA, 2009. BAUMANN, Zygmund. </w:t>
      </w:r>
      <w:r>
        <w:rPr>
          <w:b/>
          <w:sz w:val="24"/>
        </w:rPr>
        <w:t>Modernidade líquida</w:t>
      </w:r>
      <w:r>
        <w:rPr>
          <w:sz w:val="24"/>
        </w:rPr>
        <w:t>. Rio de Janeiro: Jorge Zahar, 2001.</w:t>
      </w:r>
    </w:p>
    <w:p>
      <w:pPr>
        <w:pStyle w:val="BodyText"/>
        <w:spacing w:before="8"/>
        <w:rPr>
          <w:sz w:val="21"/>
        </w:rPr>
      </w:pPr>
    </w:p>
    <w:p>
      <w:pPr>
        <w:spacing w:line="247" w:lineRule="auto" w:before="0"/>
        <w:ind w:left="308" w:right="104" w:firstLine="0"/>
        <w:jc w:val="both"/>
        <w:rPr>
          <w:sz w:val="24"/>
        </w:rPr>
      </w:pPr>
      <w:r>
        <w:rPr>
          <w:w w:val="100"/>
          <w:sz w:val="24"/>
          <w:u w:val="single"/>
        </w:rPr>
        <w:t> </w:t>
      </w:r>
      <w:r>
        <w:rPr>
          <w:sz w:val="24"/>
          <w:u w:val="single"/>
        </w:rPr>
        <w:t>        </w:t>
      </w:r>
      <w:r>
        <w:rPr>
          <w:sz w:val="24"/>
        </w:rPr>
        <w:t>. </w:t>
      </w:r>
      <w:r>
        <w:rPr>
          <w:b/>
          <w:sz w:val="24"/>
        </w:rPr>
        <w:t>Capitalismo parasitário e outros temas contemporâneo</w:t>
      </w:r>
      <w:r>
        <w:rPr>
          <w:sz w:val="24"/>
        </w:rPr>
        <w:t>s. Tradução Eliana Aguiar. Rio de Janeiro: Jorge Zahar Ed, 2010.</w:t>
      </w:r>
    </w:p>
    <w:p>
      <w:pPr>
        <w:pStyle w:val="BodyText"/>
        <w:spacing w:before="9"/>
        <w:rPr>
          <w:sz w:val="22"/>
        </w:rPr>
      </w:pPr>
    </w:p>
    <w:p>
      <w:pPr>
        <w:pStyle w:val="BodyText"/>
        <w:spacing w:line="242" w:lineRule="auto" w:before="1"/>
        <w:ind w:left="308" w:right="105"/>
        <w:jc w:val="both"/>
      </w:pPr>
      <w:r>
        <w:rPr/>
        <w:t>BEHERENS, Marilda Aparecida. </w:t>
      </w:r>
      <w:r>
        <w:rPr>
          <w:b/>
        </w:rPr>
        <w:t>Paradigmas da Complexidade</w:t>
      </w:r>
      <w:r>
        <w:rPr/>
        <w:t>: Metodologia de Projetos, Contratos Didáticos e Portfólios. Petrópolis, RJ: Vozes, 2006.</w:t>
      </w:r>
    </w:p>
    <w:p>
      <w:pPr>
        <w:pStyle w:val="BodyText"/>
        <w:spacing w:before="9"/>
        <w:rPr>
          <w:sz w:val="23"/>
        </w:rPr>
      </w:pPr>
    </w:p>
    <w:p>
      <w:pPr>
        <w:pStyle w:val="BodyText"/>
        <w:ind w:left="308" w:right="103"/>
        <w:jc w:val="both"/>
      </w:pPr>
      <w:r>
        <w:rPr/>
        <w:t>BELLÓN, Francisco Menchén. Escola Galática, escola criativa transformadora: </w:t>
      </w:r>
      <w:r>
        <w:rPr>
          <w:spacing w:val="-3"/>
        </w:rPr>
        <w:t>uma </w:t>
      </w:r>
      <w:r>
        <w:rPr/>
        <w:t>nova consciência. In: TORRE, Saturnino de la, MAURA, Maria Antonia Pujol e SILVA, Vera Lúcia de Souza. </w:t>
      </w:r>
      <w:r>
        <w:rPr>
          <w:b/>
        </w:rPr>
        <w:t>Inovando na sala de aula</w:t>
      </w:r>
      <w:r>
        <w:rPr/>
        <w:t>: instituições transformadoras.  Blumenau, Nova Letra,</w:t>
      </w:r>
      <w:r>
        <w:rPr>
          <w:spacing w:val="-26"/>
        </w:rPr>
        <w:t> </w:t>
      </w:r>
      <w:r>
        <w:rPr/>
        <w:t>2013.</w:t>
      </w:r>
    </w:p>
    <w:p>
      <w:pPr>
        <w:spacing w:after="0"/>
        <w:jc w:val="both"/>
        <w:sectPr>
          <w:pgSz w:w="11910" w:h="16840"/>
          <w:pgMar w:header="1133" w:footer="0" w:top="1340" w:bottom="280" w:left="1680" w:right="1020"/>
        </w:sectPr>
      </w:pPr>
    </w:p>
    <w:p>
      <w:pPr>
        <w:pStyle w:val="BodyText"/>
        <w:spacing w:before="3"/>
        <w:rPr>
          <w:sz w:val="21"/>
        </w:rPr>
      </w:pPr>
    </w:p>
    <w:p>
      <w:pPr>
        <w:spacing w:line="274" w:lineRule="exact" w:before="98"/>
        <w:ind w:left="308" w:right="104" w:firstLine="0"/>
        <w:jc w:val="both"/>
        <w:rPr>
          <w:sz w:val="24"/>
        </w:rPr>
      </w:pPr>
      <w:r>
        <w:rPr>
          <w:sz w:val="24"/>
        </w:rPr>
        <w:t>BOEIRA, Sérgio Luís; KOSLOWSKI, Adilson Alciomar. Paradigma e disciplina na perspectiva de Kuhn e Morin. </w:t>
      </w:r>
      <w:r>
        <w:rPr>
          <w:b/>
          <w:sz w:val="24"/>
        </w:rPr>
        <w:t>Revista Internacional Interdisciplinar INTERthesis</w:t>
      </w:r>
      <w:r>
        <w:rPr>
          <w:sz w:val="24"/>
        </w:rPr>
        <w:t>, Florianópolis, v. 6, n. 1, p. 90-115, Jan./Jul. 2009. Disponível em</w:t>
      </w:r>
    </w:p>
    <w:p>
      <w:pPr>
        <w:pStyle w:val="BodyText"/>
        <w:spacing w:line="274" w:lineRule="exact" w:before="9"/>
        <w:ind w:left="308" w:right="109"/>
        <w:jc w:val="both"/>
      </w:pPr>
      <w:r>
        <w:rPr/>
        <w:t>&lt;</w:t>
      </w:r>
      <w:hyperlink r:id="rId27">
        <w:r>
          <w:rPr>
            <w:u w:val="single"/>
          </w:rPr>
          <w:t>http://filosofia. projectos.esffl.pt/ TKhun/Paradigmas_Khun.pdf</w:t>
        </w:r>
      </w:hyperlink>
      <w:r>
        <w:rPr>
          <w:u w:val="single"/>
        </w:rPr>
        <w:t>&gt;</w:t>
      </w:r>
      <w:r>
        <w:rPr/>
        <w:t>. Acesso em 10 fev. 2014.</w:t>
      </w:r>
    </w:p>
    <w:p>
      <w:pPr>
        <w:pStyle w:val="BodyText"/>
        <w:spacing w:before="2"/>
        <w:rPr>
          <w:sz w:val="23"/>
        </w:rPr>
      </w:pPr>
    </w:p>
    <w:p>
      <w:pPr>
        <w:spacing w:line="247" w:lineRule="auto" w:before="0"/>
        <w:ind w:left="308" w:right="107" w:firstLine="0"/>
        <w:jc w:val="both"/>
        <w:rPr>
          <w:sz w:val="24"/>
        </w:rPr>
      </w:pPr>
      <w:r>
        <w:rPr>
          <w:sz w:val="24"/>
        </w:rPr>
        <w:t>BOGDAN, Robert; BIKLEN, Sari. </w:t>
      </w:r>
      <w:r>
        <w:rPr>
          <w:b/>
          <w:sz w:val="24"/>
        </w:rPr>
        <w:t>Investigação qualitativa em educação</w:t>
      </w:r>
      <w:r>
        <w:rPr>
          <w:sz w:val="24"/>
        </w:rPr>
        <w:t>: uma introdução à teoria e aos métodos. Porto: Porto Editora, 1994.</w:t>
      </w:r>
    </w:p>
    <w:p>
      <w:pPr>
        <w:pStyle w:val="BodyText"/>
        <w:spacing w:before="3"/>
        <w:rPr>
          <w:sz w:val="23"/>
        </w:rPr>
      </w:pPr>
    </w:p>
    <w:p>
      <w:pPr>
        <w:pStyle w:val="BodyText"/>
        <w:ind w:left="308" w:right="104"/>
        <w:jc w:val="both"/>
      </w:pPr>
      <w:r>
        <w:rPr/>
        <w:t>BRZEZINSKI, Iria. Profissão professor: identidade e profissionalização docente.  In: BRZEZINSKI, Iria (org.). </w:t>
      </w:r>
      <w:r>
        <w:rPr>
          <w:b/>
        </w:rPr>
        <w:t>Profissão professor</w:t>
      </w:r>
      <w:r>
        <w:rPr/>
        <w:t>: identidade e profissionalização docente. Brasília: Plano</w:t>
      </w:r>
      <w:r>
        <w:rPr>
          <w:spacing w:val="-16"/>
        </w:rPr>
        <w:t> </w:t>
      </w:r>
      <w:r>
        <w:rPr/>
        <w:t>Editora,2002.</w:t>
      </w:r>
    </w:p>
    <w:p>
      <w:pPr>
        <w:pStyle w:val="BodyText"/>
        <w:spacing w:before="6"/>
        <w:rPr>
          <w:sz w:val="23"/>
        </w:rPr>
      </w:pPr>
    </w:p>
    <w:p>
      <w:pPr>
        <w:spacing w:before="0"/>
        <w:ind w:left="308" w:right="0" w:firstLine="0"/>
        <w:jc w:val="both"/>
        <w:rPr>
          <w:sz w:val="24"/>
        </w:rPr>
      </w:pPr>
      <w:r>
        <w:rPr>
          <w:sz w:val="24"/>
        </w:rPr>
        <w:t>CAMBI, Franco. </w:t>
      </w:r>
      <w:r>
        <w:rPr>
          <w:b/>
          <w:sz w:val="24"/>
        </w:rPr>
        <w:t>História da Pedagogia</w:t>
      </w:r>
      <w:r>
        <w:rPr>
          <w:sz w:val="24"/>
        </w:rPr>
        <w:t>. São Paulo, UNESP, 1999.</w:t>
      </w:r>
    </w:p>
    <w:p>
      <w:pPr>
        <w:pStyle w:val="BodyText"/>
        <w:spacing w:before="4"/>
        <w:rPr>
          <w:sz w:val="25"/>
        </w:rPr>
      </w:pPr>
    </w:p>
    <w:p>
      <w:pPr>
        <w:spacing w:line="268" w:lineRule="exact" w:before="0"/>
        <w:ind w:left="308" w:right="103" w:firstLine="0"/>
        <w:jc w:val="both"/>
        <w:rPr>
          <w:b/>
          <w:sz w:val="24"/>
        </w:rPr>
      </w:pPr>
      <w:r>
        <w:rPr>
          <w:sz w:val="24"/>
        </w:rPr>
        <w:t>CARAÇA, João. Um discurso sobre ciências passadas e presentes. In: SANTOS, Boaventura de Souza (Org.). </w:t>
      </w:r>
      <w:r>
        <w:rPr>
          <w:b/>
          <w:sz w:val="24"/>
        </w:rPr>
        <w:t>Conhecimento prudente para uma vida   decente.</w:t>
      </w:r>
    </w:p>
    <w:p>
      <w:pPr>
        <w:pStyle w:val="ListParagraph"/>
        <w:numPr>
          <w:ilvl w:val="0"/>
          <w:numId w:val="1"/>
        </w:numPr>
        <w:tabs>
          <w:tab w:pos="577" w:val="left" w:leader="none"/>
        </w:tabs>
        <w:spacing w:line="240" w:lineRule="auto" w:before="4" w:after="0"/>
        <w:ind w:left="576" w:right="0" w:hanging="268"/>
        <w:jc w:val="both"/>
        <w:rPr>
          <w:sz w:val="24"/>
        </w:rPr>
      </w:pPr>
      <w:r>
        <w:rPr>
          <w:sz w:val="24"/>
        </w:rPr>
        <w:t>ed. São Paulo: Cortez,</w:t>
      </w:r>
      <w:r>
        <w:rPr>
          <w:spacing w:val="-12"/>
          <w:sz w:val="24"/>
        </w:rPr>
        <w:t> </w:t>
      </w:r>
      <w:r>
        <w:rPr>
          <w:sz w:val="24"/>
        </w:rPr>
        <w:t>2006.</w:t>
      </w:r>
    </w:p>
    <w:p>
      <w:pPr>
        <w:pStyle w:val="BodyText"/>
        <w:spacing w:before="6"/>
        <w:rPr>
          <w:sz w:val="23"/>
        </w:rPr>
      </w:pPr>
    </w:p>
    <w:p>
      <w:pPr>
        <w:spacing w:line="480" w:lineRule="auto" w:before="0"/>
        <w:ind w:left="308" w:right="545" w:firstLine="0"/>
        <w:jc w:val="left"/>
        <w:rPr>
          <w:sz w:val="24"/>
        </w:rPr>
      </w:pPr>
      <w:r>
        <w:rPr>
          <w:sz w:val="24"/>
        </w:rPr>
        <w:t>CATANI, Antônio David. </w:t>
      </w:r>
      <w:r>
        <w:rPr>
          <w:b/>
          <w:sz w:val="24"/>
        </w:rPr>
        <w:t>Trabalho &amp; autonomia</w:t>
      </w:r>
      <w:r>
        <w:rPr>
          <w:sz w:val="24"/>
        </w:rPr>
        <w:t>. Petrópolis, RJ: Vozes, 1996. CHAUÍ, Marilena. </w:t>
      </w:r>
      <w:r>
        <w:rPr>
          <w:b/>
          <w:sz w:val="24"/>
        </w:rPr>
        <w:t>Cultura e Democracia</w:t>
      </w:r>
      <w:r>
        <w:rPr>
          <w:sz w:val="24"/>
        </w:rPr>
        <w:t>. 5ª ed. São Paulo: Cortez, 1990.</w:t>
      </w:r>
    </w:p>
    <w:p>
      <w:pPr>
        <w:spacing w:line="242" w:lineRule="auto" w:before="7"/>
        <w:ind w:left="308" w:right="103" w:firstLine="0"/>
        <w:jc w:val="both"/>
        <w:rPr>
          <w:sz w:val="24"/>
        </w:rPr>
      </w:pPr>
      <w:r>
        <w:rPr>
          <w:sz w:val="24"/>
        </w:rPr>
        <w:t>CHIZZOTTI, A. </w:t>
      </w:r>
      <w:r>
        <w:rPr>
          <w:b/>
          <w:sz w:val="24"/>
        </w:rPr>
        <w:t>Pesquisa em ciências humanas e sociais</w:t>
      </w:r>
      <w:r>
        <w:rPr>
          <w:sz w:val="24"/>
        </w:rPr>
        <w:t>. 2. ed. São Paulo: Cortez, 1998.</w:t>
      </w:r>
    </w:p>
    <w:p>
      <w:pPr>
        <w:pStyle w:val="BodyText"/>
        <w:spacing w:before="8"/>
        <w:rPr>
          <w:sz w:val="23"/>
        </w:rPr>
      </w:pPr>
    </w:p>
    <w:p>
      <w:pPr>
        <w:pStyle w:val="BodyText"/>
        <w:ind w:left="308" w:right="105"/>
        <w:jc w:val="both"/>
      </w:pPr>
      <w:r>
        <w:rPr/>
        <w:t>COCHO, Germinal, GUITIÉRREZ, José Luiz, MIRAMONTES, Pedro. Ciência e humanismo, capacidade criadora e alienação. In: SANTOS, Boaventura de Sousa (org.). </w:t>
      </w:r>
      <w:r>
        <w:rPr>
          <w:b/>
        </w:rPr>
        <w:t>Conhecimento prudente para uma vida decente</w:t>
      </w:r>
      <w:r>
        <w:rPr/>
        <w:t>: um discurso sobre as ciências revisitado. 2 ed. São Paulo: Cortez, 2006.</w:t>
      </w:r>
    </w:p>
    <w:p>
      <w:pPr>
        <w:pStyle w:val="BodyText"/>
        <w:spacing w:before="10"/>
        <w:rPr>
          <w:sz w:val="23"/>
        </w:rPr>
      </w:pPr>
    </w:p>
    <w:p>
      <w:pPr>
        <w:pStyle w:val="BodyText"/>
        <w:spacing w:before="1"/>
        <w:ind w:left="308" w:right="105"/>
        <w:jc w:val="both"/>
      </w:pPr>
      <w:r>
        <w:rPr/>
        <w:t>COELHO, Salete do Belém Ribas, LINHARES, Clarice. Gestão participativa no ambiente escolar. </w:t>
      </w:r>
      <w:r>
        <w:rPr>
          <w:b/>
        </w:rPr>
        <w:t>Revista Eletrônica latu sensu</w:t>
      </w:r>
      <w:r>
        <w:rPr/>
        <w:t>. V. 03 n.01 marc. 2008. Disponível  em: &lt;</w:t>
      </w:r>
      <w:hyperlink r:id="rId28">
        <w:r>
          <w:rPr/>
          <w:t>http://www.trabalhosfeitos.com/topicos/-revistaeletr%C3%B4nica</w:t>
        </w:r>
      </w:hyperlink>
    </w:p>
    <w:p>
      <w:pPr>
        <w:pStyle w:val="BodyText"/>
        <w:spacing w:line="274" w:lineRule="exact"/>
        <w:ind w:left="308"/>
        <w:jc w:val="both"/>
      </w:pPr>
      <w:hyperlink r:id="rId28">
        <w:r>
          <w:rPr/>
          <w:t>-lato-sensu-ano-3-n%C2%BA1-mar%C3%A7o-de-20/0&gt;. Acesso em 15 jan. 2014</w:t>
        </w:r>
      </w:hyperlink>
      <w:r>
        <w:rPr/>
        <w:t>.</w:t>
      </w:r>
    </w:p>
    <w:p>
      <w:pPr>
        <w:pStyle w:val="BodyText"/>
        <w:spacing w:before="6"/>
        <w:rPr>
          <w:sz w:val="23"/>
        </w:rPr>
      </w:pPr>
    </w:p>
    <w:p>
      <w:pPr>
        <w:pStyle w:val="BodyText"/>
        <w:spacing w:line="247" w:lineRule="auto"/>
        <w:ind w:left="308" w:right="106"/>
        <w:jc w:val="both"/>
      </w:pPr>
      <w:r>
        <w:rPr/>
        <w:t>CONTANDRIOPOULOS, André Pierre et al. </w:t>
      </w:r>
      <w:r>
        <w:rPr>
          <w:b/>
        </w:rPr>
        <w:t>Saber preparar uma pesquisa</w:t>
      </w:r>
      <w:r>
        <w:rPr/>
        <w:t>: definição, estrutura, financiamento. São Paulo: editora Hucitec Abrasco, 1994.</w:t>
      </w:r>
    </w:p>
    <w:p>
      <w:pPr>
        <w:spacing w:line="261" w:lineRule="exact" w:before="0"/>
        <w:ind w:left="308" w:right="0" w:firstLine="0"/>
        <w:jc w:val="both"/>
        <w:rPr>
          <w:sz w:val="24"/>
        </w:rPr>
      </w:pPr>
      <w:r>
        <w:rPr>
          <w:sz w:val="24"/>
        </w:rPr>
        <w:t>CUNHA,  Maria Isabel.  </w:t>
      </w:r>
      <w:r>
        <w:rPr>
          <w:b/>
          <w:sz w:val="24"/>
        </w:rPr>
        <w:t>O professor universitário na transição de   paradigma</w:t>
      </w:r>
      <w:r>
        <w:rPr>
          <w:sz w:val="24"/>
        </w:rPr>
        <w:t>.</w:t>
      </w:r>
    </w:p>
    <w:p>
      <w:pPr>
        <w:pStyle w:val="BodyText"/>
        <w:spacing w:before="8"/>
        <w:ind w:left="308"/>
        <w:jc w:val="both"/>
      </w:pPr>
      <w:r>
        <w:rPr/>
        <w:t>Araraquara, SP: JM Editora, 1998.</w:t>
      </w:r>
    </w:p>
    <w:p>
      <w:pPr>
        <w:pStyle w:val="BodyText"/>
        <w:rPr>
          <w:sz w:val="16"/>
        </w:rPr>
      </w:pPr>
    </w:p>
    <w:p>
      <w:pPr>
        <w:spacing w:line="240" w:lineRule="auto" w:before="92"/>
        <w:ind w:left="308" w:right="101" w:firstLine="0"/>
        <w:jc w:val="both"/>
        <w:rPr>
          <w:sz w:val="24"/>
        </w:rPr>
      </w:pPr>
      <w:r>
        <w:rPr>
          <w:w w:val="100"/>
          <w:sz w:val="24"/>
          <w:u w:val="single"/>
        </w:rPr>
        <w:t> </w:t>
      </w:r>
      <w:r>
        <w:rPr>
          <w:sz w:val="24"/>
          <w:u w:val="single"/>
        </w:rPr>
        <w:t>         </w:t>
      </w:r>
      <w:r>
        <w:rPr>
          <w:sz w:val="24"/>
        </w:rPr>
        <w:t>. Inovações: conceitos e práticas. In: CASTANHO, Sérgio &amp; CASTANHO, Maria Eugênia (Orgs.). </w:t>
      </w:r>
      <w:r>
        <w:rPr>
          <w:b/>
          <w:sz w:val="24"/>
        </w:rPr>
        <w:t>Temas e textos em metodologia do ensino superior</w:t>
      </w:r>
      <w:r>
        <w:rPr>
          <w:sz w:val="24"/>
        </w:rPr>
        <w:t>. Campinas (SP): Papirus, 2001.</w:t>
      </w:r>
    </w:p>
    <w:p>
      <w:pPr>
        <w:pStyle w:val="BodyText"/>
        <w:spacing w:before="6"/>
        <w:rPr>
          <w:sz w:val="15"/>
        </w:rPr>
      </w:pPr>
    </w:p>
    <w:p>
      <w:pPr>
        <w:pStyle w:val="Heading3"/>
        <w:tabs>
          <w:tab w:pos="922" w:val="left" w:leader="none"/>
        </w:tabs>
        <w:ind w:left="308" w:right="119"/>
        <w:rPr>
          <w:b w:val="0"/>
        </w:rPr>
      </w:pPr>
      <w:r>
        <w:rPr>
          <w:u w:val="single"/>
        </w:rPr>
        <w:t> </w:t>
        <w:tab/>
      </w:r>
      <w:r>
        <w:rPr/>
        <w:t>Inovações Pedagógicas e reconfiguração de saberes no ensinar   </w:t>
      </w:r>
      <w:r>
        <w:rPr>
          <w:spacing w:val="13"/>
        </w:rPr>
        <w:t> </w:t>
      </w:r>
      <w:r>
        <w:rPr/>
        <w:t>e</w:t>
      </w:r>
      <w:r>
        <w:rPr>
          <w:spacing w:val="28"/>
        </w:rPr>
        <w:t> </w:t>
      </w:r>
      <w:r>
        <w:rPr/>
        <w:t>no aprender na universidade. </w:t>
      </w:r>
      <w:r>
        <w:rPr>
          <w:b w:val="0"/>
        </w:rPr>
        <w:t>Coimbra, Portugal,</w:t>
      </w:r>
      <w:r>
        <w:rPr>
          <w:b w:val="0"/>
          <w:spacing w:val="-23"/>
        </w:rPr>
        <w:t> </w:t>
      </w:r>
      <w:r>
        <w:rPr>
          <w:b w:val="0"/>
        </w:rPr>
        <w:t>2004.</w:t>
      </w:r>
    </w:p>
    <w:p>
      <w:pPr>
        <w:pStyle w:val="BodyText"/>
        <w:spacing w:before="11"/>
        <w:rPr>
          <w:sz w:val="15"/>
        </w:rPr>
      </w:pPr>
    </w:p>
    <w:p>
      <w:pPr>
        <w:pStyle w:val="BodyText"/>
        <w:tabs>
          <w:tab w:pos="980" w:val="left" w:leader="none"/>
        </w:tabs>
        <w:spacing w:line="247" w:lineRule="auto" w:before="92"/>
        <w:ind w:left="308" w:right="113"/>
      </w:pPr>
      <w:r>
        <w:rPr>
          <w:w w:val="100"/>
          <w:u w:val="single"/>
        </w:rPr>
        <w:t> </w:t>
      </w:r>
      <w:r>
        <w:rPr>
          <w:u w:val="single"/>
        </w:rPr>
        <w:tab/>
      </w:r>
      <w:r>
        <w:rPr/>
        <w:t>.(Org.).  </w:t>
      </w:r>
      <w:r>
        <w:rPr>
          <w:b/>
        </w:rPr>
        <w:t>Pedagogia  Universitária</w:t>
      </w:r>
      <w:r>
        <w:rPr/>
        <w:t>:  energias  emancipatórias  </w:t>
      </w:r>
      <w:r>
        <w:rPr>
          <w:spacing w:val="36"/>
        </w:rPr>
        <w:t> </w:t>
      </w:r>
      <w:r>
        <w:rPr/>
        <w:t>em </w:t>
      </w:r>
      <w:r>
        <w:rPr>
          <w:spacing w:val="11"/>
        </w:rPr>
        <w:t> </w:t>
      </w:r>
      <w:r>
        <w:rPr/>
        <w:t>tempos neoliberais. Araraquara, SP: Junqueira &amp; Marin editores,</w:t>
      </w:r>
      <w:r>
        <w:rPr>
          <w:spacing w:val="-33"/>
        </w:rPr>
        <w:t> </w:t>
      </w:r>
      <w:r>
        <w:rPr/>
        <w:t>2006.</w:t>
      </w:r>
    </w:p>
    <w:p>
      <w:pPr>
        <w:spacing w:after="0" w:line="247" w:lineRule="auto"/>
        <w:sectPr>
          <w:pgSz w:w="11910" w:h="16840"/>
          <w:pgMar w:header="1133" w:footer="0" w:top="1340" w:bottom="280" w:left="1680" w:right="1020"/>
        </w:sectPr>
      </w:pPr>
    </w:p>
    <w:p>
      <w:pPr>
        <w:pStyle w:val="BodyText"/>
        <w:spacing w:before="3"/>
        <w:rPr>
          <w:sz w:val="21"/>
        </w:rPr>
      </w:pPr>
    </w:p>
    <w:p>
      <w:pPr>
        <w:spacing w:line="240" w:lineRule="auto" w:before="92"/>
        <w:ind w:left="308" w:right="122" w:firstLine="0"/>
        <w:jc w:val="both"/>
        <w:rPr>
          <w:sz w:val="24"/>
        </w:rPr>
      </w:pPr>
      <w:r>
        <w:rPr>
          <w:w w:val="100"/>
          <w:sz w:val="24"/>
          <w:u w:val="single"/>
        </w:rPr>
        <w:t> </w:t>
      </w:r>
      <w:r>
        <w:rPr>
          <w:sz w:val="24"/>
          <w:u w:val="single"/>
        </w:rPr>
        <w:t>        </w:t>
      </w:r>
      <w:r>
        <w:rPr>
          <w:spacing w:val="5"/>
          <w:sz w:val="24"/>
          <w:u w:val="single"/>
        </w:rPr>
        <w:t> </w:t>
      </w:r>
      <w:r>
        <w:rPr>
          <w:sz w:val="24"/>
        </w:rPr>
        <w:t>. Formação docente e Inovação: epistemologias e pedagogias em questão In: EGGERT, Edla et al. </w:t>
      </w:r>
      <w:r>
        <w:rPr>
          <w:b/>
          <w:sz w:val="24"/>
        </w:rPr>
        <w:t>Trajetórias e processos de ensinar e aprender: didática e formação de professores</w:t>
      </w:r>
      <w:r>
        <w:rPr>
          <w:sz w:val="24"/>
        </w:rPr>
        <w:t>. - </w:t>
      </w:r>
      <w:r>
        <w:rPr>
          <w:spacing w:val="-3"/>
          <w:sz w:val="24"/>
        </w:rPr>
        <w:t>XIV </w:t>
      </w:r>
      <w:r>
        <w:rPr>
          <w:sz w:val="24"/>
        </w:rPr>
        <w:t>ENDIPE. Livro 01, p 465 - 476 – Porto Alegre, EDIPUCRS,</w:t>
      </w:r>
      <w:r>
        <w:rPr>
          <w:spacing w:val="-10"/>
          <w:sz w:val="24"/>
        </w:rPr>
        <w:t> </w:t>
      </w:r>
      <w:r>
        <w:rPr>
          <w:sz w:val="24"/>
        </w:rPr>
        <w:t>2008.</w:t>
      </w:r>
    </w:p>
    <w:p>
      <w:pPr>
        <w:pStyle w:val="BodyText"/>
        <w:spacing w:before="10"/>
        <w:rPr>
          <w:sz w:val="15"/>
        </w:rPr>
      </w:pPr>
    </w:p>
    <w:p>
      <w:pPr>
        <w:pStyle w:val="BodyText"/>
        <w:spacing w:before="93"/>
        <w:ind w:left="308" w:right="123"/>
        <w:jc w:val="both"/>
      </w:pPr>
      <w:r>
        <w:rPr>
          <w:w w:val="100"/>
          <w:sz w:val="22"/>
          <w:u w:val="single"/>
        </w:rPr>
        <w:t> </w:t>
      </w:r>
      <w:r>
        <w:rPr>
          <w:sz w:val="22"/>
          <w:u w:val="single"/>
        </w:rPr>
        <w:t>         </w:t>
      </w:r>
      <w:r>
        <w:rPr>
          <w:sz w:val="22"/>
        </w:rPr>
        <w:t>. </w:t>
      </w:r>
      <w:r>
        <w:rPr/>
        <w:t>Inovações pedagógicas na universidade. In: CUNHA, Maria Isabel; SOARES, Sandra Regina; RIBEIRO, Marinalva Lopes (Orgs.). </w:t>
      </w:r>
      <w:r>
        <w:rPr>
          <w:b/>
        </w:rPr>
        <w:t>Docência universitária</w:t>
      </w:r>
      <w:r>
        <w:rPr/>
        <w:t>: profissionalização e prática educativas. Feira de Santana: UEFP, 2009. Cap. 9, p. 169-189.</w:t>
      </w:r>
    </w:p>
    <w:p>
      <w:pPr>
        <w:pStyle w:val="BodyText"/>
        <w:rPr>
          <w:sz w:val="16"/>
        </w:rPr>
      </w:pPr>
    </w:p>
    <w:p>
      <w:pPr>
        <w:pStyle w:val="BodyText"/>
        <w:spacing w:before="92"/>
        <w:ind w:left="308" w:right="120"/>
        <w:jc w:val="both"/>
      </w:pPr>
      <w:r>
        <w:rPr>
          <w:w w:val="100"/>
          <w:sz w:val="22"/>
          <w:u w:val="single"/>
        </w:rPr>
        <w:t> </w:t>
      </w:r>
      <w:r>
        <w:rPr>
          <w:sz w:val="22"/>
          <w:u w:val="single"/>
        </w:rPr>
        <w:t>         </w:t>
      </w:r>
      <w:r>
        <w:rPr>
          <w:sz w:val="22"/>
        </w:rPr>
        <w:t>. </w:t>
      </w:r>
      <w:r>
        <w:rPr/>
        <w:t>Inovações pedagógicas na Universidade. In: CUNHA, Maria Isabel, SOARES, Sandra Regina e RIBEIRO, Marinalva Lopes (orgs). Docência Universitária: profissionalização e prática educativa. Feira de Santana, UEFP, 2009, p. 169 -189.</w:t>
      </w:r>
    </w:p>
    <w:p>
      <w:pPr>
        <w:pStyle w:val="BodyText"/>
        <w:spacing w:before="6"/>
        <w:rPr>
          <w:sz w:val="23"/>
        </w:rPr>
      </w:pPr>
    </w:p>
    <w:p>
      <w:pPr>
        <w:pStyle w:val="BodyText"/>
        <w:spacing w:line="242" w:lineRule="auto" w:before="1"/>
        <w:ind w:left="308" w:right="123"/>
        <w:jc w:val="both"/>
      </w:pPr>
      <w:r>
        <w:rPr/>
        <w:t>CURY, Carlos Roberto Jamil. </w:t>
      </w:r>
      <w:hyperlink r:id="rId29">
        <w:r>
          <w:rPr>
            <w:b/>
          </w:rPr>
          <w:t>Educação e contradição</w:t>
        </w:r>
      </w:hyperlink>
      <w:r>
        <w:rPr>
          <w:b/>
        </w:rPr>
        <w:t> </w:t>
      </w:r>
      <w:r>
        <w:rPr/>
        <w:t>: elementos metodológicos para uma teoria crítica do fenômeno educativo. 5.ed. São Paulo: Cortez, 1992.</w:t>
      </w:r>
    </w:p>
    <w:p>
      <w:pPr>
        <w:pStyle w:val="BodyText"/>
        <w:spacing w:before="4"/>
        <w:rPr>
          <w:sz w:val="23"/>
        </w:rPr>
      </w:pPr>
    </w:p>
    <w:p>
      <w:pPr>
        <w:spacing w:line="242" w:lineRule="auto" w:before="0"/>
        <w:ind w:left="308" w:right="124" w:firstLine="0"/>
        <w:jc w:val="both"/>
        <w:rPr>
          <w:sz w:val="24"/>
        </w:rPr>
      </w:pPr>
      <w:r>
        <w:rPr>
          <w:sz w:val="24"/>
        </w:rPr>
        <w:t>DEMO, Pedro</w:t>
      </w:r>
      <w:r>
        <w:rPr>
          <w:sz w:val="22"/>
        </w:rPr>
        <w:t>. </w:t>
      </w:r>
      <w:r>
        <w:rPr>
          <w:b/>
          <w:sz w:val="24"/>
        </w:rPr>
        <w:t>Conhecer e aprender</w:t>
      </w:r>
      <w:r>
        <w:rPr>
          <w:sz w:val="24"/>
        </w:rPr>
        <w:t>: sabedoria dos limites e desafios. Porto Alegre: Artmed Editora, 2000.</w:t>
      </w:r>
    </w:p>
    <w:p>
      <w:pPr>
        <w:pStyle w:val="BodyText"/>
        <w:spacing w:before="4"/>
        <w:rPr>
          <w:sz w:val="15"/>
        </w:rPr>
      </w:pPr>
    </w:p>
    <w:p>
      <w:pPr>
        <w:spacing w:line="247" w:lineRule="auto" w:before="92"/>
        <w:ind w:left="308" w:right="134" w:firstLine="0"/>
        <w:jc w:val="both"/>
        <w:rPr>
          <w:sz w:val="24"/>
        </w:rPr>
      </w:pPr>
      <w:r>
        <w:rPr>
          <w:b/>
          <w:sz w:val="24"/>
          <w:u w:val="single"/>
        </w:rPr>
        <w:t>         </w:t>
      </w:r>
      <w:r>
        <w:rPr>
          <w:b/>
          <w:sz w:val="24"/>
        </w:rPr>
        <w:t>Complexidade e Aprendizagem</w:t>
      </w:r>
      <w:r>
        <w:rPr>
          <w:sz w:val="24"/>
        </w:rPr>
        <w:t>: a dinâmica não linear do conhecimento. Atlas, São Paulo. 2002.</w:t>
      </w:r>
    </w:p>
    <w:p>
      <w:pPr>
        <w:pStyle w:val="BodyText"/>
        <w:spacing w:before="3"/>
        <w:rPr>
          <w:sz w:val="23"/>
        </w:rPr>
      </w:pPr>
    </w:p>
    <w:p>
      <w:pPr>
        <w:pStyle w:val="BodyText"/>
        <w:ind w:left="308" w:right="116"/>
        <w:jc w:val="both"/>
      </w:pPr>
      <w:r>
        <w:rPr/>
        <w:t>DESTRO, Marta Pisani. Desafios existenciais do professor. In: SANTOS FILHO, José Camilo dos (org.). </w:t>
      </w:r>
      <w:r>
        <w:rPr>
          <w:b/>
        </w:rPr>
        <w:t>A educação no século 21: </w:t>
      </w:r>
      <w:r>
        <w:rPr/>
        <w:t>desafíos e perspectivas</w:t>
      </w:r>
      <w:r>
        <w:rPr>
          <w:b/>
        </w:rPr>
        <w:t>. </w:t>
      </w:r>
      <w:r>
        <w:rPr/>
        <w:t>Engenheiro Coelho, SP: UNASPRESS, 2003. p. 31-58.</w:t>
      </w:r>
    </w:p>
    <w:p>
      <w:pPr>
        <w:pStyle w:val="BodyText"/>
        <w:spacing w:before="11"/>
        <w:rPr>
          <w:sz w:val="23"/>
        </w:rPr>
      </w:pPr>
    </w:p>
    <w:p>
      <w:pPr>
        <w:pStyle w:val="BodyText"/>
        <w:ind w:left="308" w:right="124"/>
        <w:jc w:val="both"/>
      </w:pPr>
      <w:r>
        <w:rPr/>
        <w:t>DIAS, Edmundo Fernandes. Marx e Gramsci: sua atualidade como educadores. In: GUADALUPE, Sueli de Lima Mendonça, SILVA, Vandeí Pinto da, MILLER, Stela. </w:t>
      </w:r>
      <w:r>
        <w:rPr>
          <w:b/>
        </w:rPr>
        <w:t>Marx, Gramsci e Vygotsky</w:t>
      </w:r>
      <w:r>
        <w:rPr/>
        <w:t>: aproximações. 2. ed. Araraquara, SP: Junqueira &amp; Marin,</w:t>
      </w:r>
      <w:r>
        <w:rPr>
          <w:spacing w:val="-8"/>
        </w:rPr>
        <w:t> </w:t>
      </w:r>
      <w:r>
        <w:rPr/>
        <w:t>2012.</w:t>
      </w:r>
    </w:p>
    <w:p>
      <w:pPr>
        <w:pStyle w:val="BodyText"/>
        <w:spacing w:before="6"/>
        <w:rPr>
          <w:sz w:val="23"/>
        </w:rPr>
      </w:pPr>
    </w:p>
    <w:p>
      <w:pPr>
        <w:spacing w:before="1"/>
        <w:ind w:left="308" w:right="0" w:firstLine="0"/>
        <w:jc w:val="both"/>
        <w:rPr>
          <w:sz w:val="24"/>
        </w:rPr>
      </w:pPr>
      <w:r>
        <w:rPr>
          <w:sz w:val="24"/>
        </w:rPr>
        <w:t>ENGUITA, Mariano. </w:t>
      </w:r>
      <w:r>
        <w:rPr>
          <w:b/>
          <w:sz w:val="24"/>
        </w:rPr>
        <w:t>A face oculta da escola</w:t>
      </w:r>
      <w:r>
        <w:rPr>
          <w:sz w:val="24"/>
        </w:rPr>
        <w:t>. Porto Alegre, Artes Médicas, 1989.</w:t>
      </w:r>
    </w:p>
    <w:p>
      <w:pPr>
        <w:pStyle w:val="BodyText"/>
      </w:pPr>
    </w:p>
    <w:p>
      <w:pPr>
        <w:spacing w:line="247" w:lineRule="auto" w:before="0"/>
        <w:ind w:left="308" w:right="118" w:firstLine="0"/>
        <w:jc w:val="both"/>
        <w:rPr>
          <w:sz w:val="24"/>
        </w:rPr>
      </w:pPr>
      <w:r>
        <w:rPr>
          <w:sz w:val="24"/>
        </w:rPr>
        <w:t>ESCOLA ORLINDO PEREIRADA MOTA. </w:t>
      </w:r>
      <w:r>
        <w:rPr>
          <w:b/>
          <w:sz w:val="24"/>
        </w:rPr>
        <w:t>Projeto Político Pedagógico</w:t>
      </w:r>
      <w:r>
        <w:rPr>
          <w:sz w:val="24"/>
        </w:rPr>
        <w:t>. Gurupi - TO, 2013.</w:t>
      </w:r>
    </w:p>
    <w:p>
      <w:pPr>
        <w:pStyle w:val="BodyText"/>
        <w:spacing w:before="3"/>
        <w:rPr>
          <w:sz w:val="23"/>
        </w:rPr>
      </w:pPr>
    </w:p>
    <w:p>
      <w:pPr>
        <w:pStyle w:val="BodyText"/>
        <w:ind w:left="308" w:right="245"/>
      </w:pPr>
      <w:r>
        <w:rPr/>
        <w:t>ESCOLA DE EDUCAÇÃO BÁSICA UNIDAVI. Projeto político-pedagógico. Rio do Sul - SC, 2014.</w:t>
      </w:r>
    </w:p>
    <w:p>
      <w:pPr>
        <w:pStyle w:val="BodyText"/>
        <w:spacing w:before="6"/>
        <w:rPr>
          <w:sz w:val="23"/>
        </w:rPr>
      </w:pPr>
    </w:p>
    <w:p>
      <w:pPr>
        <w:spacing w:line="247" w:lineRule="auto" w:before="0"/>
        <w:ind w:left="308" w:right="125" w:firstLine="0"/>
        <w:jc w:val="both"/>
        <w:rPr>
          <w:sz w:val="24"/>
        </w:rPr>
      </w:pPr>
      <w:r>
        <w:rPr>
          <w:sz w:val="24"/>
        </w:rPr>
        <w:t>FAZENDA, Ivani Catarina. </w:t>
      </w:r>
      <w:r>
        <w:rPr>
          <w:b/>
          <w:sz w:val="24"/>
        </w:rPr>
        <w:t>Inter ou transdisciplinaridade</w:t>
      </w:r>
      <w:r>
        <w:rPr>
          <w:sz w:val="24"/>
        </w:rPr>
        <w:t>: da fragmentação disciplinar ao novo diálogo entre saberes. São Paulo: Paulus, 2006.</w:t>
      </w:r>
    </w:p>
    <w:p>
      <w:pPr>
        <w:pStyle w:val="BodyText"/>
        <w:spacing w:before="3"/>
        <w:rPr>
          <w:sz w:val="23"/>
        </w:rPr>
      </w:pPr>
    </w:p>
    <w:p>
      <w:pPr>
        <w:pStyle w:val="BodyText"/>
        <w:ind w:left="308" w:right="126"/>
        <w:jc w:val="both"/>
      </w:pPr>
      <w:r>
        <w:rPr/>
        <w:t>FELDEN, Eliane de Lourdes, CUNHA, Maria Isabel. O papel da escola: interface de teóricos e atores escolares. </w:t>
      </w:r>
      <w:r>
        <w:rPr>
          <w:b/>
        </w:rPr>
        <w:t>Revista Visão Global</w:t>
      </w:r>
      <w:r>
        <w:rPr/>
        <w:t>, Joaçaba, v. 14, n. 2, p. 213-228, Jul. /Dez. 2011. Disponível em: &lt;</w:t>
      </w:r>
      <w:hyperlink r:id="rId30">
        <w:r>
          <w:rPr/>
          <w:t>http://editora.unoesc.edu.br/</w:t>
        </w:r>
      </w:hyperlink>
      <w:r>
        <w:rPr/>
        <w:t> </w:t>
      </w:r>
      <w:hyperlink r:id="rId30">
        <w:r>
          <w:rPr/>
          <w:t>index.php/visaoglobal /article/view/2420/pdf</w:t>
        </w:r>
      </w:hyperlink>
      <w:r>
        <w:rPr/>
        <w:t>&gt;.  Acesso em: 12 mar. 2014.</w:t>
      </w:r>
    </w:p>
    <w:p>
      <w:pPr>
        <w:spacing w:after="0"/>
        <w:jc w:val="both"/>
        <w:sectPr>
          <w:pgSz w:w="11910" w:h="16840"/>
          <w:pgMar w:header="1133" w:footer="0" w:top="1340" w:bottom="280" w:left="1680" w:right="1000"/>
        </w:sectPr>
      </w:pPr>
    </w:p>
    <w:p>
      <w:pPr>
        <w:pStyle w:val="BodyText"/>
        <w:spacing w:before="3"/>
        <w:rPr>
          <w:sz w:val="21"/>
        </w:rPr>
      </w:pPr>
    </w:p>
    <w:p>
      <w:pPr>
        <w:pStyle w:val="BodyText"/>
        <w:spacing w:line="237" w:lineRule="auto" w:before="94"/>
        <w:ind w:left="308" w:right="129"/>
        <w:jc w:val="both"/>
      </w:pPr>
      <w:r>
        <w:rPr/>
        <w:t>FRANCO, Maria Amélia Santoro; LIBANÊO, José Carlos e PIMENTA; Selma Garrido. As dimensões constitutivas da pedagogia como campo de conhecimento. </w:t>
      </w:r>
      <w:r>
        <w:rPr>
          <w:b/>
        </w:rPr>
        <w:t>Revista Educação em Foco</w:t>
      </w:r>
      <w:r>
        <w:rPr/>
        <w:t>, ano 14, n. 17, Jul. 2011 - p. 55-78.  Disponível </w:t>
      </w:r>
      <w:r>
        <w:rPr>
          <w:spacing w:val="64"/>
        </w:rPr>
        <w:t> </w:t>
      </w:r>
      <w:r>
        <w:rPr>
          <w:spacing w:val="-3"/>
        </w:rPr>
        <w:t>em:</w:t>
      </w:r>
    </w:p>
    <w:p>
      <w:pPr>
        <w:pStyle w:val="BodyText"/>
        <w:spacing w:line="274" w:lineRule="exact" w:before="13"/>
        <w:ind w:left="308" w:right="127"/>
        <w:jc w:val="both"/>
      </w:pPr>
      <w:r>
        <w:rPr/>
        <w:t>&lt; </w:t>
      </w:r>
      <w:hyperlink r:id="rId31">
        <w:r>
          <w:rPr/>
          <w:t>http://www.uemg.br/openjournal/index.php/educacaoemfoco/article/view/103</w:t>
        </w:r>
      </w:hyperlink>
      <w:r>
        <w:rPr/>
        <w:t>&gt;. Acesso em: 01 maios 2014.</w:t>
      </w:r>
    </w:p>
    <w:p>
      <w:pPr>
        <w:pStyle w:val="BodyText"/>
        <w:spacing w:before="2"/>
        <w:rPr>
          <w:sz w:val="23"/>
        </w:rPr>
      </w:pPr>
    </w:p>
    <w:p>
      <w:pPr>
        <w:spacing w:line="247" w:lineRule="auto" w:before="0"/>
        <w:ind w:left="308" w:right="123" w:firstLine="0"/>
        <w:jc w:val="both"/>
        <w:rPr>
          <w:sz w:val="24"/>
        </w:rPr>
      </w:pPr>
      <w:r>
        <w:rPr>
          <w:sz w:val="24"/>
        </w:rPr>
        <w:t>FREIRE, Paulo. </w:t>
      </w:r>
      <w:r>
        <w:rPr>
          <w:b/>
          <w:sz w:val="24"/>
        </w:rPr>
        <w:t>Educação como prática da liberdade. Rio de Janeiro</w:t>
      </w:r>
      <w:r>
        <w:rPr>
          <w:sz w:val="24"/>
        </w:rPr>
        <w:t>: Paz e Terra, 1967.</w:t>
      </w:r>
    </w:p>
    <w:p>
      <w:pPr>
        <w:pStyle w:val="BodyText"/>
        <w:spacing w:before="10"/>
        <w:rPr>
          <w:sz w:val="22"/>
        </w:rPr>
      </w:pPr>
    </w:p>
    <w:p>
      <w:pPr>
        <w:pStyle w:val="BodyText"/>
        <w:spacing w:line="242" w:lineRule="auto"/>
        <w:ind w:left="308" w:right="128"/>
        <w:jc w:val="both"/>
      </w:pPr>
      <w:r>
        <w:rPr/>
        <w:t>FREITAG, Bárbara, PINHEIRO, Maria Francisca (orgs). </w:t>
      </w:r>
      <w:r>
        <w:rPr>
          <w:b/>
        </w:rPr>
        <w:t>Marx morreu</w:t>
      </w:r>
      <w:r>
        <w:rPr/>
        <w:t>: viva Marx! Campinas, SP: Papirus, 1993.</w:t>
      </w:r>
    </w:p>
    <w:p>
      <w:pPr>
        <w:pStyle w:val="BodyText"/>
        <w:spacing w:before="8"/>
        <w:rPr>
          <w:sz w:val="23"/>
        </w:rPr>
      </w:pPr>
    </w:p>
    <w:p>
      <w:pPr>
        <w:pStyle w:val="BodyText"/>
        <w:ind w:left="308" w:right="124"/>
        <w:jc w:val="both"/>
      </w:pPr>
      <w:r>
        <w:rPr/>
        <w:t>FURLANETTO, Ecleide Cunico. Formação docente: a dimensão criativa das crises. In: SUANNO, Marilza Vanessa Rosa, DITTRICH, Maria Glória e MAURA, Maria Antonia Pujol. </w:t>
      </w:r>
      <w:r>
        <w:rPr>
          <w:b/>
        </w:rPr>
        <w:t>Resiliência, Criatividade e Inovação</w:t>
      </w:r>
      <w:r>
        <w:rPr/>
        <w:t>. Potencialidades transdisciplinares na educação. Goiânia: UEG/Ed. América, 2013.</w:t>
      </w:r>
    </w:p>
    <w:p>
      <w:pPr>
        <w:pStyle w:val="BodyText"/>
        <w:spacing w:before="11"/>
        <w:rPr>
          <w:sz w:val="23"/>
        </w:rPr>
      </w:pPr>
    </w:p>
    <w:p>
      <w:pPr>
        <w:pStyle w:val="BodyText"/>
        <w:ind w:left="308" w:right="130"/>
        <w:jc w:val="both"/>
      </w:pPr>
      <w:r>
        <w:rPr/>
        <w:t>GARBINI, Fernanda Zanette, BRENDLER, Giovana Giacomini. Formação Docente: traçados históricos e cenário atual. </w:t>
      </w:r>
      <w:r>
        <w:rPr>
          <w:b/>
        </w:rPr>
        <w:t>P@rtes. </w:t>
      </w:r>
      <w:r>
        <w:rPr/>
        <w:t>Maio de 2011. Disponível em: &lt;</w:t>
      </w:r>
      <w:hyperlink r:id="rId32">
        <w:r>
          <w:rPr/>
          <w:t>http://www.partes.com.br/educacao/formacaocenarioatual.asp</w:t>
        </w:r>
      </w:hyperlink>
      <w:r>
        <w:rPr/>
        <w:t>&gt;. Acesso em 24 jan. 2013.</w:t>
      </w:r>
    </w:p>
    <w:p>
      <w:pPr>
        <w:pStyle w:val="BodyText"/>
      </w:pPr>
    </w:p>
    <w:p>
      <w:pPr>
        <w:spacing w:line="240" w:lineRule="auto" w:before="0"/>
        <w:ind w:left="308" w:right="117" w:firstLine="0"/>
        <w:jc w:val="both"/>
        <w:rPr>
          <w:sz w:val="24"/>
        </w:rPr>
      </w:pPr>
      <w:r>
        <w:rPr>
          <w:sz w:val="24"/>
        </w:rPr>
        <w:t>GARCIA, Pedro Benjamim. Paradigmas em crise e a educação. In: BRANDÃO, Zaia (Org.). </w:t>
      </w:r>
      <w:r>
        <w:rPr>
          <w:b/>
          <w:sz w:val="24"/>
        </w:rPr>
        <w:t>A crise dos paradigmas e a educação</w:t>
      </w:r>
      <w:r>
        <w:rPr>
          <w:sz w:val="24"/>
        </w:rPr>
        <w:t>. 4. ed. São Paulo: Cortez, 1997.</w:t>
      </w:r>
    </w:p>
    <w:p>
      <w:pPr>
        <w:pStyle w:val="BodyText"/>
        <w:spacing w:before="6"/>
        <w:rPr>
          <w:sz w:val="23"/>
        </w:rPr>
      </w:pPr>
    </w:p>
    <w:p>
      <w:pPr>
        <w:pStyle w:val="BodyText"/>
        <w:spacing w:line="242" w:lineRule="auto"/>
        <w:ind w:left="308" w:right="124"/>
        <w:jc w:val="both"/>
      </w:pPr>
      <w:r>
        <w:rPr/>
        <w:t>GATTI, Bernadete Angelina e BARRETO, Elba Siqueira Sá (coord.). </w:t>
      </w:r>
      <w:r>
        <w:rPr>
          <w:b/>
        </w:rPr>
        <w:t>Professores do Brasil</w:t>
      </w:r>
      <w:r>
        <w:rPr/>
        <w:t>: impasses e desafios. Brasília: UNESCO, 2009.</w:t>
      </w:r>
    </w:p>
    <w:p>
      <w:pPr>
        <w:pStyle w:val="BodyText"/>
        <w:spacing w:before="8"/>
        <w:rPr>
          <w:sz w:val="23"/>
        </w:rPr>
      </w:pPr>
    </w:p>
    <w:p>
      <w:pPr>
        <w:spacing w:line="242" w:lineRule="auto" w:before="0"/>
        <w:ind w:left="308" w:right="125" w:firstLine="0"/>
        <w:jc w:val="both"/>
        <w:rPr>
          <w:sz w:val="24"/>
        </w:rPr>
      </w:pPr>
      <w:r>
        <w:rPr>
          <w:sz w:val="24"/>
        </w:rPr>
        <w:t>GRAMSCI, Antônio. </w:t>
      </w:r>
      <w:r>
        <w:rPr>
          <w:b/>
          <w:sz w:val="24"/>
        </w:rPr>
        <w:t>Os intelectuais e a organização da cultura</w:t>
      </w:r>
      <w:r>
        <w:rPr>
          <w:sz w:val="24"/>
        </w:rPr>
        <w:t>. 7ª ed. Rio de Janeiro: Civilização Brasileira, 1989.</w:t>
      </w:r>
    </w:p>
    <w:p>
      <w:pPr>
        <w:pStyle w:val="BodyText"/>
        <w:spacing w:before="3"/>
        <w:rPr>
          <w:sz w:val="23"/>
        </w:rPr>
      </w:pPr>
    </w:p>
    <w:p>
      <w:pPr>
        <w:pStyle w:val="BodyText"/>
        <w:spacing w:line="247" w:lineRule="auto"/>
        <w:ind w:left="308" w:right="124"/>
        <w:jc w:val="both"/>
      </w:pPr>
      <w:r>
        <w:rPr/>
        <w:t>IANNI, Octávio. </w:t>
      </w:r>
      <w:r>
        <w:rPr>
          <w:b/>
        </w:rPr>
        <w:t>A sociedade global</w:t>
      </w:r>
      <w:r>
        <w:rPr/>
        <w:t>. 7. ed. Rio de Janeiro, RJ: Civilização Brasileira, 1999.</w:t>
      </w:r>
    </w:p>
    <w:p>
      <w:pPr>
        <w:pStyle w:val="BodyText"/>
        <w:spacing w:before="10"/>
        <w:rPr>
          <w:sz w:val="22"/>
        </w:rPr>
      </w:pPr>
    </w:p>
    <w:p>
      <w:pPr>
        <w:pStyle w:val="BodyText"/>
        <w:spacing w:line="275" w:lineRule="exact"/>
        <w:ind w:left="308"/>
        <w:jc w:val="both"/>
        <w:rPr>
          <w:b/>
        </w:rPr>
      </w:pPr>
      <w:r>
        <w:rPr/>
        <w:t>INSTITUTO  BRASILEIRO  DE  GEOGRAFIA  E  ESTATÍSTICA  (IBGE).    </w:t>
      </w:r>
      <w:r>
        <w:rPr>
          <w:b/>
        </w:rPr>
        <w:t>Dados</w:t>
      </w:r>
    </w:p>
    <w:p>
      <w:pPr>
        <w:spacing w:line="242" w:lineRule="auto" w:before="0"/>
        <w:ind w:left="308" w:right="121" w:firstLine="0"/>
        <w:jc w:val="both"/>
        <w:rPr>
          <w:sz w:val="24"/>
        </w:rPr>
      </w:pPr>
      <w:r>
        <w:rPr>
          <w:b/>
          <w:sz w:val="24"/>
        </w:rPr>
        <w:t>Infográficos: Evolução populacional e pirâmide etária de Gurupi TO</w:t>
      </w:r>
      <w:r>
        <w:rPr>
          <w:sz w:val="24"/>
        </w:rPr>
        <w:t>. Disponível em: &lt;</w:t>
      </w:r>
      <w:hyperlink r:id="rId33">
        <w:r>
          <w:rPr>
            <w:sz w:val="24"/>
          </w:rPr>
          <w:t>http://cidades.ibge.gov.br/painel/populacao.php?lang=&amp;codmun=</w:t>
        </w:r>
      </w:hyperlink>
      <w:r>
        <w:rPr>
          <w:sz w:val="24"/>
        </w:rPr>
        <w:t> </w:t>
      </w:r>
      <w:hyperlink r:id="rId33">
        <w:r>
          <w:rPr>
            <w:sz w:val="24"/>
          </w:rPr>
          <w:t>170950&amp; search=tocantins|gurupi|infograficos:-evolucao-populacional-e-piramide-</w:t>
        </w:r>
      </w:hyperlink>
      <w:r>
        <w:rPr>
          <w:sz w:val="24"/>
        </w:rPr>
        <w:t> </w:t>
      </w:r>
      <w:hyperlink r:id="rId33">
        <w:r>
          <w:rPr>
            <w:sz w:val="24"/>
          </w:rPr>
          <w:t>etaria</w:t>
        </w:r>
      </w:hyperlink>
      <w:r>
        <w:rPr>
          <w:sz w:val="24"/>
        </w:rPr>
        <w:t>&gt;. Acesso em 10 mar. 2014.</w:t>
      </w:r>
    </w:p>
    <w:p>
      <w:pPr>
        <w:pStyle w:val="BodyText"/>
        <w:spacing w:before="10"/>
        <w:rPr>
          <w:sz w:val="23"/>
        </w:rPr>
      </w:pPr>
    </w:p>
    <w:p>
      <w:pPr>
        <w:pStyle w:val="BodyText"/>
        <w:ind w:left="308" w:right="125"/>
        <w:jc w:val="both"/>
      </w:pPr>
      <w:r>
        <w:rPr/>
        <w:t>KOFF, Adélia Maria Nehme Simão e. A organização curricular e a prática didática integrada em debate. In: MAGALHÃES, Solange Martins Oliveira, SOUZA, Ruth Catarina Cerqueira Ribeiro (Orgs.). </w:t>
      </w:r>
      <w:r>
        <w:rPr>
          <w:b/>
        </w:rPr>
        <w:t>Formação de professores</w:t>
      </w:r>
      <w:r>
        <w:rPr/>
        <w:t>: elos da dimensão complexa transdisciplinar. Goiânia: PUC, Liber Livro Editora, 2012.</w:t>
      </w:r>
    </w:p>
    <w:p>
      <w:pPr>
        <w:pStyle w:val="BodyText"/>
        <w:spacing w:before="6"/>
        <w:rPr>
          <w:sz w:val="23"/>
        </w:rPr>
      </w:pPr>
    </w:p>
    <w:p>
      <w:pPr>
        <w:pStyle w:val="BodyText"/>
        <w:spacing w:line="247" w:lineRule="auto"/>
        <w:ind w:left="308" w:right="129"/>
        <w:jc w:val="both"/>
      </w:pPr>
      <w:r>
        <w:rPr/>
        <w:t>KUENZER, Acácia Z. </w:t>
      </w:r>
      <w:r>
        <w:rPr>
          <w:b/>
        </w:rPr>
        <w:t>As políticas de formação</w:t>
      </w:r>
      <w:r>
        <w:rPr/>
        <w:t>: a constituição da identidade do professor sobrante. educ. Soc. v.20 n.68 Campinas dez. 1999.</w:t>
      </w:r>
    </w:p>
    <w:p>
      <w:pPr>
        <w:spacing w:after="0" w:line="247" w:lineRule="auto"/>
        <w:jc w:val="both"/>
        <w:sectPr>
          <w:pgSz w:w="11910" w:h="16840"/>
          <w:pgMar w:header="1133" w:footer="0" w:top="1340" w:bottom="280" w:left="1680" w:right="1000"/>
        </w:sectPr>
      </w:pPr>
    </w:p>
    <w:p>
      <w:pPr>
        <w:pStyle w:val="BodyText"/>
        <w:spacing w:before="10"/>
        <w:rPr>
          <w:sz w:val="20"/>
        </w:rPr>
      </w:pPr>
    </w:p>
    <w:p>
      <w:pPr>
        <w:spacing w:line="247" w:lineRule="auto" w:before="92"/>
        <w:ind w:left="308" w:right="109" w:firstLine="0"/>
        <w:jc w:val="both"/>
        <w:rPr>
          <w:sz w:val="24"/>
        </w:rPr>
      </w:pPr>
      <w:r>
        <w:rPr>
          <w:sz w:val="24"/>
        </w:rPr>
        <w:t>KUHN, Thomas S. </w:t>
      </w:r>
      <w:r>
        <w:rPr>
          <w:b/>
          <w:sz w:val="24"/>
        </w:rPr>
        <w:t>A estrutura das revoluções científicas</w:t>
      </w:r>
      <w:r>
        <w:rPr>
          <w:sz w:val="24"/>
        </w:rPr>
        <w:t>. São Paulo, SP: Editora Perspectiva, 2007.</w:t>
      </w:r>
    </w:p>
    <w:p>
      <w:pPr>
        <w:pStyle w:val="BodyText"/>
        <w:spacing w:before="10"/>
        <w:rPr>
          <w:sz w:val="22"/>
        </w:rPr>
      </w:pPr>
    </w:p>
    <w:p>
      <w:pPr>
        <w:pStyle w:val="BodyText"/>
        <w:ind w:left="308" w:right="99"/>
        <w:jc w:val="both"/>
      </w:pPr>
      <w:r>
        <w:rPr/>
        <w:t>LIBÂNEO, José Carlos. </w:t>
      </w:r>
      <w:r>
        <w:rPr>
          <w:b/>
        </w:rPr>
        <w:t>Escola pública brasileira, um sonho frustado</w:t>
      </w:r>
      <w:r>
        <w:rPr/>
        <w:t>: falharam as escolas ou as políticas educaiconais? In: LIBÂNEO, José Carlos, SUANNO, Vanessa Rosa. Didática e escola em uma sociedade complexa. Goiânia, GO: CEPED, 2011.</w:t>
      </w:r>
    </w:p>
    <w:p>
      <w:pPr>
        <w:pStyle w:val="BodyText"/>
        <w:spacing w:before="10"/>
        <w:rPr>
          <w:sz w:val="15"/>
        </w:rPr>
      </w:pPr>
    </w:p>
    <w:p>
      <w:pPr>
        <w:pStyle w:val="BodyText"/>
        <w:spacing w:before="93"/>
        <w:ind w:left="308" w:right="118"/>
        <w:jc w:val="both"/>
      </w:pPr>
      <w:r>
        <w:rPr>
          <w:w w:val="100"/>
          <w:sz w:val="22"/>
          <w:u w:val="single"/>
        </w:rPr>
        <w:t> </w:t>
      </w:r>
      <w:r>
        <w:rPr>
          <w:sz w:val="22"/>
          <w:u w:val="single"/>
        </w:rPr>
        <w:t>         </w:t>
      </w:r>
      <w:r>
        <w:rPr>
          <w:sz w:val="22"/>
        </w:rPr>
        <w:t>. </w:t>
      </w:r>
      <w:r>
        <w:rPr/>
        <w:t>Perspectivas de uma pedagogia emancipadora face às transformações do mundo contemporâneo. </w:t>
      </w:r>
      <w:r>
        <w:rPr>
          <w:b/>
        </w:rPr>
        <w:t>Pensar a Prática, </w:t>
      </w:r>
      <w:r>
        <w:rPr/>
        <w:t>Goiânia: FEF/UFG, v. 1, n. 1, 1998.</w:t>
      </w:r>
    </w:p>
    <w:p>
      <w:pPr>
        <w:pStyle w:val="BodyText"/>
      </w:pPr>
    </w:p>
    <w:p>
      <w:pPr>
        <w:spacing w:line="242" w:lineRule="auto" w:before="0"/>
        <w:ind w:left="308" w:right="104" w:firstLine="0"/>
        <w:jc w:val="both"/>
        <w:rPr>
          <w:sz w:val="24"/>
        </w:rPr>
      </w:pPr>
      <w:r>
        <w:rPr>
          <w:sz w:val="24"/>
        </w:rPr>
        <w:t>LUCK, H. </w:t>
      </w:r>
      <w:r>
        <w:rPr>
          <w:b/>
          <w:sz w:val="24"/>
        </w:rPr>
        <w:t>Pedagogia Interdisciplinar</w:t>
      </w:r>
      <w:r>
        <w:rPr>
          <w:sz w:val="24"/>
        </w:rPr>
        <w:t>: fundamentos teóricos – metodológicos. Petrópolis, Vozes, 1994.</w:t>
      </w:r>
    </w:p>
    <w:p>
      <w:pPr>
        <w:pStyle w:val="BodyText"/>
        <w:spacing w:before="3"/>
        <w:rPr>
          <w:sz w:val="23"/>
        </w:rPr>
      </w:pPr>
    </w:p>
    <w:p>
      <w:pPr>
        <w:pStyle w:val="BodyText"/>
        <w:spacing w:line="242" w:lineRule="auto" w:before="1"/>
        <w:ind w:left="308" w:right="101"/>
        <w:jc w:val="both"/>
      </w:pPr>
      <w:r>
        <w:rPr/>
        <w:t>LÜDKE, Menga e ANDRÉ, Marli Eliza Dalmazo Afonso de. </w:t>
      </w:r>
      <w:r>
        <w:rPr>
          <w:b/>
        </w:rPr>
        <w:t>Pesquisa em educação</w:t>
      </w:r>
      <w:r>
        <w:rPr/>
        <w:t>: abordagens qualitativas. São Paulo:EPU, 1986.</w:t>
      </w:r>
    </w:p>
    <w:p>
      <w:pPr>
        <w:pStyle w:val="BodyText"/>
        <w:spacing w:before="2"/>
      </w:pPr>
    </w:p>
    <w:p>
      <w:pPr>
        <w:pStyle w:val="BodyText"/>
        <w:ind w:left="308" w:right="98"/>
        <w:jc w:val="both"/>
      </w:pPr>
      <w:r>
        <w:rPr/>
        <w:t>MAFFEZZOLLI, Eliane Cristine e COEHS, Carlos Gabriel Eggerts. Uma reflexão sobre estudo de caso como método de pesquisa. </w:t>
      </w:r>
      <w:r>
        <w:rPr>
          <w:b/>
        </w:rPr>
        <w:t>Revista FAE Curitiba</w:t>
      </w:r>
      <w:r>
        <w:rPr/>
        <w:t>, v. 11, n. 1,  p.  95-110,  Jan/Jul,  2008.  Disponível  em:  &lt;</w:t>
      </w:r>
      <w:hyperlink r:id="rId34">
        <w:r>
          <w:rPr/>
          <w:t>http://www.unifae.br/publicacoes/</w:t>
        </w:r>
      </w:hyperlink>
    </w:p>
    <w:p>
      <w:pPr>
        <w:pStyle w:val="BodyText"/>
        <w:spacing w:line="274" w:lineRule="exact"/>
        <w:ind w:left="308"/>
        <w:jc w:val="both"/>
      </w:pPr>
      <w:hyperlink r:id="rId34">
        <w:r>
          <w:rPr/>
          <w:t>pdf/revistaafae/faev11n1/09ElianeCarlos.pdf</w:t>
        </w:r>
      </w:hyperlink>
      <w:r>
        <w:rPr/>
        <w:t>&gt;. Acesso em: 01 mar. 2013.</w:t>
      </w:r>
    </w:p>
    <w:p>
      <w:pPr>
        <w:pStyle w:val="BodyText"/>
      </w:pPr>
    </w:p>
    <w:p>
      <w:pPr>
        <w:spacing w:line="240" w:lineRule="auto" w:before="0"/>
        <w:ind w:left="308" w:right="101" w:firstLine="0"/>
        <w:jc w:val="both"/>
        <w:rPr>
          <w:sz w:val="24"/>
        </w:rPr>
      </w:pPr>
      <w:r>
        <w:rPr>
          <w:sz w:val="24"/>
        </w:rPr>
        <w:t>MARCONDES, Danilo. A crise de paradigmas e o surgimento da modernidade. In: BRANDÃO, Zaia (Org.). </w:t>
      </w:r>
      <w:r>
        <w:rPr>
          <w:b/>
          <w:sz w:val="24"/>
        </w:rPr>
        <w:t>A crise dos paradigmas e a educação</w:t>
      </w:r>
      <w:r>
        <w:rPr>
          <w:sz w:val="24"/>
        </w:rPr>
        <w:t>. 4. ed. São Paulo: Cortez, 1997.</w:t>
      </w:r>
    </w:p>
    <w:p>
      <w:pPr>
        <w:pStyle w:val="BodyText"/>
        <w:spacing w:before="1"/>
      </w:pPr>
    </w:p>
    <w:p>
      <w:pPr>
        <w:pStyle w:val="BodyText"/>
        <w:spacing w:line="237" w:lineRule="auto"/>
        <w:ind w:left="308" w:right="100"/>
        <w:jc w:val="both"/>
      </w:pPr>
      <w:r>
        <w:rPr/>
        <w:t>MARTINS DE SÁ, Janete Liasch. Desafios conjunturais à educação. In: SANTOS FILHO, José Camilo dos (org.). </w:t>
      </w:r>
      <w:r>
        <w:rPr>
          <w:b/>
        </w:rPr>
        <w:t>A educação no século 21: </w:t>
      </w:r>
      <w:r>
        <w:rPr/>
        <w:t>desafíos e perspectivas</w:t>
      </w:r>
      <w:r>
        <w:rPr>
          <w:b/>
        </w:rPr>
        <w:t>. </w:t>
      </w:r>
      <w:r>
        <w:rPr/>
        <w:t>Engenheiro Coelho, SP: UNASPRESS, 2003. p. 31-58.</w:t>
      </w:r>
    </w:p>
    <w:p>
      <w:pPr>
        <w:pStyle w:val="BodyText"/>
        <w:spacing w:before="11"/>
        <w:rPr>
          <w:sz w:val="23"/>
        </w:rPr>
      </w:pPr>
    </w:p>
    <w:p>
      <w:pPr>
        <w:pStyle w:val="BodyText"/>
        <w:spacing w:line="247" w:lineRule="auto"/>
        <w:ind w:left="308" w:right="107"/>
        <w:jc w:val="both"/>
      </w:pPr>
      <w:r>
        <w:rPr/>
        <w:t>MARX, Karl &amp; ENGELS, Friedrich. </w:t>
      </w:r>
      <w:r>
        <w:rPr>
          <w:b/>
        </w:rPr>
        <w:t>A ideologia alemã</w:t>
      </w:r>
      <w:r>
        <w:rPr/>
        <w:t>. Tradução Luís Cláudio de Castro e Costa.  2. ed. São Paulo: Martins Fontes, 1998.</w:t>
      </w:r>
    </w:p>
    <w:p>
      <w:pPr>
        <w:pStyle w:val="BodyText"/>
        <w:spacing w:before="3"/>
        <w:rPr>
          <w:sz w:val="23"/>
        </w:rPr>
      </w:pPr>
    </w:p>
    <w:p>
      <w:pPr>
        <w:pStyle w:val="BodyText"/>
        <w:ind w:left="308" w:right="106"/>
        <w:jc w:val="both"/>
      </w:pPr>
      <w:r>
        <w:rPr/>
        <w:t>MAZZOTTI, Alda Judith Alves. Representações sociais: aspectos teóricos e aplicações à Educação. In: </w:t>
      </w:r>
      <w:r>
        <w:rPr>
          <w:b/>
        </w:rPr>
        <w:t>Em Aberto</w:t>
      </w:r>
      <w:r>
        <w:rPr/>
        <w:t>: MEC-INEP, Brasília, DF, ano 14, nº 61, p. 60 a 78, Jan./Mar. 1994.</w:t>
      </w:r>
    </w:p>
    <w:p>
      <w:pPr>
        <w:pStyle w:val="BodyText"/>
        <w:spacing w:before="11"/>
        <w:rPr>
          <w:sz w:val="23"/>
        </w:rPr>
      </w:pPr>
    </w:p>
    <w:p>
      <w:pPr>
        <w:pStyle w:val="BodyText"/>
        <w:ind w:left="308" w:right="110"/>
        <w:jc w:val="both"/>
      </w:pPr>
      <w:r>
        <w:rPr/>
        <w:t>MELLO, R. R. Comunidades de aprendizagem: contribuição para a construção de alternativas para uma relação mais dialógica entre a escola e grupos de periferia urbana. </w:t>
      </w:r>
      <w:r>
        <w:rPr>
          <w:b/>
        </w:rPr>
        <w:t>Relatório de pesquisa </w:t>
      </w:r>
      <w:r>
        <w:rPr/>
        <w:t>(Pós-doutorado) junto ao Centro de investigação social e educativa (CRea). Barcelona/Espanha. FAPESP, 2002.</w:t>
      </w:r>
    </w:p>
    <w:p>
      <w:pPr>
        <w:pStyle w:val="BodyText"/>
        <w:spacing w:before="6"/>
        <w:rPr>
          <w:sz w:val="23"/>
        </w:rPr>
      </w:pPr>
    </w:p>
    <w:p>
      <w:pPr>
        <w:spacing w:line="242" w:lineRule="auto" w:before="0"/>
        <w:ind w:left="308" w:right="100" w:firstLine="0"/>
        <w:jc w:val="both"/>
        <w:rPr>
          <w:sz w:val="24"/>
        </w:rPr>
      </w:pPr>
      <w:r>
        <w:rPr>
          <w:sz w:val="24"/>
        </w:rPr>
        <w:t>MESQUITA, Eliene Pereira da Silva. </w:t>
      </w:r>
      <w:r>
        <w:rPr>
          <w:b/>
          <w:sz w:val="24"/>
        </w:rPr>
        <w:t>A educação escolar: um resgate histórico do processo de implantação da escolarização em Gurupi</w:t>
      </w:r>
      <w:r>
        <w:rPr>
          <w:sz w:val="24"/>
        </w:rPr>
        <w:t>. 2009. ? f. Monografia (Licenciatura em de Pedagogia) - Centro Universitário UNIRG, Gurupi TO, 2009.</w:t>
      </w:r>
    </w:p>
    <w:p>
      <w:pPr>
        <w:pStyle w:val="BodyText"/>
        <w:spacing w:before="4"/>
        <w:rPr>
          <w:sz w:val="23"/>
        </w:rPr>
      </w:pPr>
    </w:p>
    <w:p>
      <w:pPr>
        <w:spacing w:before="0"/>
        <w:ind w:left="308" w:right="0" w:firstLine="0"/>
        <w:jc w:val="both"/>
        <w:rPr>
          <w:sz w:val="24"/>
        </w:rPr>
      </w:pPr>
      <w:r>
        <w:rPr>
          <w:sz w:val="24"/>
        </w:rPr>
        <w:t>MILL, C. Wright. </w:t>
      </w:r>
      <w:r>
        <w:rPr>
          <w:b/>
          <w:sz w:val="24"/>
        </w:rPr>
        <w:t>Imaginação sociológica</w:t>
      </w:r>
      <w:r>
        <w:rPr>
          <w:sz w:val="24"/>
        </w:rPr>
        <w:t>. 6ª ed. Rio de Janeiro: Zahar, 1982.</w:t>
      </w:r>
    </w:p>
    <w:p>
      <w:pPr>
        <w:spacing w:after="0"/>
        <w:jc w:val="both"/>
        <w:rPr>
          <w:sz w:val="24"/>
        </w:rPr>
        <w:sectPr>
          <w:pgSz w:w="11910" w:h="16840"/>
          <w:pgMar w:header="1133" w:footer="0" w:top="1340" w:bottom="280" w:left="1680" w:right="1020"/>
        </w:sectPr>
      </w:pPr>
    </w:p>
    <w:p>
      <w:pPr>
        <w:pStyle w:val="BodyText"/>
        <w:spacing w:before="10"/>
        <w:rPr>
          <w:sz w:val="20"/>
        </w:rPr>
      </w:pPr>
    </w:p>
    <w:p>
      <w:pPr>
        <w:pStyle w:val="BodyText"/>
        <w:spacing w:line="247" w:lineRule="auto" w:before="92"/>
        <w:ind w:left="308" w:right="105"/>
        <w:jc w:val="both"/>
      </w:pPr>
      <w:r>
        <w:rPr/>
        <w:t>MINAYO, Maria Cecília de Souza (Org). et al. </w:t>
      </w:r>
      <w:r>
        <w:rPr>
          <w:b/>
        </w:rPr>
        <w:t>Pesquisa Social</w:t>
      </w:r>
      <w:r>
        <w:rPr/>
        <w:t>: teoria, método e criatividade. Petrópolis, RJ: Vozes, 2003.</w:t>
      </w:r>
    </w:p>
    <w:p>
      <w:pPr>
        <w:pStyle w:val="BodyText"/>
        <w:spacing w:before="10"/>
        <w:rPr>
          <w:sz w:val="22"/>
        </w:rPr>
      </w:pPr>
    </w:p>
    <w:p>
      <w:pPr>
        <w:spacing w:line="242" w:lineRule="auto" w:before="0"/>
        <w:ind w:left="308" w:right="103" w:firstLine="0"/>
        <w:jc w:val="both"/>
        <w:rPr>
          <w:sz w:val="24"/>
        </w:rPr>
      </w:pPr>
      <w:r>
        <w:rPr>
          <w:sz w:val="24"/>
        </w:rPr>
        <w:t>MIZUKAMI, Maria da Graça Nicoletti. </w:t>
      </w:r>
      <w:r>
        <w:rPr>
          <w:b/>
          <w:sz w:val="24"/>
        </w:rPr>
        <w:t>Ensino as abordagens do processo</w:t>
      </w:r>
      <w:r>
        <w:rPr>
          <w:sz w:val="24"/>
        </w:rPr>
        <w:t>. São Paulo: EPU, 1986.</w:t>
      </w:r>
    </w:p>
    <w:p>
      <w:pPr>
        <w:pStyle w:val="BodyText"/>
        <w:spacing w:before="3"/>
        <w:rPr>
          <w:sz w:val="23"/>
        </w:rPr>
      </w:pPr>
    </w:p>
    <w:p>
      <w:pPr>
        <w:pStyle w:val="BodyText"/>
        <w:spacing w:line="247" w:lineRule="auto"/>
        <w:ind w:left="308" w:right="99"/>
        <w:jc w:val="both"/>
      </w:pPr>
      <w:r>
        <w:rPr/>
        <w:t>MORAES, Roque. Análise de conteúdo. </w:t>
      </w:r>
      <w:r>
        <w:rPr>
          <w:b/>
        </w:rPr>
        <w:t>Revista Educação</w:t>
      </w:r>
      <w:r>
        <w:rPr/>
        <w:t>. Porto Alegres, v. 22, nº 37,1999. p.07-32.</w:t>
      </w:r>
    </w:p>
    <w:p>
      <w:pPr>
        <w:pStyle w:val="BodyText"/>
        <w:spacing w:before="3"/>
        <w:rPr>
          <w:sz w:val="23"/>
        </w:rPr>
      </w:pPr>
    </w:p>
    <w:p>
      <w:pPr>
        <w:pStyle w:val="BodyText"/>
        <w:ind w:left="308" w:right="101"/>
        <w:jc w:val="both"/>
      </w:pPr>
      <w:r>
        <w:rPr/>
        <w:t>MORAES, Maria Cândida. As contribuições do pensamento ecossistêmico a educação hoje. In: TORRE, Saturnino de La, PUJOL, Maria Antonia e SILVA,  Vera Lucia Souza e. </w:t>
      </w:r>
      <w:r>
        <w:rPr>
          <w:b/>
        </w:rPr>
        <w:t>Inovando na sala de aula</w:t>
      </w:r>
      <w:r>
        <w:rPr/>
        <w:t>: instituições transformadoras. Blumenau: Nova Letra,</w:t>
      </w:r>
      <w:r>
        <w:rPr>
          <w:spacing w:val="-12"/>
        </w:rPr>
        <w:t> </w:t>
      </w:r>
      <w:r>
        <w:rPr/>
        <w:t>2013.</w:t>
      </w:r>
    </w:p>
    <w:p>
      <w:pPr>
        <w:pStyle w:val="BodyText"/>
        <w:spacing w:before="10"/>
        <w:rPr>
          <w:sz w:val="15"/>
        </w:rPr>
      </w:pPr>
    </w:p>
    <w:p>
      <w:pPr>
        <w:pStyle w:val="BodyText"/>
        <w:spacing w:before="93"/>
        <w:ind w:left="308" w:right="108"/>
        <w:jc w:val="both"/>
      </w:pPr>
      <w:r>
        <w:rPr>
          <w:w w:val="100"/>
          <w:u w:val="single"/>
        </w:rPr>
        <w:t> </w:t>
      </w:r>
      <w:r>
        <w:rPr>
          <w:u w:val="single"/>
        </w:rPr>
        <w:t>       </w:t>
      </w:r>
      <w:r>
        <w:rPr>
          <w:spacing w:val="14"/>
          <w:u w:val="single"/>
        </w:rPr>
        <w:t> </w:t>
      </w:r>
      <w:r>
        <w:rPr/>
        <w:t>Complexidade e educação: em busca de novos fundamentos teóricos metodológicos. In: TORRE, Saturnino de La, ZWIEREWICZ, Marlene, FURLANETTO, Ecleide Cunico. </w:t>
      </w:r>
      <w:r>
        <w:rPr>
          <w:b/>
        </w:rPr>
        <w:t>Formação docente e pesquisa transdisciplinar</w:t>
      </w:r>
      <w:r>
        <w:rPr/>
        <w:t>: como criar e inovar com outra consciência.  Blumenau,  SC: Nova Letra,</w:t>
      </w:r>
      <w:r>
        <w:rPr>
          <w:spacing w:val="-6"/>
        </w:rPr>
        <w:t> </w:t>
      </w:r>
      <w:r>
        <w:rPr/>
        <w:t>2011.</w:t>
      </w:r>
    </w:p>
    <w:p>
      <w:pPr>
        <w:pStyle w:val="BodyText"/>
        <w:spacing w:before="6"/>
        <w:rPr>
          <w:sz w:val="15"/>
        </w:rPr>
      </w:pPr>
    </w:p>
    <w:p>
      <w:pPr>
        <w:tabs>
          <w:tab w:pos="980" w:val="left" w:leader="none"/>
        </w:tabs>
        <w:spacing w:line="247" w:lineRule="auto" w:before="92"/>
        <w:ind w:left="308" w:right="103" w:firstLine="0"/>
        <w:jc w:val="left"/>
        <w:rPr>
          <w:sz w:val="24"/>
        </w:rPr>
      </w:pPr>
      <w:r>
        <w:rPr>
          <w:b/>
          <w:sz w:val="24"/>
          <w:u w:val="single"/>
        </w:rPr>
        <w:t> </w:t>
        <w:tab/>
      </w:r>
      <w:r>
        <w:rPr>
          <w:b/>
          <w:sz w:val="24"/>
        </w:rPr>
        <w:t>O paradigma educacional emergente</w:t>
      </w:r>
      <w:r>
        <w:rPr>
          <w:sz w:val="24"/>
        </w:rPr>
        <w:t>. 11. ed. Campinas:  </w:t>
      </w:r>
      <w:r>
        <w:rPr>
          <w:spacing w:val="31"/>
          <w:sz w:val="24"/>
        </w:rPr>
        <w:t> </w:t>
      </w:r>
      <w:r>
        <w:rPr>
          <w:sz w:val="24"/>
        </w:rPr>
        <w:t>Papirus,</w:t>
      </w:r>
      <w:r>
        <w:rPr>
          <w:spacing w:val="20"/>
          <w:sz w:val="24"/>
        </w:rPr>
        <w:t> </w:t>
      </w:r>
      <w:r>
        <w:rPr>
          <w:sz w:val="24"/>
        </w:rPr>
        <w:t>1997.</w:t>
      </w:r>
      <w:r>
        <w:rPr>
          <w:w w:val="100"/>
          <w:sz w:val="24"/>
        </w:rPr>
        <w:t> </w:t>
      </w:r>
      <w:r>
        <w:rPr>
          <w:sz w:val="24"/>
        </w:rPr>
        <w:t>(Coleção</w:t>
      </w:r>
      <w:r>
        <w:rPr>
          <w:spacing w:val="-3"/>
          <w:sz w:val="24"/>
        </w:rPr>
        <w:t> </w:t>
      </w:r>
      <w:r>
        <w:rPr>
          <w:sz w:val="24"/>
        </w:rPr>
        <w:t>práxis).</w:t>
      </w:r>
    </w:p>
    <w:p>
      <w:pPr>
        <w:tabs>
          <w:tab w:pos="980" w:val="left" w:leader="none"/>
        </w:tabs>
        <w:spacing w:line="261" w:lineRule="exact" w:before="0"/>
        <w:ind w:left="308" w:right="0" w:firstLine="0"/>
        <w:jc w:val="left"/>
        <w:rPr>
          <w:sz w:val="24"/>
        </w:rPr>
      </w:pPr>
      <w:r>
        <w:rPr>
          <w:b/>
          <w:sz w:val="24"/>
          <w:u w:val="single"/>
        </w:rPr>
        <w:t> </w:t>
        <w:tab/>
      </w:r>
      <w:r>
        <w:rPr>
          <w:b/>
          <w:sz w:val="24"/>
        </w:rPr>
        <w:t>Pensamento  eco-sistêmico</w:t>
      </w:r>
      <w:r>
        <w:rPr>
          <w:sz w:val="24"/>
        </w:rPr>
        <w:t>:  educação,  aprendizagem  e  cidadania   </w:t>
      </w:r>
      <w:r>
        <w:rPr>
          <w:spacing w:val="2"/>
          <w:sz w:val="24"/>
        </w:rPr>
        <w:t> </w:t>
      </w:r>
      <w:r>
        <w:rPr>
          <w:sz w:val="24"/>
        </w:rPr>
        <w:t>no</w:t>
      </w:r>
    </w:p>
    <w:p>
      <w:pPr>
        <w:pStyle w:val="BodyText"/>
        <w:spacing w:before="8"/>
        <w:ind w:left="308"/>
      </w:pPr>
      <w:r>
        <w:rPr/>
        <w:t>século XXI. Petrópolis, RJ: Vozes, 2004a.</w:t>
      </w:r>
    </w:p>
    <w:p>
      <w:pPr>
        <w:pStyle w:val="BodyText"/>
        <w:spacing w:before="6"/>
        <w:rPr>
          <w:sz w:val="15"/>
        </w:rPr>
      </w:pPr>
    </w:p>
    <w:p>
      <w:pPr>
        <w:pStyle w:val="BodyText"/>
        <w:tabs>
          <w:tab w:pos="980" w:val="left" w:leader="none"/>
        </w:tabs>
        <w:spacing w:line="242" w:lineRule="auto" w:before="93"/>
        <w:ind w:left="308" w:right="113"/>
      </w:pPr>
      <w:r>
        <w:rPr>
          <w:b/>
          <w:u w:val="single"/>
        </w:rPr>
        <w:t> </w:t>
        <w:tab/>
      </w:r>
      <w:r>
        <w:rPr>
          <w:b/>
        </w:rPr>
        <w:t>Sentir  Pensar</w:t>
      </w:r>
      <w:r>
        <w:rPr/>
        <w:t>:  fundamentos  e  estratégias  para  reencantar</w:t>
      </w:r>
      <w:r>
        <w:rPr>
          <w:spacing w:val="-21"/>
        </w:rPr>
        <w:t> </w:t>
      </w:r>
      <w:r>
        <w:rPr/>
        <w:t>a</w:t>
      </w:r>
      <w:r>
        <w:rPr>
          <w:spacing w:val="54"/>
        </w:rPr>
        <w:t> </w:t>
      </w:r>
      <w:r>
        <w:rPr/>
        <w:t>educação.</w:t>
      </w:r>
      <w:r>
        <w:rPr>
          <w:w w:val="100"/>
        </w:rPr>
        <w:t> </w:t>
      </w:r>
      <w:r>
        <w:rPr/>
        <w:t>Petrópolis, RJ: Vozes,</w:t>
      </w:r>
      <w:r>
        <w:rPr>
          <w:spacing w:val="-9"/>
        </w:rPr>
        <w:t> </w:t>
      </w:r>
      <w:r>
        <w:rPr/>
        <w:t>2004b.</w:t>
      </w:r>
    </w:p>
    <w:p>
      <w:pPr>
        <w:pStyle w:val="BodyText"/>
        <w:spacing w:before="4"/>
        <w:rPr>
          <w:sz w:val="15"/>
        </w:rPr>
      </w:pPr>
    </w:p>
    <w:p>
      <w:pPr>
        <w:spacing w:line="242" w:lineRule="auto" w:before="92"/>
        <w:ind w:left="308" w:right="98" w:firstLine="0"/>
        <w:jc w:val="both"/>
        <w:rPr>
          <w:sz w:val="24"/>
        </w:rPr>
      </w:pPr>
      <w:r>
        <w:rPr>
          <w:w w:val="100"/>
          <w:sz w:val="22"/>
          <w:u w:val="single"/>
        </w:rPr>
        <w:t> </w:t>
      </w:r>
      <w:r>
        <w:rPr>
          <w:sz w:val="22"/>
          <w:u w:val="single"/>
        </w:rPr>
        <w:t>         </w:t>
      </w:r>
      <w:r>
        <w:rPr>
          <w:sz w:val="22"/>
        </w:rPr>
        <w:t>. </w:t>
      </w:r>
      <w:r>
        <w:rPr>
          <w:sz w:val="24"/>
        </w:rPr>
        <w:t>Transdisciplinaridade e Educação. In: </w:t>
      </w:r>
      <w:r>
        <w:rPr>
          <w:b/>
          <w:sz w:val="24"/>
        </w:rPr>
        <w:t>Revista Eletrônica Rizoma Freireano</w:t>
      </w:r>
      <w:r>
        <w:rPr>
          <w:sz w:val="24"/>
        </w:rPr>
        <w:t>, v.06, 2010. Disponível em: &lt;</w:t>
      </w:r>
      <w:hyperlink r:id="rId35">
        <w:r>
          <w:rPr>
            <w:sz w:val="24"/>
          </w:rPr>
          <w:t>www.rizoma-freireano.org.index.</w:t>
        </w:r>
      </w:hyperlink>
      <w:r>
        <w:rPr>
          <w:sz w:val="24"/>
        </w:rPr>
        <w:t> phptransdisciplinaridade-e-educacao--maria-candida&gt;. Acesso em 22 ago. 2014.</w:t>
      </w:r>
    </w:p>
    <w:p>
      <w:pPr>
        <w:pStyle w:val="BodyText"/>
        <w:spacing w:before="3"/>
        <w:rPr>
          <w:sz w:val="23"/>
        </w:rPr>
      </w:pPr>
    </w:p>
    <w:p>
      <w:pPr>
        <w:spacing w:line="276" w:lineRule="auto" w:before="0"/>
        <w:ind w:left="308" w:right="98" w:firstLine="0"/>
        <w:jc w:val="both"/>
        <w:rPr>
          <w:sz w:val="24"/>
        </w:rPr>
      </w:pPr>
      <w:r>
        <w:rPr>
          <w:sz w:val="24"/>
        </w:rPr>
        <w:t>MORIN, Edgar; LE MOIGNE, Jean-Louis. </w:t>
      </w:r>
      <w:r>
        <w:rPr>
          <w:b/>
          <w:sz w:val="24"/>
        </w:rPr>
        <w:t>A Inteligência da Complexidade</w:t>
      </w:r>
      <w:r>
        <w:rPr>
          <w:sz w:val="24"/>
        </w:rPr>
        <w:t>. São Paulo: Petrópolis, 2000</w:t>
      </w:r>
    </w:p>
    <w:p>
      <w:pPr>
        <w:spacing w:line="247" w:lineRule="auto" w:before="201"/>
        <w:ind w:left="308" w:right="98" w:firstLine="0"/>
        <w:jc w:val="both"/>
        <w:rPr>
          <w:sz w:val="24"/>
        </w:rPr>
      </w:pPr>
      <w:r>
        <w:rPr>
          <w:sz w:val="24"/>
        </w:rPr>
        <w:t>MORIN, Edgar. </w:t>
      </w:r>
      <w:r>
        <w:rPr>
          <w:b/>
          <w:sz w:val="24"/>
        </w:rPr>
        <w:t>Os sete saberes necessários a educação do futuro</w:t>
      </w:r>
      <w:r>
        <w:rPr>
          <w:sz w:val="24"/>
        </w:rPr>
        <w:t>. 8º ed. Brasília, DF: UNESCO, 2003.</w:t>
      </w:r>
    </w:p>
    <w:p>
      <w:pPr>
        <w:pStyle w:val="BodyText"/>
        <w:spacing w:before="9"/>
        <w:rPr>
          <w:sz w:val="14"/>
        </w:rPr>
      </w:pPr>
    </w:p>
    <w:p>
      <w:pPr>
        <w:spacing w:before="92"/>
        <w:ind w:left="308" w:right="0" w:firstLine="0"/>
        <w:jc w:val="both"/>
        <w:rPr>
          <w:sz w:val="24"/>
        </w:rPr>
      </w:pPr>
      <w:r>
        <w:rPr>
          <w:w w:val="100"/>
          <w:sz w:val="24"/>
          <w:u w:val="single"/>
        </w:rPr>
        <w:t> </w:t>
      </w:r>
      <w:r>
        <w:rPr>
          <w:sz w:val="24"/>
          <w:u w:val="single"/>
        </w:rPr>
        <w:t>         </w:t>
      </w:r>
      <w:r>
        <w:rPr>
          <w:sz w:val="24"/>
        </w:rPr>
        <w:t>. </w:t>
      </w:r>
      <w:r>
        <w:rPr>
          <w:b/>
          <w:sz w:val="24"/>
        </w:rPr>
        <w:t>Introdução ao pensamento complexo</w:t>
      </w:r>
      <w:r>
        <w:rPr>
          <w:sz w:val="24"/>
        </w:rPr>
        <w:t>. Porto Alegre: Sulina, 2005.</w:t>
      </w:r>
    </w:p>
    <w:p>
      <w:pPr>
        <w:pStyle w:val="BodyText"/>
        <w:spacing w:before="4"/>
      </w:pPr>
    </w:p>
    <w:p>
      <w:pPr>
        <w:pStyle w:val="BodyText"/>
        <w:ind w:left="308" w:right="109"/>
        <w:jc w:val="both"/>
      </w:pPr>
      <w:r>
        <w:rPr/>
        <w:t>MORIN, Edgar. ALMEIDA, Maria da Conceição de. CARVALHO, Edgard de Assis (orgs.). </w:t>
      </w:r>
      <w:r>
        <w:rPr>
          <w:b/>
        </w:rPr>
        <w:t>Educação e complexidade: </w:t>
      </w:r>
      <w:r>
        <w:rPr/>
        <w:t>os setes saberes e outros ensaios. 3 ed. São Paulo: Cortez, 2005.</w:t>
      </w:r>
    </w:p>
    <w:p>
      <w:pPr>
        <w:pStyle w:val="BodyText"/>
        <w:spacing w:before="5"/>
        <w:rPr>
          <w:sz w:val="23"/>
        </w:rPr>
      </w:pPr>
    </w:p>
    <w:p>
      <w:pPr>
        <w:spacing w:line="242" w:lineRule="auto" w:before="1"/>
        <w:ind w:left="308" w:right="106" w:firstLine="0"/>
        <w:jc w:val="both"/>
        <w:rPr>
          <w:sz w:val="24"/>
        </w:rPr>
      </w:pPr>
      <w:r>
        <w:rPr>
          <w:sz w:val="24"/>
        </w:rPr>
        <w:t>MORIN, E. </w:t>
      </w:r>
      <w:r>
        <w:rPr>
          <w:b/>
          <w:sz w:val="24"/>
        </w:rPr>
        <w:t>Introdução ao pensamento complexo</w:t>
      </w:r>
      <w:r>
        <w:rPr>
          <w:sz w:val="24"/>
        </w:rPr>
        <w:t>. 3. ed. Porto Alegre: Sulina, 2007.</w:t>
      </w:r>
    </w:p>
    <w:p>
      <w:pPr>
        <w:pStyle w:val="BodyText"/>
        <w:spacing w:before="4"/>
        <w:rPr>
          <w:sz w:val="23"/>
        </w:rPr>
      </w:pPr>
    </w:p>
    <w:p>
      <w:pPr>
        <w:pStyle w:val="BodyText"/>
        <w:spacing w:line="242" w:lineRule="auto"/>
        <w:ind w:left="308" w:right="107"/>
        <w:jc w:val="both"/>
      </w:pPr>
      <w:r>
        <w:rPr/>
        <w:t>MORIN, Edgar </w:t>
      </w:r>
      <w:r>
        <w:rPr>
          <w:b/>
        </w:rPr>
        <w:t>Os Problemas do Fim de Século</w:t>
      </w:r>
      <w:r>
        <w:rPr>
          <w:i/>
        </w:rPr>
        <w:t>. </w:t>
      </w:r>
      <w:r>
        <w:rPr/>
        <w:t>Lisboa, Editorial notícias, 1993 excertos. Disponível em: &lt;</w:t>
      </w:r>
      <w:hyperlink r:id="rId36">
        <w:r>
          <w:rPr/>
          <w:t>https://contadoresdestorias.wordpress.com/</w:t>
        </w:r>
      </w:hyperlink>
      <w:r>
        <w:rPr/>
        <w:t> </w:t>
      </w:r>
      <w:hyperlink r:id="rId36">
        <w:r>
          <w:rPr/>
          <w:t>2007/06/04/o-pensamentoecologizado-edgar-morin/</w:t>
        </w:r>
      </w:hyperlink>
      <w:r>
        <w:rPr/>
        <w:t>&gt;. Acesso em:  20 dez. 2014.</w:t>
      </w:r>
    </w:p>
    <w:p>
      <w:pPr>
        <w:spacing w:after="0" w:line="242" w:lineRule="auto"/>
        <w:jc w:val="both"/>
        <w:sectPr>
          <w:pgSz w:w="11910" w:h="16840"/>
          <w:pgMar w:header="1133" w:footer="0" w:top="1340" w:bottom="280" w:left="1680" w:right="1020"/>
        </w:sectPr>
      </w:pPr>
    </w:p>
    <w:p>
      <w:pPr>
        <w:pStyle w:val="BodyText"/>
        <w:spacing w:before="3"/>
        <w:rPr>
          <w:sz w:val="21"/>
        </w:rPr>
      </w:pPr>
    </w:p>
    <w:p>
      <w:pPr>
        <w:pStyle w:val="BodyText"/>
        <w:spacing w:before="92"/>
        <w:ind w:left="308" w:right="98"/>
        <w:jc w:val="both"/>
      </w:pPr>
      <w:r>
        <w:rPr/>
        <w:t>NAVARRA, Joan Mallarti. Ecoformação e transdisciplinaridade: fundamentos para a elaboração de um currículo do século XXI em uma didática humanista. In: SUANNO, Marilza Vanessa Rosa, PUIGGÒS, Núria Rajadell (orgs.). </w:t>
      </w:r>
      <w:r>
        <w:rPr>
          <w:b/>
        </w:rPr>
        <w:t>Didática e formação de professores</w:t>
      </w:r>
      <w:r>
        <w:rPr/>
        <w:t>: perspectivas e inovações. Goiânia, GO: CEPED Publicações e PUC Goiás, 2012.</w:t>
      </w:r>
    </w:p>
    <w:p>
      <w:pPr>
        <w:pStyle w:val="BodyText"/>
        <w:spacing w:before="6"/>
        <w:rPr>
          <w:sz w:val="23"/>
        </w:rPr>
      </w:pPr>
    </w:p>
    <w:p>
      <w:pPr>
        <w:spacing w:line="242" w:lineRule="auto" w:before="0"/>
        <w:ind w:left="308" w:right="99" w:firstLine="0"/>
        <w:jc w:val="both"/>
        <w:rPr>
          <w:sz w:val="24"/>
        </w:rPr>
      </w:pPr>
      <w:r>
        <w:rPr>
          <w:sz w:val="24"/>
        </w:rPr>
        <w:t>NICOLESCU, Basarab. </w:t>
      </w:r>
      <w:r>
        <w:rPr>
          <w:b/>
          <w:sz w:val="24"/>
        </w:rPr>
        <w:t>O manifesto da transdisciplinaridade. </w:t>
      </w:r>
      <w:r>
        <w:rPr>
          <w:sz w:val="24"/>
        </w:rPr>
        <w:t>São Paulo: Trion, 1999. Disponível em: &lt;</w:t>
      </w:r>
      <w:hyperlink r:id="rId37">
        <w:r>
          <w:rPr>
            <w:sz w:val="24"/>
          </w:rPr>
          <w:t>http://www.ruipaz.pro.br/textos/manifesto.pdf</w:t>
        </w:r>
      </w:hyperlink>
      <w:r>
        <w:rPr>
          <w:sz w:val="24"/>
        </w:rPr>
        <w:t>&gt;. Acesso em 12 jul. 2014.</w:t>
      </w:r>
    </w:p>
    <w:p>
      <w:pPr>
        <w:pStyle w:val="BodyText"/>
        <w:spacing w:before="4"/>
        <w:rPr>
          <w:sz w:val="23"/>
        </w:rPr>
      </w:pPr>
    </w:p>
    <w:p>
      <w:pPr>
        <w:pStyle w:val="BodyText"/>
        <w:spacing w:line="247" w:lineRule="auto"/>
        <w:ind w:left="308" w:right="104"/>
        <w:jc w:val="both"/>
      </w:pPr>
      <w:r>
        <w:rPr/>
        <w:t>NOSELLA, Maria de Lourdes Chagas Deiró. </w:t>
      </w:r>
      <w:r>
        <w:rPr>
          <w:b/>
        </w:rPr>
        <w:t>As belas mentiras</w:t>
      </w:r>
      <w:r>
        <w:rPr/>
        <w:t>: as ideologias subjacentes aos textos do livro didático. 4ª ed. São Paulo, 1978.</w:t>
      </w:r>
    </w:p>
    <w:p>
      <w:pPr>
        <w:pStyle w:val="BodyText"/>
        <w:spacing w:before="10"/>
        <w:rPr>
          <w:sz w:val="22"/>
        </w:rPr>
      </w:pPr>
    </w:p>
    <w:p>
      <w:pPr>
        <w:spacing w:line="276" w:lineRule="auto" w:before="0"/>
        <w:ind w:left="308" w:right="103" w:firstLine="0"/>
        <w:jc w:val="both"/>
        <w:rPr>
          <w:sz w:val="24"/>
        </w:rPr>
      </w:pPr>
      <w:r>
        <w:rPr>
          <w:sz w:val="24"/>
        </w:rPr>
        <w:t>NÓVOA, A. Professor se forma na escola. </w:t>
      </w:r>
      <w:r>
        <w:rPr>
          <w:b/>
          <w:sz w:val="24"/>
        </w:rPr>
        <w:t>Revista Nova Escola, </w:t>
      </w:r>
      <w:r>
        <w:rPr>
          <w:sz w:val="24"/>
        </w:rPr>
        <w:t>São Paulo, n.142, Maio, 2001.</w:t>
      </w:r>
    </w:p>
    <w:p>
      <w:pPr>
        <w:spacing w:line="237" w:lineRule="auto" w:before="210"/>
        <w:ind w:left="308" w:right="113" w:firstLine="0"/>
        <w:jc w:val="both"/>
        <w:rPr>
          <w:sz w:val="24"/>
        </w:rPr>
      </w:pPr>
      <w:r>
        <w:rPr>
          <w:sz w:val="24"/>
        </w:rPr>
        <w:t>NUNES, João Arriscado. Um discurso sobre as ciências 16 anos depois. In: SANTOS, Boaventura de Souza (Org.). </w:t>
      </w:r>
      <w:r>
        <w:rPr>
          <w:b/>
          <w:sz w:val="24"/>
        </w:rPr>
        <w:t>Conhecimento prudente para uma vida decente. </w:t>
      </w:r>
      <w:r>
        <w:rPr>
          <w:sz w:val="24"/>
        </w:rPr>
        <w:t>2. ed. São Paulo: Cortez, 2006.</w:t>
      </w:r>
    </w:p>
    <w:p>
      <w:pPr>
        <w:pStyle w:val="BodyText"/>
      </w:pPr>
    </w:p>
    <w:p>
      <w:pPr>
        <w:spacing w:line="242" w:lineRule="auto" w:before="0"/>
        <w:ind w:left="308" w:right="104" w:firstLine="0"/>
        <w:jc w:val="both"/>
        <w:rPr>
          <w:sz w:val="24"/>
        </w:rPr>
      </w:pPr>
      <w:r>
        <w:rPr>
          <w:sz w:val="24"/>
        </w:rPr>
        <w:t>OLIVEIRA, Inês Barbosa de. </w:t>
      </w:r>
      <w:r>
        <w:rPr>
          <w:b/>
          <w:sz w:val="24"/>
        </w:rPr>
        <w:t>Boaventura &amp; Educação</w:t>
      </w:r>
      <w:r>
        <w:rPr>
          <w:sz w:val="24"/>
        </w:rPr>
        <w:t>. 2. ed. Belo Horizonte: Autêntica, 2008.</w:t>
      </w:r>
    </w:p>
    <w:p>
      <w:pPr>
        <w:pStyle w:val="BodyText"/>
        <w:spacing w:before="3"/>
        <w:rPr>
          <w:sz w:val="23"/>
        </w:rPr>
      </w:pPr>
    </w:p>
    <w:p>
      <w:pPr>
        <w:spacing w:line="242" w:lineRule="auto" w:before="0"/>
        <w:ind w:left="308" w:right="101" w:firstLine="0"/>
        <w:jc w:val="both"/>
        <w:rPr>
          <w:sz w:val="24"/>
        </w:rPr>
      </w:pPr>
      <w:r>
        <w:rPr>
          <w:sz w:val="24"/>
        </w:rPr>
        <w:t>PEREIRA, Reinaldo Arruda. </w:t>
      </w:r>
      <w:r>
        <w:rPr>
          <w:b/>
          <w:sz w:val="24"/>
        </w:rPr>
        <w:t>A ciência moderna, a crise dos paradigmas e sua relação com a escola e com o currículo. </w:t>
      </w:r>
      <w:r>
        <w:rPr>
          <w:sz w:val="24"/>
        </w:rPr>
        <w:t>Dissertação (Mestrado em Educação). Programa de Pós-graduação em Educação - Mestrado em Educação - da Pontifícia Universidade Católica de Minas Gerais, 2002.</w:t>
      </w:r>
    </w:p>
    <w:p>
      <w:pPr>
        <w:pStyle w:val="BodyText"/>
        <w:spacing w:before="4"/>
        <w:rPr>
          <w:sz w:val="23"/>
        </w:rPr>
      </w:pPr>
    </w:p>
    <w:p>
      <w:pPr>
        <w:spacing w:line="247" w:lineRule="auto" w:before="0"/>
        <w:ind w:left="308" w:right="106" w:firstLine="0"/>
        <w:jc w:val="both"/>
        <w:rPr>
          <w:sz w:val="24"/>
        </w:rPr>
      </w:pPr>
      <w:r>
        <w:rPr>
          <w:sz w:val="24"/>
        </w:rPr>
        <w:t>PENA-VEGA, A e STROH, P</w:t>
      </w:r>
      <w:r>
        <w:rPr>
          <w:i/>
          <w:sz w:val="24"/>
        </w:rPr>
        <w:t>. </w:t>
      </w:r>
      <w:r>
        <w:rPr>
          <w:b/>
          <w:sz w:val="24"/>
        </w:rPr>
        <w:t>O Pensar Complexo</w:t>
      </w:r>
      <w:r>
        <w:rPr>
          <w:sz w:val="24"/>
        </w:rPr>
        <w:t>. Rio de Janeiro: Editora Gramond Ltda, 1999.</w:t>
      </w:r>
    </w:p>
    <w:p>
      <w:pPr>
        <w:pStyle w:val="BodyText"/>
        <w:spacing w:before="8"/>
        <w:rPr>
          <w:sz w:val="23"/>
        </w:rPr>
      </w:pPr>
    </w:p>
    <w:p>
      <w:pPr>
        <w:pStyle w:val="BodyText"/>
        <w:ind w:left="308" w:right="111"/>
        <w:jc w:val="both"/>
      </w:pPr>
      <w:r>
        <w:rPr/>
        <w:t>PÉREZ GÓMES, A. I. A função e formação do professor/a no ensino para a compreensão: diferentes perspectivas. In: SACRISTÁN, J. Gimeno; PEREZ GÓMEZ, A.I. </w:t>
      </w:r>
      <w:r>
        <w:rPr>
          <w:b/>
        </w:rPr>
        <w:t>Compreender e transformar o ensino</w:t>
      </w:r>
      <w:r>
        <w:rPr/>
        <w:t>. 4. ed. Porto Alegre: Artmed, 1998. p. 353-380.</w:t>
      </w:r>
    </w:p>
    <w:p>
      <w:pPr>
        <w:pStyle w:val="BodyText"/>
        <w:spacing w:before="5"/>
      </w:pPr>
    </w:p>
    <w:p>
      <w:pPr>
        <w:spacing w:line="274" w:lineRule="exact" w:before="0"/>
        <w:ind w:left="308" w:right="107" w:firstLine="0"/>
        <w:jc w:val="both"/>
        <w:rPr>
          <w:sz w:val="24"/>
        </w:rPr>
      </w:pPr>
      <w:r>
        <w:rPr>
          <w:sz w:val="24"/>
        </w:rPr>
        <w:t>PENIN, Sonia Teresinha de Sousa. Profissionalidade: o embate entre o concebido e o vivido. In: EGGERT, Edla. </w:t>
      </w:r>
      <w:r>
        <w:rPr>
          <w:b/>
          <w:sz w:val="24"/>
        </w:rPr>
        <w:t>Trajetórias e processos de ensinar e aprender: didática e formação de professores</w:t>
      </w:r>
      <w:r>
        <w:rPr>
          <w:sz w:val="24"/>
        </w:rPr>
        <w:t>. Porto Alegre, EDIPUCRS, 2008.</w:t>
      </w:r>
    </w:p>
    <w:p>
      <w:pPr>
        <w:pStyle w:val="BodyText"/>
      </w:pPr>
    </w:p>
    <w:p>
      <w:pPr>
        <w:pStyle w:val="BodyText"/>
        <w:ind w:left="308" w:right="106"/>
        <w:jc w:val="both"/>
      </w:pPr>
      <w:r>
        <w:rPr/>
        <w:t>PIMENTA, Selma Garrido. A didática como mediação na construção da identidade do professor - uma experiência de ensino e pesquisa na licenciatura. In: ANDRÉ, Marli Eliza D.A.; OLIVEIRA, Maria Rita N. S. (Orgs.). </w:t>
      </w:r>
      <w:r>
        <w:rPr>
          <w:b/>
        </w:rPr>
        <w:t>Alternativas no ensino de didática</w:t>
      </w:r>
      <w:r>
        <w:rPr/>
        <w:t>. 8. ed. Campinas: Papirus, 2006. p.37-69.</w:t>
      </w:r>
    </w:p>
    <w:p>
      <w:pPr>
        <w:pStyle w:val="BodyText"/>
        <w:spacing w:before="11"/>
        <w:rPr>
          <w:sz w:val="23"/>
        </w:rPr>
      </w:pPr>
    </w:p>
    <w:p>
      <w:pPr>
        <w:spacing w:before="0"/>
        <w:ind w:left="308" w:right="104" w:firstLine="0"/>
        <w:jc w:val="both"/>
        <w:rPr>
          <w:sz w:val="24"/>
        </w:rPr>
      </w:pPr>
      <w:r>
        <w:rPr>
          <w:sz w:val="24"/>
        </w:rPr>
        <w:t>PIMENTA, Selma Garrido; ANASTASIOU, Léa das Graças Camargos. </w:t>
      </w:r>
      <w:r>
        <w:rPr>
          <w:b/>
          <w:sz w:val="24"/>
        </w:rPr>
        <w:t>Docência no ensino superior</w:t>
      </w:r>
      <w:r>
        <w:rPr>
          <w:sz w:val="24"/>
        </w:rPr>
        <w:t>. São Paulo: Cortez, 2002.</w:t>
      </w:r>
    </w:p>
    <w:p>
      <w:pPr>
        <w:pStyle w:val="BodyText"/>
        <w:spacing w:before="4"/>
      </w:pPr>
    </w:p>
    <w:p>
      <w:pPr>
        <w:pStyle w:val="BodyText"/>
        <w:spacing w:line="275" w:lineRule="exact"/>
        <w:ind w:left="308"/>
        <w:jc w:val="both"/>
      </w:pPr>
      <w:r>
        <w:rPr/>
        <w:t>PINHO, Edna Maria Cruz, FONSECA, Elzuita Andrade e SOUZA, Fábia Maria de.</w:t>
      </w:r>
    </w:p>
    <w:p>
      <w:pPr>
        <w:spacing w:line="275" w:lineRule="exact" w:before="0"/>
        <w:ind w:left="308" w:right="0" w:firstLine="0"/>
        <w:jc w:val="both"/>
        <w:rPr>
          <w:sz w:val="24"/>
        </w:rPr>
      </w:pPr>
      <w:r>
        <w:rPr>
          <w:b/>
          <w:sz w:val="24"/>
        </w:rPr>
        <w:t>Educar para transformar</w:t>
      </w:r>
      <w:r>
        <w:rPr>
          <w:sz w:val="24"/>
        </w:rPr>
        <w:t>. Monografia Curso de Pós Graduação Lato Sensu   em</w:t>
      </w:r>
    </w:p>
    <w:p>
      <w:pPr>
        <w:spacing w:after="0" w:line="275" w:lineRule="exact"/>
        <w:jc w:val="both"/>
        <w:rPr>
          <w:sz w:val="24"/>
        </w:rPr>
        <w:sectPr>
          <w:pgSz w:w="11910" w:h="16840"/>
          <w:pgMar w:header="1133" w:footer="0" w:top="1340" w:bottom="280" w:left="1680" w:right="1020"/>
        </w:sectPr>
      </w:pPr>
    </w:p>
    <w:p>
      <w:pPr>
        <w:pStyle w:val="BodyText"/>
        <w:spacing w:before="3"/>
        <w:rPr>
          <w:sz w:val="21"/>
        </w:rPr>
      </w:pPr>
    </w:p>
    <w:p>
      <w:pPr>
        <w:pStyle w:val="BodyText"/>
        <w:spacing w:line="242" w:lineRule="auto" w:before="92"/>
        <w:ind w:left="308" w:right="135"/>
        <w:jc w:val="both"/>
      </w:pPr>
      <w:r>
        <w:rPr/>
        <w:t>Orientação Educacional. Universidade Salgado de Oliveira: Projeto Novo Saber. Agosto de 1997. (Não publicado).</w:t>
      </w:r>
    </w:p>
    <w:p>
      <w:pPr>
        <w:pStyle w:val="BodyText"/>
        <w:spacing w:before="11"/>
        <w:rPr>
          <w:sz w:val="23"/>
        </w:rPr>
      </w:pPr>
    </w:p>
    <w:p>
      <w:pPr>
        <w:pStyle w:val="BodyText"/>
        <w:spacing w:line="237" w:lineRule="auto"/>
        <w:ind w:left="308" w:right="130"/>
        <w:jc w:val="both"/>
      </w:pPr>
      <w:r>
        <w:rPr/>
        <w:t>PINHO, Maria José. Criação e expansão das instituições educativas do ensino superior no Tocantins: passado e presente. In: SANTOS, Jocyléia Santana dos, MACÊDO, Maurides, CABRERA, Olga e MELO, Orlinda Carrijo (Orgs.). </w:t>
      </w:r>
      <w:r>
        <w:rPr>
          <w:b/>
        </w:rPr>
        <w:t>Instituições educativas: </w:t>
      </w:r>
      <w:r>
        <w:rPr/>
        <w:t>histórias reconstruídas. Goiânia: ed. PUC Goiás, 2010.</w:t>
      </w:r>
    </w:p>
    <w:p>
      <w:pPr>
        <w:pStyle w:val="BodyText"/>
        <w:rPr>
          <w:sz w:val="16"/>
        </w:rPr>
      </w:pPr>
    </w:p>
    <w:p>
      <w:pPr>
        <w:tabs>
          <w:tab w:pos="922" w:val="left" w:leader="none"/>
        </w:tabs>
        <w:spacing w:line="247" w:lineRule="auto" w:before="92"/>
        <w:ind w:left="308" w:right="128" w:firstLine="0"/>
        <w:jc w:val="left"/>
        <w:rPr>
          <w:sz w:val="24"/>
        </w:rPr>
      </w:pPr>
      <w:r>
        <w:rPr>
          <w:b/>
          <w:sz w:val="24"/>
          <w:u w:val="single"/>
        </w:rPr>
        <w:t> </w:t>
        <w:tab/>
      </w:r>
      <w:r>
        <w:rPr>
          <w:b/>
          <w:sz w:val="24"/>
        </w:rPr>
        <w:t>Políticas de Formação  de Professores</w:t>
      </w:r>
      <w:r>
        <w:rPr>
          <w:sz w:val="24"/>
        </w:rPr>
        <w:t>: Intenção e   </w:t>
      </w:r>
      <w:r>
        <w:rPr>
          <w:spacing w:val="53"/>
          <w:sz w:val="24"/>
        </w:rPr>
        <w:t> </w:t>
      </w:r>
      <w:r>
        <w:rPr>
          <w:sz w:val="24"/>
        </w:rPr>
        <w:t>Realidade.</w:t>
      </w:r>
      <w:r>
        <w:rPr>
          <w:spacing w:val="46"/>
          <w:sz w:val="24"/>
        </w:rPr>
        <w:t> </w:t>
      </w:r>
      <w:r>
        <w:rPr>
          <w:sz w:val="24"/>
        </w:rPr>
        <w:t>Goiânia:</w:t>
      </w:r>
      <w:r>
        <w:rPr>
          <w:w w:val="99"/>
          <w:sz w:val="24"/>
        </w:rPr>
        <w:t> </w:t>
      </w:r>
      <w:r>
        <w:rPr>
          <w:sz w:val="24"/>
        </w:rPr>
        <w:t>Cânone,</w:t>
      </w:r>
      <w:r>
        <w:rPr>
          <w:spacing w:val="-4"/>
          <w:sz w:val="24"/>
        </w:rPr>
        <w:t> </w:t>
      </w:r>
      <w:r>
        <w:rPr>
          <w:sz w:val="24"/>
        </w:rPr>
        <w:t>2007.</w:t>
      </w:r>
    </w:p>
    <w:p>
      <w:pPr>
        <w:pStyle w:val="BodyText"/>
        <w:spacing w:before="9"/>
        <w:rPr>
          <w:sz w:val="22"/>
        </w:rPr>
      </w:pPr>
    </w:p>
    <w:p>
      <w:pPr>
        <w:spacing w:line="242" w:lineRule="auto" w:before="1"/>
        <w:ind w:left="308" w:right="0" w:firstLine="0"/>
        <w:jc w:val="left"/>
        <w:rPr>
          <w:sz w:val="24"/>
        </w:rPr>
      </w:pPr>
      <w:r>
        <w:rPr>
          <w:sz w:val="24"/>
        </w:rPr>
        <w:t>PINTO, Ivone Maciel. </w:t>
      </w:r>
      <w:r>
        <w:rPr>
          <w:b/>
          <w:sz w:val="24"/>
        </w:rPr>
        <w:t>Docência inovadora na Universidade</w:t>
      </w:r>
      <w:r>
        <w:rPr>
          <w:sz w:val="24"/>
        </w:rPr>
        <w:t>. 2011. 368 fls. Tese (Doutorado em Educação) - Universidade Federal de Goiás, Goiânia, 2011.</w:t>
      </w:r>
    </w:p>
    <w:p>
      <w:pPr>
        <w:pStyle w:val="BodyText"/>
        <w:spacing w:before="4"/>
        <w:rPr>
          <w:sz w:val="23"/>
        </w:rPr>
      </w:pPr>
    </w:p>
    <w:p>
      <w:pPr>
        <w:spacing w:line="242" w:lineRule="auto" w:before="0"/>
        <w:ind w:left="308" w:right="112" w:firstLine="0"/>
        <w:jc w:val="left"/>
        <w:rPr>
          <w:sz w:val="24"/>
        </w:rPr>
      </w:pPr>
      <w:r>
        <w:rPr>
          <w:sz w:val="24"/>
        </w:rPr>
        <w:t>PINTO, Álvaro Vieira. Sete Lições sobre Educação de Adultos. In: </w:t>
      </w:r>
      <w:r>
        <w:rPr>
          <w:b/>
          <w:sz w:val="24"/>
        </w:rPr>
        <w:t>IESDE – Teorias da Aprendizagem. </w:t>
      </w:r>
      <w:r>
        <w:rPr>
          <w:sz w:val="24"/>
        </w:rPr>
        <w:t>– São Paulo, 1992.</w:t>
      </w:r>
    </w:p>
    <w:p>
      <w:pPr>
        <w:pStyle w:val="BodyText"/>
        <w:spacing w:before="8"/>
        <w:rPr>
          <w:sz w:val="23"/>
        </w:rPr>
      </w:pPr>
    </w:p>
    <w:p>
      <w:pPr>
        <w:spacing w:before="0"/>
        <w:ind w:left="308" w:right="0" w:firstLine="0"/>
        <w:jc w:val="left"/>
        <w:rPr>
          <w:sz w:val="24"/>
        </w:rPr>
      </w:pPr>
      <w:r>
        <w:rPr>
          <w:sz w:val="24"/>
        </w:rPr>
        <w:t>PORTAL DA PREFEITURA DE GURUPI.  </w:t>
      </w:r>
      <w:r>
        <w:rPr>
          <w:b/>
          <w:sz w:val="24"/>
        </w:rPr>
        <w:t>Escolas Municipais</w:t>
      </w:r>
      <w:r>
        <w:rPr>
          <w:sz w:val="24"/>
        </w:rPr>
        <w:t>. Disponível     em:</w:t>
      </w:r>
    </w:p>
    <w:p>
      <w:pPr>
        <w:pStyle w:val="BodyText"/>
        <w:spacing w:line="242" w:lineRule="auto" w:before="1"/>
        <w:ind w:left="308"/>
      </w:pPr>
      <w:r>
        <w:rPr/>
        <w:t>&lt;</w:t>
      </w:r>
      <w:hyperlink r:id="rId38">
        <w:r>
          <w:rPr/>
          <w:t>http://www.gurupi.to.gov.br/?</w:t>
        </w:r>
      </w:hyperlink>
      <w:r>
        <w:rPr/>
        <w:t> Page=escolas-municipais&gt;. Acesso em: 10 de mar. 2014.</w:t>
      </w:r>
    </w:p>
    <w:p>
      <w:pPr>
        <w:pStyle w:val="BodyText"/>
        <w:spacing w:before="3"/>
        <w:rPr>
          <w:sz w:val="15"/>
        </w:rPr>
      </w:pPr>
    </w:p>
    <w:p>
      <w:pPr>
        <w:pStyle w:val="BodyText"/>
        <w:spacing w:line="242" w:lineRule="auto" w:before="92"/>
        <w:ind w:left="308" w:right="124"/>
        <w:jc w:val="both"/>
      </w:pPr>
      <w:r>
        <w:rPr>
          <w:b/>
          <w:u w:val="single"/>
        </w:rPr>
        <w:t>         </w:t>
      </w:r>
      <w:r>
        <w:rPr>
          <w:b/>
        </w:rPr>
        <w:t>Plano Municipal de Educação</w:t>
      </w:r>
      <w:r>
        <w:rPr/>
        <w:t>. Lei nº n° 1.565 de 18 de dezembro  de 2003. Disponível em: &lt;</w:t>
      </w:r>
      <w:hyperlink r:id="rId38">
        <w:r>
          <w:rPr/>
          <w:t>http://www.gurupi.to.gov.br/?</w:t>
        </w:r>
      </w:hyperlink>
      <w:r>
        <w:rPr/>
        <w:t> Page=escolas-municipais&gt;. Acesso em: 10 de mar. 2014.</w:t>
      </w:r>
    </w:p>
    <w:p>
      <w:pPr>
        <w:pStyle w:val="BodyText"/>
        <w:spacing w:before="7"/>
      </w:pPr>
    </w:p>
    <w:p>
      <w:pPr>
        <w:spacing w:line="268" w:lineRule="exact" w:before="0"/>
        <w:ind w:left="308" w:right="126" w:firstLine="0"/>
        <w:jc w:val="both"/>
        <w:rPr>
          <w:b/>
          <w:sz w:val="24"/>
        </w:rPr>
      </w:pPr>
      <w:r>
        <w:rPr>
          <w:sz w:val="24"/>
        </w:rPr>
        <w:t>PLASTINO, Carlos Alberto. A crise dos paradigmas e a crise do conceito de paradigma. In: BRANDÃO, Zaia (Org.). </w:t>
      </w:r>
      <w:r>
        <w:rPr>
          <w:b/>
          <w:sz w:val="24"/>
        </w:rPr>
        <w:t>A crise dos paradigmas e a  </w:t>
      </w:r>
      <w:r>
        <w:rPr>
          <w:b/>
          <w:spacing w:val="56"/>
          <w:sz w:val="24"/>
        </w:rPr>
        <w:t> </w:t>
      </w:r>
      <w:r>
        <w:rPr>
          <w:b/>
          <w:sz w:val="24"/>
        </w:rPr>
        <w:t>educação.</w:t>
      </w:r>
    </w:p>
    <w:p>
      <w:pPr>
        <w:pStyle w:val="BodyText"/>
        <w:spacing w:before="4"/>
        <w:ind w:left="308"/>
        <w:jc w:val="both"/>
      </w:pPr>
      <w:r>
        <w:rPr/>
        <w:t>4. ed. São Paulo: Cortez, 1997.</w:t>
      </w:r>
    </w:p>
    <w:p>
      <w:pPr>
        <w:pStyle w:val="BodyText"/>
        <w:spacing w:before="1"/>
      </w:pPr>
    </w:p>
    <w:p>
      <w:pPr>
        <w:pStyle w:val="BodyText"/>
        <w:spacing w:line="237" w:lineRule="auto"/>
        <w:ind w:left="308" w:right="129"/>
        <w:jc w:val="both"/>
      </w:pPr>
      <w:r>
        <w:rPr/>
        <w:t>PRAUN, Adréia Gonçalves. GONÇALVES, Dinorah Krieger. Educação inclusiva: criatividade e ecoformação no entorno escolar. In: </w:t>
      </w:r>
      <w:r>
        <w:rPr>
          <w:b/>
        </w:rPr>
        <w:t>Uma escola para o século XXI</w:t>
      </w:r>
      <w:r>
        <w:rPr/>
        <w:t>: escolas criativas e resiliência na educação. Florianópolis: Insular,</w:t>
      </w:r>
      <w:r>
        <w:rPr>
          <w:spacing w:val="-28"/>
        </w:rPr>
        <w:t> </w:t>
      </w:r>
      <w:r>
        <w:rPr/>
        <w:t>2009.</w:t>
      </w:r>
    </w:p>
    <w:p>
      <w:pPr>
        <w:pStyle w:val="BodyText"/>
        <w:spacing w:before="11"/>
        <w:rPr>
          <w:sz w:val="23"/>
        </w:rPr>
      </w:pPr>
    </w:p>
    <w:p>
      <w:pPr>
        <w:spacing w:line="242" w:lineRule="auto" w:before="0"/>
        <w:ind w:left="308" w:right="125" w:firstLine="0"/>
        <w:jc w:val="both"/>
        <w:rPr>
          <w:sz w:val="24"/>
        </w:rPr>
      </w:pPr>
      <w:r>
        <w:rPr>
          <w:sz w:val="24"/>
        </w:rPr>
        <w:t>PURIFICAÇÃO, Ivonélia. </w:t>
      </w:r>
      <w:r>
        <w:rPr>
          <w:b/>
          <w:sz w:val="24"/>
        </w:rPr>
        <w:t>A atitude interdisciplinar na educação</w:t>
      </w:r>
      <w:r>
        <w:rPr>
          <w:sz w:val="24"/>
        </w:rPr>
        <w:t>: reconhecer e construir. In: Educação e Fronteiras, Dourados, MS. V.1 n.1 Jan/Jul, 2007.</w:t>
      </w:r>
    </w:p>
    <w:p>
      <w:pPr>
        <w:pStyle w:val="BodyText"/>
        <w:spacing w:before="8"/>
        <w:rPr>
          <w:sz w:val="23"/>
        </w:rPr>
      </w:pPr>
    </w:p>
    <w:p>
      <w:pPr>
        <w:spacing w:line="240" w:lineRule="auto" w:before="0"/>
        <w:ind w:left="308" w:right="117" w:firstLine="0"/>
        <w:jc w:val="both"/>
        <w:rPr>
          <w:sz w:val="24"/>
        </w:rPr>
      </w:pPr>
      <w:r>
        <w:rPr>
          <w:sz w:val="24"/>
        </w:rPr>
        <w:t>PUZIOL, Jeinni Kelly Pereira, SILVA, Irizelda Martins de Souza e. Contribuição das categorias de Marx e Engels para a compreensão da educação do campo enquanto território Imaterial. </w:t>
      </w:r>
      <w:r>
        <w:rPr>
          <w:b/>
          <w:sz w:val="24"/>
        </w:rPr>
        <w:t>V Encontro Brasileiro de Educação e Marxismo. Florianópolis, SC, 2011. </w:t>
      </w:r>
      <w:r>
        <w:rPr>
          <w:sz w:val="24"/>
        </w:rPr>
        <w:t>Disponível</w:t>
      </w:r>
      <w:r>
        <w:rPr>
          <w:spacing w:val="50"/>
          <w:sz w:val="24"/>
        </w:rPr>
        <w:t> </w:t>
      </w:r>
      <w:r>
        <w:rPr>
          <w:sz w:val="24"/>
        </w:rPr>
        <w:t>em:&lt;</w:t>
      </w:r>
      <w:hyperlink r:id="rId39">
        <w:r>
          <w:rPr>
            <w:sz w:val="24"/>
          </w:rPr>
          <w:t>http://www.estudosdotrabalho.org/</w:t>
        </w:r>
      </w:hyperlink>
      <w:r>
        <w:rPr>
          <w:sz w:val="24"/>
        </w:rPr>
        <w:t>anais</w:t>
      </w:r>
    </w:p>
    <w:p>
      <w:pPr>
        <w:pStyle w:val="BodyText"/>
        <w:spacing w:before="2"/>
        <w:ind w:left="308"/>
        <w:jc w:val="both"/>
      </w:pPr>
      <w:r>
        <w:rPr/>
        <w:t>-vii-7-seminario-trabalho-ret-2010/Jeinni_Kelly_Pereira_Puziol_Irizelda_Matins_de</w:t>
      </w:r>
    </w:p>
    <w:p>
      <w:pPr>
        <w:pStyle w:val="BodyText"/>
        <w:spacing w:line="275" w:lineRule="exact" w:before="2"/>
        <w:ind w:left="308"/>
        <w:jc w:val="both"/>
      </w:pPr>
      <w:r>
        <w:rPr/>
        <w:t>_Souza_e_Silva_O_campo_enquanto_territrio_resistencia_o_papel_da_educacao</w:t>
      </w:r>
    </w:p>
    <w:p>
      <w:pPr>
        <w:pStyle w:val="BodyText"/>
        <w:spacing w:line="275" w:lineRule="exact"/>
        <w:ind w:left="308"/>
        <w:jc w:val="both"/>
      </w:pPr>
      <w:r>
        <w:rPr/>
        <w:t>_e_do_trabalho.pdf&gt;. Acesso em 14 maio 2014.</w:t>
      </w:r>
    </w:p>
    <w:p>
      <w:pPr>
        <w:pStyle w:val="BodyText"/>
        <w:spacing w:before="6"/>
        <w:rPr>
          <w:sz w:val="23"/>
        </w:rPr>
      </w:pPr>
    </w:p>
    <w:p>
      <w:pPr>
        <w:pStyle w:val="BodyText"/>
        <w:spacing w:line="247" w:lineRule="auto" w:before="1"/>
        <w:ind w:left="308" w:right="128"/>
        <w:jc w:val="both"/>
      </w:pPr>
      <w:r>
        <w:rPr/>
        <w:t>RICHARDSON, Roberto Jarry. </w:t>
      </w:r>
      <w:r>
        <w:rPr>
          <w:b/>
        </w:rPr>
        <w:t>Pesquisa social</w:t>
      </w:r>
      <w:r>
        <w:rPr/>
        <w:t>: métodos e técnicas. 3 ed. São Paulo: Atlas, 1999.</w:t>
      </w:r>
    </w:p>
    <w:p>
      <w:pPr>
        <w:pStyle w:val="BodyText"/>
        <w:spacing w:before="4"/>
        <w:rPr>
          <w:sz w:val="23"/>
        </w:rPr>
      </w:pPr>
    </w:p>
    <w:p>
      <w:pPr>
        <w:pStyle w:val="BodyText"/>
        <w:ind w:left="308" w:right="116"/>
        <w:jc w:val="both"/>
      </w:pPr>
      <w:r>
        <w:rPr/>
        <w:t>ROCHA, Damião, PINTO, Ivone Maciel e PINHO, Maria José de. Inovações curriculares na educação brasileira: avanços, retrocessos ou nada disso. In: SUANNO,  Marilza  Vanessa  Rosa,  DITTRICH,  Maria  Glória  e  MAURA,  Maria</w:t>
      </w:r>
    </w:p>
    <w:p>
      <w:pPr>
        <w:spacing w:after="0"/>
        <w:jc w:val="both"/>
        <w:sectPr>
          <w:pgSz w:w="11910" w:h="16840"/>
          <w:pgMar w:header="1133" w:footer="0" w:top="1340" w:bottom="280" w:left="1680" w:right="1000"/>
        </w:sectPr>
      </w:pPr>
    </w:p>
    <w:p>
      <w:pPr>
        <w:pStyle w:val="BodyText"/>
        <w:spacing w:before="10"/>
        <w:rPr>
          <w:sz w:val="20"/>
        </w:rPr>
      </w:pPr>
    </w:p>
    <w:p>
      <w:pPr>
        <w:spacing w:line="247" w:lineRule="auto" w:before="92"/>
        <w:ind w:left="308" w:right="104" w:firstLine="0"/>
        <w:jc w:val="both"/>
        <w:rPr>
          <w:sz w:val="24"/>
        </w:rPr>
      </w:pPr>
      <w:r>
        <w:rPr>
          <w:sz w:val="24"/>
        </w:rPr>
        <w:t>Antonia Punjol (orgs). </w:t>
      </w:r>
      <w:r>
        <w:rPr>
          <w:b/>
          <w:sz w:val="24"/>
        </w:rPr>
        <w:t>Resiliência, criatividade e inovação</w:t>
      </w:r>
      <w:r>
        <w:rPr>
          <w:sz w:val="24"/>
        </w:rPr>
        <w:t>: potencialidades transdisciplinares na educação.  Goiânia: UEG/Ed América, 2013.</w:t>
      </w:r>
    </w:p>
    <w:p>
      <w:pPr>
        <w:pStyle w:val="BodyText"/>
        <w:spacing w:before="3"/>
        <w:rPr>
          <w:sz w:val="23"/>
        </w:rPr>
      </w:pPr>
    </w:p>
    <w:p>
      <w:pPr>
        <w:pStyle w:val="BodyText"/>
        <w:spacing w:before="1"/>
        <w:ind w:left="308" w:right="100"/>
        <w:jc w:val="both"/>
      </w:pPr>
      <w:r>
        <w:rPr/>
        <w:t>ROCHA, José Damião Trindade. Sentidos, concepções e discursos da formação de professores no Brasil no final do século XX: respingos e estilhaços na educação do Tocantins. In: DOURADO, Luiz Fernandes e OLIVEIRA, João Ferreira (orgs). </w:t>
      </w:r>
      <w:r>
        <w:rPr>
          <w:b/>
        </w:rPr>
        <w:t>Políticas e gestão da educação no Tocantins</w:t>
      </w:r>
      <w:r>
        <w:rPr/>
        <w:t>: múltiplos olhares. São Paulo: Xamã,</w:t>
      </w:r>
      <w:r>
        <w:rPr>
          <w:spacing w:val="-16"/>
        </w:rPr>
        <w:t> </w:t>
      </w:r>
      <w:r>
        <w:rPr/>
        <w:t>2008.</w:t>
      </w:r>
    </w:p>
    <w:p>
      <w:pPr>
        <w:pStyle w:val="BodyText"/>
        <w:spacing w:before="7"/>
        <w:rPr>
          <w:sz w:val="23"/>
        </w:rPr>
      </w:pPr>
    </w:p>
    <w:p>
      <w:pPr>
        <w:spacing w:line="240" w:lineRule="auto" w:before="0"/>
        <w:ind w:left="308" w:right="101" w:firstLine="0"/>
        <w:jc w:val="both"/>
        <w:rPr>
          <w:sz w:val="24"/>
        </w:rPr>
      </w:pPr>
      <w:r>
        <w:rPr>
          <w:sz w:val="24"/>
        </w:rPr>
        <w:t>RODRIGUES, Mara Eliane Fonseca. </w:t>
      </w:r>
      <w:r>
        <w:rPr>
          <w:b/>
          <w:sz w:val="24"/>
        </w:rPr>
        <w:t>Os Paradigmas da Ciência e seus Efeitos na Composição dos Campos Científicos: </w:t>
      </w:r>
      <w:r>
        <w:rPr>
          <w:sz w:val="24"/>
        </w:rPr>
        <w:t>a Instituição da Ciência da Informação. Data Grama Zero - Revista de Ciência da Informação - v.11 n.4 ago, 2010. Disponível em: &lt;http://www.dgz. org.br/ago10/Art_02.htm&gt;. Acesso em: 30 abr. 2014</w:t>
      </w:r>
    </w:p>
    <w:p>
      <w:pPr>
        <w:pStyle w:val="BodyText"/>
        <w:spacing w:before="7"/>
        <w:rPr>
          <w:sz w:val="23"/>
        </w:rPr>
      </w:pPr>
    </w:p>
    <w:p>
      <w:pPr>
        <w:spacing w:line="242" w:lineRule="auto" w:before="0"/>
        <w:ind w:left="308" w:right="105" w:firstLine="0"/>
        <w:jc w:val="both"/>
        <w:rPr>
          <w:sz w:val="24"/>
        </w:rPr>
      </w:pPr>
      <w:r>
        <w:rPr>
          <w:sz w:val="24"/>
        </w:rPr>
        <w:t>RODRIGUES, Neidson. </w:t>
      </w:r>
      <w:r>
        <w:rPr>
          <w:b/>
          <w:sz w:val="24"/>
        </w:rPr>
        <w:t>Lições do príncipe e outras lições</w:t>
      </w:r>
      <w:r>
        <w:rPr>
          <w:sz w:val="24"/>
        </w:rPr>
        <w:t>. São Paulo: Cortez, 1998.</w:t>
      </w:r>
    </w:p>
    <w:p>
      <w:pPr>
        <w:pStyle w:val="BodyText"/>
        <w:spacing w:before="3"/>
        <w:rPr>
          <w:sz w:val="23"/>
        </w:rPr>
      </w:pPr>
    </w:p>
    <w:p>
      <w:pPr>
        <w:spacing w:line="247" w:lineRule="auto" w:before="1"/>
        <w:ind w:left="308" w:right="103" w:firstLine="0"/>
        <w:jc w:val="both"/>
        <w:rPr>
          <w:sz w:val="24"/>
        </w:rPr>
      </w:pPr>
      <w:r>
        <w:rPr>
          <w:sz w:val="24"/>
        </w:rPr>
        <w:t>RUDIO, Franz Victor. </w:t>
      </w:r>
      <w:r>
        <w:rPr>
          <w:b/>
          <w:sz w:val="24"/>
        </w:rPr>
        <w:t>Introdução ao projeto de pesquisa científica</w:t>
      </w:r>
      <w:r>
        <w:rPr>
          <w:sz w:val="24"/>
        </w:rPr>
        <w:t>. 34 ed. Petrópolis: Vozes, 2007.</w:t>
      </w:r>
    </w:p>
    <w:p>
      <w:pPr>
        <w:pStyle w:val="BodyText"/>
        <w:spacing w:before="3"/>
        <w:rPr>
          <w:sz w:val="23"/>
        </w:rPr>
      </w:pPr>
    </w:p>
    <w:p>
      <w:pPr>
        <w:pStyle w:val="BodyText"/>
        <w:spacing w:before="1"/>
        <w:ind w:left="308" w:right="101"/>
        <w:jc w:val="both"/>
      </w:pPr>
      <w:r>
        <w:rPr/>
        <w:t>SACRISTÁN, José Gimeno. Consciência e ação sobre a prática como libertação profissional dos professores. In: NÓVOA, António. (Org.). </w:t>
      </w:r>
      <w:r>
        <w:rPr>
          <w:b/>
        </w:rPr>
        <w:t>Profissão professor</w:t>
      </w:r>
      <w:r>
        <w:rPr/>
        <w:t>. Porto: Publicações Dom Quixote/IIE, 1995.</w:t>
      </w:r>
    </w:p>
    <w:p>
      <w:pPr>
        <w:pStyle w:val="BodyText"/>
        <w:spacing w:before="1"/>
      </w:pPr>
    </w:p>
    <w:p>
      <w:pPr>
        <w:spacing w:line="274" w:lineRule="exact" w:before="0"/>
        <w:ind w:left="308" w:right="113" w:firstLine="0"/>
        <w:jc w:val="both"/>
        <w:rPr>
          <w:sz w:val="24"/>
        </w:rPr>
      </w:pPr>
      <w:r>
        <w:rPr>
          <w:sz w:val="24"/>
        </w:rPr>
        <w:t>SACRISTÁN, José Gimeno; PEREZ GÓMEZ, A.I. </w:t>
      </w:r>
      <w:r>
        <w:rPr>
          <w:b/>
          <w:sz w:val="24"/>
        </w:rPr>
        <w:t>Compreender e transformar o ensino</w:t>
      </w:r>
      <w:r>
        <w:rPr>
          <w:sz w:val="24"/>
        </w:rPr>
        <w:t>. 4. ed. Porto Alegre: Artmed, 1998.</w:t>
      </w:r>
    </w:p>
    <w:p>
      <w:pPr>
        <w:pStyle w:val="BodyText"/>
        <w:spacing w:before="7"/>
        <w:rPr>
          <w:sz w:val="23"/>
        </w:rPr>
      </w:pPr>
    </w:p>
    <w:p>
      <w:pPr>
        <w:spacing w:line="247" w:lineRule="auto" w:before="1"/>
        <w:ind w:left="308" w:right="104" w:firstLine="0"/>
        <w:jc w:val="both"/>
        <w:rPr>
          <w:sz w:val="24"/>
        </w:rPr>
      </w:pPr>
      <w:r>
        <w:rPr>
          <w:sz w:val="24"/>
        </w:rPr>
        <w:t>SACRISTAN, José Gimeno. </w:t>
      </w:r>
      <w:r>
        <w:rPr>
          <w:b/>
          <w:sz w:val="24"/>
        </w:rPr>
        <w:t>Poderes instáveis em Educação</w:t>
      </w:r>
      <w:r>
        <w:rPr>
          <w:sz w:val="24"/>
        </w:rPr>
        <w:t>. Porto Alegre, RS: Artes Médicas, 1999.</w:t>
      </w:r>
    </w:p>
    <w:p>
      <w:pPr>
        <w:pStyle w:val="BodyText"/>
        <w:spacing w:before="3"/>
        <w:rPr>
          <w:sz w:val="23"/>
        </w:rPr>
      </w:pPr>
    </w:p>
    <w:p>
      <w:pPr>
        <w:pStyle w:val="BodyText"/>
        <w:ind w:left="308" w:right="99"/>
        <w:jc w:val="both"/>
      </w:pPr>
      <w:r>
        <w:rPr/>
        <w:t>SANTOS FILHO, José Camilo dos. Desafios filosóficos-antropológicos e epistemológicos da educação no século 21. In: SANTOS FILHO, José Camilo dos (org.). </w:t>
      </w:r>
      <w:r>
        <w:rPr>
          <w:b/>
        </w:rPr>
        <w:t>A educação no século 21: </w:t>
      </w:r>
      <w:r>
        <w:rPr/>
        <w:t>desafíos e perspectivas</w:t>
      </w:r>
      <w:r>
        <w:rPr>
          <w:b/>
        </w:rPr>
        <w:t>. </w:t>
      </w:r>
      <w:r>
        <w:rPr/>
        <w:t>Engenheiro Coelho, SP: UNASPRESS, 2003.</w:t>
      </w:r>
    </w:p>
    <w:p>
      <w:pPr>
        <w:pStyle w:val="BodyText"/>
        <w:spacing w:before="6"/>
        <w:rPr>
          <w:sz w:val="23"/>
        </w:rPr>
      </w:pPr>
    </w:p>
    <w:p>
      <w:pPr>
        <w:spacing w:line="247" w:lineRule="auto" w:before="0"/>
        <w:ind w:left="308" w:right="99" w:firstLine="0"/>
        <w:jc w:val="both"/>
        <w:rPr>
          <w:sz w:val="24"/>
        </w:rPr>
      </w:pPr>
      <w:r>
        <w:rPr>
          <w:sz w:val="24"/>
        </w:rPr>
        <w:t>SANTOS, Boaventura de Sousa. </w:t>
      </w:r>
      <w:r>
        <w:rPr>
          <w:b/>
          <w:sz w:val="24"/>
        </w:rPr>
        <w:t>A crítica da razão indolente</w:t>
      </w:r>
      <w:r>
        <w:rPr>
          <w:sz w:val="24"/>
        </w:rPr>
        <w:t>: contra o desperdício da experiência.  8. ed. São Paulo: Cortez, 2011.</w:t>
      </w:r>
    </w:p>
    <w:p>
      <w:pPr>
        <w:pStyle w:val="BodyText"/>
        <w:spacing w:before="3"/>
        <w:rPr>
          <w:sz w:val="15"/>
        </w:rPr>
      </w:pPr>
    </w:p>
    <w:p>
      <w:pPr>
        <w:tabs>
          <w:tab w:pos="1982" w:val="left" w:leader="none"/>
          <w:tab w:pos="3379" w:val="left" w:leader="none"/>
          <w:tab w:pos="5174" w:val="left" w:leader="none"/>
          <w:tab w:pos="6675" w:val="left" w:leader="none"/>
          <w:tab w:pos="8695" w:val="left" w:leader="none"/>
        </w:tabs>
        <w:spacing w:line="240" w:lineRule="auto" w:before="92"/>
        <w:ind w:left="308" w:right="101" w:firstLine="0"/>
        <w:jc w:val="both"/>
        <w:rPr>
          <w:sz w:val="24"/>
        </w:rPr>
      </w:pPr>
      <w:r>
        <w:rPr>
          <w:w w:val="100"/>
          <w:sz w:val="24"/>
          <w:u w:val="single"/>
        </w:rPr>
        <w:t> </w:t>
      </w:r>
      <w:r>
        <w:rPr>
          <w:sz w:val="24"/>
          <w:u w:val="single"/>
        </w:rPr>
        <w:t>        </w:t>
      </w:r>
      <w:r>
        <w:rPr>
          <w:spacing w:val="5"/>
          <w:sz w:val="24"/>
          <w:u w:val="single"/>
        </w:rPr>
        <w:t> </w:t>
      </w:r>
      <w:r>
        <w:rPr>
          <w:sz w:val="24"/>
        </w:rPr>
        <w:t>. A Transição Paradigmática: da Regulação à Emancipação. In:  CARRILHO, Manuel Maria (org.). </w:t>
      </w:r>
      <w:r>
        <w:rPr>
          <w:i/>
          <w:sz w:val="24"/>
        </w:rPr>
        <w:t>Dicionário do Pensamento Contemporâneo</w:t>
      </w:r>
      <w:r>
        <w:rPr>
          <w:sz w:val="24"/>
        </w:rPr>
        <w:t>. Lisboa:</w:t>
        <w:tab/>
        <w:t>Dom</w:t>
        <w:tab/>
        <w:t>Quixote.</w:t>
        <w:tab/>
        <w:t>1991.</w:t>
        <w:tab/>
        <w:t>Disponível</w:t>
        <w:tab/>
      </w:r>
      <w:r>
        <w:rPr>
          <w:spacing w:val="-3"/>
          <w:sz w:val="24"/>
        </w:rPr>
        <w:t>em:</w:t>
      </w:r>
    </w:p>
    <w:p>
      <w:pPr>
        <w:pStyle w:val="BodyText"/>
        <w:spacing w:line="242" w:lineRule="auto"/>
        <w:ind w:left="308" w:right="98"/>
        <w:jc w:val="both"/>
      </w:pPr>
      <w:r>
        <w:rPr/>
        <w:t>&lt;</w:t>
      </w:r>
      <w:hyperlink r:id="rId40">
        <w:r>
          <w:rPr/>
          <w:t>http://www.boaventuradesousasantos.pt/ pages/en/book-chapters.php</w:t>
        </w:r>
      </w:hyperlink>
      <w:r>
        <w:rPr/>
        <w:t>&gt;. Acesso em 10.mar. 2014.</w:t>
      </w:r>
    </w:p>
    <w:p>
      <w:pPr>
        <w:pStyle w:val="BodyText"/>
        <w:spacing w:before="6"/>
        <w:rPr>
          <w:sz w:val="15"/>
        </w:rPr>
      </w:pPr>
    </w:p>
    <w:p>
      <w:pPr>
        <w:tabs>
          <w:tab w:pos="980" w:val="left" w:leader="none"/>
        </w:tabs>
        <w:spacing w:line="242" w:lineRule="auto" w:before="93"/>
        <w:ind w:left="308" w:right="110" w:firstLine="0"/>
        <w:jc w:val="left"/>
        <w:rPr>
          <w:sz w:val="24"/>
        </w:rPr>
      </w:pPr>
      <w:r>
        <w:rPr>
          <w:b/>
          <w:sz w:val="24"/>
          <w:u w:val="single"/>
        </w:rPr>
        <w:t> </w:t>
        <w:tab/>
      </w:r>
      <w:r>
        <w:rPr>
          <w:b/>
          <w:sz w:val="24"/>
        </w:rPr>
        <w:t>A  transição  paradigmática</w:t>
      </w:r>
      <w:r>
        <w:rPr>
          <w:sz w:val="24"/>
        </w:rPr>
        <w:t>:  da  regulação  a  emancipação.  </w:t>
      </w:r>
      <w:r>
        <w:rPr>
          <w:spacing w:val="66"/>
          <w:sz w:val="24"/>
        </w:rPr>
        <w:t> </w:t>
      </w:r>
      <w:r>
        <w:rPr>
          <w:sz w:val="24"/>
        </w:rPr>
        <w:t>Centro </w:t>
      </w:r>
      <w:r>
        <w:rPr>
          <w:spacing w:val="16"/>
          <w:sz w:val="24"/>
        </w:rPr>
        <w:t> </w:t>
      </w:r>
      <w:r>
        <w:rPr>
          <w:sz w:val="24"/>
        </w:rPr>
        <w:t>de</w:t>
      </w:r>
      <w:r>
        <w:rPr>
          <w:w w:val="99"/>
          <w:sz w:val="24"/>
        </w:rPr>
        <w:t> </w:t>
      </w:r>
      <w:r>
        <w:rPr>
          <w:sz w:val="24"/>
        </w:rPr>
        <w:t>Estudos Sociais. Coimbra, Portugal: Oficina </w:t>
      </w:r>
      <w:r>
        <w:rPr>
          <w:spacing w:val="-3"/>
          <w:sz w:val="24"/>
        </w:rPr>
        <w:t>CES,</w:t>
      </w:r>
      <w:r>
        <w:rPr>
          <w:spacing w:val="-10"/>
          <w:sz w:val="24"/>
        </w:rPr>
        <w:t> </w:t>
      </w:r>
      <w:r>
        <w:rPr>
          <w:sz w:val="24"/>
        </w:rPr>
        <w:t>1991.</w:t>
      </w:r>
    </w:p>
    <w:p>
      <w:pPr>
        <w:pStyle w:val="BodyText"/>
        <w:spacing w:before="3"/>
        <w:rPr>
          <w:sz w:val="15"/>
        </w:rPr>
      </w:pPr>
    </w:p>
    <w:p>
      <w:pPr>
        <w:tabs>
          <w:tab w:pos="978" w:val="left" w:leader="none"/>
        </w:tabs>
        <w:spacing w:line="247" w:lineRule="auto" w:before="93"/>
        <w:ind w:left="308" w:right="104" w:firstLine="0"/>
        <w:jc w:val="left"/>
        <w:rPr>
          <w:sz w:val="24"/>
        </w:rPr>
      </w:pPr>
      <w:r>
        <w:rPr>
          <w:w w:val="100"/>
          <w:sz w:val="24"/>
          <w:u w:val="single"/>
        </w:rPr>
        <w:t> </w:t>
      </w:r>
      <w:r>
        <w:rPr>
          <w:sz w:val="24"/>
          <w:u w:val="single"/>
        </w:rPr>
        <w:tab/>
      </w:r>
      <w:r>
        <w:rPr>
          <w:sz w:val="24"/>
        </w:rPr>
        <w:t>. (Org.).  </w:t>
      </w:r>
      <w:r>
        <w:rPr>
          <w:b/>
          <w:sz w:val="24"/>
        </w:rPr>
        <w:t>Conhecimento prudente  para  uma  vida  decente</w:t>
      </w:r>
      <w:r>
        <w:rPr>
          <w:sz w:val="24"/>
        </w:rPr>
        <w:t>:</w:t>
      </w:r>
      <w:r>
        <w:rPr>
          <w:spacing w:val="-10"/>
          <w:sz w:val="24"/>
        </w:rPr>
        <w:t> </w:t>
      </w:r>
      <w:r>
        <w:rPr>
          <w:sz w:val="24"/>
        </w:rPr>
        <w:t>um</w:t>
      </w:r>
      <w:r>
        <w:rPr>
          <w:spacing w:val="31"/>
          <w:sz w:val="24"/>
        </w:rPr>
        <w:t> </w:t>
      </w:r>
      <w:r>
        <w:rPr>
          <w:sz w:val="24"/>
        </w:rPr>
        <w:t>discurso</w:t>
      </w:r>
      <w:r>
        <w:rPr>
          <w:w w:val="99"/>
          <w:sz w:val="24"/>
        </w:rPr>
        <w:t> </w:t>
      </w:r>
      <w:r>
        <w:rPr>
          <w:sz w:val="24"/>
        </w:rPr>
        <w:t>sobre as ciências revisitado. 2. ed. São Paulo: Cortez,</w:t>
      </w:r>
      <w:r>
        <w:rPr>
          <w:spacing w:val="-25"/>
          <w:sz w:val="24"/>
        </w:rPr>
        <w:t> </w:t>
      </w:r>
      <w:r>
        <w:rPr>
          <w:sz w:val="24"/>
        </w:rPr>
        <w:t>2006b.</w:t>
      </w:r>
    </w:p>
    <w:p>
      <w:pPr>
        <w:spacing w:after="0" w:line="247" w:lineRule="auto"/>
        <w:jc w:val="left"/>
        <w:rPr>
          <w:sz w:val="24"/>
        </w:rPr>
        <w:sectPr>
          <w:pgSz w:w="11910" w:h="16840"/>
          <w:pgMar w:header="1133" w:footer="0" w:top="1340" w:bottom="280" w:left="1680" w:right="1020"/>
        </w:sectPr>
      </w:pPr>
    </w:p>
    <w:p>
      <w:pPr>
        <w:pStyle w:val="BodyText"/>
        <w:rPr>
          <w:sz w:val="20"/>
        </w:rPr>
      </w:pPr>
    </w:p>
    <w:p>
      <w:pPr>
        <w:pStyle w:val="BodyText"/>
        <w:spacing w:before="5"/>
        <w:rPr>
          <w:sz w:val="25"/>
        </w:rPr>
      </w:pPr>
    </w:p>
    <w:p>
      <w:pPr>
        <w:pStyle w:val="BodyText"/>
        <w:spacing w:before="93"/>
        <w:ind w:left="308" w:right="109"/>
        <w:jc w:val="both"/>
      </w:pPr>
      <w:r>
        <w:rPr>
          <w:w w:val="100"/>
          <w:u w:val="single"/>
        </w:rPr>
        <w:t> </w:t>
      </w:r>
      <w:r>
        <w:rPr>
          <w:u w:val="single"/>
        </w:rPr>
        <w:t>         </w:t>
      </w:r>
      <w:r>
        <w:rPr/>
        <w:t>Para além do Pensamento Abissal: Das linhas globais a uma ecologia de saberes. In: Santos, Boaventura de Sousa e Meneses, Maria Paula (Orgs.). </w:t>
      </w:r>
      <w:r>
        <w:rPr>
          <w:i/>
        </w:rPr>
        <w:t>Epistemologias do Sul</w:t>
      </w:r>
      <w:r>
        <w:rPr/>
        <w:t>. Coimbra: Editora Almedina, 2009. 23-71.</w:t>
      </w:r>
    </w:p>
    <w:p>
      <w:pPr>
        <w:pStyle w:val="BodyText"/>
        <w:spacing w:before="6"/>
        <w:rPr>
          <w:sz w:val="15"/>
        </w:rPr>
      </w:pPr>
    </w:p>
    <w:p>
      <w:pPr>
        <w:pStyle w:val="BodyText"/>
        <w:tabs>
          <w:tab w:pos="980" w:val="left" w:leader="none"/>
        </w:tabs>
        <w:spacing w:line="242" w:lineRule="auto" w:before="93"/>
        <w:ind w:left="308" w:right="102"/>
      </w:pPr>
      <w:r>
        <w:rPr>
          <w:b/>
          <w:u w:val="single"/>
        </w:rPr>
        <w:t> </w:t>
        <w:tab/>
      </w:r>
      <w:r>
        <w:rPr>
          <w:b/>
        </w:rPr>
        <w:t>Pela Mão de Alice</w:t>
      </w:r>
      <w:r>
        <w:rPr/>
        <w:t>: o social e o político na Pós – modernidade. 4.  </w:t>
      </w:r>
      <w:r>
        <w:rPr>
          <w:spacing w:val="35"/>
        </w:rPr>
        <w:t> </w:t>
      </w:r>
      <w:r>
        <w:rPr/>
        <w:t>ed.</w:t>
      </w:r>
      <w:r>
        <w:rPr>
          <w:spacing w:val="13"/>
        </w:rPr>
        <w:t> </w:t>
      </w:r>
      <w:r>
        <w:rPr/>
        <w:t>São</w:t>
      </w:r>
      <w:r>
        <w:rPr>
          <w:w w:val="99"/>
        </w:rPr>
        <w:t> </w:t>
      </w:r>
      <w:r>
        <w:rPr/>
        <w:t>Paulo: Cortez,</w:t>
      </w:r>
      <w:r>
        <w:rPr>
          <w:spacing w:val="-6"/>
        </w:rPr>
        <w:t> </w:t>
      </w:r>
      <w:r>
        <w:rPr/>
        <w:t>1997.</w:t>
      </w:r>
    </w:p>
    <w:p>
      <w:pPr>
        <w:pStyle w:val="BodyText"/>
        <w:spacing w:before="4"/>
        <w:rPr>
          <w:sz w:val="15"/>
        </w:rPr>
      </w:pPr>
    </w:p>
    <w:p>
      <w:pPr>
        <w:tabs>
          <w:tab w:pos="978" w:val="left" w:leader="none"/>
        </w:tabs>
        <w:spacing w:before="92"/>
        <w:ind w:left="308" w:right="0" w:firstLine="0"/>
        <w:jc w:val="left"/>
        <w:rPr>
          <w:sz w:val="24"/>
        </w:rPr>
      </w:pPr>
      <w:r>
        <w:rPr>
          <w:w w:val="100"/>
          <w:sz w:val="24"/>
          <w:u w:val="single"/>
        </w:rPr>
        <w:t> </w:t>
      </w:r>
      <w:r>
        <w:rPr>
          <w:sz w:val="24"/>
          <w:u w:val="single"/>
        </w:rPr>
        <w:tab/>
      </w:r>
      <w:r>
        <w:rPr>
          <w:sz w:val="24"/>
        </w:rPr>
        <w:t>. </w:t>
      </w:r>
      <w:r>
        <w:rPr>
          <w:b/>
          <w:sz w:val="24"/>
        </w:rPr>
        <w:t>Um discurso sobre as ciências</w:t>
      </w:r>
      <w:r>
        <w:rPr>
          <w:sz w:val="24"/>
        </w:rPr>
        <w:t>. 4. ed. São Paulo: Cortez,</w:t>
      </w:r>
      <w:r>
        <w:rPr>
          <w:spacing w:val="-28"/>
          <w:sz w:val="24"/>
        </w:rPr>
        <w:t> </w:t>
      </w:r>
      <w:r>
        <w:rPr>
          <w:sz w:val="24"/>
        </w:rPr>
        <w:t>2006a.</w:t>
      </w:r>
    </w:p>
    <w:p>
      <w:pPr>
        <w:pStyle w:val="BodyText"/>
        <w:rPr>
          <w:sz w:val="16"/>
        </w:rPr>
      </w:pPr>
    </w:p>
    <w:p>
      <w:pPr>
        <w:spacing w:line="242" w:lineRule="auto" w:before="92"/>
        <w:ind w:left="308" w:right="102" w:firstLine="0"/>
        <w:jc w:val="both"/>
        <w:rPr>
          <w:sz w:val="24"/>
        </w:rPr>
      </w:pPr>
      <w:r>
        <w:rPr>
          <w:w w:val="100"/>
          <w:sz w:val="22"/>
          <w:u w:val="single"/>
        </w:rPr>
        <w:t> </w:t>
      </w:r>
      <w:r>
        <w:rPr>
          <w:sz w:val="22"/>
          <w:u w:val="single"/>
        </w:rPr>
        <w:t>         </w:t>
      </w:r>
      <w:r>
        <w:rPr>
          <w:sz w:val="22"/>
        </w:rPr>
        <w:t>. </w:t>
      </w:r>
      <w:r>
        <w:rPr>
          <w:b/>
          <w:sz w:val="24"/>
        </w:rPr>
        <w:t>Um discurso sobre as ciências na transição para uma ciência pós- moderna</w:t>
      </w:r>
      <w:r>
        <w:rPr>
          <w:sz w:val="24"/>
        </w:rPr>
        <w:t>.Disponível em &lt;</w:t>
      </w:r>
      <w:hyperlink r:id="rId41">
        <w:r>
          <w:rPr>
            <w:sz w:val="24"/>
          </w:rPr>
          <w:t>http://www.scielo.br/scielo.php?script=sci_arttext&amp;pid=</w:t>
        </w:r>
      </w:hyperlink>
      <w:r>
        <w:rPr>
          <w:sz w:val="24"/>
        </w:rPr>
        <w:t> </w:t>
      </w:r>
      <w:hyperlink r:id="rId41">
        <w:r>
          <w:rPr>
            <w:sz w:val="24"/>
          </w:rPr>
          <w:t>S0103-41988000200007</w:t>
        </w:r>
      </w:hyperlink>
      <w:r>
        <w:rPr>
          <w:sz w:val="24"/>
        </w:rPr>
        <w:t>&gt;.  Acesso em: 04 Maio, 2014.</w:t>
      </w:r>
    </w:p>
    <w:p>
      <w:pPr>
        <w:pStyle w:val="BodyText"/>
        <w:spacing w:before="8"/>
        <w:rPr>
          <w:sz w:val="23"/>
        </w:rPr>
      </w:pPr>
    </w:p>
    <w:p>
      <w:pPr>
        <w:pStyle w:val="BodyText"/>
        <w:ind w:left="308" w:right="109"/>
        <w:jc w:val="both"/>
      </w:pPr>
      <w:r>
        <w:rPr/>
        <w:t>SANTOS, Akiko. Complexidade e transdisciplinaridade em educação: cinco princípios para resgatar o elo perdido. In: SANTOS, Akiko e SOMMERMAN (Orgs.), Américo. </w:t>
      </w:r>
      <w:r>
        <w:rPr>
          <w:b/>
        </w:rPr>
        <w:t>Complexidade e transdisciplinaridade: </w:t>
      </w:r>
      <w:r>
        <w:rPr/>
        <w:t>em busca da totalidade perdida. Porto Alegre: Sulina,</w:t>
      </w:r>
      <w:r>
        <w:rPr>
          <w:spacing w:val="-16"/>
        </w:rPr>
        <w:t> </w:t>
      </w:r>
      <w:r>
        <w:rPr/>
        <w:t>2009.</w:t>
      </w:r>
    </w:p>
    <w:p>
      <w:pPr>
        <w:pStyle w:val="BodyText"/>
        <w:spacing w:before="5"/>
        <w:rPr>
          <w:sz w:val="15"/>
        </w:rPr>
      </w:pPr>
    </w:p>
    <w:p>
      <w:pPr>
        <w:spacing w:line="242" w:lineRule="auto" w:before="93"/>
        <w:ind w:left="308" w:right="104" w:firstLine="0"/>
        <w:jc w:val="both"/>
        <w:rPr>
          <w:sz w:val="24"/>
        </w:rPr>
      </w:pPr>
      <w:r>
        <w:rPr>
          <w:w w:val="100"/>
          <w:sz w:val="24"/>
          <w:u w:val="single"/>
        </w:rPr>
        <w:t> </w:t>
      </w:r>
      <w:r>
        <w:rPr>
          <w:sz w:val="24"/>
          <w:u w:val="single"/>
        </w:rPr>
        <w:t>         </w:t>
      </w:r>
      <w:r>
        <w:rPr>
          <w:sz w:val="24"/>
        </w:rPr>
        <w:t>. Obstáculos epistemológicos nos diálogos dos saberes. In: </w:t>
      </w:r>
      <w:r>
        <w:rPr>
          <w:b/>
          <w:sz w:val="24"/>
        </w:rPr>
        <w:t>Complexidade e transdisciplinaridade: </w:t>
      </w:r>
      <w:r>
        <w:rPr>
          <w:sz w:val="24"/>
        </w:rPr>
        <w:t>em busca da totalidade perdida. Porto Alegre: Sulina, 2009.</w:t>
      </w:r>
    </w:p>
    <w:p>
      <w:pPr>
        <w:pStyle w:val="BodyText"/>
        <w:spacing w:before="8"/>
        <w:rPr>
          <w:sz w:val="23"/>
        </w:rPr>
      </w:pPr>
    </w:p>
    <w:p>
      <w:pPr>
        <w:pStyle w:val="BodyText"/>
        <w:ind w:left="308" w:right="100"/>
        <w:jc w:val="both"/>
      </w:pPr>
      <w:r>
        <w:rPr/>
        <w:t>SANTOS, Akiko e SANTOS, Ana Cristina Sousa dos. “O contrário da verdade não é um erro, </w:t>
      </w:r>
      <w:r>
        <w:rPr>
          <w:spacing w:val="-3"/>
        </w:rPr>
        <w:t>mas </w:t>
      </w:r>
      <w:r>
        <w:rPr/>
        <w:t>uma verdade contrária. In: MAGALHÃES, Solange  Martins Oliveira e SOUZA, Ruth Catarina Cerqueira Ribeiro de. </w:t>
      </w:r>
      <w:r>
        <w:rPr>
          <w:b/>
        </w:rPr>
        <w:t>Formação de professores</w:t>
      </w:r>
      <w:r>
        <w:rPr/>
        <w:t>: elos da dimensão complexa e transdisciplinar. Goiânia: Ed. Puc Goiás, Liber Livro Editora,</w:t>
      </w:r>
      <w:r>
        <w:rPr>
          <w:spacing w:val="-13"/>
        </w:rPr>
        <w:t> </w:t>
      </w:r>
      <w:r>
        <w:rPr/>
        <w:t>2012.</w:t>
      </w:r>
    </w:p>
    <w:p>
      <w:pPr>
        <w:pStyle w:val="BodyText"/>
        <w:spacing w:before="10"/>
        <w:rPr>
          <w:sz w:val="23"/>
        </w:rPr>
      </w:pPr>
    </w:p>
    <w:p>
      <w:pPr>
        <w:pStyle w:val="BodyText"/>
        <w:ind w:left="308" w:right="103"/>
        <w:jc w:val="both"/>
      </w:pPr>
      <w:r>
        <w:rPr/>
        <w:t>SANTOS, Akiko, SANTOS, Ana Cristina Souza de, CHIQUIERI, Ana Maria Crepaldi. Considerações sobre a didática da educação transcomplexa. In: </w:t>
      </w:r>
      <w:r>
        <w:rPr>
          <w:b/>
        </w:rPr>
        <w:t>Didática e Formação de professores</w:t>
      </w:r>
      <w:r>
        <w:rPr/>
        <w:t>: Complexidade e transdisciplinaridade. Porto Alegre, RS: Sulina,</w:t>
      </w:r>
      <w:r>
        <w:rPr>
          <w:spacing w:val="-12"/>
        </w:rPr>
        <w:t> </w:t>
      </w:r>
      <w:r>
        <w:rPr/>
        <w:t>2013.</w:t>
      </w:r>
    </w:p>
    <w:p>
      <w:pPr>
        <w:pStyle w:val="BodyText"/>
        <w:spacing w:before="11"/>
        <w:rPr>
          <w:sz w:val="23"/>
        </w:rPr>
      </w:pPr>
    </w:p>
    <w:p>
      <w:pPr>
        <w:pStyle w:val="BodyText"/>
        <w:ind w:left="308" w:right="99"/>
        <w:jc w:val="both"/>
      </w:pPr>
      <w:r>
        <w:rPr/>
        <w:t>SANTOS, Akiko. SANTO, Maria Cristina Souza dos e CORREA, Helena. A educação transdisciplinar: autonomia, liberdade e criatividade em uma escola pública. In: TORRE, Saturnino de la, PUJOL, Maria Antonia e SILVA, Vera Lúcia Souza e. </w:t>
      </w:r>
      <w:r>
        <w:rPr>
          <w:b/>
        </w:rPr>
        <w:t>Inovando na sala de aula</w:t>
      </w:r>
      <w:r>
        <w:rPr/>
        <w:t>: instituições transformadoras. Blumenau, Nova Letra, 2013.</w:t>
      </w:r>
    </w:p>
    <w:p>
      <w:pPr>
        <w:pStyle w:val="BodyText"/>
        <w:spacing w:before="6"/>
        <w:rPr>
          <w:sz w:val="23"/>
        </w:rPr>
      </w:pPr>
    </w:p>
    <w:p>
      <w:pPr>
        <w:pStyle w:val="BodyText"/>
        <w:spacing w:line="242" w:lineRule="auto"/>
        <w:ind w:left="308" w:right="104"/>
        <w:jc w:val="both"/>
      </w:pPr>
      <w:r>
        <w:rPr/>
        <w:t>SAVIANI, Demerval. </w:t>
      </w:r>
      <w:r>
        <w:rPr>
          <w:b/>
        </w:rPr>
        <w:t>Escola e democracia</w:t>
      </w:r>
      <w:r>
        <w:rPr/>
        <w:t>: Teorias da educação, curvatura da vara, onze teses sobre educação e política. São Paulo, Cortez Autores Associados, 1983.</w:t>
      </w:r>
    </w:p>
    <w:p>
      <w:pPr>
        <w:pStyle w:val="BodyText"/>
        <w:spacing w:before="2"/>
        <w:rPr>
          <w:sz w:val="21"/>
        </w:rPr>
      </w:pPr>
    </w:p>
    <w:p>
      <w:pPr>
        <w:spacing w:line="247" w:lineRule="auto" w:before="0"/>
        <w:ind w:left="308" w:right="106" w:firstLine="0"/>
        <w:jc w:val="both"/>
        <w:rPr>
          <w:sz w:val="24"/>
        </w:rPr>
      </w:pPr>
      <w:r>
        <w:rPr>
          <w:w w:val="100"/>
          <w:sz w:val="22"/>
          <w:u w:val="single"/>
        </w:rPr>
        <w:t> </w:t>
      </w:r>
      <w:r>
        <w:rPr>
          <w:sz w:val="22"/>
          <w:u w:val="single"/>
        </w:rPr>
        <w:t>        </w:t>
      </w:r>
      <w:r>
        <w:rPr>
          <w:spacing w:val="1"/>
          <w:sz w:val="22"/>
          <w:u w:val="single"/>
        </w:rPr>
        <w:t> </w:t>
      </w:r>
      <w:r>
        <w:rPr>
          <w:sz w:val="22"/>
        </w:rPr>
        <w:t>. </w:t>
      </w:r>
      <w:r>
        <w:rPr>
          <w:b/>
          <w:sz w:val="24"/>
        </w:rPr>
        <w:t>O legado educacional do Regime Militar. </w:t>
      </w:r>
      <w:r>
        <w:rPr>
          <w:sz w:val="24"/>
        </w:rPr>
        <w:t>Caderno Cedes, Campinas, vol. 28, n. 76, p. 291-312, Set. /Dez.</w:t>
      </w:r>
      <w:r>
        <w:rPr>
          <w:spacing w:val="-21"/>
          <w:sz w:val="24"/>
        </w:rPr>
        <w:t> </w:t>
      </w:r>
      <w:r>
        <w:rPr>
          <w:sz w:val="24"/>
        </w:rPr>
        <w:t>2008.</w:t>
      </w:r>
    </w:p>
    <w:p>
      <w:pPr>
        <w:pStyle w:val="BodyText"/>
        <w:spacing w:before="10"/>
        <w:rPr>
          <w:sz w:val="22"/>
        </w:rPr>
      </w:pPr>
    </w:p>
    <w:p>
      <w:pPr>
        <w:spacing w:line="242" w:lineRule="auto" w:before="0"/>
        <w:ind w:left="308" w:right="105" w:firstLine="0"/>
        <w:jc w:val="both"/>
        <w:rPr>
          <w:sz w:val="24"/>
        </w:rPr>
      </w:pPr>
      <w:r>
        <w:rPr>
          <w:sz w:val="24"/>
        </w:rPr>
        <w:t>SAVIANI, Demerval. </w:t>
      </w:r>
      <w:r>
        <w:rPr>
          <w:b/>
          <w:sz w:val="24"/>
        </w:rPr>
        <w:t>História das Ideias pedagógicas. </w:t>
      </w:r>
      <w:r>
        <w:rPr>
          <w:sz w:val="24"/>
        </w:rPr>
        <w:t>3. ed. rev. Campinas: Autores Associados. 2010.</w:t>
      </w:r>
    </w:p>
    <w:p>
      <w:pPr>
        <w:spacing w:after="0" w:line="242" w:lineRule="auto"/>
        <w:jc w:val="both"/>
        <w:rPr>
          <w:sz w:val="24"/>
        </w:rPr>
        <w:sectPr>
          <w:pgSz w:w="11910" w:h="16840"/>
          <w:pgMar w:header="1133" w:footer="0" w:top="1340" w:bottom="280" w:left="1680" w:right="1020"/>
        </w:sectPr>
      </w:pPr>
    </w:p>
    <w:p>
      <w:pPr>
        <w:pStyle w:val="BodyText"/>
        <w:spacing w:before="10"/>
        <w:rPr>
          <w:sz w:val="20"/>
        </w:rPr>
      </w:pPr>
    </w:p>
    <w:p>
      <w:pPr>
        <w:pStyle w:val="BodyText"/>
        <w:spacing w:line="247" w:lineRule="auto" w:before="92"/>
        <w:ind w:left="308" w:right="103"/>
        <w:jc w:val="both"/>
      </w:pPr>
      <w:r>
        <w:rPr/>
        <w:t>SAVIANI, D. Ética, Educação e Cidadania. In: </w:t>
      </w:r>
      <w:r>
        <w:rPr>
          <w:b/>
        </w:rPr>
        <w:t>Revista PhiloS </w:t>
      </w:r>
      <w:r>
        <w:rPr/>
        <w:t>_Revista de Filosofia de 1º grau,</w:t>
      </w:r>
      <w:r>
        <w:rPr>
          <w:spacing w:val="51"/>
        </w:rPr>
        <w:t> </w:t>
      </w:r>
      <w:r>
        <w:rPr/>
        <w:t>Florianópolis, v. 8, n. 15, p. 19-37, 2001. Disponível</w:t>
      </w:r>
      <w:r>
        <w:rPr>
          <w:spacing w:val="50"/>
        </w:rPr>
        <w:t> </w:t>
      </w:r>
      <w:r>
        <w:rPr>
          <w:spacing w:val="-3"/>
        </w:rPr>
        <w:t>em:</w:t>
      </w:r>
    </w:p>
    <w:p>
      <w:pPr>
        <w:pStyle w:val="BodyText"/>
        <w:spacing w:line="242" w:lineRule="auto"/>
        <w:ind w:left="308" w:right="109"/>
        <w:jc w:val="both"/>
      </w:pPr>
      <w:r>
        <w:rPr/>
        <w:t>&lt;</w:t>
      </w:r>
      <w:hyperlink r:id="rId42">
        <w:r>
          <w:rPr/>
          <w:t>http://www.crmariocovas.sp.</w:t>
        </w:r>
      </w:hyperlink>
      <w:r>
        <w:rPr/>
        <w:t> gov.br/pdf/ccs/pebII/saviani.pdf&gt;. Acesso em: 20 maio 2013.</w:t>
      </w:r>
    </w:p>
    <w:p>
      <w:pPr>
        <w:pStyle w:val="BodyText"/>
        <w:spacing w:before="7"/>
      </w:pPr>
    </w:p>
    <w:p>
      <w:pPr>
        <w:pStyle w:val="BodyText"/>
        <w:spacing w:before="1"/>
        <w:ind w:left="308" w:right="102"/>
        <w:jc w:val="both"/>
      </w:pPr>
      <w:r>
        <w:rPr/>
        <w:t>SEVERINO, Antônio Joaquim. Questões epistemológicas da pesquisa sobre a prática docente. In: </w:t>
      </w:r>
      <w:r>
        <w:rPr>
          <w:b/>
        </w:rPr>
        <w:t>Encontro Nacional de Didática e Prática de Ensino </w:t>
      </w:r>
      <w:r>
        <w:rPr/>
        <w:t>(13:2006: Recife, PE). Educação formal e não-formal, processos formativos e saberes pedagógicos: desafios para a inclusão social / Encontro Nacional de Didática e Prática de Ensino; organizadoras: Ainda Maria Monteiro Silva et al. Recife: ENDIPE, 2006.</w:t>
      </w:r>
    </w:p>
    <w:p>
      <w:pPr>
        <w:pStyle w:val="BodyText"/>
      </w:pPr>
    </w:p>
    <w:p>
      <w:pPr>
        <w:pStyle w:val="BodyText"/>
        <w:ind w:left="308" w:right="103"/>
        <w:jc w:val="both"/>
      </w:pPr>
      <w:r>
        <w:rPr/>
        <w:t>SOMMERMAN, A. et al. O que há entre teoria e prática? Há o mundo da vida. In: SANTOS, Akiko &amp; SOMMERMAN, Américo (Orgs.). </w:t>
      </w:r>
      <w:r>
        <w:rPr>
          <w:b/>
        </w:rPr>
        <w:t>Complexidade e transdisciplinaridade</w:t>
      </w:r>
      <w:r>
        <w:rPr/>
        <w:t>: em busca da totalidade perdida. Porto Alegre: Sulina, 2009.</w:t>
      </w:r>
    </w:p>
    <w:p>
      <w:pPr>
        <w:pStyle w:val="BodyText"/>
        <w:spacing w:before="11"/>
        <w:rPr>
          <w:sz w:val="23"/>
        </w:rPr>
      </w:pPr>
    </w:p>
    <w:p>
      <w:pPr>
        <w:pStyle w:val="BodyText"/>
        <w:ind w:left="308" w:right="110"/>
        <w:jc w:val="both"/>
      </w:pPr>
      <w:r>
        <w:rPr/>
        <w:t>SOUZA, Milena Cristina Aragão Ribeiro. Práticas de castigos escolares: a palmatória como símbolo em salas de aula sergipanas. </w:t>
      </w:r>
      <w:r>
        <w:rPr>
          <w:b/>
        </w:rPr>
        <w:t>Anais do VII Congresso Brasileiro de História da Educação</w:t>
      </w:r>
      <w:r>
        <w:rPr/>
        <w:t>. Cuiabá: Universidade Federal de Mato Grosso, 2013. Disponível em </w:t>
      </w:r>
      <w:hyperlink r:id="rId43">
        <w:r>
          <w:rPr/>
          <w:t>http://sbhe.org.br/novo/congressos/cbhe7/</w:t>
        </w:r>
      </w:hyperlink>
      <w:r>
        <w:rPr/>
        <w:t> Acesso em 06.07.2014.</w:t>
      </w:r>
    </w:p>
    <w:p>
      <w:pPr>
        <w:pStyle w:val="BodyText"/>
        <w:spacing w:before="11"/>
        <w:rPr>
          <w:sz w:val="23"/>
        </w:rPr>
      </w:pPr>
    </w:p>
    <w:p>
      <w:pPr>
        <w:pStyle w:val="BodyText"/>
        <w:ind w:left="308" w:right="98"/>
        <w:jc w:val="both"/>
      </w:pPr>
      <w:r>
        <w:rPr/>
        <w:t>SUANNO, João Henrique. Questionário aplicado a professores, coordenações e direção do Colégio Logosófico de Goiânia. Instrumento integrante da tese de doutorado em Educação intitulada: </w:t>
      </w:r>
      <w:r>
        <w:rPr>
          <w:b/>
        </w:rPr>
        <w:t>Escola criativa e práticas pedagógicas transdisciplinares e ecoformadoras</w:t>
      </w:r>
      <w:r>
        <w:rPr/>
        <w:t>, do Programa de Pós-Graduação </w:t>
      </w:r>
      <w:r>
        <w:rPr>
          <w:i/>
        </w:rPr>
        <w:t>Stricto </w:t>
      </w:r>
      <w:r>
        <w:rPr>
          <w:i/>
        </w:rPr>
        <w:t>Sensu </w:t>
      </w:r>
      <w:r>
        <w:rPr/>
        <w:t>em Educação, pela Universidade Católica de Brasília – UCB/DF, sob orientação da profa. Dra. Maria Cândida Moraes, defendida em 09.05.2013.</w:t>
      </w:r>
    </w:p>
    <w:p>
      <w:pPr>
        <w:pStyle w:val="BodyText"/>
        <w:spacing w:before="11"/>
        <w:rPr>
          <w:sz w:val="23"/>
        </w:rPr>
      </w:pPr>
    </w:p>
    <w:p>
      <w:pPr>
        <w:pStyle w:val="BodyText"/>
        <w:ind w:left="308" w:right="101"/>
        <w:jc w:val="both"/>
      </w:pPr>
      <w:r>
        <w:rPr/>
        <w:t>SUANNO, João Henrique. Adversidade, resiliência e criatividade: uma articulação oportuna? In: SUANNO, Marilza Vanessa Rosa, DITTRICH, Maria Glória e MAURA, Maria Antonia Punjol (orgs). </w:t>
      </w:r>
      <w:r>
        <w:rPr>
          <w:b/>
        </w:rPr>
        <w:t>Resiliência, criatividade e inovação</w:t>
      </w:r>
      <w:r>
        <w:rPr/>
        <w:t>: potencialidades transdisciplinares na educação.  Goiânia: UEG/Ed América, 2013.</w:t>
      </w:r>
    </w:p>
    <w:p>
      <w:pPr>
        <w:pStyle w:val="BodyText"/>
      </w:pPr>
    </w:p>
    <w:p>
      <w:pPr>
        <w:pStyle w:val="BodyText"/>
        <w:ind w:left="308" w:right="99"/>
        <w:jc w:val="both"/>
      </w:pPr>
      <w:r>
        <w:rPr/>
        <w:t>SUANNO, João Henrique. Rede internacional de escolas criativas. In: PINHO, Maria José de Pinho, SUANNO, Marilza Vanessa Rosa e SUANNO, João Henrique. </w:t>
      </w:r>
      <w:r>
        <w:rPr>
          <w:b/>
        </w:rPr>
        <w:t>Formação de professores e interdisciplinaridade</w:t>
      </w:r>
      <w:r>
        <w:rPr/>
        <w:t>: diálogo investigativo em construção. América, Goiânia, 2014.</w:t>
      </w:r>
    </w:p>
    <w:p>
      <w:pPr>
        <w:pStyle w:val="BodyText"/>
      </w:pPr>
    </w:p>
    <w:p>
      <w:pPr>
        <w:pStyle w:val="BodyText"/>
        <w:ind w:left="308" w:right="107"/>
        <w:jc w:val="both"/>
      </w:pPr>
      <w:r>
        <w:rPr/>
        <w:t>SUANNO, Marilza Vanessa, TORRE, Saturnino de La, SUANNO, João Henrique. Rede Internacional de Escolas Criativas. In: PINHO, Maria José de, SUANNO, Marilza Vanessa Rosa, SUANNO, João Henrique. </w:t>
      </w:r>
      <w:r>
        <w:rPr>
          <w:b/>
        </w:rPr>
        <w:t>Formação de professores e interdisciplinaridade</w:t>
      </w:r>
      <w:r>
        <w:rPr/>
        <w:t>: diálogos investigativos em construção. Goiânia: Gráfica Editora América, 2014.</w:t>
      </w:r>
    </w:p>
    <w:p>
      <w:pPr>
        <w:pStyle w:val="BodyText"/>
      </w:pPr>
    </w:p>
    <w:p>
      <w:pPr>
        <w:pStyle w:val="BodyText"/>
        <w:ind w:left="308" w:right="102"/>
        <w:jc w:val="both"/>
      </w:pPr>
      <w:r>
        <w:rPr/>
        <w:t>SUANNO, João Henrique. Rede internacional de escolas criativas. In: PINHO, Maria José de Pinho, SUANNO, Marilza Vanessa Rosa e SUANNO, João Henrique. </w:t>
      </w:r>
      <w:r>
        <w:rPr>
          <w:b/>
        </w:rPr>
        <w:t>Formação de professores e interdisciplinaridade</w:t>
      </w:r>
      <w:r>
        <w:rPr/>
        <w:t>: diálogo investigativo em construção. América, Goiânia, 2014.</w:t>
      </w:r>
    </w:p>
    <w:p>
      <w:pPr>
        <w:spacing w:after="0"/>
        <w:jc w:val="both"/>
        <w:sectPr>
          <w:pgSz w:w="11910" w:h="16840"/>
          <w:pgMar w:header="1133" w:footer="0" w:top="1340" w:bottom="280" w:left="1680" w:right="1020"/>
        </w:sectPr>
      </w:pPr>
    </w:p>
    <w:p>
      <w:pPr>
        <w:pStyle w:val="BodyText"/>
        <w:spacing w:before="10"/>
        <w:rPr>
          <w:sz w:val="20"/>
        </w:rPr>
      </w:pPr>
    </w:p>
    <w:p>
      <w:pPr>
        <w:spacing w:line="242" w:lineRule="auto" w:before="92"/>
        <w:ind w:left="308" w:right="103" w:firstLine="0"/>
        <w:jc w:val="both"/>
        <w:rPr>
          <w:sz w:val="24"/>
        </w:rPr>
      </w:pPr>
      <w:r>
        <w:rPr>
          <w:sz w:val="24"/>
        </w:rPr>
        <w:t>SUANNO, Marilza Vanessa. Didática transdisciplinar emergente. In: </w:t>
      </w:r>
      <w:r>
        <w:rPr>
          <w:b/>
          <w:sz w:val="24"/>
        </w:rPr>
        <w:t>Didática e formação de professores: complexidade e transdisciplinaridade</w:t>
      </w:r>
      <w:r>
        <w:rPr>
          <w:sz w:val="24"/>
        </w:rPr>
        <w:t>. Porto  alegre; Sulina,</w:t>
      </w:r>
      <w:r>
        <w:rPr>
          <w:spacing w:val="-11"/>
          <w:sz w:val="24"/>
        </w:rPr>
        <w:t> </w:t>
      </w:r>
      <w:r>
        <w:rPr>
          <w:sz w:val="24"/>
        </w:rPr>
        <w:t>2013a.</w:t>
      </w:r>
    </w:p>
    <w:p>
      <w:pPr>
        <w:pStyle w:val="BodyText"/>
        <w:spacing w:before="1"/>
        <w:rPr>
          <w:sz w:val="22"/>
        </w:rPr>
      </w:pPr>
    </w:p>
    <w:p>
      <w:pPr>
        <w:pStyle w:val="BodyText"/>
        <w:ind w:left="308" w:right="104"/>
        <w:jc w:val="both"/>
      </w:pPr>
      <w:r>
        <w:rPr>
          <w:w w:val="100"/>
          <w:sz w:val="22"/>
          <w:u w:val="single"/>
        </w:rPr>
        <w:t> </w:t>
      </w:r>
      <w:r>
        <w:rPr>
          <w:sz w:val="22"/>
          <w:u w:val="single"/>
        </w:rPr>
        <w:t>         </w:t>
      </w:r>
      <w:r>
        <w:rPr>
          <w:sz w:val="22"/>
        </w:rPr>
        <w:t>. </w:t>
      </w:r>
      <w:r>
        <w:rPr/>
        <w:t>Resiliência, adversidade criadora em educação. In: SUANNO, Marilza Vanessa Rosa, DITTRICH, Maria Glória e MAURA, Maria Antonia Pujol. </w:t>
      </w:r>
      <w:r>
        <w:rPr>
          <w:b/>
        </w:rPr>
        <w:t>Resiliência, Criatividade e Inovação</w:t>
      </w:r>
      <w:r>
        <w:rPr/>
        <w:t>. Potencialidades transdisciplinares na educação. Goiânia: UEG/Ed. América, 2013b.</w:t>
      </w:r>
    </w:p>
    <w:p>
      <w:pPr>
        <w:pStyle w:val="BodyText"/>
        <w:spacing w:before="11"/>
        <w:rPr>
          <w:sz w:val="15"/>
        </w:rPr>
      </w:pPr>
    </w:p>
    <w:p>
      <w:pPr>
        <w:pStyle w:val="BodyText"/>
        <w:spacing w:before="92"/>
        <w:ind w:left="308" w:right="108"/>
        <w:jc w:val="both"/>
      </w:pPr>
      <w:r>
        <w:rPr>
          <w:w w:val="100"/>
          <w:sz w:val="22"/>
          <w:u w:val="single"/>
        </w:rPr>
        <w:t> </w:t>
      </w:r>
      <w:r>
        <w:rPr>
          <w:sz w:val="22"/>
          <w:u w:val="single"/>
        </w:rPr>
        <w:t>         </w:t>
      </w:r>
      <w:r>
        <w:rPr>
          <w:sz w:val="22"/>
        </w:rPr>
        <w:t>. </w:t>
      </w:r>
      <w:r>
        <w:rPr/>
        <w:t>Outras finalidades para educação: emerge uma didática complexa e transdisciplinar. In: ZWIEREWICZ, Marlene (coord.) </w:t>
      </w:r>
      <w:r>
        <w:rPr>
          <w:b/>
        </w:rPr>
        <w:t>Criatividade e inovação no ensino superior</w:t>
      </w:r>
      <w:r>
        <w:rPr/>
        <w:t>: experiências latino-americanas e europeias em foco. Florianópolis, SC: Nova letra Gráfica e Editora, 2013c</w:t>
      </w:r>
    </w:p>
    <w:p>
      <w:pPr>
        <w:pStyle w:val="BodyText"/>
        <w:spacing w:before="6"/>
        <w:rPr>
          <w:sz w:val="23"/>
        </w:rPr>
      </w:pPr>
    </w:p>
    <w:p>
      <w:pPr>
        <w:spacing w:line="242" w:lineRule="auto" w:before="0"/>
        <w:ind w:left="308" w:right="103" w:firstLine="0"/>
        <w:jc w:val="both"/>
        <w:rPr>
          <w:sz w:val="24"/>
        </w:rPr>
      </w:pPr>
      <w:r>
        <w:rPr>
          <w:sz w:val="24"/>
        </w:rPr>
        <w:t>TARDIF, Maurice. </w:t>
      </w:r>
      <w:r>
        <w:rPr>
          <w:b/>
          <w:sz w:val="24"/>
        </w:rPr>
        <w:t>Saberes docentes e formação profissional</w:t>
      </w:r>
      <w:r>
        <w:rPr>
          <w:sz w:val="24"/>
        </w:rPr>
        <w:t>. Petrópolis, RJ: Vozes, 2002.</w:t>
      </w:r>
    </w:p>
    <w:p>
      <w:pPr>
        <w:pStyle w:val="BodyText"/>
        <w:spacing w:before="3"/>
        <w:rPr>
          <w:sz w:val="23"/>
        </w:rPr>
      </w:pPr>
    </w:p>
    <w:p>
      <w:pPr>
        <w:spacing w:line="242" w:lineRule="auto" w:before="0"/>
        <w:ind w:left="308" w:right="102" w:firstLine="0"/>
        <w:jc w:val="both"/>
        <w:rPr>
          <w:sz w:val="24"/>
        </w:rPr>
      </w:pPr>
      <w:r>
        <w:rPr>
          <w:sz w:val="24"/>
        </w:rPr>
        <w:t>TERRA, A. M. S. et al. </w:t>
      </w:r>
      <w:r>
        <w:rPr>
          <w:b/>
          <w:sz w:val="24"/>
        </w:rPr>
        <w:t>Análise do cenário do Município de Gurupi para implantação de um parque tecnológico. </w:t>
      </w:r>
      <w:r>
        <w:rPr>
          <w:sz w:val="24"/>
        </w:rPr>
        <w:t>XI Latino Americano de Pós- Graduação. Universidade do Vale do Paraíba. São José, 2011.</w:t>
      </w:r>
    </w:p>
    <w:p>
      <w:pPr>
        <w:pStyle w:val="BodyText"/>
        <w:spacing w:before="8"/>
        <w:rPr>
          <w:sz w:val="23"/>
        </w:rPr>
      </w:pPr>
    </w:p>
    <w:p>
      <w:pPr>
        <w:pStyle w:val="BodyText"/>
        <w:ind w:left="308" w:right="107"/>
        <w:jc w:val="both"/>
      </w:pPr>
      <w:r>
        <w:rPr/>
        <w:t>TORRE, Saturnino de La, PUJOL, Maria Antonia e SILVA, Vera Lúcia de Souza e (coord.). </w:t>
      </w:r>
      <w:r>
        <w:rPr>
          <w:b/>
        </w:rPr>
        <w:t>Inovando na sala de aula</w:t>
      </w:r>
      <w:r>
        <w:rPr/>
        <w:t>: instituições transformadoras: Blumenau, SC: Nova Letra, 2013.</w:t>
      </w:r>
    </w:p>
    <w:p>
      <w:pPr>
        <w:pStyle w:val="BodyText"/>
        <w:spacing w:before="10"/>
        <w:rPr>
          <w:sz w:val="23"/>
        </w:rPr>
      </w:pPr>
    </w:p>
    <w:p>
      <w:pPr>
        <w:pStyle w:val="BodyText"/>
        <w:spacing w:before="1"/>
        <w:ind w:left="308" w:right="106"/>
        <w:jc w:val="both"/>
      </w:pPr>
      <w:r>
        <w:rPr/>
        <w:t>TORRE, Saturnino de La, PUJOL, Maria Antonia. A escola que queremos. In: TORRE, Saturnino de La, PUJOL, Maria Antonia e SILVA, Vera Lúcia de Souza e (coord.). </w:t>
      </w:r>
      <w:r>
        <w:rPr>
          <w:b/>
        </w:rPr>
        <w:t>Inovando na sala de aula</w:t>
      </w:r>
      <w:r>
        <w:rPr/>
        <w:t>: instituições transformadoras. Blumenau, SC: Nova Letra, 2013.</w:t>
      </w:r>
    </w:p>
    <w:p>
      <w:pPr>
        <w:pStyle w:val="BodyText"/>
      </w:pPr>
    </w:p>
    <w:p>
      <w:pPr>
        <w:pStyle w:val="BodyText"/>
        <w:ind w:left="308" w:right="104"/>
        <w:jc w:val="both"/>
      </w:pPr>
      <w:r>
        <w:rPr/>
        <w:t>TORRE, Saturnino de La. Movimento de escolas criativas: fazendo parte da história de formação e transformação ZWIEREWICZ, Marlene (coord.) </w:t>
      </w:r>
      <w:r>
        <w:rPr>
          <w:b/>
        </w:rPr>
        <w:t>Criatividade e inovação no ensino superior</w:t>
      </w:r>
      <w:r>
        <w:rPr/>
        <w:t>: experiências latino-americanas e europeias em foco. Blumenau, SC: Nova letra Gráfica e Editora, 2013.</w:t>
      </w:r>
    </w:p>
    <w:p>
      <w:pPr>
        <w:pStyle w:val="BodyText"/>
        <w:spacing w:before="7"/>
        <w:rPr>
          <w:sz w:val="23"/>
        </w:rPr>
      </w:pPr>
    </w:p>
    <w:p>
      <w:pPr>
        <w:pStyle w:val="BodyText"/>
        <w:spacing w:line="242" w:lineRule="auto"/>
        <w:ind w:left="308" w:right="101"/>
        <w:jc w:val="both"/>
      </w:pPr>
      <w:r>
        <w:rPr/>
        <w:t>TORRE, Saturnino de La. </w:t>
      </w:r>
      <w:r>
        <w:rPr>
          <w:b/>
        </w:rPr>
        <w:t>Instituciones Educativas Creativa</w:t>
      </w:r>
      <w:r>
        <w:rPr/>
        <w:t>: instrumento para valorar el desarrollo creativo de las Instituciones Educativas (VADECRIE). Barcelona, Espanha: Editora Circulo Rojo, 2012a.</w:t>
      </w:r>
    </w:p>
    <w:p>
      <w:pPr>
        <w:pStyle w:val="BodyText"/>
        <w:spacing w:before="8"/>
        <w:rPr>
          <w:sz w:val="23"/>
        </w:rPr>
      </w:pPr>
    </w:p>
    <w:p>
      <w:pPr>
        <w:pStyle w:val="BodyText"/>
        <w:ind w:left="308" w:right="108"/>
        <w:jc w:val="both"/>
      </w:pPr>
      <w:r>
        <w:rPr/>
        <w:t>TORRE, Saturnino de La. Criadores na adversidade e na crise: qual é o segredo? In: TORRE, Saturnino de La, ZWIEREWICZ, Marlene. </w:t>
      </w:r>
      <w:r>
        <w:rPr>
          <w:b/>
        </w:rPr>
        <w:t>Criatividade na adversidade</w:t>
      </w:r>
      <w:r>
        <w:rPr/>
        <w:t>: personagens que transformam situações adversas em oportunidade. Blumenau, SC: Nova Letra, 2012b.</w:t>
      </w:r>
    </w:p>
    <w:p>
      <w:pPr>
        <w:pStyle w:val="BodyText"/>
        <w:spacing w:before="10"/>
        <w:rPr>
          <w:sz w:val="23"/>
        </w:rPr>
      </w:pPr>
    </w:p>
    <w:p>
      <w:pPr>
        <w:spacing w:line="240" w:lineRule="auto" w:before="1"/>
        <w:ind w:left="308" w:right="111" w:firstLine="0"/>
        <w:jc w:val="both"/>
        <w:rPr>
          <w:sz w:val="24"/>
        </w:rPr>
      </w:pPr>
      <w:r>
        <w:rPr>
          <w:sz w:val="24"/>
        </w:rPr>
        <w:t>TORRE, Saturnino de La; ZWIEREWICZ, Marlene e FURLANETTO, Ecleide Cunico. </w:t>
      </w:r>
      <w:r>
        <w:rPr>
          <w:b/>
          <w:sz w:val="24"/>
        </w:rPr>
        <w:t>Formação docente e pesquisa interdisciplinar</w:t>
      </w:r>
      <w:r>
        <w:rPr>
          <w:sz w:val="24"/>
        </w:rPr>
        <w:t>: criar e inovar com outra consciência. Blumenau, SC: Nova Letra, 2011b.</w:t>
      </w:r>
    </w:p>
    <w:p>
      <w:pPr>
        <w:pStyle w:val="BodyText"/>
        <w:spacing w:before="11"/>
        <w:rPr>
          <w:sz w:val="15"/>
        </w:rPr>
      </w:pPr>
    </w:p>
    <w:p>
      <w:pPr>
        <w:tabs>
          <w:tab w:pos="921" w:val="left" w:leader="none"/>
          <w:tab w:pos="1215" w:val="left" w:leader="none"/>
          <w:tab w:pos="2294" w:val="left" w:leader="none"/>
          <w:tab w:pos="3479" w:val="left" w:leader="none"/>
          <w:tab w:pos="4529" w:val="left" w:leader="none"/>
          <w:tab w:pos="5162" w:val="left" w:leader="none"/>
          <w:tab w:pos="6543" w:val="left" w:leader="none"/>
          <w:tab w:pos="7367" w:val="left" w:leader="none"/>
          <w:tab w:pos="7741" w:val="left" w:leader="none"/>
          <w:tab w:pos="8815" w:val="left" w:leader="none"/>
        </w:tabs>
        <w:spacing w:line="274" w:lineRule="exact" w:before="98"/>
        <w:ind w:left="308" w:right="109" w:firstLine="0"/>
        <w:jc w:val="left"/>
        <w:rPr>
          <w:b/>
          <w:sz w:val="24"/>
        </w:rPr>
      </w:pPr>
      <w:r>
        <w:rPr>
          <w:w w:val="100"/>
          <w:sz w:val="22"/>
          <w:u w:val="single"/>
        </w:rPr>
        <w:t> </w:t>
      </w:r>
      <w:r>
        <w:rPr>
          <w:sz w:val="22"/>
          <w:u w:val="single"/>
        </w:rPr>
        <w:tab/>
      </w:r>
      <w:r>
        <w:rPr>
          <w:sz w:val="22"/>
        </w:rPr>
        <w:t>.</w:t>
        <w:tab/>
      </w:r>
      <w:r>
        <w:rPr>
          <w:sz w:val="24"/>
        </w:rPr>
        <w:t>Escolas</w:t>
        <w:tab/>
        <w:t>criativas:</w:t>
        <w:tab/>
        <w:t>escolas</w:t>
        <w:tab/>
        <w:t>que</w:t>
        <w:tab/>
        <w:t>aprendem,</w:t>
        <w:tab/>
        <w:t>criam</w:t>
        <w:tab/>
        <w:t>e</w:t>
        <w:tab/>
        <w:t>inovam.</w:t>
        <w:tab/>
        <w:t>In: ZWIEREWICZ, Marlene e TORRE, Saturnino De La. </w:t>
      </w:r>
      <w:r>
        <w:rPr>
          <w:b/>
          <w:sz w:val="24"/>
        </w:rPr>
        <w:t>Uma escola para o  </w:t>
      </w:r>
      <w:r>
        <w:rPr>
          <w:b/>
          <w:spacing w:val="23"/>
          <w:sz w:val="24"/>
        </w:rPr>
        <w:t> </w:t>
      </w:r>
      <w:r>
        <w:rPr>
          <w:b/>
          <w:sz w:val="24"/>
        </w:rPr>
        <w:t>século</w:t>
      </w:r>
    </w:p>
    <w:p>
      <w:pPr>
        <w:spacing w:after="0" w:line="274" w:lineRule="exact"/>
        <w:jc w:val="left"/>
        <w:rPr>
          <w:sz w:val="24"/>
        </w:rPr>
        <w:sectPr>
          <w:pgSz w:w="11910" w:h="16840"/>
          <w:pgMar w:header="1133" w:footer="0" w:top="1340" w:bottom="280" w:left="1680" w:right="1020"/>
        </w:sectPr>
      </w:pPr>
    </w:p>
    <w:p>
      <w:pPr>
        <w:pStyle w:val="BodyText"/>
        <w:spacing w:before="10"/>
        <w:rPr>
          <w:b/>
          <w:sz w:val="20"/>
        </w:rPr>
      </w:pPr>
    </w:p>
    <w:p>
      <w:pPr>
        <w:pStyle w:val="BodyText"/>
        <w:spacing w:line="247" w:lineRule="auto" w:before="92"/>
        <w:ind w:left="308"/>
      </w:pPr>
      <w:r>
        <w:rPr>
          <w:b/>
        </w:rPr>
        <w:t>XXI: </w:t>
      </w:r>
      <w:r>
        <w:rPr/>
        <w:t>Escolas criativas e resiliências na educação. Florianópolis: Editora Insular, 2009.</w:t>
      </w:r>
    </w:p>
    <w:p>
      <w:pPr>
        <w:pStyle w:val="BodyText"/>
        <w:spacing w:before="3"/>
        <w:rPr>
          <w:sz w:val="15"/>
        </w:rPr>
      </w:pPr>
    </w:p>
    <w:p>
      <w:pPr>
        <w:pStyle w:val="BodyText"/>
        <w:spacing w:before="93"/>
        <w:ind w:left="308" w:right="109"/>
        <w:jc w:val="both"/>
      </w:pPr>
      <w:r>
        <w:rPr>
          <w:w w:val="100"/>
          <w:u w:val="single"/>
        </w:rPr>
        <w:t> </w:t>
      </w:r>
      <w:r>
        <w:rPr>
          <w:u w:val="single"/>
        </w:rPr>
        <w:t>         </w:t>
      </w:r>
      <w:r>
        <w:rPr/>
        <w:t>. Rede de escolas criativas: em direção a uma escola do século XXI. In: ZWIEREWICZ, Marlene e TORRE, Saturnino De La. </w:t>
      </w:r>
      <w:r>
        <w:rPr>
          <w:b/>
        </w:rPr>
        <w:t>Uma escola para o século XXI: </w:t>
      </w:r>
      <w:r>
        <w:rPr/>
        <w:t>Escolas criativas e resiliências na educação. Florianópolis: Editora Insular, 2009</w:t>
      </w:r>
    </w:p>
    <w:p>
      <w:pPr>
        <w:pStyle w:val="BodyText"/>
        <w:spacing w:before="6"/>
        <w:rPr>
          <w:sz w:val="15"/>
        </w:rPr>
      </w:pPr>
    </w:p>
    <w:p>
      <w:pPr>
        <w:tabs>
          <w:tab w:pos="978" w:val="left" w:leader="none"/>
        </w:tabs>
        <w:spacing w:line="247" w:lineRule="auto" w:before="93"/>
        <w:ind w:left="308" w:right="110" w:firstLine="0"/>
        <w:jc w:val="left"/>
        <w:rPr>
          <w:sz w:val="24"/>
        </w:rPr>
      </w:pPr>
      <w:r>
        <w:rPr>
          <w:w w:val="100"/>
          <w:sz w:val="24"/>
          <w:u w:val="single"/>
        </w:rPr>
        <w:t> </w:t>
      </w:r>
      <w:r>
        <w:rPr>
          <w:sz w:val="24"/>
          <w:u w:val="single"/>
        </w:rPr>
        <w:tab/>
      </w:r>
      <w:r>
        <w:rPr>
          <w:sz w:val="24"/>
        </w:rPr>
        <w:t>. </w:t>
      </w:r>
      <w:r>
        <w:rPr>
          <w:b/>
          <w:sz w:val="24"/>
        </w:rPr>
        <w:t>Criatividade aplicada</w:t>
      </w:r>
      <w:r>
        <w:rPr>
          <w:sz w:val="24"/>
        </w:rPr>
        <w:t>: recursos para </w:t>
      </w:r>
      <w:r>
        <w:rPr>
          <w:spacing w:val="-3"/>
          <w:sz w:val="24"/>
        </w:rPr>
        <w:t>uma </w:t>
      </w:r>
      <w:r>
        <w:rPr>
          <w:sz w:val="24"/>
        </w:rPr>
        <w:t>formação criativa.   </w:t>
      </w:r>
      <w:r>
        <w:rPr>
          <w:spacing w:val="6"/>
          <w:sz w:val="24"/>
        </w:rPr>
        <w:t> </w:t>
      </w:r>
      <w:r>
        <w:rPr>
          <w:spacing w:val="-2"/>
          <w:sz w:val="24"/>
        </w:rPr>
        <w:t>São</w:t>
      </w:r>
      <w:r>
        <w:rPr>
          <w:spacing w:val="26"/>
          <w:sz w:val="24"/>
        </w:rPr>
        <w:t> </w:t>
      </w:r>
      <w:r>
        <w:rPr>
          <w:sz w:val="24"/>
        </w:rPr>
        <w:t>Paulo:</w:t>
      </w:r>
      <w:r>
        <w:rPr>
          <w:w w:val="100"/>
          <w:sz w:val="24"/>
        </w:rPr>
        <w:t> </w:t>
      </w:r>
      <w:r>
        <w:rPr>
          <w:sz w:val="24"/>
        </w:rPr>
        <w:t>Madras,</w:t>
      </w:r>
      <w:r>
        <w:rPr>
          <w:spacing w:val="-4"/>
          <w:sz w:val="24"/>
        </w:rPr>
        <w:t> </w:t>
      </w:r>
      <w:r>
        <w:rPr>
          <w:sz w:val="24"/>
        </w:rPr>
        <w:t>2008.</w:t>
      </w:r>
    </w:p>
    <w:p>
      <w:pPr>
        <w:pStyle w:val="BodyText"/>
        <w:spacing w:before="10"/>
        <w:rPr>
          <w:sz w:val="14"/>
        </w:rPr>
      </w:pPr>
    </w:p>
    <w:p>
      <w:pPr>
        <w:tabs>
          <w:tab w:pos="978" w:val="left" w:leader="none"/>
        </w:tabs>
        <w:spacing w:line="242" w:lineRule="auto" w:before="92"/>
        <w:ind w:left="308" w:right="109" w:firstLine="0"/>
        <w:jc w:val="left"/>
        <w:rPr>
          <w:sz w:val="24"/>
        </w:rPr>
      </w:pPr>
      <w:r>
        <w:rPr>
          <w:w w:val="100"/>
          <w:sz w:val="24"/>
          <w:u w:val="single"/>
        </w:rPr>
        <w:t> </w:t>
      </w:r>
      <w:r>
        <w:rPr>
          <w:sz w:val="24"/>
          <w:u w:val="single"/>
        </w:rPr>
        <w:tab/>
      </w:r>
      <w:r>
        <w:rPr>
          <w:sz w:val="24"/>
        </w:rPr>
        <w:t>. </w:t>
      </w:r>
      <w:r>
        <w:rPr>
          <w:b/>
          <w:sz w:val="24"/>
        </w:rPr>
        <w:t>Dialogando com a criatividade: </w:t>
      </w:r>
      <w:r>
        <w:rPr>
          <w:sz w:val="24"/>
        </w:rPr>
        <w:t>da identificação à</w:t>
      </w:r>
      <w:r>
        <w:rPr>
          <w:spacing w:val="4"/>
          <w:sz w:val="24"/>
        </w:rPr>
        <w:t> </w:t>
      </w:r>
      <w:r>
        <w:rPr>
          <w:sz w:val="24"/>
        </w:rPr>
        <w:t>criatividade</w:t>
      </w:r>
      <w:r>
        <w:rPr>
          <w:spacing w:val="-3"/>
          <w:sz w:val="24"/>
        </w:rPr>
        <w:t> </w:t>
      </w:r>
      <w:r>
        <w:rPr>
          <w:sz w:val="24"/>
        </w:rPr>
        <w:t>paradoxal.</w:t>
      </w:r>
      <w:r>
        <w:rPr>
          <w:w w:val="100"/>
          <w:sz w:val="24"/>
        </w:rPr>
        <w:t> </w:t>
      </w:r>
      <w:r>
        <w:rPr>
          <w:sz w:val="24"/>
        </w:rPr>
        <w:t>São Paulo: Madras,</w:t>
      </w:r>
      <w:r>
        <w:rPr>
          <w:spacing w:val="-12"/>
          <w:sz w:val="24"/>
        </w:rPr>
        <w:t> </w:t>
      </w:r>
      <w:r>
        <w:rPr>
          <w:sz w:val="24"/>
        </w:rPr>
        <w:t>2005.</w:t>
      </w:r>
    </w:p>
    <w:p>
      <w:pPr>
        <w:pStyle w:val="BodyText"/>
        <w:spacing w:before="8"/>
        <w:rPr>
          <w:sz w:val="23"/>
        </w:rPr>
      </w:pPr>
    </w:p>
    <w:p>
      <w:pPr>
        <w:pStyle w:val="BodyText"/>
        <w:spacing w:line="242" w:lineRule="auto"/>
        <w:ind w:left="308"/>
      </w:pPr>
      <w:r>
        <w:rPr/>
        <w:t>TRINDADE, Syonara Assuite e MENEZES, Irani Rodrigues. A educação na modernidade e a modernização da escola no Brasil: século XIX e início do  século</w:t>
      </w:r>
    </w:p>
    <w:p>
      <w:pPr>
        <w:spacing w:line="266" w:lineRule="exact" w:before="0"/>
        <w:ind w:left="308" w:right="0" w:firstLine="0"/>
        <w:jc w:val="left"/>
        <w:rPr>
          <w:sz w:val="24"/>
        </w:rPr>
      </w:pPr>
      <w:r>
        <w:rPr>
          <w:sz w:val="24"/>
        </w:rPr>
        <w:t>XX. </w:t>
      </w:r>
      <w:r>
        <w:rPr>
          <w:b/>
          <w:sz w:val="24"/>
        </w:rPr>
        <w:t>Revista HISTEDBR On-line</w:t>
      </w:r>
      <w:r>
        <w:rPr>
          <w:sz w:val="24"/>
        </w:rPr>
        <w:t>, Campinas, n.36, p. 124-135, dez.2009.</w:t>
      </w:r>
    </w:p>
    <w:p>
      <w:pPr>
        <w:pStyle w:val="BodyText"/>
      </w:pPr>
    </w:p>
    <w:p>
      <w:pPr>
        <w:tabs>
          <w:tab w:pos="3717" w:val="left" w:leader="none"/>
        </w:tabs>
        <w:spacing w:line="247" w:lineRule="auto" w:before="0"/>
        <w:ind w:left="308" w:right="102" w:firstLine="0"/>
        <w:jc w:val="left"/>
        <w:rPr>
          <w:sz w:val="24"/>
        </w:rPr>
      </w:pPr>
      <w:r>
        <w:rPr>
          <w:sz w:val="24"/>
        </w:rPr>
        <w:t>TRIVIÑOS,</w:t>
      </w:r>
      <w:r>
        <w:rPr>
          <w:spacing w:val="41"/>
          <w:sz w:val="24"/>
        </w:rPr>
        <w:t> </w:t>
      </w:r>
      <w:r>
        <w:rPr>
          <w:sz w:val="24"/>
        </w:rPr>
        <w:t>Augusto</w:t>
      </w:r>
      <w:r>
        <w:rPr>
          <w:spacing w:val="42"/>
          <w:sz w:val="24"/>
        </w:rPr>
        <w:t> </w:t>
      </w:r>
      <w:r>
        <w:rPr>
          <w:sz w:val="24"/>
        </w:rPr>
        <w:t>Nibaldo.</w:t>
        <w:tab/>
      </w:r>
      <w:r>
        <w:rPr>
          <w:b/>
          <w:sz w:val="24"/>
        </w:rPr>
        <w:t>Introdução  à pesquisa em ciências  </w:t>
      </w:r>
      <w:r>
        <w:rPr>
          <w:b/>
          <w:spacing w:val="1"/>
          <w:sz w:val="24"/>
        </w:rPr>
        <w:t> </w:t>
      </w:r>
      <w:r>
        <w:rPr>
          <w:b/>
          <w:sz w:val="24"/>
        </w:rPr>
        <w:t>sociais</w:t>
      </w:r>
      <w:r>
        <w:rPr>
          <w:sz w:val="24"/>
        </w:rPr>
        <w:t>:</w:t>
      </w:r>
      <w:r>
        <w:rPr>
          <w:spacing w:val="37"/>
          <w:sz w:val="24"/>
        </w:rPr>
        <w:t> </w:t>
      </w:r>
      <w:r>
        <w:rPr>
          <w:sz w:val="24"/>
        </w:rPr>
        <w:t>a</w:t>
      </w:r>
      <w:r>
        <w:rPr>
          <w:w w:val="99"/>
          <w:sz w:val="24"/>
        </w:rPr>
        <w:t> </w:t>
      </w:r>
      <w:r>
        <w:rPr>
          <w:sz w:val="24"/>
        </w:rPr>
        <w:t>pesquisa qualitativa em educação. São Paulo: Atlas,</w:t>
      </w:r>
      <w:r>
        <w:rPr>
          <w:spacing w:val="-18"/>
          <w:sz w:val="24"/>
        </w:rPr>
        <w:t> </w:t>
      </w:r>
      <w:r>
        <w:rPr>
          <w:sz w:val="24"/>
        </w:rPr>
        <w:t>1987.</w:t>
      </w:r>
    </w:p>
    <w:p>
      <w:pPr>
        <w:pStyle w:val="BodyText"/>
        <w:spacing w:before="9"/>
        <w:rPr>
          <w:sz w:val="14"/>
        </w:rPr>
      </w:pPr>
    </w:p>
    <w:p>
      <w:pPr>
        <w:pStyle w:val="BodyText"/>
        <w:spacing w:line="242" w:lineRule="auto" w:before="93"/>
        <w:ind w:left="308" w:right="104"/>
        <w:jc w:val="both"/>
      </w:pPr>
      <w:r>
        <w:rPr>
          <w:w w:val="100"/>
          <w:u w:val="single"/>
        </w:rPr>
        <w:t> </w:t>
      </w:r>
      <w:r>
        <w:rPr>
          <w:u w:val="single"/>
        </w:rPr>
        <w:t>         </w:t>
      </w:r>
      <w:r>
        <w:rPr/>
        <w:t>A dialética materialista e a prática social. Revista </w:t>
      </w:r>
      <w:r>
        <w:rPr>
          <w:b/>
        </w:rPr>
        <w:t>Movimento. </w:t>
      </w:r>
      <w:r>
        <w:rPr/>
        <w:t>Porto Alegre, v.12,     n.     2,     p.     121-142,     maio/agosto     de     2006.     Disponível   </w:t>
      </w:r>
      <w:r>
        <w:rPr>
          <w:spacing w:val="55"/>
        </w:rPr>
        <w:t> </w:t>
      </w:r>
      <w:r>
        <w:rPr/>
        <w:t>em:</w:t>
      </w:r>
    </w:p>
    <w:p>
      <w:pPr>
        <w:pStyle w:val="BodyText"/>
        <w:spacing w:line="276" w:lineRule="exact"/>
        <w:ind w:left="308"/>
        <w:jc w:val="both"/>
      </w:pPr>
      <w:r>
        <w:rPr/>
        <w:t>&lt;</w:t>
      </w:r>
      <w:hyperlink r:id="rId44">
        <w:r>
          <w:rPr/>
          <w:t>http://seer.ufrgs.br/Movimento/ article/view/2899</w:t>
        </w:r>
      </w:hyperlink>
      <w:r>
        <w:rPr/>
        <w:t>&gt;. Acesso em: 20 abr. 2013.</w:t>
      </w:r>
    </w:p>
    <w:p>
      <w:pPr>
        <w:pStyle w:val="BodyText"/>
        <w:spacing w:before="6"/>
        <w:rPr>
          <w:sz w:val="23"/>
        </w:rPr>
      </w:pPr>
    </w:p>
    <w:p>
      <w:pPr>
        <w:spacing w:line="242" w:lineRule="auto" w:before="0"/>
        <w:ind w:left="308" w:right="110" w:firstLine="0"/>
        <w:jc w:val="both"/>
        <w:rPr>
          <w:sz w:val="24"/>
        </w:rPr>
      </w:pPr>
      <w:r>
        <w:rPr>
          <w:sz w:val="24"/>
        </w:rPr>
        <w:t>VAZQUEZ, A. S. </w:t>
      </w:r>
      <w:r>
        <w:rPr>
          <w:b/>
          <w:sz w:val="24"/>
        </w:rPr>
        <w:t>Filosofia da Práxis</w:t>
      </w:r>
      <w:r>
        <w:rPr>
          <w:sz w:val="24"/>
        </w:rPr>
        <w:t>. 2. Ed. Rio de Janeiro: Editora Paz e Terra, 1977.</w:t>
      </w:r>
    </w:p>
    <w:p>
      <w:pPr>
        <w:pStyle w:val="BodyText"/>
        <w:spacing w:before="8"/>
        <w:rPr>
          <w:sz w:val="23"/>
        </w:rPr>
      </w:pPr>
    </w:p>
    <w:p>
      <w:pPr>
        <w:pStyle w:val="BodyText"/>
        <w:ind w:left="308" w:right="110"/>
        <w:jc w:val="both"/>
      </w:pPr>
      <w:r>
        <w:rPr/>
        <w:t>VIEIRA, Adriano José Hertzog et al. Estratégias criativas para educação do presente: a transdisciplinaridade como possibilidade no ensino superior. In: TORRE, Saturnino de La, ZWIEREWICZ, Marlene, FURLANETTO, Ecleide Cunico. </w:t>
      </w:r>
      <w:r>
        <w:rPr>
          <w:b/>
        </w:rPr>
        <w:t>Formação docente e pesquisa interdisciplinar</w:t>
      </w:r>
      <w:r>
        <w:rPr/>
        <w:t>: criar e inovar com outra consciência. Blumenau, SC: Nova Letra, 2011.</w:t>
      </w:r>
    </w:p>
    <w:p>
      <w:pPr>
        <w:pStyle w:val="BodyText"/>
      </w:pPr>
    </w:p>
    <w:p>
      <w:pPr>
        <w:pStyle w:val="BodyText"/>
        <w:ind w:left="308" w:right="101"/>
        <w:jc w:val="both"/>
      </w:pPr>
      <w:r>
        <w:rPr/>
        <w:t>WECHSLER, Solange Muglia. Criatividade e inovação no contexto brasileiro. </w:t>
      </w:r>
      <w:r>
        <w:rPr>
          <w:spacing w:val="4"/>
        </w:rPr>
        <w:t>In: </w:t>
      </w:r>
      <w:r>
        <w:rPr>
          <w:b/>
        </w:rPr>
        <w:t>Anais textos completos.  </w:t>
      </w:r>
      <w:r>
        <w:rPr/>
        <w:t>I Congresso Internacional criatividade e inovação:  visão e prática em diferentes contextos, 2011. Disponível </w:t>
      </w:r>
      <w:r>
        <w:rPr>
          <w:spacing w:val="-3"/>
        </w:rPr>
        <w:t>em: </w:t>
      </w:r>
      <w:r>
        <w:rPr/>
        <w:t>&lt;http</w:t>
      </w:r>
      <w:hyperlink r:id="rId45">
        <w:r>
          <w:rPr/>
          <w:t>www.</w:t>
        </w:r>
      </w:hyperlink>
      <w:r>
        <w:rPr/>
        <w:t> criabrasilis.org.brarquivospdfs122_anais_ trabalhos_completos.pdf&gt;. Acesso em: 22 fev.</w:t>
      </w:r>
      <w:r>
        <w:rPr>
          <w:spacing w:val="-5"/>
        </w:rPr>
        <w:t> </w:t>
      </w:r>
      <w:r>
        <w:rPr/>
        <w:t>2013.</w:t>
      </w:r>
    </w:p>
    <w:p>
      <w:pPr>
        <w:pStyle w:val="BodyText"/>
        <w:spacing w:before="6"/>
        <w:rPr>
          <w:sz w:val="23"/>
        </w:rPr>
      </w:pPr>
    </w:p>
    <w:p>
      <w:pPr>
        <w:pStyle w:val="BodyText"/>
        <w:spacing w:line="247" w:lineRule="auto" w:before="1"/>
        <w:ind w:left="308" w:right="110"/>
        <w:jc w:val="both"/>
      </w:pPr>
      <w:r>
        <w:rPr/>
        <w:t>YIN, R. K. </w:t>
      </w:r>
      <w:r>
        <w:rPr>
          <w:b/>
        </w:rPr>
        <w:t>O estudo de caso</w:t>
      </w:r>
      <w:r>
        <w:rPr/>
        <w:t>. Planejamentos e métodos. 3. ed. Porto Alegre: Bookman, 2005.</w:t>
      </w:r>
    </w:p>
    <w:p>
      <w:pPr>
        <w:pStyle w:val="BodyText"/>
        <w:spacing w:before="10"/>
        <w:rPr>
          <w:sz w:val="22"/>
        </w:rPr>
      </w:pPr>
    </w:p>
    <w:p>
      <w:pPr>
        <w:pStyle w:val="BodyText"/>
        <w:ind w:left="308" w:right="106"/>
        <w:jc w:val="both"/>
      </w:pPr>
      <w:r>
        <w:rPr/>
        <w:t>ZABALA, Antoni. A </w:t>
      </w:r>
      <w:r>
        <w:rPr>
          <w:b/>
        </w:rPr>
        <w:t>prática educativa</w:t>
      </w:r>
      <w:r>
        <w:rPr/>
        <w:t>: como ensinar. Porto Alegre: Artmed, 1998. ZANCHET, Beatriz Maria Boéssio Atrib.; GHIGGI, Marina Portela. O espaço da pós-graduação em educação: uma possibilidade de formação do docente da educação superior. In: Educação e Contemporaneidade. </w:t>
      </w:r>
      <w:r>
        <w:rPr>
          <w:b/>
        </w:rPr>
        <w:t>Revista da FAEEBA</w:t>
      </w:r>
      <w:r>
        <w:rPr/>
        <w:t>. v.17, n. 30 – Jul/Dez 2008. p. 173-18.</w:t>
      </w:r>
    </w:p>
    <w:p>
      <w:pPr>
        <w:spacing w:after="0"/>
        <w:jc w:val="both"/>
        <w:sectPr>
          <w:pgSz w:w="11910" w:h="16840"/>
          <w:pgMar w:header="1133" w:footer="0" w:top="1340" w:bottom="280" w:left="1680" w:right="1020"/>
        </w:sectPr>
      </w:pPr>
    </w:p>
    <w:p>
      <w:pPr>
        <w:pStyle w:val="BodyText"/>
        <w:spacing w:before="3"/>
        <w:rPr>
          <w:sz w:val="21"/>
        </w:rPr>
      </w:pPr>
    </w:p>
    <w:p>
      <w:pPr>
        <w:pStyle w:val="BodyText"/>
        <w:spacing w:before="92"/>
        <w:ind w:left="308" w:right="121"/>
        <w:jc w:val="both"/>
      </w:pPr>
      <w:r>
        <w:rPr/>
        <w:t>ZEMELMAN, Hugo. Sujeito e sentido: considerações sobre a vinculação do  sujeito ao conhecimento que constrói. In: SANTOS, Boaventura de Souza. </w:t>
      </w:r>
      <w:r>
        <w:rPr>
          <w:b/>
        </w:rPr>
        <w:t>Conhecimento prudente para uma vida decente</w:t>
      </w:r>
      <w:r>
        <w:rPr/>
        <w:t>: um discurso sobre as ciências revisitado. 2. ed. São Paulo: Cortez,</w:t>
      </w:r>
      <w:r>
        <w:rPr>
          <w:spacing w:val="-16"/>
        </w:rPr>
        <w:t> </w:t>
      </w:r>
      <w:r>
        <w:rPr/>
        <w:t>2006.</w:t>
      </w:r>
    </w:p>
    <w:p>
      <w:pPr>
        <w:pStyle w:val="BodyText"/>
        <w:spacing w:before="6"/>
        <w:rPr>
          <w:sz w:val="23"/>
        </w:rPr>
      </w:pPr>
    </w:p>
    <w:p>
      <w:pPr>
        <w:pStyle w:val="BodyText"/>
        <w:spacing w:line="242" w:lineRule="auto"/>
        <w:ind w:left="308" w:right="129"/>
        <w:jc w:val="both"/>
      </w:pPr>
      <w:r>
        <w:rPr/>
        <w:t>ZWIEREWICZ, Marlene e TORRE, Saturnino De La. </w:t>
      </w:r>
      <w:r>
        <w:rPr>
          <w:b/>
        </w:rPr>
        <w:t>Uma escola para o século XXI: </w:t>
      </w:r>
      <w:r>
        <w:rPr/>
        <w:t>Escolas criativas e resiliências na educação. Florianópolis: Editora Insular, 2009.</w:t>
      </w:r>
    </w:p>
    <w:p>
      <w:pPr>
        <w:pStyle w:val="BodyText"/>
        <w:spacing w:before="9"/>
        <w:rPr>
          <w:sz w:val="23"/>
        </w:rPr>
      </w:pPr>
    </w:p>
    <w:p>
      <w:pPr>
        <w:pStyle w:val="BodyText"/>
        <w:ind w:left="308" w:right="124"/>
        <w:jc w:val="both"/>
      </w:pPr>
      <w:r>
        <w:rPr/>
        <w:t>ZWIEREWICZ, Marlene. Fortalecer a resiliência da escola por meio de emoções e valores. In: ZWIEREWICZ, Marlene e TORRE, Saturnino De La. </w:t>
      </w:r>
      <w:r>
        <w:rPr>
          <w:b/>
        </w:rPr>
        <w:t>Uma escola  para o século </w:t>
      </w:r>
      <w:r>
        <w:rPr>
          <w:b/>
          <w:spacing w:val="-3"/>
        </w:rPr>
        <w:t>XXI: </w:t>
      </w:r>
      <w:r>
        <w:rPr/>
        <w:t>Escolas criativas e resiliências na educação. Florianópolis: Editora Insular,</w:t>
      </w:r>
      <w:r>
        <w:rPr>
          <w:spacing w:val="-9"/>
        </w:rPr>
        <w:t> </w:t>
      </w:r>
      <w:r>
        <w:rPr/>
        <w:t>2009.</w:t>
      </w:r>
    </w:p>
    <w:p>
      <w:pPr>
        <w:pStyle w:val="BodyText"/>
      </w:pPr>
    </w:p>
    <w:p>
      <w:pPr>
        <w:pStyle w:val="BodyText"/>
        <w:ind w:left="308" w:right="126"/>
        <w:jc w:val="both"/>
      </w:pPr>
      <w:r>
        <w:rPr/>
        <w:t>ZWIEREWICZ, Marlene. Formação docente transdisciplinar na metodologia dos projetos criativos ecoformadores – PCE. In: TORRE, Saturnino de La, ZWIEREWICZ, Marlene, FURLANETTO, Ecleide Cunico. </w:t>
      </w:r>
      <w:r>
        <w:rPr>
          <w:b/>
        </w:rPr>
        <w:t>Formação docente e pesquisa interdisciplinar: </w:t>
      </w:r>
      <w:r>
        <w:rPr/>
        <w:t>criar e inovar com outra consciência. Blumenau, SC: Nova Letra, 2011.</w:t>
      </w:r>
    </w:p>
    <w:p>
      <w:pPr>
        <w:pStyle w:val="BodyText"/>
      </w:pPr>
    </w:p>
    <w:p>
      <w:pPr>
        <w:pStyle w:val="BodyText"/>
        <w:ind w:left="308" w:right="116"/>
        <w:jc w:val="both"/>
      </w:pPr>
      <w:r>
        <w:rPr/>
        <w:t>ZWIEREWICZ, Marlene. Da adversidade à resiliência: o princípio motivador da escola criativa. In: TORRE, Saturnino de la e ZWIEREWICZ, Marlene</w:t>
      </w:r>
      <w:r>
        <w:rPr>
          <w:b/>
        </w:rPr>
        <w:t>. Criatividade na Adversidade: </w:t>
      </w:r>
      <w:r>
        <w:rPr/>
        <w:t>personagens que transformam situações adversas em oportunidades. Blumenau, Nova letra, 2012.</w:t>
      </w:r>
    </w:p>
    <w:p>
      <w:pPr>
        <w:pStyle w:val="BodyText"/>
      </w:pPr>
    </w:p>
    <w:p>
      <w:pPr>
        <w:pStyle w:val="BodyText"/>
        <w:ind w:left="308" w:right="118"/>
        <w:jc w:val="both"/>
      </w:pPr>
      <w:r>
        <w:rPr/>
        <w:t>ZWIEREWICZ, Marlene. Do ensino linear ao ensino transdisciplinar: notas introdutórias para uma nova consciência na educação. In: ZWIEREWICZ, Marlene (coord.) </w:t>
      </w:r>
      <w:r>
        <w:rPr>
          <w:b/>
        </w:rPr>
        <w:t>Criatividade e inovação no ensino superior</w:t>
      </w:r>
      <w:r>
        <w:rPr/>
        <w:t>: experiências latino- americanas e europeias em foco. Blumenau, SC: Nova letra Gráfica e Editora, 2013.</w:t>
      </w:r>
    </w:p>
    <w:p>
      <w:pPr>
        <w:pStyle w:val="BodyText"/>
      </w:pPr>
    </w:p>
    <w:p>
      <w:pPr>
        <w:spacing w:line="240" w:lineRule="auto" w:before="0"/>
        <w:ind w:left="308" w:right="118" w:firstLine="0"/>
        <w:jc w:val="both"/>
        <w:rPr>
          <w:sz w:val="24"/>
        </w:rPr>
      </w:pPr>
      <w:r>
        <w:rPr>
          <w:sz w:val="24"/>
        </w:rPr>
        <w:t>ZWIEREWICZ, Marlene. TORRE, Saturnino Del la. Resgatar, reconhecer, potencializar e polinizar: perspectivas e proposições da escola criativa em vargem bonita. In: ZWIEREWICZ, Marlene et al. </w:t>
      </w:r>
      <w:r>
        <w:rPr>
          <w:b/>
          <w:sz w:val="24"/>
        </w:rPr>
        <w:t>Resiliência, criatividade e inclusão no ensino vivências de profissionais da educação de vargem bonita. </w:t>
      </w:r>
      <w:r>
        <w:rPr>
          <w:sz w:val="24"/>
        </w:rPr>
        <w:t>Editora Nova Letra, Blumenau, SC,2014a.</w:t>
      </w:r>
    </w:p>
    <w:p>
      <w:pPr>
        <w:pStyle w:val="BodyText"/>
      </w:pPr>
    </w:p>
    <w:p>
      <w:pPr>
        <w:pStyle w:val="BodyText"/>
        <w:ind w:left="308" w:right="125"/>
        <w:jc w:val="both"/>
      </w:pPr>
      <w:r>
        <w:rPr/>
        <w:t>ZWIEREWICZ, Marlene. Complexidade, Transdisciplinaridade e Ecoformação: conceitos norteadores das Escolas Criativas e suas implicações na difusão do pensamento do Sul. In: PINHO, Maria José de, SUANNO, Mariza Vanessa Rosa e SUANNO, João Henrique (orgs.) </w:t>
      </w:r>
      <w:r>
        <w:rPr>
          <w:b/>
        </w:rPr>
        <w:t>Formação de professores e interdisciplinaridade</w:t>
      </w:r>
      <w:r>
        <w:rPr/>
        <w:t>: um diálogo em construção. Goiânia: Gráfica e Editora América, 2014b.</w:t>
      </w:r>
    </w:p>
    <w:p>
      <w:pPr>
        <w:spacing w:after="0"/>
        <w:jc w:val="both"/>
        <w:sectPr>
          <w:pgSz w:w="11910" w:h="16840"/>
          <w:pgMar w:header="1133" w:footer="0" w:top="1340" w:bottom="280" w:left="1680" w:right="10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before="225"/>
        <w:ind w:left="386" w:right="190"/>
        <w:jc w:val="center"/>
      </w:pPr>
      <w:r>
        <w:rPr/>
        <w:t>APÊNDICES</w:t>
      </w:r>
    </w:p>
    <w:p>
      <w:pPr>
        <w:spacing w:after="0"/>
        <w:jc w:val="center"/>
        <w:sectPr>
          <w:pgSz w:w="11910" w:h="16840"/>
          <w:pgMar w:header="1133" w:footer="0" w:top="1340" w:bottom="280" w:left="1680" w:right="1020"/>
        </w:sectPr>
      </w:pPr>
    </w:p>
    <w:p>
      <w:pPr>
        <w:pStyle w:val="BodyText"/>
        <w:spacing w:before="10"/>
        <w:rPr>
          <w:b/>
          <w:sz w:val="20"/>
        </w:rPr>
      </w:pPr>
    </w:p>
    <w:p>
      <w:pPr>
        <w:spacing w:before="92"/>
        <w:ind w:left="388" w:right="190" w:firstLine="0"/>
        <w:jc w:val="center"/>
        <w:rPr>
          <w:b/>
          <w:sz w:val="24"/>
        </w:rPr>
      </w:pPr>
      <w:r>
        <w:rPr>
          <w:b/>
          <w:sz w:val="24"/>
        </w:rPr>
        <w:t>APÊNDICE A</w:t>
      </w:r>
    </w:p>
    <w:p>
      <w:pPr>
        <w:pStyle w:val="BodyText"/>
        <w:spacing w:before="5"/>
        <w:rPr>
          <w:b/>
          <w:sz w:val="16"/>
        </w:rPr>
      </w:pPr>
      <w:r>
        <w:rPr/>
        <w:drawing>
          <wp:anchor distT="0" distB="0" distL="0" distR="0" allowOverlap="1" layoutInCell="1" locked="0" behindDoc="0" simplePos="0" relativeHeight="1888">
            <wp:simplePos x="0" y="0"/>
            <wp:positionH relativeFrom="page">
              <wp:posOffset>3635628</wp:posOffset>
            </wp:positionH>
            <wp:positionV relativeFrom="paragraph">
              <wp:posOffset>145301</wp:posOffset>
            </wp:positionV>
            <wp:extent cx="998235" cy="925829"/>
            <wp:effectExtent l="0" t="0" r="0" b="0"/>
            <wp:wrapTopAndBottom/>
            <wp:docPr id="7" name="image10.jpeg" descr=""/>
            <wp:cNvGraphicFramePr>
              <a:graphicFrameLocks noChangeAspect="1"/>
            </wp:cNvGraphicFramePr>
            <a:graphic>
              <a:graphicData uri="http://schemas.openxmlformats.org/drawingml/2006/picture">
                <pic:pic>
                  <pic:nvPicPr>
                    <pic:cNvPr id="8" name="image10.jpeg"/>
                    <pic:cNvPicPr/>
                  </pic:nvPicPr>
                  <pic:blipFill>
                    <a:blip r:embed="rId46" cstate="print"/>
                    <a:stretch>
                      <a:fillRect/>
                    </a:stretch>
                  </pic:blipFill>
                  <pic:spPr>
                    <a:xfrm>
                      <a:off x="0" y="0"/>
                      <a:ext cx="998235" cy="925829"/>
                    </a:xfrm>
                    <a:prstGeom prst="rect">
                      <a:avLst/>
                    </a:prstGeom>
                  </pic:spPr>
                </pic:pic>
              </a:graphicData>
            </a:graphic>
          </wp:anchor>
        </w:drawing>
      </w:r>
    </w:p>
    <w:p>
      <w:pPr>
        <w:spacing w:line="250" w:lineRule="exact" w:before="213"/>
        <w:ind w:left="2132" w:right="1928" w:firstLine="0"/>
        <w:jc w:val="center"/>
        <w:rPr>
          <w:sz w:val="22"/>
        </w:rPr>
      </w:pPr>
      <w:r>
        <w:rPr>
          <w:sz w:val="22"/>
        </w:rPr>
        <w:t>Programa de Pós-Graduação em Educação – PPGE Mestrado em Educação</w:t>
      </w:r>
    </w:p>
    <w:p>
      <w:pPr>
        <w:spacing w:line="251" w:lineRule="exact" w:before="0"/>
        <w:ind w:left="391" w:right="187" w:firstLine="0"/>
        <w:jc w:val="center"/>
        <w:rPr>
          <w:sz w:val="22"/>
        </w:rPr>
      </w:pPr>
      <w:r>
        <w:rPr>
          <w:sz w:val="22"/>
        </w:rPr>
        <w:t>Campus Universitário de Palmas</w:t>
      </w:r>
    </w:p>
    <w:p>
      <w:pPr>
        <w:pStyle w:val="BodyText"/>
      </w:pPr>
    </w:p>
    <w:p>
      <w:pPr>
        <w:pStyle w:val="BodyText"/>
        <w:spacing w:before="7"/>
        <w:rPr>
          <w:sz w:val="26"/>
        </w:rPr>
      </w:pPr>
    </w:p>
    <w:p>
      <w:pPr>
        <w:spacing w:before="0"/>
        <w:ind w:left="308" w:right="0" w:firstLine="0"/>
        <w:jc w:val="left"/>
        <w:rPr>
          <w:sz w:val="22"/>
        </w:rPr>
      </w:pPr>
      <w:r>
        <w:rPr>
          <w:sz w:val="22"/>
        </w:rPr>
        <w:t>Solicito a devolução do questionário respondido até o dia ....... de ......... de 201.....</w:t>
      </w:r>
    </w:p>
    <w:p>
      <w:pPr>
        <w:pStyle w:val="BodyText"/>
        <w:spacing w:before="6"/>
        <w:rPr>
          <w:sz w:val="28"/>
        </w:rPr>
      </w:pPr>
    </w:p>
    <w:p>
      <w:pPr>
        <w:spacing w:before="0"/>
        <w:ind w:left="1013" w:right="0" w:firstLine="5224"/>
        <w:jc w:val="left"/>
        <w:rPr>
          <w:sz w:val="22"/>
        </w:rPr>
      </w:pPr>
      <w:r>
        <w:rPr>
          <w:sz w:val="22"/>
        </w:rPr>
        <w:t>Gurupi, .... de ........ de 201....</w:t>
      </w:r>
    </w:p>
    <w:p>
      <w:pPr>
        <w:pStyle w:val="BodyText"/>
      </w:pPr>
    </w:p>
    <w:p>
      <w:pPr>
        <w:pStyle w:val="BodyText"/>
        <w:spacing w:before="10"/>
        <w:rPr>
          <w:sz w:val="29"/>
        </w:rPr>
      </w:pPr>
    </w:p>
    <w:p>
      <w:pPr>
        <w:spacing w:line="278" w:lineRule="auto" w:before="1"/>
        <w:ind w:left="308" w:right="0" w:firstLine="705"/>
        <w:jc w:val="left"/>
        <w:rPr>
          <w:sz w:val="22"/>
        </w:rPr>
      </w:pPr>
      <w:r>
        <w:rPr>
          <w:sz w:val="22"/>
        </w:rPr>
        <w:t>Aos Srs. e Sras. Professores (as), Coordenadores e Direção da Escola Municipal................................................................................................................................</w:t>
      </w:r>
    </w:p>
    <w:p>
      <w:pPr>
        <w:spacing w:line="249" w:lineRule="exact" w:before="0"/>
        <w:ind w:left="308" w:right="0" w:firstLine="0"/>
        <w:jc w:val="left"/>
        <w:rPr>
          <w:sz w:val="22"/>
        </w:rPr>
      </w:pPr>
      <w:r>
        <w:rPr>
          <w:sz w:val="22"/>
        </w:rPr>
        <w:t>......</w:t>
      </w:r>
    </w:p>
    <w:p>
      <w:pPr>
        <w:spacing w:before="40"/>
        <w:ind w:left="1018" w:right="0" w:firstLine="0"/>
        <w:jc w:val="left"/>
        <w:rPr>
          <w:sz w:val="22"/>
        </w:rPr>
      </w:pPr>
      <w:r>
        <w:rPr>
          <w:sz w:val="22"/>
        </w:rPr>
        <w:t>Olá,</w:t>
      </w:r>
    </w:p>
    <w:p>
      <w:pPr>
        <w:spacing w:line="360" w:lineRule="auto" w:before="39"/>
        <w:ind w:left="308" w:right="100" w:firstLine="0"/>
        <w:jc w:val="both"/>
        <w:rPr>
          <w:b/>
          <w:sz w:val="22"/>
        </w:rPr>
      </w:pPr>
      <w:r>
        <w:rPr>
          <w:sz w:val="22"/>
        </w:rPr>
        <w:t>Meu nome é </w:t>
      </w:r>
      <w:r>
        <w:rPr>
          <w:b/>
          <w:sz w:val="22"/>
        </w:rPr>
        <w:t>Edna Maria Cruz Pinho</w:t>
      </w:r>
      <w:r>
        <w:rPr>
          <w:sz w:val="22"/>
        </w:rPr>
        <w:t>, pesquisador e Acadêmica da Universidade  Federal do Tocantins, e venho apresentar, mediante autorização da escola, este instrumento de levantamento de dados da minha pesquisa de </w:t>
      </w:r>
      <w:r>
        <w:rPr>
          <w:b/>
          <w:sz w:val="22"/>
        </w:rPr>
        <w:t>Mestrado </w:t>
      </w:r>
      <w:r>
        <w:rPr>
          <w:sz w:val="22"/>
        </w:rPr>
        <w:t>em Educação, que tem como título ‘</w:t>
      </w:r>
      <w:r>
        <w:rPr>
          <w:b/>
          <w:sz w:val="22"/>
        </w:rPr>
        <w:t>PRÁTICA EDUCATIVA CRIATIVA E INOVADORA NA ESCOLA  DE</w:t>
      </w:r>
      <w:r>
        <w:rPr>
          <w:b/>
          <w:spacing w:val="25"/>
          <w:sz w:val="22"/>
        </w:rPr>
        <w:t> </w:t>
      </w:r>
      <w:r>
        <w:rPr>
          <w:b/>
          <w:spacing w:val="-3"/>
          <w:sz w:val="22"/>
        </w:rPr>
        <w:t>ANOS</w:t>
      </w:r>
      <w:r>
        <w:rPr>
          <w:b/>
          <w:spacing w:val="20"/>
          <w:sz w:val="22"/>
        </w:rPr>
        <w:t> </w:t>
      </w:r>
      <w:r>
        <w:rPr>
          <w:b/>
          <w:sz w:val="22"/>
        </w:rPr>
        <w:t>INICIAIS:</w:t>
      </w:r>
      <w:r>
        <w:rPr>
          <w:b/>
          <w:spacing w:val="27"/>
          <w:sz w:val="22"/>
        </w:rPr>
        <w:t> </w:t>
      </w:r>
      <w:r>
        <w:rPr>
          <w:b/>
          <w:sz w:val="22"/>
        </w:rPr>
        <w:t>UM</w:t>
      </w:r>
      <w:r>
        <w:rPr>
          <w:b/>
          <w:spacing w:val="12"/>
          <w:sz w:val="22"/>
        </w:rPr>
        <w:t> </w:t>
      </w:r>
      <w:r>
        <w:rPr>
          <w:b/>
          <w:sz w:val="22"/>
        </w:rPr>
        <w:t>ESTUDO</w:t>
      </w:r>
      <w:r>
        <w:rPr>
          <w:b/>
          <w:spacing w:val="20"/>
          <w:sz w:val="22"/>
        </w:rPr>
        <w:t> </w:t>
      </w:r>
      <w:r>
        <w:rPr>
          <w:b/>
          <w:sz w:val="22"/>
        </w:rPr>
        <w:t>DE</w:t>
      </w:r>
      <w:r>
        <w:rPr>
          <w:b/>
          <w:spacing w:val="20"/>
          <w:sz w:val="22"/>
        </w:rPr>
        <w:t> </w:t>
      </w:r>
      <w:r>
        <w:rPr>
          <w:b/>
          <w:sz w:val="22"/>
        </w:rPr>
        <w:t>CASO</w:t>
      </w:r>
      <w:r>
        <w:rPr>
          <w:b/>
          <w:spacing w:val="20"/>
          <w:sz w:val="22"/>
        </w:rPr>
        <w:t> </w:t>
      </w:r>
      <w:r>
        <w:rPr>
          <w:b/>
          <w:spacing w:val="3"/>
          <w:sz w:val="22"/>
        </w:rPr>
        <w:t>EM</w:t>
      </w:r>
      <w:r>
        <w:rPr>
          <w:b/>
          <w:spacing w:val="12"/>
          <w:sz w:val="22"/>
        </w:rPr>
        <w:t> </w:t>
      </w:r>
      <w:r>
        <w:rPr>
          <w:b/>
          <w:sz w:val="22"/>
        </w:rPr>
        <w:t>GURUPI</w:t>
      </w:r>
      <w:r>
        <w:rPr>
          <w:b/>
          <w:spacing w:val="23"/>
          <w:sz w:val="22"/>
        </w:rPr>
        <w:t> </w:t>
      </w:r>
      <w:r>
        <w:rPr>
          <w:b/>
          <w:sz w:val="22"/>
        </w:rPr>
        <w:t>–</w:t>
      </w:r>
      <w:r>
        <w:rPr>
          <w:b/>
          <w:spacing w:val="21"/>
          <w:sz w:val="22"/>
        </w:rPr>
        <w:t> </w:t>
      </w:r>
      <w:r>
        <w:rPr>
          <w:b/>
          <w:sz w:val="22"/>
        </w:rPr>
        <w:t>TO</w:t>
      </w:r>
      <w:r>
        <w:rPr>
          <w:sz w:val="22"/>
        </w:rPr>
        <w:t>’,</w:t>
      </w:r>
      <w:r>
        <w:rPr>
          <w:spacing w:val="20"/>
          <w:sz w:val="22"/>
        </w:rPr>
        <w:t> </w:t>
      </w:r>
      <w:r>
        <w:rPr>
          <w:sz w:val="22"/>
        </w:rPr>
        <w:t>orientado</w:t>
      </w:r>
      <w:r>
        <w:rPr>
          <w:spacing w:val="16"/>
          <w:sz w:val="22"/>
        </w:rPr>
        <w:t> </w:t>
      </w:r>
      <w:r>
        <w:rPr>
          <w:sz w:val="22"/>
        </w:rPr>
        <w:t>pela</w:t>
      </w:r>
      <w:r>
        <w:rPr>
          <w:spacing w:val="24"/>
          <w:sz w:val="22"/>
        </w:rPr>
        <w:t> </w:t>
      </w:r>
      <w:r>
        <w:rPr>
          <w:b/>
          <w:sz w:val="22"/>
        </w:rPr>
        <w:t>profª.</w:t>
      </w:r>
    </w:p>
    <w:p>
      <w:pPr>
        <w:spacing w:line="364" w:lineRule="auto" w:before="2"/>
        <w:ind w:left="308" w:right="102" w:firstLine="0"/>
        <w:jc w:val="both"/>
        <w:rPr>
          <w:sz w:val="22"/>
        </w:rPr>
      </w:pPr>
      <w:r>
        <w:rPr>
          <w:b/>
          <w:sz w:val="22"/>
        </w:rPr>
        <w:t>Dra. Maria José de Pinho</w:t>
      </w:r>
      <w:r>
        <w:rPr>
          <w:sz w:val="22"/>
        </w:rPr>
        <w:t>, do Programa de Pós-Graduação </w:t>
      </w:r>
      <w:r>
        <w:rPr>
          <w:i/>
          <w:sz w:val="22"/>
        </w:rPr>
        <w:t>Stricto Sensu</w:t>
      </w:r>
      <w:r>
        <w:rPr>
          <w:sz w:val="22"/>
        </w:rPr>
        <w:t>, Mestrado em Educação, da Universidade Federal do Tocantins – UFT.</w:t>
      </w:r>
    </w:p>
    <w:p>
      <w:pPr>
        <w:spacing w:line="360" w:lineRule="auto" w:before="0"/>
        <w:ind w:left="308" w:right="111" w:firstLine="710"/>
        <w:jc w:val="both"/>
        <w:rPr>
          <w:sz w:val="22"/>
        </w:rPr>
      </w:pPr>
      <w:r>
        <w:rPr>
          <w:sz w:val="22"/>
        </w:rPr>
        <w:t>Solicito um cuidado específico em suas respostas ao atribuírem valores entre 01 e 10 para cada um dos itens, considerando que a numeração 01 representa a menor ou nenhuma incidência da afirmação e que a numeração 10 representa total presença do item descrito. Quanto maior seja a ocorrência do item descrito, maior será a sua pontuação, próximo ou igual a 10 (ver tabela na página 06).</w:t>
      </w:r>
    </w:p>
    <w:p>
      <w:pPr>
        <w:spacing w:line="360" w:lineRule="auto" w:before="5"/>
        <w:ind w:left="308" w:right="105" w:firstLine="710"/>
        <w:jc w:val="both"/>
        <w:rPr>
          <w:sz w:val="22"/>
        </w:rPr>
      </w:pPr>
      <w:r>
        <w:rPr>
          <w:sz w:val="22"/>
        </w:rPr>
        <w:t>Aproveito a oportunidade para informá-los que, de acordo com as normas do código de ética em pesquisas acadêmicas, o anonimato será garantido.</w:t>
      </w:r>
    </w:p>
    <w:p>
      <w:pPr>
        <w:spacing w:line="360" w:lineRule="auto" w:before="2"/>
        <w:ind w:left="308" w:right="109" w:firstLine="710"/>
        <w:jc w:val="both"/>
        <w:rPr>
          <w:sz w:val="22"/>
        </w:rPr>
      </w:pPr>
      <w:r>
        <w:rPr>
          <w:sz w:val="22"/>
        </w:rPr>
        <w:t>Desde já, meus sinceros agradecimentos por sua atenção e disponibilidade em colaborar com esta pesquisa.</w:t>
      </w:r>
    </w:p>
    <w:p>
      <w:pPr>
        <w:spacing w:line="252" w:lineRule="exact" w:before="0"/>
        <w:ind w:left="1018" w:right="0" w:firstLine="0"/>
        <w:jc w:val="left"/>
        <w:rPr>
          <w:sz w:val="22"/>
        </w:rPr>
      </w:pPr>
      <w:r>
        <w:rPr>
          <w:sz w:val="22"/>
        </w:rPr>
        <w:t>Att.</w:t>
      </w:r>
    </w:p>
    <w:p>
      <w:pPr>
        <w:pStyle w:val="BodyText"/>
        <w:rPr>
          <w:sz w:val="29"/>
        </w:rPr>
      </w:pPr>
    </w:p>
    <w:p>
      <w:pPr>
        <w:spacing w:line="273" w:lineRule="auto" w:before="0"/>
        <w:ind w:left="2953" w:right="2755" w:firstLine="0"/>
        <w:jc w:val="center"/>
        <w:rPr>
          <w:sz w:val="22"/>
        </w:rPr>
      </w:pPr>
      <w:r>
        <w:rPr>
          <w:sz w:val="22"/>
        </w:rPr>
        <w:t>Mestranda: Edna Maria Cruz Pinho E-mail: </w:t>
      </w:r>
      <w:hyperlink r:id="rId47">
        <w:r>
          <w:rPr>
            <w:sz w:val="22"/>
          </w:rPr>
          <w:t>ednapinho@uft.edu.br</w:t>
        </w:r>
      </w:hyperlink>
    </w:p>
    <w:p>
      <w:pPr>
        <w:spacing w:before="5"/>
        <w:ind w:left="391" w:right="185" w:firstLine="0"/>
        <w:jc w:val="center"/>
        <w:rPr>
          <w:sz w:val="22"/>
        </w:rPr>
      </w:pPr>
      <w:r>
        <w:rPr>
          <w:sz w:val="22"/>
        </w:rPr>
        <w:t>Tel. (63) 8409-4538</w:t>
      </w:r>
    </w:p>
    <w:p>
      <w:pPr>
        <w:spacing w:after="0"/>
        <w:jc w:val="center"/>
        <w:rPr>
          <w:sz w:val="22"/>
        </w:rPr>
        <w:sectPr>
          <w:pgSz w:w="11910" w:h="16840"/>
          <w:pgMar w:header="1133" w:footer="0" w:top="1340" w:bottom="280" w:left="1680" w:right="1020"/>
        </w:sectPr>
      </w:pPr>
    </w:p>
    <w:p>
      <w:pPr>
        <w:pStyle w:val="BodyText"/>
        <w:spacing w:before="10"/>
        <w:rPr>
          <w:sz w:val="20"/>
        </w:rPr>
      </w:pPr>
    </w:p>
    <w:p>
      <w:pPr>
        <w:pStyle w:val="Heading3"/>
        <w:ind w:left="3962"/>
      </w:pPr>
      <w:r>
        <w:rPr/>
        <w:t>APÊNDICE B</w:t>
      </w:r>
    </w:p>
    <w:p>
      <w:pPr>
        <w:pStyle w:val="BodyText"/>
        <w:spacing w:before="6"/>
        <w:rPr>
          <w:b/>
          <w:sz w:val="23"/>
        </w:rPr>
      </w:pPr>
      <w:r>
        <w:rPr/>
        <w:drawing>
          <wp:anchor distT="0" distB="0" distL="0" distR="0" allowOverlap="1" layoutInCell="1" locked="0" behindDoc="0" simplePos="0" relativeHeight="1912">
            <wp:simplePos x="0" y="0"/>
            <wp:positionH relativeFrom="page">
              <wp:posOffset>3808984</wp:posOffset>
            </wp:positionH>
            <wp:positionV relativeFrom="paragraph">
              <wp:posOffset>196707</wp:posOffset>
            </wp:positionV>
            <wp:extent cx="696442" cy="642937"/>
            <wp:effectExtent l="0" t="0" r="0" b="0"/>
            <wp:wrapTopAndBottom/>
            <wp:docPr id="9" name="image10.jpeg" descr=""/>
            <wp:cNvGraphicFramePr>
              <a:graphicFrameLocks noChangeAspect="1"/>
            </wp:cNvGraphicFramePr>
            <a:graphic>
              <a:graphicData uri="http://schemas.openxmlformats.org/drawingml/2006/picture">
                <pic:pic>
                  <pic:nvPicPr>
                    <pic:cNvPr id="10" name="image10.jpeg"/>
                    <pic:cNvPicPr/>
                  </pic:nvPicPr>
                  <pic:blipFill>
                    <a:blip r:embed="rId46" cstate="print"/>
                    <a:stretch>
                      <a:fillRect/>
                    </a:stretch>
                  </pic:blipFill>
                  <pic:spPr>
                    <a:xfrm>
                      <a:off x="0" y="0"/>
                      <a:ext cx="696442" cy="642937"/>
                    </a:xfrm>
                    <a:prstGeom prst="rect">
                      <a:avLst/>
                    </a:prstGeom>
                  </pic:spPr>
                </pic:pic>
              </a:graphicData>
            </a:graphic>
          </wp:anchor>
        </w:drawing>
      </w:r>
    </w:p>
    <w:p>
      <w:pPr>
        <w:spacing w:before="52"/>
        <w:ind w:left="2502" w:right="2211" w:hanging="98"/>
        <w:jc w:val="center"/>
        <w:rPr>
          <w:b/>
          <w:sz w:val="22"/>
        </w:rPr>
      </w:pPr>
      <w:r>
        <w:rPr>
          <w:b/>
          <w:sz w:val="22"/>
        </w:rPr>
        <w:t>SERVIÇO PÚBLICO FEDERAL UNIVERSIDADE FEDERAL DO</w:t>
      </w:r>
      <w:r>
        <w:rPr>
          <w:b/>
          <w:spacing w:val="-23"/>
          <w:sz w:val="22"/>
        </w:rPr>
        <w:t> </w:t>
      </w:r>
      <w:r>
        <w:rPr>
          <w:b/>
          <w:sz w:val="22"/>
        </w:rPr>
        <w:t>TOCANTINS PRÓ-REITORIA DE</w:t>
      </w:r>
      <w:r>
        <w:rPr>
          <w:b/>
          <w:spacing w:val="-20"/>
          <w:sz w:val="22"/>
        </w:rPr>
        <w:t> </w:t>
      </w:r>
      <w:r>
        <w:rPr>
          <w:b/>
          <w:sz w:val="22"/>
        </w:rPr>
        <w:t>GRADUAÇÃO</w:t>
      </w:r>
    </w:p>
    <w:p>
      <w:pPr>
        <w:spacing w:line="250" w:lineRule="exact" w:before="0"/>
        <w:ind w:left="391" w:right="155" w:firstLine="0"/>
        <w:jc w:val="center"/>
        <w:rPr>
          <w:b/>
          <w:sz w:val="22"/>
        </w:rPr>
      </w:pPr>
      <w:r>
        <w:rPr>
          <w:b/>
          <w:sz w:val="22"/>
        </w:rPr>
        <w:t>PROGRAMA DE PÓS - GRADUAÇÃO EM EDUCAÇÃO /PPGE</w:t>
      </w:r>
    </w:p>
    <w:p>
      <w:pPr>
        <w:pStyle w:val="BodyText"/>
        <w:rPr>
          <w:b/>
        </w:rPr>
      </w:pPr>
    </w:p>
    <w:p>
      <w:pPr>
        <w:pStyle w:val="Heading3"/>
        <w:spacing w:before="0"/>
        <w:ind w:left="388" w:right="190"/>
        <w:jc w:val="center"/>
      </w:pPr>
      <w:r>
        <w:rPr/>
        <w:t>ROTEIRO DE ENTREVISTA</w:t>
      </w:r>
    </w:p>
    <w:p>
      <w:pPr>
        <w:pStyle w:val="BodyText"/>
        <w:spacing w:before="11"/>
        <w:rPr>
          <w:b/>
          <w:sz w:val="23"/>
        </w:rPr>
      </w:pPr>
    </w:p>
    <w:p>
      <w:pPr>
        <w:spacing w:line="242" w:lineRule="auto" w:before="0"/>
        <w:ind w:left="452" w:right="252" w:firstLine="3"/>
        <w:jc w:val="center"/>
        <w:rPr>
          <w:b/>
          <w:sz w:val="24"/>
        </w:rPr>
      </w:pPr>
      <w:r>
        <w:rPr>
          <w:b/>
          <w:sz w:val="24"/>
        </w:rPr>
        <w:t>PESQUISA: A prática educativa criativa e inovadora na escola dos anos iniciais do ensino fundamental: um estudo de caso em Gurupi – Tocantins</w:t>
      </w:r>
    </w:p>
    <w:p>
      <w:pPr>
        <w:spacing w:line="272" w:lineRule="exact" w:before="0"/>
        <w:ind w:left="308" w:right="0" w:firstLine="0"/>
        <w:jc w:val="left"/>
        <w:rPr>
          <w:b/>
          <w:sz w:val="24"/>
        </w:rPr>
      </w:pPr>
      <w:r>
        <w:rPr>
          <w:b/>
          <w:sz w:val="24"/>
        </w:rPr>
        <w:t>PESQUISADORA: Edna Maria Cruz Pinho</w:t>
      </w:r>
    </w:p>
    <w:p>
      <w:pPr>
        <w:pStyle w:val="BodyText"/>
        <w:rPr>
          <w:b/>
        </w:rPr>
      </w:pPr>
    </w:p>
    <w:p>
      <w:pPr>
        <w:spacing w:before="0"/>
        <w:ind w:left="308" w:right="0" w:firstLine="0"/>
        <w:jc w:val="left"/>
        <w:rPr>
          <w:sz w:val="24"/>
        </w:rPr>
      </w:pPr>
      <w:r>
        <w:rPr>
          <w:b/>
          <w:sz w:val="24"/>
        </w:rPr>
        <w:t>Nome</w:t>
      </w:r>
      <w:r>
        <w:rPr>
          <w:sz w:val="24"/>
        </w:rPr>
        <w:t>:</w:t>
      </w:r>
    </w:p>
    <w:p>
      <w:pPr>
        <w:pStyle w:val="BodyText"/>
        <w:spacing w:before="146"/>
        <w:ind w:left="308"/>
      </w:pPr>
      <w:r>
        <w:rPr/>
        <w:t>...........................................................................................................................</w:t>
      </w:r>
    </w:p>
    <w:p>
      <w:pPr>
        <w:pStyle w:val="BodyText"/>
        <w:tabs>
          <w:tab w:pos="2656" w:val="left" w:leader="none"/>
          <w:tab w:pos="3001" w:val="left" w:leader="none"/>
          <w:tab w:pos="3197" w:val="left" w:leader="none"/>
          <w:tab w:pos="4411" w:val="left" w:leader="none"/>
          <w:tab w:pos="4761" w:val="left" w:leader="none"/>
          <w:tab w:pos="4805" w:val="left" w:leader="none"/>
          <w:tab w:pos="5169" w:val="left" w:leader="none"/>
          <w:tab w:pos="6755" w:val="left" w:leader="none"/>
          <w:tab w:pos="7051" w:val="left" w:leader="none"/>
          <w:tab w:pos="8704" w:val="left" w:leader="none"/>
          <w:tab w:pos="9000" w:val="left" w:leader="none"/>
        </w:tabs>
        <w:spacing w:line="362" w:lineRule="auto" w:before="132"/>
        <w:ind w:left="308" w:right="121"/>
      </w:pPr>
      <w:r>
        <w:rPr>
          <w:b/>
        </w:rPr>
        <w:t>Relação com</w:t>
      </w:r>
      <w:r>
        <w:rPr>
          <w:b/>
          <w:spacing w:val="8"/>
        </w:rPr>
        <w:t> </w:t>
      </w:r>
      <w:r>
        <w:rPr>
          <w:b/>
        </w:rPr>
        <w:t>escola</w:t>
      </w:r>
      <w:r>
        <w:rPr/>
        <w:t>: </w:t>
      </w:r>
      <w:r>
        <w:rPr>
          <w:spacing w:val="9"/>
        </w:rPr>
        <w:t> </w:t>
      </w:r>
      <w:r>
        <w:rPr/>
        <w:t>(</w:t>
        <w:tab/>
        <w:tab/>
        <w:t>)</w:t>
      </w:r>
      <w:r>
        <w:rPr>
          <w:spacing w:val="4"/>
        </w:rPr>
        <w:t> </w:t>
      </w:r>
      <w:r>
        <w:rPr/>
        <w:t>gestor</w:t>
        <w:tab/>
        <w:tab/>
        <w:tab/>
        <w:t>(</w:t>
        <w:tab/>
        <w:t>)</w:t>
      </w:r>
      <w:r>
        <w:rPr>
          <w:spacing w:val="5"/>
        </w:rPr>
        <w:t> </w:t>
      </w:r>
      <w:r>
        <w:rPr/>
        <w:t>professor</w:t>
        <w:tab/>
        <w:t>(</w:t>
        <w:tab/>
        <w:t>)</w:t>
      </w:r>
      <w:r>
        <w:rPr>
          <w:spacing w:val="5"/>
        </w:rPr>
        <w:t> </w:t>
      </w:r>
      <w:r>
        <w:rPr/>
        <w:t>servidor</w:t>
        <w:tab/>
        <w:t>(</w:t>
        <w:tab/>
        <w:t>) pai</w:t>
      </w:r>
      <w:r>
        <w:rPr>
          <w:spacing w:val="-4"/>
        </w:rPr>
        <w:t> </w:t>
      </w:r>
      <w:r>
        <w:rPr/>
        <w:t>ou</w:t>
      </w:r>
      <w:r>
        <w:rPr>
          <w:spacing w:val="-3"/>
        </w:rPr>
        <w:t> </w:t>
      </w:r>
      <w:r>
        <w:rPr/>
        <w:t>responsável</w:t>
        <w:tab/>
        <w:t>(</w:t>
        <w:tab/>
        <w:t>)</w:t>
      </w:r>
      <w:r>
        <w:rPr>
          <w:spacing w:val="-2"/>
        </w:rPr>
        <w:t> </w:t>
      </w:r>
      <w:r>
        <w:rPr/>
        <w:t>parceiro</w:t>
        <w:tab/>
        <w:t>(</w:t>
        <w:tab/>
        <w:t>)</w:t>
      </w:r>
      <w:r>
        <w:rPr>
          <w:spacing w:val="-7"/>
        </w:rPr>
        <w:t> </w:t>
      </w:r>
      <w:r>
        <w:rPr/>
        <w:t>aluno</w:t>
      </w:r>
    </w:p>
    <w:p>
      <w:pPr>
        <w:pStyle w:val="BodyText"/>
        <w:ind w:left="308"/>
      </w:pPr>
      <w:r>
        <w:rPr/>
        <w:t>Membro da comunidade escolar há ......... (anos)</w:t>
      </w:r>
    </w:p>
    <w:p>
      <w:pPr>
        <w:pStyle w:val="BodyText"/>
        <w:rPr>
          <w:sz w:val="26"/>
        </w:rPr>
      </w:pPr>
    </w:p>
    <w:p>
      <w:pPr>
        <w:pStyle w:val="BodyText"/>
        <w:spacing w:before="9"/>
        <w:rPr>
          <w:sz w:val="21"/>
        </w:rPr>
      </w:pPr>
    </w:p>
    <w:p>
      <w:pPr>
        <w:pStyle w:val="Heading3"/>
        <w:numPr>
          <w:ilvl w:val="0"/>
          <w:numId w:val="17"/>
        </w:numPr>
        <w:tabs>
          <w:tab w:pos="577" w:val="left" w:leader="none"/>
        </w:tabs>
        <w:spacing w:line="240" w:lineRule="auto" w:before="0" w:after="0"/>
        <w:ind w:left="576" w:right="0" w:hanging="268"/>
        <w:jc w:val="left"/>
      </w:pPr>
      <w:r>
        <w:rPr/>
        <w:t>Sobre a escola Orlindo Pereira da</w:t>
      </w:r>
      <w:r>
        <w:rPr>
          <w:spacing w:val="-24"/>
        </w:rPr>
        <w:t> </w:t>
      </w:r>
      <w:r>
        <w:rPr/>
        <w:t>Mota:</w:t>
      </w:r>
    </w:p>
    <w:p>
      <w:pPr>
        <w:pStyle w:val="BodyText"/>
        <w:rPr>
          <w:b/>
          <w:sz w:val="26"/>
        </w:rPr>
      </w:pPr>
    </w:p>
    <w:p>
      <w:pPr>
        <w:pStyle w:val="BodyText"/>
        <w:spacing w:before="2"/>
        <w:rPr>
          <w:b/>
          <w:sz w:val="22"/>
        </w:rPr>
      </w:pPr>
    </w:p>
    <w:p>
      <w:pPr>
        <w:pStyle w:val="ListParagraph"/>
        <w:numPr>
          <w:ilvl w:val="0"/>
          <w:numId w:val="12"/>
        </w:numPr>
        <w:tabs>
          <w:tab w:pos="668" w:val="left" w:leader="none"/>
          <w:tab w:pos="669" w:val="left" w:leader="none"/>
        </w:tabs>
        <w:spacing w:line="240" w:lineRule="auto" w:before="0" w:after="0"/>
        <w:ind w:left="668" w:right="0" w:hanging="360"/>
        <w:jc w:val="left"/>
        <w:rPr>
          <w:sz w:val="24"/>
        </w:rPr>
      </w:pPr>
      <w:r>
        <w:rPr>
          <w:sz w:val="24"/>
        </w:rPr>
        <w:t>Descreva o que há de melhor, mais valioso na</w:t>
      </w:r>
      <w:r>
        <w:rPr>
          <w:spacing w:val="-19"/>
          <w:sz w:val="24"/>
        </w:rPr>
        <w:t> </w:t>
      </w:r>
      <w:r>
        <w:rPr>
          <w:sz w:val="24"/>
        </w:rPr>
        <w:t>escola;</w:t>
      </w:r>
    </w:p>
    <w:p>
      <w:pPr>
        <w:pStyle w:val="ListParagraph"/>
        <w:numPr>
          <w:ilvl w:val="0"/>
          <w:numId w:val="12"/>
        </w:numPr>
        <w:tabs>
          <w:tab w:pos="668" w:val="left" w:leader="none"/>
          <w:tab w:pos="669" w:val="left" w:leader="none"/>
        </w:tabs>
        <w:spacing w:line="360" w:lineRule="auto" w:before="141" w:after="0"/>
        <w:ind w:left="668" w:right="112" w:hanging="360"/>
        <w:jc w:val="left"/>
        <w:rPr>
          <w:sz w:val="24"/>
        </w:rPr>
      </w:pPr>
      <w:r>
        <w:rPr>
          <w:sz w:val="24"/>
        </w:rPr>
        <w:t>Por que você (gestor, professor, pais ou responsável, servidor, aluno, parceiro) está nessa escola? Como se sente</w:t>
      </w:r>
      <w:r>
        <w:rPr>
          <w:spacing w:val="-11"/>
          <w:sz w:val="24"/>
        </w:rPr>
        <w:t> </w:t>
      </w:r>
      <w:r>
        <w:rPr>
          <w:sz w:val="24"/>
        </w:rPr>
        <w:t>aqui?</w:t>
      </w:r>
    </w:p>
    <w:p>
      <w:pPr>
        <w:pStyle w:val="ListParagraph"/>
        <w:numPr>
          <w:ilvl w:val="0"/>
          <w:numId w:val="12"/>
        </w:numPr>
        <w:tabs>
          <w:tab w:pos="668" w:val="left" w:leader="none"/>
          <w:tab w:pos="669" w:val="left" w:leader="none"/>
        </w:tabs>
        <w:spacing w:line="360" w:lineRule="auto" w:before="3" w:after="0"/>
        <w:ind w:left="668" w:right="116" w:hanging="360"/>
        <w:jc w:val="left"/>
        <w:rPr>
          <w:sz w:val="24"/>
        </w:rPr>
      </w:pPr>
      <w:r>
        <w:rPr>
          <w:sz w:val="24"/>
        </w:rPr>
        <w:t>O que sabe sobre os problemas, projetos e sonhos da escola? Fale sobre  isso:</w:t>
      </w:r>
    </w:p>
    <w:p>
      <w:pPr>
        <w:pStyle w:val="ListParagraph"/>
        <w:numPr>
          <w:ilvl w:val="0"/>
          <w:numId w:val="12"/>
        </w:numPr>
        <w:tabs>
          <w:tab w:pos="668" w:val="left" w:leader="none"/>
          <w:tab w:pos="669" w:val="left" w:leader="none"/>
        </w:tabs>
        <w:spacing w:line="240" w:lineRule="auto" w:before="7" w:after="0"/>
        <w:ind w:left="668" w:right="0" w:hanging="360"/>
        <w:jc w:val="left"/>
        <w:rPr>
          <w:sz w:val="24"/>
        </w:rPr>
      </w:pPr>
      <w:r>
        <w:rPr>
          <w:sz w:val="24"/>
        </w:rPr>
        <w:t>Se fosse recomendar a escola para </w:t>
      </w:r>
      <w:r>
        <w:rPr>
          <w:spacing w:val="-3"/>
          <w:sz w:val="24"/>
        </w:rPr>
        <w:t>uma </w:t>
      </w:r>
      <w:r>
        <w:rPr>
          <w:sz w:val="24"/>
        </w:rPr>
        <w:t>pessoa o que diria sobre</w:t>
      </w:r>
      <w:r>
        <w:rPr>
          <w:spacing w:val="-15"/>
          <w:sz w:val="24"/>
        </w:rPr>
        <w:t> </w:t>
      </w:r>
      <w:r>
        <w:rPr>
          <w:sz w:val="24"/>
        </w:rPr>
        <w:t>ela?</w:t>
      </w:r>
    </w:p>
    <w:p>
      <w:pPr>
        <w:pStyle w:val="BodyText"/>
        <w:rPr>
          <w:sz w:val="26"/>
        </w:rPr>
      </w:pPr>
    </w:p>
    <w:p>
      <w:pPr>
        <w:pStyle w:val="BodyText"/>
        <w:spacing w:before="4"/>
        <w:rPr>
          <w:sz w:val="21"/>
        </w:rPr>
      </w:pPr>
    </w:p>
    <w:p>
      <w:pPr>
        <w:pStyle w:val="Heading3"/>
        <w:numPr>
          <w:ilvl w:val="0"/>
          <w:numId w:val="17"/>
        </w:numPr>
        <w:tabs>
          <w:tab w:pos="577" w:val="left" w:leader="none"/>
        </w:tabs>
        <w:spacing w:line="240" w:lineRule="auto" w:before="0" w:after="0"/>
        <w:ind w:left="576" w:right="0" w:hanging="268"/>
        <w:jc w:val="left"/>
      </w:pPr>
      <w:r>
        <w:rPr/>
        <w:t>Sobre a equipe</w:t>
      </w:r>
      <w:r>
        <w:rPr>
          <w:spacing w:val="-18"/>
        </w:rPr>
        <w:t> </w:t>
      </w:r>
      <w:r>
        <w:rPr/>
        <w:t>escolar:</w:t>
      </w:r>
    </w:p>
    <w:p>
      <w:pPr>
        <w:pStyle w:val="BodyText"/>
        <w:rPr>
          <w:b/>
          <w:sz w:val="26"/>
        </w:rPr>
      </w:pPr>
    </w:p>
    <w:p>
      <w:pPr>
        <w:pStyle w:val="BodyText"/>
        <w:spacing w:before="6"/>
        <w:rPr>
          <w:b/>
          <w:sz w:val="22"/>
        </w:rPr>
      </w:pPr>
    </w:p>
    <w:p>
      <w:pPr>
        <w:pStyle w:val="ListParagraph"/>
        <w:numPr>
          <w:ilvl w:val="1"/>
          <w:numId w:val="17"/>
        </w:numPr>
        <w:tabs>
          <w:tab w:pos="1028" w:val="left" w:leader="none"/>
          <w:tab w:pos="1029" w:val="left" w:leader="none"/>
        </w:tabs>
        <w:spacing w:line="240" w:lineRule="auto" w:before="0" w:after="0"/>
        <w:ind w:left="1028" w:right="0" w:hanging="360"/>
        <w:jc w:val="left"/>
        <w:rPr>
          <w:sz w:val="24"/>
        </w:rPr>
      </w:pPr>
      <w:r>
        <w:rPr>
          <w:sz w:val="24"/>
        </w:rPr>
        <w:t>Como é o trabalho da gestão da</w:t>
      </w:r>
      <w:r>
        <w:rPr>
          <w:spacing w:val="-13"/>
          <w:sz w:val="24"/>
        </w:rPr>
        <w:t> </w:t>
      </w:r>
      <w:r>
        <w:rPr>
          <w:sz w:val="24"/>
        </w:rPr>
        <w:t>escola?</w:t>
      </w:r>
    </w:p>
    <w:p>
      <w:pPr>
        <w:pStyle w:val="ListParagraph"/>
        <w:numPr>
          <w:ilvl w:val="1"/>
          <w:numId w:val="17"/>
        </w:numPr>
        <w:tabs>
          <w:tab w:pos="1029" w:val="left" w:leader="none"/>
        </w:tabs>
        <w:spacing w:line="360" w:lineRule="auto" w:before="136" w:after="0"/>
        <w:ind w:left="1028" w:right="109" w:hanging="360"/>
        <w:jc w:val="both"/>
        <w:rPr>
          <w:sz w:val="24"/>
        </w:rPr>
      </w:pPr>
      <w:r>
        <w:rPr>
          <w:sz w:val="24"/>
        </w:rPr>
        <w:t>Quais das características (tolerância, solidariedade, participação, cooperação, autonomia e liberdade) podem ser atribuídas à equipe escolar?  Por quê?  Dê</w:t>
      </w:r>
      <w:r>
        <w:rPr>
          <w:spacing w:val="-16"/>
          <w:sz w:val="24"/>
        </w:rPr>
        <w:t> </w:t>
      </w:r>
      <w:r>
        <w:rPr>
          <w:sz w:val="24"/>
        </w:rPr>
        <w:t>exemplo:</w:t>
      </w:r>
    </w:p>
    <w:p>
      <w:pPr>
        <w:pStyle w:val="ListParagraph"/>
        <w:numPr>
          <w:ilvl w:val="1"/>
          <w:numId w:val="17"/>
        </w:numPr>
        <w:tabs>
          <w:tab w:pos="1028" w:val="left" w:leader="none"/>
          <w:tab w:pos="1029" w:val="left" w:leader="none"/>
        </w:tabs>
        <w:spacing w:line="240" w:lineRule="auto" w:before="7" w:after="0"/>
        <w:ind w:left="1028" w:right="0" w:hanging="360"/>
        <w:jc w:val="left"/>
        <w:rPr>
          <w:sz w:val="24"/>
        </w:rPr>
      </w:pPr>
      <w:r>
        <w:rPr>
          <w:sz w:val="24"/>
        </w:rPr>
        <w:t>Descreva a relação entre os membros da equipe</w:t>
      </w:r>
      <w:r>
        <w:rPr>
          <w:spacing w:val="-20"/>
          <w:sz w:val="24"/>
        </w:rPr>
        <w:t> </w:t>
      </w:r>
      <w:r>
        <w:rPr>
          <w:sz w:val="24"/>
        </w:rPr>
        <w:t>escolar;</w:t>
      </w:r>
    </w:p>
    <w:p>
      <w:pPr>
        <w:spacing w:after="0" w:line="240" w:lineRule="auto"/>
        <w:jc w:val="left"/>
        <w:rPr>
          <w:sz w:val="24"/>
        </w:rPr>
        <w:sectPr>
          <w:pgSz w:w="11910" w:h="16840"/>
          <w:pgMar w:header="1133" w:footer="0" w:top="1340" w:bottom="280" w:left="1680" w:right="1020"/>
        </w:sectPr>
      </w:pPr>
    </w:p>
    <w:p>
      <w:pPr>
        <w:pStyle w:val="BodyText"/>
        <w:spacing w:before="3"/>
        <w:rPr>
          <w:sz w:val="21"/>
        </w:rPr>
      </w:pPr>
    </w:p>
    <w:p>
      <w:pPr>
        <w:pStyle w:val="ListParagraph"/>
        <w:numPr>
          <w:ilvl w:val="1"/>
          <w:numId w:val="17"/>
        </w:numPr>
        <w:tabs>
          <w:tab w:pos="1028" w:val="left" w:leader="none"/>
          <w:tab w:pos="1029" w:val="left" w:leader="none"/>
        </w:tabs>
        <w:spacing w:line="362" w:lineRule="auto" w:before="92" w:after="0"/>
        <w:ind w:left="1028" w:right="118" w:hanging="360"/>
        <w:jc w:val="left"/>
        <w:rPr>
          <w:sz w:val="24"/>
        </w:rPr>
      </w:pPr>
      <w:r>
        <w:rPr>
          <w:sz w:val="24"/>
        </w:rPr>
        <w:t>Fale sobre o trabalho da equipe escolar em relação ao planejamento e execução das</w:t>
      </w:r>
      <w:r>
        <w:rPr>
          <w:spacing w:val="-10"/>
          <w:sz w:val="24"/>
        </w:rPr>
        <w:t> </w:t>
      </w:r>
      <w:r>
        <w:rPr>
          <w:sz w:val="24"/>
        </w:rPr>
        <w:t>atividades.</w:t>
      </w:r>
    </w:p>
    <w:p>
      <w:pPr>
        <w:pStyle w:val="BodyText"/>
        <w:spacing w:before="5"/>
        <w:rPr>
          <w:sz w:val="35"/>
        </w:rPr>
      </w:pPr>
    </w:p>
    <w:p>
      <w:pPr>
        <w:pStyle w:val="Heading3"/>
        <w:numPr>
          <w:ilvl w:val="0"/>
          <w:numId w:val="17"/>
        </w:numPr>
        <w:tabs>
          <w:tab w:pos="577" w:val="left" w:leader="none"/>
        </w:tabs>
        <w:spacing w:line="240" w:lineRule="auto" w:before="0" w:after="0"/>
        <w:ind w:left="576" w:right="0" w:hanging="268"/>
        <w:jc w:val="left"/>
      </w:pPr>
      <w:r>
        <w:rPr/>
        <w:t>Sobre as ações desenvolvidas pela</w:t>
      </w:r>
      <w:r>
        <w:rPr>
          <w:spacing w:val="-24"/>
        </w:rPr>
        <w:t> </w:t>
      </w:r>
      <w:r>
        <w:rPr/>
        <w:t>escola:</w:t>
      </w:r>
    </w:p>
    <w:p>
      <w:pPr>
        <w:pStyle w:val="ListParagraph"/>
        <w:numPr>
          <w:ilvl w:val="0"/>
          <w:numId w:val="12"/>
        </w:numPr>
        <w:tabs>
          <w:tab w:pos="668" w:val="left" w:leader="none"/>
          <w:tab w:pos="669" w:val="left" w:leader="none"/>
        </w:tabs>
        <w:spacing w:line="362" w:lineRule="auto" w:before="141" w:after="0"/>
        <w:ind w:left="668" w:right="111" w:hanging="360"/>
        <w:jc w:val="left"/>
        <w:rPr>
          <w:sz w:val="24"/>
        </w:rPr>
      </w:pPr>
      <w:r>
        <w:rPr>
          <w:sz w:val="24"/>
        </w:rPr>
        <w:t>O que a escola faz que pode ser identificada como uma ação de sucesso e criativa? Dê</w:t>
      </w:r>
      <w:r>
        <w:rPr>
          <w:spacing w:val="-9"/>
          <w:sz w:val="24"/>
        </w:rPr>
        <w:t> </w:t>
      </w:r>
      <w:r>
        <w:rPr>
          <w:sz w:val="24"/>
        </w:rPr>
        <w:t>exemplo:</w:t>
      </w:r>
    </w:p>
    <w:p>
      <w:pPr>
        <w:pStyle w:val="ListParagraph"/>
        <w:numPr>
          <w:ilvl w:val="0"/>
          <w:numId w:val="12"/>
        </w:numPr>
        <w:tabs>
          <w:tab w:pos="668" w:val="left" w:leader="none"/>
          <w:tab w:pos="669" w:val="left" w:leader="none"/>
        </w:tabs>
        <w:spacing w:line="360" w:lineRule="auto" w:before="0" w:after="0"/>
        <w:ind w:left="668" w:right="116" w:hanging="360"/>
        <w:jc w:val="left"/>
        <w:rPr>
          <w:sz w:val="24"/>
        </w:rPr>
      </w:pPr>
      <w:r>
        <w:rPr>
          <w:sz w:val="24"/>
        </w:rPr>
        <w:t>Em que as ações desenvolvidas pela escola colaboram para o seu  crescimento</w:t>
      </w:r>
      <w:r>
        <w:rPr>
          <w:spacing w:val="-7"/>
          <w:sz w:val="24"/>
        </w:rPr>
        <w:t> </w:t>
      </w:r>
      <w:r>
        <w:rPr>
          <w:sz w:val="24"/>
        </w:rPr>
        <w:t>interno?</w:t>
      </w:r>
    </w:p>
    <w:p>
      <w:pPr>
        <w:pStyle w:val="ListParagraph"/>
        <w:numPr>
          <w:ilvl w:val="0"/>
          <w:numId w:val="12"/>
        </w:numPr>
        <w:tabs>
          <w:tab w:pos="668" w:val="left" w:leader="none"/>
          <w:tab w:pos="669" w:val="left" w:leader="none"/>
        </w:tabs>
        <w:spacing w:line="362" w:lineRule="auto" w:before="2" w:after="0"/>
        <w:ind w:left="668" w:right="117" w:hanging="360"/>
        <w:jc w:val="left"/>
        <w:rPr>
          <w:sz w:val="24"/>
        </w:rPr>
      </w:pPr>
      <w:r>
        <w:rPr>
          <w:sz w:val="24"/>
        </w:rPr>
        <w:t>Quais são as atitudes são mais comuns da escola diante de </w:t>
      </w:r>
      <w:r>
        <w:rPr>
          <w:spacing w:val="-3"/>
          <w:sz w:val="24"/>
        </w:rPr>
        <w:t>uma </w:t>
      </w:r>
      <w:r>
        <w:rPr>
          <w:sz w:val="24"/>
        </w:rPr>
        <w:t>situação problema?</w:t>
      </w:r>
      <w:r>
        <w:rPr>
          <w:spacing w:val="-10"/>
          <w:sz w:val="24"/>
        </w:rPr>
        <w:t> </w:t>
      </w:r>
      <w:r>
        <w:rPr>
          <w:sz w:val="24"/>
        </w:rPr>
        <w:t>Comente:</w:t>
      </w:r>
    </w:p>
    <w:p>
      <w:pPr>
        <w:pStyle w:val="ListParagraph"/>
        <w:numPr>
          <w:ilvl w:val="0"/>
          <w:numId w:val="12"/>
        </w:numPr>
        <w:tabs>
          <w:tab w:pos="668" w:val="left" w:leader="none"/>
          <w:tab w:pos="669" w:val="left" w:leader="none"/>
        </w:tabs>
        <w:spacing w:line="360" w:lineRule="auto" w:before="0" w:after="0"/>
        <w:ind w:left="668" w:right="113" w:hanging="360"/>
        <w:jc w:val="left"/>
        <w:rPr>
          <w:sz w:val="24"/>
        </w:rPr>
      </w:pPr>
      <w:r>
        <w:rPr>
          <w:sz w:val="24"/>
        </w:rPr>
        <w:t>Os recursos, disponibilizados para escola, são aplicados de </w:t>
      </w:r>
      <w:r>
        <w:rPr>
          <w:spacing w:val="-3"/>
          <w:sz w:val="24"/>
        </w:rPr>
        <w:t>forma </w:t>
      </w:r>
      <w:r>
        <w:rPr>
          <w:sz w:val="24"/>
        </w:rPr>
        <w:t>coerente e adequadas?</w:t>
      </w:r>
      <w:r>
        <w:rPr>
          <w:spacing w:val="-13"/>
          <w:sz w:val="24"/>
        </w:rPr>
        <w:t> </w:t>
      </w:r>
      <w:r>
        <w:rPr>
          <w:sz w:val="24"/>
        </w:rPr>
        <w:t>Como?</w:t>
      </w:r>
    </w:p>
    <w:p>
      <w:pPr>
        <w:pStyle w:val="BodyText"/>
        <w:spacing w:before="1"/>
        <w:rPr>
          <w:sz w:val="36"/>
        </w:rPr>
      </w:pPr>
    </w:p>
    <w:p>
      <w:pPr>
        <w:pStyle w:val="Heading3"/>
        <w:numPr>
          <w:ilvl w:val="0"/>
          <w:numId w:val="17"/>
        </w:numPr>
        <w:tabs>
          <w:tab w:pos="577" w:val="left" w:leader="none"/>
        </w:tabs>
        <w:spacing w:line="240" w:lineRule="auto" w:before="0" w:after="0"/>
        <w:ind w:left="576" w:right="0" w:hanging="268"/>
        <w:jc w:val="left"/>
      </w:pPr>
      <w:r>
        <w:rPr/>
        <w:t>Sobre as relações estabelecidas pela</w:t>
      </w:r>
      <w:r>
        <w:rPr>
          <w:spacing w:val="-22"/>
        </w:rPr>
        <w:t> </w:t>
      </w:r>
      <w:r>
        <w:rPr/>
        <w:t>escola:</w:t>
      </w:r>
    </w:p>
    <w:p>
      <w:pPr>
        <w:pStyle w:val="BodyText"/>
        <w:rPr>
          <w:b/>
          <w:sz w:val="26"/>
        </w:rPr>
      </w:pPr>
    </w:p>
    <w:p>
      <w:pPr>
        <w:pStyle w:val="BodyText"/>
        <w:spacing w:before="2"/>
        <w:rPr>
          <w:b/>
          <w:sz w:val="22"/>
        </w:rPr>
      </w:pPr>
    </w:p>
    <w:p>
      <w:pPr>
        <w:pStyle w:val="ListParagraph"/>
        <w:numPr>
          <w:ilvl w:val="0"/>
          <w:numId w:val="12"/>
        </w:numPr>
        <w:tabs>
          <w:tab w:pos="668" w:val="left" w:leader="none"/>
          <w:tab w:pos="669" w:val="left" w:leader="none"/>
        </w:tabs>
        <w:spacing w:line="240" w:lineRule="auto" w:before="0" w:after="0"/>
        <w:ind w:left="668" w:right="0" w:hanging="360"/>
        <w:jc w:val="left"/>
        <w:rPr>
          <w:sz w:val="24"/>
        </w:rPr>
      </w:pPr>
      <w:r>
        <w:rPr>
          <w:sz w:val="24"/>
        </w:rPr>
        <w:t>A  escola  valoriza  as  pessoas  que  pertencem  a  sua  comunidade?</w:t>
      </w:r>
      <w:r>
        <w:rPr>
          <w:spacing w:val="23"/>
          <w:sz w:val="24"/>
        </w:rPr>
        <w:t> </w:t>
      </w:r>
      <w:r>
        <w:rPr>
          <w:sz w:val="24"/>
        </w:rPr>
        <w:t>Como?</w:t>
      </w:r>
    </w:p>
    <w:p>
      <w:pPr>
        <w:pStyle w:val="BodyText"/>
        <w:spacing w:before="136"/>
        <w:ind w:left="668"/>
      </w:pPr>
      <w:r>
        <w:rPr/>
        <w:t>Exemplifique</w:t>
      </w:r>
    </w:p>
    <w:p>
      <w:pPr>
        <w:pStyle w:val="ListParagraph"/>
        <w:numPr>
          <w:ilvl w:val="0"/>
          <w:numId w:val="12"/>
        </w:numPr>
        <w:tabs>
          <w:tab w:pos="668" w:val="left" w:leader="none"/>
          <w:tab w:pos="669" w:val="left" w:leader="none"/>
        </w:tabs>
        <w:spacing w:line="240" w:lineRule="auto" w:before="141" w:after="0"/>
        <w:ind w:left="668" w:right="0" w:hanging="360"/>
        <w:jc w:val="left"/>
        <w:rPr>
          <w:sz w:val="24"/>
        </w:rPr>
      </w:pPr>
      <w:r>
        <w:rPr>
          <w:sz w:val="24"/>
        </w:rPr>
        <w:t>Como a escola se comporta diante das críticas? E das</w:t>
      </w:r>
      <w:r>
        <w:rPr>
          <w:spacing w:val="-14"/>
          <w:sz w:val="24"/>
        </w:rPr>
        <w:t> </w:t>
      </w:r>
      <w:r>
        <w:rPr>
          <w:sz w:val="24"/>
        </w:rPr>
        <w:t>sugestões?</w:t>
      </w:r>
    </w:p>
    <w:p>
      <w:pPr>
        <w:pStyle w:val="ListParagraph"/>
        <w:numPr>
          <w:ilvl w:val="0"/>
          <w:numId w:val="12"/>
        </w:numPr>
        <w:tabs>
          <w:tab w:pos="668" w:val="left" w:leader="none"/>
          <w:tab w:pos="669" w:val="left" w:leader="none"/>
        </w:tabs>
        <w:spacing w:line="360" w:lineRule="auto" w:before="136" w:after="0"/>
        <w:ind w:left="668" w:right="118" w:hanging="360"/>
        <w:jc w:val="left"/>
        <w:rPr>
          <w:sz w:val="24"/>
        </w:rPr>
      </w:pPr>
      <w:r>
        <w:rPr>
          <w:sz w:val="24"/>
        </w:rPr>
        <w:t>O que a escola faz para envolver a sua comunidade (professores, servidores, alunos, pais, parceiros) nas atividades que</w:t>
      </w:r>
      <w:r>
        <w:rPr>
          <w:spacing w:val="-25"/>
          <w:sz w:val="24"/>
        </w:rPr>
        <w:t> </w:t>
      </w:r>
      <w:r>
        <w:rPr>
          <w:sz w:val="24"/>
        </w:rPr>
        <w:t>desenvolve?</w:t>
      </w:r>
    </w:p>
    <w:p>
      <w:pPr>
        <w:pStyle w:val="ListParagraph"/>
        <w:numPr>
          <w:ilvl w:val="0"/>
          <w:numId w:val="12"/>
        </w:numPr>
        <w:tabs>
          <w:tab w:pos="668" w:val="left" w:leader="none"/>
          <w:tab w:pos="669" w:val="left" w:leader="none"/>
        </w:tabs>
        <w:spacing w:line="360" w:lineRule="auto" w:before="2" w:after="0"/>
        <w:ind w:left="668" w:right="118" w:hanging="360"/>
        <w:jc w:val="left"/>
        <w:rPr>
          <w:sz w:val="24"/>
        </w:rPr>
      </w:pPr>
      <w:r>
        <w:rPr>
          <w:sz w:val="24"/>
        </w:rPr>
        <w:t>Descreva o relacionamento da escola com a comunidade externa? Mencione situações que considera importante nessa</w:t>
      </w:r>
      <w:r>
        <w:rPr>
          <w:spacing w:val="-10"/>
          <w:sz w:val="24"/>
        </w:rPr>
        <w:t> </w:t>
      </w:r>
      <w:r>
        <w:rPr>
          <w:sz w:val="24"/>
        </w:rPr>
        <w:t>questão:</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7"/>
      </w:pPr>
    </w:p>
    <w:p>
      <w:pPr>
        <w:pStyle w:val="BodyText"/>
        <w:ind w:right="106"/>
        <w:jc w:val="right"/>
      </w:pPr>
      <w:r>
        <w:rPr/>
        <w:t>Obrigada pela atenção!</w:t>
      </w:r>
    </w:p>
    <w:p>
      <w:pPr>
        <w:pStyle w:val="BodyText"/>
        <w:rPr>
          <w:sz w:val="26"/>
        </w:rPr>
      </w:pPr>
    </w:p>
    <w:p>
      <w:pPr>
        <w:pStyle w:val="BodyText"/>
        <w:rPr>
          <w:sz w:val="26"/>
        </w:rPr>
      </w:pPr>
    </w:p>
    <w:p>
      <w:pPr>
        <w:pStyle w:val="BodyText"/>
        <w:rPr>
          <w:sz w:val="32"/>
        </w:rPr>
      </w:pPr>
    </w:p>
    <w:p>
      <w:pPr>
        <w:pStyle w:val="BodyText"/>
        <w:spacing w:before="1"/>
        <w:ind w:left="391" w:right="187"/>
        <w:jc w:val="center"/>
      </w:pPr>
      <w:r>
        <w:rPr/>
        <w:t>Edna Maria Cruz Pinho</w:t>
      </w:r>
    </w:p>
    <w:p>
      <w:pPr>
        <w:spacing w:after="0"/>
        <w:jc w:val="center"/>
        <w:sectPr>
          <w:pgSz w:w="11910" w:h="16840"/>
          <w:pgMar w:header="1133" w:footer="0" w:top="1340" w:bottom="280" w:left="1680" w:right="1020"/>
        </w:sectPr>
      </w:pPr>
    </w:p>
    <w:p>
      <w:pPr>
        <w:pStyle w:val="BodyText"/>
        <w:spacing w:before="10"/>
        <w:rPr>
          <w:sz w:val="20"/>
        </w:rPr>
      </w:pPr>
    </w:p>
    <w:p>
      <w:pPr>
        <w:pStyle w:val="Heading3"/>
        <w:ind w:left="485" w:right="332"/>
        <w:jc w:val="center"/>
      </w:pPr>
      <w:r>
        <w:rPr/>
        <w:t>APÊNDICE C</w:t>
      </w:r>
    </w:p>
    <w:p>
      <w:pPr>
        <w:pStyle w:val="BodyText"/>
        <w:spacing w:before="6"/>
        <w:rPr>
          <w:b/>
          <w:sz w:val="31"/>
        </w:rPr>
      </w:pPr>
    </w:p>
    <w:p>
      <w:pPr>
        <w:spacing w:before="0"/>
        <w:ind w:left="495" w:right="332" w:firstLine="0"/>
        <w:jc w:val="center"/>
        <w:rPr>
          <w:b/>
          <w:sz w:val="24"/>
        </w:rPr>
      </w:pPr>
      <w:r>
        <w:rPr>
          <w:b/>
          <w:sz w:val="24"/>
        </w:rPr>
        <w:t>EVIDÊNCIAS DE CRIATIVIDADE NA CATEGORIA I</w:t>
      </w:r>
    </w:p>
    <w:p>
      <w:pPr>
        <w:pStyle w:val="BodyText"/>
        <w:rPr>
          <w:b/>
          <w:sz w:val="26"/>
        </w:rPr>
      </w:pPr>
    </w:p>
    <w:p>
      <w:pPr>
        <w:pStyle w:val="BodyText"/>
        <w:spacing w:before="6"/>
        <w:rPr>
          <w:b/>
          <w:sz w:val="32"/>
        </w:rPr>
      </w:pPr>
    </w:p>
    <w:p>
      <w:pPr>
        <w:spacing w:before="0" w:after="10"/>
        <w:ind w:left="500" w:right="332" w:firstLine="0"/>
        <w:jc w:val="center"/>
        <w:rPr>
          <w:b/>
          <w:sz w:val="20"/>
        </w:rPr>
      </w:pPr>
      <w:r>
        <w:rPr>
          <w:b/>
          <w:sz w:val="20"/>
        </w:rPr>
        <w:t>Quadro 16: Categoria I – Nível de Consciência Criativa / visão, missão, cultura e valor na percepção dos gestores</w:t>
      </w:r>
    </w:p>
    <w:tbl>
      <w:tblPr>
        <w:tblW w:w="0" w:type="auto"/>
        <w:jc w:val="left"/>
        <w:tblInd w:w="28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74"/>
        <w:gridCol w:w="953"/>
        <w:gridCol w:w="551"/>
        <w:gridCol w:w="587"/>
        <w:gridCol w:w="524"/>
        <w:gridCol w:w="609"/>
        <w:gridCol w:w="531"/>
        <w:gridCol w:w="746"/>
        <w:gridCol w:w="568"/>
        <w:gridCol w:w="849"/>
      </w:tblGrid>
      <w:tr>
        <w:trPr>
          <w:trHeight w:val="257" w:hRule="exact"/>
        </w:trPr>
        <w:tc>
          <w:tcPr>
            <w:tcW w:w="3827" w:type="dxa"/>
            <w:gridSpan w:val="2"/>
            <w:vMerge w:val="restart"/>
            <w:tcBorders>
              <w:right w:val="single" w:sz="17" w:space="0" w:color="000000"/>
            </w:tcBorders>
          </w:tcPr>
          <w:p>
            <w:pPr/>
          </w:p>
        </w:tc>
        <w:tc>
          <w:tcPr>
            <w:tcW w:w="4966" w:type="dxa"/>
            <w:gridSpan w:val="8"/>
            <w:tcBorders>
              <w:top w:val="single" w:sz="17" w:space="0" w:color="000000"/>
              <w:left w:val="single" w:sz="17" w:space="0" w:color="000000"/>
              <w:bottom w:val="single" w:sz="4" w:space="0" w:color="000000"/>
              <w:right w:val="single" w:sz="17" w:space="0" w:color="000000"/>
            </w:tcBorders>
          </w:tcPr>
          <w:p>
            <w:pPr>
              <w:pStyle w:val="TableParagraph"/>
              <w:spacing w:line="225" w:lineRule="exact"/>
              <w:ind w:left="1873" w:right="1874"/>
              <w:rPr>
                <w:sz w:val="20"/>
              </w:rPr>
            </w:pPr>
            <w:r>
              <w:rPr>
                <w:sz w:val="20"/>
              </w:rPr>
              <w:t>AVALIAÇÃO</w:t>
            </w:r>
          </w:p>
        </w:tc>
      </w:tr>
      <w:tr>
        <w:trPr>
          <w:trHeight w:val="1640" w:hRule="exact"/>
        </w:trPr>
        <w:tc>
          <w:tcPr>
            <w:tcW w:w="3827" w:type="dxa"/>
            <w:gridSpan w:val="2"/>
            <w:vMerge/>
            <w:tcBorders>
              <w:bottom w:val="single" w:sz="17" w:space="0" w:color="000000"/>
              <w:right w:val="single" w:sz="17" w:space="0" w:color="000000"/>
            </w:tcBorders>
          </w:tcPr>
          <w:p>
            <w:pPr/>
          </w:p>
        </w:tc>
        <w:tc>
          <w:tcPr>
            <w:tcW w:w="1138" w:type="dxa"/>
            <w:gridSpan w:val="2"/>
            <w:vMerge w:val="restart"/>
            <w:tcBorders>
              <w:top w:val="single" w:sz="4" w:space="0" w:color="000000"/>
              <w:left w:val="single" w:sz="17" w:space="0" w:color="000000"/>
              <w:right w:val="single" w:sz="17" w:space="0" w:color="000000"/>
            </w:tcBorders>
          </w:tcPr>
          <w:p>
            <w:pPr>
              <w:pStyle w:val="TableParagraph"/>
              <w:jc w:val="left"/>
              <w:rPr>
                <w:b/>
                <w:sz w:val="22"/>
              </w:rPr>
            </w:pPr>
          </w:p>
          <w:p>
            <w:pPr>
              <w:pStyle w:val="TableParagraph"/>
              <w:spacing w:before="7"/>
              <w:jc w:val="left"/>
              <w:rPr>
                <w:b/>
                <w:sz w:val="17"/>
              </w:rPr>
            </w:pPr>
          </w:p>
          <w:p>
            <w:pPr>
              <w:pStyle w:val="TableParagraph"/>
              <w:ind w:left="33" w:right="38" w:hanging="2"/>
              <w:rPr>
                <w:sz w:val="20"/>
              </w:rPr>
            </w:pPr>
            <w:r>
              <w:rPr>
                <w:sz w:val="20"/>
              </w:rPr>
              <w:t>Nunca ou quase nunca (1-2)</w:t>
            </w:r>
          </w:p>
          <w:p>
            <w:pPr>
              <w:pStyle w:val="TableParagraph"/>
              <w:jc w:val="left"/>
              <w:rPr>
                <w:b/>
                <w:sz w:val="22"/>
              </w:rPr>
            </w:pPr>
          </w:p>
          <w:p>
            <w:pPr>
              <w:pStyle w:val="TableParagraph"/>
              <w:spacing w:before="9"/>
              <w:jc w:val="left"/>
              <w:rPr>
                <w:b/>
                <w:sz w:val="21"/>
              </w:rPr>
            </w:pPr>
          </w:p>
          <w:p>
            <w:pPr>
              <w:pStyle w:val="TableParagraph"/>
              <w:tabs>
                <w:tab w:pos="585" w:val="left" w:leader="none"/>
              </w:tabs>
              <w:ind w:right="20"/>
              <w:rPr>
                <w:sz w:val="20"/>
              </w:rPr>
            </w:pPr>
            <w:r>
              <w:rPr>
                <w:sz w:val="20"/>
              </w:rPr>
              <w:t>Nº</w:t>
              <w:tab/>
              <w:t>%</w:t>
            </w:r>
          </w:p>
        </w:tc>
        <w:tc>
          <w:tcPr>
            <w:tcW w:w="1133" w:type="dxa"/>
            <w:gridSpan w:val="2"/>
            <w:vMerge w:val="restart"/>
            <w:tcBorders>
              <w:top w:val="single" w:sz="4" w:space="0" w:color="000000"/>
              <w:left w:val="single" w:sz="17" w:space="0" w:color="000000"/>
              <w:right w:val="single" w:sz="17" w:space="0" w:color="000000"/>
            </w:tcBorders>
          </w:tcPr>
          <w:p>
            <w:pPr>
              <w:pStyle w:val="TableParagraph"/>
              <w:spacing w:before="7"/>
              <w:jc w:val="left"/>
              <w:rPr>
                <w:b/>
                <w:sz w:val="29"/>
              </w:rPr>
            </w:pPr>
          </w:p>
          <w:p>
            <w:pPr>
              <w:pStyle w:val="TableParagraph"/>
              <w:ind w:left="100" w:right="97" w:firstLine="9"/>
              <w:jc w:val="both"/>
              <w:rPr>
                <w:sz w:val="20"/>
              </w:rPr>
            </w:pPr>
            <w:r>
              <w:rPr>
                <w:sz w:val="20"/>
              </w:rPr>
              <w:t>Às vezes. Ocasional mente (3-</w:t>
            </w:r>
          </w:p>
          <w:p>
            <w:pPr>
              <w:pStyle w:val="TableParagraph"/>
              <w:ind w:left="113" w:right="116"/>
              <w:rPr>
                <w:sz w:val="20"/>
              </w:rPr>
            </w:pPr>
            <w:r>
              <w:rPr>
                <w:sz w:val="20"/>
              </w:rPr>
              <w:t>4-5)</w:t>
            </w:r>
          </w:p>
          <w:p>
            <w:pPr>
              <w:pStyle w:val="TableParagraph"/>
              <w:jc w:val="left"/>
              <w:rPr>
                <w:b/>
                <w:sz w:val="22"/>
              </w:rPr>
            </w:pPr>
          </w:p>
          <w:p>
            <w:pPr>
              <w:pStyle w:val="TableParagraph"/>
              <w:spacing w:before="136"/>
              <w:ind w:left="153"/>
              <w:jc w:val="both"/>
              <w:rPr>
                <w:sz w:val="20"/>
              </w:rPr>
            </w:pPr>
            <w:r>
              <w:rPr>
                <w:sz w:val="20"/>
              </w:rPr>
              <w:t>Nº      %</w:t>
            </w:r>
          </w:p>
        </w:tc>
        <w:tc>
          <w:tcPr>
            <w:tcW w:w="1277" w:type="dxa"/>
            <w:gridSpan w:val="2"/>
            <w:vMerge w:val="restart"/>
            <w:tcBorders>
              <w:top w:val="single" w:sz="4" w:space="0" w:color="000000"/>
              <w:left w:val="single" w:sz="17" w:space="0" w:color="000000"/>
              <w:right w:val="single" w:sz="17" w:space="0" w:color="000000"/>
            </w:tcBorders>
          </w:tcPr>
          <w:p>
            <w:pPr>
              <w:pStyle w:val="TableParagraph"/>
              <w:spacing w:before="110"/>
              <w:ind w:left="33" w:right="27"/>
              <w:rPr>
                <w:sz w:val="20"/>
              </w:rPr>
            </w:pPr>
            <w:r>
              <w:rPr>
                <w:sz w:val="20"/>
              </w:rPr>
              <w:t>Muitas vezes ou ocasiões.</w:t>
            </w:r>
          </w:p>
          <w:p>
            <w:pPr>
              <w:pStyle w:val="TableParagraph"/>
              <w:ind w:left="67" w:right="70" w:hanging="1"/>
              <w:rPr>
                <w:sz w:val="20"/>
              </w:rPr>
            </w:pPr>
            <w:r>
              <w:rPr>
                <w:sz w:val="20"/>
              </w:rPr>
              <w:t>Existem evidências do indicador (6-7-8)</w:t>
            </w:r>
          </w:p>
          <w:p>
            <w:pPr>
              <w:pStyle w:val="TableParagraph"/>
              <w:tabs>
                <w:tab w:pos="657" w:val="left" w:leader="none"/>
              </w:tabs>
              <w:spacing w:before="159"/>
              <w:ind w:right="87"/>
              <w:rPr>
                <w:sz w:val="20"/>
              </w:rPr>
            </w:pPr>
            <w:r>
              <w:rPr>
                <w:sz w:val="20"/>
              </w:rPr>
              <w:t>Nº</w:t>
              <w:tab/>
              <w:t>%</w:t>
            </w:r>
          </w:p>
        </w:tc>
        <w:tc>
          <w:tcPr>
            <w:tcW w:w="1417" w:type="dxa"/>
            <w:gridSpan w:val="2"/>
            <w:vMerge w:val="restart"/>
            <w:tcBorders>
              <w:top w:val="single" w:sz="4" w:space="0" w:color="000000"/>
              <w:left w:val="single" w:sz="17" w:space="0" w:color="000000"/>
              <w:right w:val="single" w:sz="17" w:space="0" w:color="000000"/>
            </w:tcBorders>
          </w:tcPr>
          <w:p>
            <w:pPr>
              <w:pStyle w:val="TableParagraph"/>
              <w:ind w:left="91" w:right="84" w:hanging="3"/>
              <w:rPr>
                <w:sz w:val="20"/>
              </w:rPr>
            </w:pPr>
            <w:r>
              <w:rPr>
                <w:sz w:val="20"/>
              </w:rPr>
              <w:t>De continuo. Evidências claras de aparição do indicador ou característica (9-10)</w:t>
            </w:r>
          </w:p>
          <w:p>
            <w:pPr>
              <w:pStyle w:val="TableParagraph"/>
              <w:tabs>
                <w:tab w:pos="725" w:val="left" w:leader="none"/>
              </w:tabs>
              <w:spacing w:before="49"/>
              <w:ind w:right="159"/>
              <w:rPr>
                <w:sz w:val="20"/>
              </w:rPr>
            </w:pPr>
            <w:r>
              <w:rPr>
                <w:sz w:val="20"/>
              </w:rPr>
              <w:t>Nº</w:t>
              <w:tab/>
              <w:t>%</w:t>
            </w:r>
          </w:p>
        </w:tc>
      </w:tr>
      <w:tr>
        <w:trPr>
          <w:trHeight w:val="274" w:hRule="exact"/>
        </w:trPr>
        <w:tc>
          <w:tcPr>
            <w:tcW w:w="2874" w:type="dxa"/>
            <w:tcBorders>
              <w:top w:val="single" w:sz="17" w:space="0" w:color="000000"/>
              <w:left w:val="single" w:sz="17" w:space="0" w:color="000000"/>
              <w:bottom w:val="single" w:sz="17" w:space="0" w:color="000000"/>
            </w:tcBorders>
          </w:tcPr>
          <w:p>
            <w:pPr>
              <w:pStyle w:val="TableParagraph"/>
              <w:spacing w:line="225" w:lineRule="exact"/>
              <w:ind w:left="931"/>
              <w:jc w:val="left"/>
              <w:rPr>
                <w:sz w:val="20"/>
              </w:rPr>
            </w:pPr>
            <w:r>
              <w:rPr>
                <w:sz w:val="20"/>
              </w:rPr>
              <w:t>Parâmetro</w:t>
            </w:r>
          </w:p>
        </w:tc>
        <w:tc>
          <w:tcPr>
            <w:tcW w:w="953" w:type="dxa"/>
            <w:tcBorders>
              <w:top w:val="single" w:sz="17" w:space="0" w:color="000000"/>
              <w:bottom w:val="single" w:sz="17" w:space="0" w:color="000000"/>
              <w:right w:val="single" w:sz="17" w:space="0" w:color="000000"/>
            </w:tcBorders>
          </w:tcPr>
          <w:p>
            <w:pPr>
              <w:pStyle w:val="TableParagraph"/>
              <w:spacing w:line="225" w:lineRule="exact"/>
              <w:ind w:left="68" w:right="79"/>
              <w:rPr>
                <w:sz w:val="20"/>
              </w:rPr>
            </w:pPr>
            <w:r>
              <w:rPr>
                <w:sz w:val="20"/>
              </w:rPr>
              <w:t>Amostra</w:t>
            </w:r>
          </w:p>
        </w:tc>
        <w:tc>
          <w:tcPr>
            <w:tcW w:w="1138" w:type="dxa"/>
            <w:gridSpan w:val="2"/>
            <w:vMerge/>
            <w:tcBorders>
              <w:left w:val="single" w:sz="17" w:space="0" w:color="000000"/>
              <w:bottom w:val="single" w:sz="17" w:space="0" w:color="000000"/>
              <w:right w:val="single" w:sz="17" w:space="0" w:color="000000"/>
            </w:tcBorders>
          </w:tcPr>
          <w:p>
            <w:pPr/>
          </w:p>
        </w:tc>
        <w:tc>
          <w:tcPr>
            <w:tcW w:w="1133" w:type="dxa"/>
            <w:gridSpan w:val="2"/>
            <w:vMerge/>
            <w:tcBorders>
              <w:left w:val="single" w:sz="17" w:space="0" w:color="000000"/>
              <w:bottom w:val="single" w:sz="17" w:space="0" w:color="000000"/>
              <w:right w:val="single" w:sz="17" w:space="0" w:color="000000"/>
            </w:tcBorders>
          </w:tcPr>
          <w:p>
            <w:pPr/>
          </w:p>
        </w:tc>
        <w:tc>
          <w:tcPr>
            <w:tcW w:w="1277" w:type="dxa"/>
            <w:gridSpan w:val="2"/>
            <w:vMerge/>
            <w:tcBorders>
              <w:left w:val="single" w:sz="17" w:space="0" w:color="000000"/>
              <w:bottom w:val="single" w:sz="17" w:space="0" w:color="000000"/>
              <w:right w:val="single" w:sz="17" w:space="0" w:color="000000"/>
            </w:tcBorders>
          </w:tcPr>
          <w:p>
            <w:pPr/>
          </w:p>
        </w:tc>
        <w:tc>
          <w:tcPr>
            <w:tcW w:w="1417" w:type="dxa"/>
            <w:gridSpan w:val="2"/>
            <w:vMerge/>
            <w:tcBorders>
              <w:left w:val="single" w:sz="17" w:space="0" w:color="000000"/>
              <w:bottom w:val="single" w:sz="17" w:space="0" w:color="000000"/>
              <w:right w:val="single" w:sz="17" w:space="0" w:color="000000"/>
            </w:tcBorders>
          </w:tcPr>
          <w:p>
            <w:pPr/>
          </w:p>
        </w:tc>
      </w:tr>
      <w:tr>
        <w:trPr>
          <w:trHeight w:val="250" w:hRule="exact"/>
        </w:trPr>
        <w:tc>
          <w:tcPr>
            <w:tcW w:w="2874" w:type="dxa"/>
            <w:tcBorders>
              <w:top w:val="single" w:sz="17" w:space="0" w:color="000000"/>
              <w:left w:val="single" w:sz="17" w:space="0" w:color="000000"/>
            </w:tcBorders>
          </w:tcPr>
          <w:p>
            <w:pPr>
              <w:pStyle w:val="TableParagraph"/>
              <w:spacing w:line="225" w:lineRule="exact"/>
              <w:ind w:left="28"/>
              <w:jc w:val="left"/>
              <w:rPr>
                <w:sz w:val="20"/>
              </w:rPr>
            </w:pPr>
            <w:r>
              <w:rPr>
                <w:sz w:val="20"/>
              </w:rPr>
              <w:t>Cultura Inovadora</w:t>
            </w:r>
          </w:p>
        </w:tc>
        <w:tc>
          <w:tcPr>
            <w:tcW w:w="953" w:type="dxa"/>
            <w:tcBorders>
              <w:top w:val="single" w:sz="17" w:space="0" w:color="000000"/>
              <w:right w:val="single" w:sz="17" w:space="0" w:color="000000"/>
            </w:tcBorders>
          </w:tcPr>
          <w:p>
            <w:pPr>
              <w:pStyle w:val="TableParagraph"/>
              <w:spacing w:line="225" w:lineRule="exact"/>
              <w:ind w:left="68" w:right="75"/>
              <w:rPr>
                <w:sz w:val="20"/>
              </w:rPr>
            </w:pPr>
            <w:r>
              <w:rPr>
                <w:sz w:val="20"/>
              </w:rPr>
              <w:t>04</w:t>
            </w:r>
          </w:p>
        </w:tc>
        <w:tc>
          <w:tcPr>
            <w:tcW w:w="551" w:type="dxa"/>
            <w:tcBorders>
              <w:top w:val="single" w:sz="17" w:space="0" w:color="000000"/>
              <w:left w:val="single" w:sz="17" w:space="0" w:color="000000"/>
            </w:tcBorders>
          </w:tcPr>
          <w:p>
            <w:pPr>
              <w:pStyle w:val="TableParagraph"/>
              <w:spacing w:line="225" w:lineRule="exact"/>
              <w:ind w:left="129" w:right="137"/>
              <w:rPr>
                <w:sz w:val="20"/>
              </w:rPr>
            </w:pPr>
            <w:r>
              <w:rPr>
                <w:sz w:val="20"/>
              </w:rPr>
              <w:t>06</w:t>
            </w:r>
          </w:p>
        </w:tc>
        <w:tc>
          <w:tcPr>
            <w:tcW w:w="587" w:type="dxa"/>
            <w:tcBorders>
              <w:top w:val="single" w:sz="17" w:space="0" w:color="000000"/>
              <w:right w:val="single" w:sz="17" w:space="0" w:color="000000"/>
            </w:tcBorders>
          </w:tcPr>
          <w:p>
            <w:pPr>
              <w:pStyle w:val="TableParagraph"/>
              <w:spacing w:line="225" w:lineRule="exact"/>
              <w:ind w:left="138" w:right="109"/>
              <w:rPr>
                <w:sz w:val="20"/>
              </w:rPr>
            </w:pPr>
            <w:r>
              <w:rPr>
                <w:sz w:val="20"/>
              </w:rPr>
              <w:t>0,0</w:t>
            </w:r>
          </w:p>
        </w:tc>
        <w:tc>
          <w:tcPr>
            <w:tcW w:w="524" w:type="dxa"/>
            <w:tcBorders>
              <w:top w:val="single" w:sz="17" w:space="0" w:color="000000"/>
              <w:left w:val="single" w:sz="17" w:space="0" w:color="000000"/>
            </w:tcBorders>
          </w:tcPr>
          <w:p>
            <w:pPr>
              <w:pStyle w:val="TableParagraph"/>
              <w:spacing w:line="225" w:lineRule="exact"/>
              <w:ind w:right="131"/>
              <w:jc w:val="right"/>
              <w:rPr>
                <w:sz w:val="20"/>
              </w:rPr>
            </w:pPr>
            <w:r>
              <w:rPr>
                <w:sz w:val="20"/>
              </w:rPr>
              <w:t>06</w:t>
            </w:r>
          </w:p>
        </w:tc>
        <w:tc>
          <w:tcPr>
            <w:tcW w:w="609" w:type="dxa"/>
            <w:tcBorders>
              <w:top w:val="single" w:sz="17" w:space="0" w:color="000000"/>
              <w:right w:val="single" w:sz="17" w:space="0" w:color="000000"/>
            </w:tcBorders>
          </w:tcPr>
          <w:p>
            <w:pPr>
              <w:pStyle w:val="TableParagraph"/>
              <w:spacing w:line="225" w:lineRule="exact"/>
              <w:ind w:left="107" w:right="46"/>
              <w:rPr>
                <w:sz w:val="20"/>
              </w:rPr>
            </w:pPr>
            <w:r>
              <w:rPr>
                <w:sz w:val="20"/>
              </w:rPr>
              <w:t>0,0</w:t>
            </w:r>
          </w:p>
        </w:tc>
        <w:tc>
          <w:tcPr>
            <w:tcW w:w="531" w:type="dxa"/>
            <w:tcBorders>
              <w:top w:val="single" w:sz="17" w:space="0" w:color="000000"/>
              <w:left w:val="single" w:sz="17" w:space="0" w:color="000000"/>
            </w:tcBorders>
          </w:tcPr>
          <w:p>
            <w:pPr>
              <w:pStyle w:val="TableParagraph"/>
              <w:spacing w:line="225" w:lineRule="exact"/>
              <w:ind w:left="127" w:right="119"/>
              <w:rPr>
                <w:sz w:val="20"/>
              </w:rPr>
            </w:pPr>
            <w:r>
              <w:rPr>
                <w:sz w:val="20"/>
              </w:rPr>
              <w:t>06</w:t>
            </w:r>
          </w:p>
        </w:tc>
        <w:tc>
          <w:tcPr>
            <w:tcW w:w="746" w:type="dxa"/>
            <w:tcBorders>
              <w:top w:val="single" w:sz="17" w:space="0" w:color="000000"/>
              <w:right w:val="single" w:sz="17" w:space="0" w:color="000000"/>
            </w:tcBorders>
          </w:tcPr>
          <w:p>
            <w:pPr>
              <w:pStyle w:val="TableParagraph"/>
              <w:spacing w:line="225" w:lineRule="exact"/>
              <w:ind w:right="135"/>
              <w:jc w:val="right"/>
              <w:rPr>
                <w:sz w:val="20"/>
              </w:rPr>
            </w:pPr>
            <w:r>
              <w:rPr>
                <w:sz w:val="20"/>
              </w:rPr>
              <w:t>8,33</w:t>
            </w:r>
          </w:p>
        </w:tc>
        <w:tc>
          <w:tcPr>
            <w:tcW w:w="568" w:type="dxa"/>
            <w:tcBorders>
              <w:top w:val="single" w:sz="17" w:space="0" w:color="000000"/>
              <w:left w:val="single" w:sz="17" w:space="0" w:color="000000"/>
            </w:tcBorders>
          </w:tcPr>
          <w:p>
            <w:pPr>
              <w:pStyle w:val="TableParagraph"/>
              <w:spacing w:line="225" w:lineRule="exact"/>
              <w:ind w:left="129" w:right="154"/>
              <w:rPr>
                <w:sz w:val="20"/>
              </w:rPr>
            </w:pPr>
            <w:r>
              <w:rPr>
                <w:sz w:val="20"/>
              </w:rPr>
              <w:t>06</w:t>
            </w:r>
          </w:p>
        </w:tc>
        <w:tc>
          <w:tcPr>
            <w:tcW w:w="849" w:type="dxa"/>
            <w:tcBorders>
              <w:top w:val="single" w:sz="17" w:space="0" w:color="000000"/>
              <w:right w:val="single" w:sz="17" w:space="0" w:color="000000"/>
            </w:tcBorders>
          </w:tcPr>
          <w:p>
            <w:pPr>
              <w:pStyle w:val="TableParagraph"/>
              <w:spacing w:line="225" w:lineRule="exact"/>
              <w:ind w:left="154" w:right="132"/>
              <w:rPr>
                <w:sz w:val="20"/>
              </w:rPr>
            </w:pPr>
            <w:r>
              <w:rPr>
                <w:sz w:val="20"/>
              </w:rPr>
              <w:t>91,67</w:t>
            </w:r>
          </w:p>
        </w:tc>
      </w:tr>
      <w:tr>
        <w:trPr>
          <w:trHeight w:val="230" w:hRule="exact"/>
        </w:trPr>
        <w:tc>
          <w:tcPr>
            <w:tcW w:w="2874" w:type="dxa"/>
            <w:tcBorders>
              <w:left w:val="single" w:sz="17" w:space="0" w:color="000000"/>
            </w:tcBorders>
          </w:tcPr>
          <w:p>
            <w:pPr>
              <w:pStyle w:val="TableParagraph"/>
              <w:spacing w:line="227" w:lineRule="exact"/>
              <w:ind w:left="28"/>
              <w:jc w:val="left"/>
              <w:rPr>
                <w:sz w:val="20"/>
              </w:rPr>
            </w:pPr>
            <w:r>
              <w:rPr>
                <w:sz w:val="20"/>
              </w:rPr>
              <w:t>Criatividade como Valor</w:t>
            </w:r>
          </w:p>
        </w:tc>
        <w:tc>
          <w:tcPr>
            <w:tcW w:w="953" w:type="dxa"/>
            <w:tcBorders>
              <w:right w:val="single" w:sz="17" w:space="0" w:color="000000"/>
            </w:tcBorders>
          </w:tcPr>
          <w:p>
            <w:pPr>
              <w:pStyle w:val="TableParagraph"/>
              <w:spacing w:line="227" w:lineRule="exact"/>
              <w:ind w:left="68" w:right="75"/>
              <w:rPr>
                <w:sz w:val="20"/>
              </w:rPr>
            </w:pPr>
            <w:r>
              <w:rPr>
                <w:sz w:val="20"/>
              </w:rPr>
              <w:t>04</w:t>
            </w:r>
          </w:p>
        </w:tc>
        <w:tc>
          <w:tcPr>
            <w:tcW w:w="551" w:type="dxa"/>
            <w:tcBorders>
              <w:left w:val="single" w:sz="17" w:space="0" w:color="000000"/>
            </w:tcBorders>
          </w:tcPr>
          <w:p>
            <w:pPr>
              <w:pStyle w:val="TableParagraph"/>
              <w:spacing w:line="227" w:lineRule="exact"/>
              <w:ind w:left="129" w:right="137"/>
              <w:rPr>
                <w:sz w:val="20"/>
              </w:rPr>
            </w:pPr>
            <w:r>
              <w:rPr>
                <w:sz w:val="20"/>
              </w:rPr>
              <w:t>06</w:t>
            </w:r>
          </w:p>
        </w:tc>
        <w:tc>
          <w:tcPr>
            <w:tcW w:w="587" w:type="dxa"/>
            <w:tcBorders>
              <w:right w:val="single" w:sz="17" w:space="0" w:color="000000"/>
            </w:tcBorders>
          </w:tcPr>
          <w:p>
            <w:pPr>
              <w:pStyle w:val="TableParagraph"/>
              <w:spacing w:line="227" w:lineRule="exact"/>
              <w:ind w:left="138" w:right="109"/>
              <w:rPr>
                <w:sz w:val="20"/>
              </w:rPr>
            </w:pPr>
            <w:r>
              <w:rPr>
                <w:sz w:val="20"/>
              </w:rPr>
              <w:t>0,0</w:t>
            </w:r>
          </w:p>
        </w:tc>
        <w:tc>
          <w:tcPr>
            <w:tcW w:w="524" w:type="dxa"/>
            <w:tcBorders>
              <w:left w:val="single" w:sz="17" w:space="0" w:color="000000"/>
            </w:tcBorders>
          </w:tcPr>
          <w:p>
            <w:pPr>
              <w:pStyle w:val="TableParagraph"/>
              <w:spacing w:line="227" w:lineRule="exact"/>
              <w:ind w:right="131"/>
              <w:jc w:val="right"/>
              <w:rPr>
                <w:sz w:val="20"/>
              </w:rPr>
            </w:pPr>
            <w:r>
              <w:rPr>
                <w:sz w:val="20"/>
              </w:rPr>
              <w:t>06</w:t>
            </w:r>
          </w:p>
        </w:tc>
        <w:tc>
          <w:tcPr>
            <w:tcW w:w="609" w:type="dxa"/>
            <w:tcBorders>
              <w:right w:val="single" w:sz="17" w:space="0" w:color="000000"/>
            </w:tcBorders>
          </w:tcPr>
          <w:p>
            <w:pPr>
              <w:pStyle w:val="TableParagraph"/>
              <w:spacing w:line="227" w:lineRule="exact"/>
              <w:ind w:left="107" w:right="46"/>
              <w:rPr>
                <w:sz w:val="20"/>
              </w:rPr>
            </w:pPr>
            <w:r>
              <w:rPr>
                <w:sz w:val="20"/>
              </w:rPr>
              <w:t>0,0</w:t>
            </w:r>
          </w:p>
        </w:tc>
        <w:tc>
          <w:tcPr>
            <w:tcW w:w="531" w:type="dxa"/>
            <w:tcBorders>
              <w:left w:val="single" w:sz="17" w:space="0" w:color="000000"/>
            </w:tcBorders>
          </w:tcPr>
          <w:p>
            <w:pPr>
              <w:pStyle w:val="TableParagraph"/>
              <w:spacing w:line="227" w:lineRule="exact"/>
              <w:ind w:left="127" w:right="119"/>
              <w:rPr>
                <w:sz w:val="20"/>
              </w:rPr>
            </w:pPr>
            <w:r>
              <w:rPr>
                <w:sz w:val="20"/>
              </w:rPr>
              <w:t>06</w:t>
            </w:r>
          </w:p>
        </w:tc>
        <w:tc>
          <w:tcPr>
            <w:tcW w:w="746" w:type="dxa"/>
            <w:tcBorders>
              <w:right w:val="single" w:sz="17" w:space="0" w:color="000000"/>
            </w:tcBorders>
          </w:tcPr>
          <w:p>
            <w:pPr>
              <w:pStyle w:val="TableParagraph"/>
              <w:spacing w:line="227" w:lineRule="exact"/>
              <w:ind w:right="82"/>
              <w:jc w:val="right"/>
              <w:rPr>
                <w:sz w:val="20"/>
              </w:rPr>
            </w:pPr>
            <w:r>
              <w:rPr>
                <w:sz w:val="20"/>
              </w:rPr>
              <w:t>16,67</w:t>
            </w:r>
          </w:p>
        </w:tc>
        <w:tc>
          <w:tcPr>
            <w:tcW w:w="568" w:type="dxa"/>
            <w:tcBorders>
              <w:left w:val="single" w:sz="17" w:space="0" w:color="000000"/>
            </w:tcBorders>
          </w:tcPr>
          <w:p>
            <w:pPr>
              <w:pStyle w:val="TableParagraph"/>
              <w:spacing w:line="227" w:lineRule="exact"/>
              <w:ind w:left="129" w:right="154"/>
              <w:rPr>
                <w:sz w:val="20"/>
              </w:rPr>
            </w:pPr>
            <w:r>
              <w:rPr>
                <w:sz w:val="20"/>
              </w:rPr>
              <w:t>06</w:t>
            </w:r>
          </w:p>
        </w:tc>
        <w:tc>
          <w:tcPr>
            <w:tcW w:w="849" w:type="dxa"/>
            <w:tcBorders>
              <w:right w:val="single" w:sz="17" w:space="0" w:color="000000"/>
            </w:tcBorders>
          </w:tcPr>
          <w:p>
            <w:pPr>
              <w:pStyle w:val="TableParagraph"/>
              <w:spacing w:line="227" w:lineRule="exact"/>
              <w:ind w:left="154" w:right="132"/>
              <w:rPr>
                <w:sz w:val="20"/>
              </w:rPr>
            </w:pPr>
            <w:r>
              <w:rPr>
                <w:sz w:val="20"/>
              </w:rPr>
              <w:t>83,33</w:t>
            </w:r>
          </w:p>
        </w:tc>
      </w:tr>
      <w:tr>
        <w:trPr>
          <w:trHeight w:val="461" w:hRule="exact"/>
        </w:trPr>
        <w:tc>
          <w:tcPr>
            <w:tcW w:w="2874" w:type="dxa"/>
            <w:tcBorders>
              <w:left w:val="single" w:sz="17" w:space="0" w:color="000000"/>
            </w:tcBorders>
          </w:tcPr>
          <w:p>
            <w:pPr>
              <w:pStyle w:val="TableParagraph"/>
              <w:tabs>
                <w:tab w:pos="834" w:val="left" w:leader="none"/>
                <w:tab w:pos="2542" w:val="left" w:leader="none"/>
              </w:tabs>
              <w:ind w:left="28" w:right="84"/>
              <w:jc w:val="left"/>
              <w:rPr>
                <w:sz w:val="20"/>
              </w:rPr>
            </w:pPr>
            <w:r>
              <w:rPr>
                <w:sz w:val="20"/>
              </w:rPr>
              <w:t>Visão</w:t>
              <w:tab/>
              <w:t>Transdisciplinar</w:t>
              <w:tab/>
              <w:t>no Projeto</w:t>
            </w:r>
            <w:r>
              <w:rPr>
                <w:spacing w:val="3"/>
                <w:sz w:val="20"/>
              </w:rPr>
              <w:t> </w:t>
            </w:r>
            <w:r>
              <w:rPr>
                <w:sz w:val="20"/>
              </w:rPr>
              <w:t>Educativo</w:t>
            </w:r>
          </w:p>
        </w:tc>
        <w:tc>
          <w:tcPr>
            <w:tcW w:w="953" w:type="dxa"/>
            <w:tcBorders>
              <w:right w:val="single" w:sz="17" w:space="0" w:color="000000"/>
            </w:tcBorders>
          </w:tcPr>
          <w:p>
            <w:pPr>
              <w:pStyle w:val="TableParagraph"/>
              <w:spacing w:before="112"/>
              <w:ind w:left="68" w:right="75"/>
              <w:rPr>
                <w:sz w:val="20"/>
              </w:rPr>
            </w:pPr>
            <w:r>
              <w:rPr>
                <w:sz w:val="20"/>
              </w:rPr>
              <w:t>04</w:t>
            </w:r>
          </w:p>
        </w:tc>
        <w:tc>
          <w:tcPr>
            <w:tcW w:w="551" w:type="dxa"/>
            <w:tcBorders>
              <w:left w:val="single" w:sz="17" w:space="0" w:color="000000"/>
            </w:tcBorders>
          </w:tcPr>
          <w:p>
            <w:pPr>
              <w:pStyle w:val="TableParagraph"/>
              <w:spacing w:before="112"/>
              <w:ind w:left="129" w:right="137"/>
              <w:rPr>
                <w:sz w:val="20"/>
              </w:rPr>
            </w:pPr>
            <w:r>
              <w:rPr>
                <w:sz w:val="20"/>
              </w:rPr>
              <w:t>06</w:t>
            </w:r>
          </w:p>
        </w:tc>
        <w:tc>
          <w:tcPr>
            <w:tcW w:w="587" w:type="dxa"/>
            <w:tcBorders>
              <w:right w:val="single" w:sz="17" w:space="0" w:color="000000"/>
            </w:tcBorders>
          </w:tcPr>
          <w:p>
            <w:pPr>
              <w:pStyle w:val="TableParagraph"/>
              <w:spacing w:before="112"/>
              <w:ind w:left="138" w:right="109"/>
              <w:rPr>
                <w:sz w:val="20"/>
              </w:rPr>
            </w:pPr>
            <w:r>
              <w:rPr>
                <w:sz w:val="20"/>
              </w:rPr>
              <w:t>0,0</w:t>
            </w:r>
          </w:p>
        </w:tc>
        <w:tc>
          <w:tcPr>
            <w:tcW w:w="524" w:type="dxa"/>
            <w:tcBorders>
              <w:left w:val="single" w:sz="17" w:space="0" w:color="000000"/>
            </w:tcBorders>
          </w:tcPr>
          <w:p>
            <w:pPr>
              <w:pStyle w:val="TableParagraph"/>
              <w:spacing w:before="112"/>
              <w:ind w:right="131"/>
              <w:jc w:val="right"/>
              <w:rPr>
                <w:sz w:val="20"/>
              </w:rPr>
            </w:pPr>
            <w:r>
              <w:rPr>
                <w:sz w:val="20"/>
              </w:rPr>
              <w:t>06</w:t>
            </w:r>
          </w:p>
        </w:tc>
        <w:tc>
          <w:tcPr>
            <w:tcW w:w="609" w:type="dxa"/>
            <w:tcBorders>
              <w:right w:val="single" w:sz="17" w:space="0" w:color="000000"/>
            </w:tcBorders>
          </w:tcPr>
          <w:p>
            <w:pPr>
              <w:pStyle w:val="TableParagraph"/>
              <w:spacing w:before="112"/>
              <w:ind w:left="111" w:right="46"/>
              <w:rPr>
                <w:sz w:val="20"/>
              </w:rPr>
            </w:pPr>
            <w:r>
              <w:rPr>
                <w:sz w:val="20"/>
              </w:rPr>
              <w:t>4,17</w:t>
            </w:r>
          </w:p>
        </w:tc>
        <w:tc>
          <w:tcPr>
            <w:tcW w:w="531" w:type="dxa"/>
            <w:tcBorders>
              <w:left w:val="single" w:sz="17" w:space="0" w:color="000000"/>
            </w:tcBorders>
          </w:tcPr>
          <w:p>
            <w:pPr>
              <w:pStyle w:val="TableParagraph"/>
              <w:spacing w:before="112"/>
              <w:ind w:left="127" w:right="119"/>
              <w:rPr>
                <w:sz w:val="20"/>
              </w:rPr>
            </w:pPr>
            <w:r>
              <w:rPr>
                <w:sz w:val="20"/>
              </w:rPr>
              <w:t>06</w:t>
            </w:r>
          </w:p>
        </w:tc>
        <w:tc>
          <w:tcPr>
            <w:tcW w:w="746" w:type="dxa"/>
            <w:tcBorders>
              <w:right w:val="single" w:sz="17" w:space="0" w:color="000000"/>
            </w:tcBorders>
          </w:tcPr>
          <w:p>
            <w:pPr>
              <w:pStyle w:val="TableParagraph"/>
              <w:spacing w:before="112"/>
              <w:ind w:left="277"/>
              <w:jc w:val="left"/>
              <w:rPr>
                <w:sz w:val="20"/>
              </w:rPr>
            </w:pPr>
            <w:r>
              <w:rPr>
                <w:sz w:val="20"/>
              </w:rPr>
              <w:t>50</w:t>
            </w:r>
          </w:p>
        </w:tc>
        <w:tc>
          <w:tcPr>
            <w:tcW w:w="568" w:type="dxa"/>
            <w:tcBorders>
              <w:left w:val="single" w:sz="17" w:space="0" w:color="000000"/>
            </w:tcBorders>
          </w:tcPr>
          <w:p>
            <w:pPr>
              <w:pStyle w:val="TableParagraph"/>
              <w:spacing w:before="112"/>
              <w:ind w:left="129" w:right="154"/>
              <w:rPr>
                <w:sz w:val="20"/>
              </w:rPr>
            </w:pPr>
            <w:r>
              <w:rPr>
                <w:sz w:val="20"/>
              </w:rPr>
              <w:t>06</w:t>
            </w:r>
          </w:p>
        </w:tc>
        <w:tc>
          <w:tcPr>
            <w:tcW w:w="849" w:type="dxa"/>
            <w:tcBorders>
              <w:right w:val="single" w:sz="17" w:space="0" w:color="000000"/>
            </w:tcBorders>
          </w:tcPr>
          <w:p>
            <w:pPr>
              <w:pStyle w:val="TableParagraph"/>
              <w:spacing w:before="112"/>
              <w:ind w:left="154" w:right="132"/>
              <w:rPr>
                <w:sz w:val="20"/>
              </w:rPr>
            </w:pPr>
            <w:r>
              <w:rPr>
                <w:sz w:val="20"/>
              </w:rPr>
              <w:t>45,83</w:t>
            </w:r>
          </w:p>
        </w:tc>
      </w:tr>
      <w:tr>
        <w:trPr>
          <w:trHeight w:val="485" w:hRule="exact"/>
        </w:trPr>
        <w:tc>
          <w:tcPr>
            <w:tcW w:w="2874" w:type="dxa"/>
            <w:tcBorders>
              <w:left w:val="single" w:sz="17" w:space="0" w:color="000000"/>
              <w:bottom w:val="single" w:sz="17" w:space="0" w:color="000000"/>
            </w:tcBorders>
          </w:tcPr>
          <w:p>
            <w:pPr>
              <w:pStyle w:val="TableParagraph"/>
              <w:tabs>
                <w:tab w:pos="925" w:val="left" w:leader="none"/>
                <w:tab w:pos="2058" w:val="left" w:leader="none"/>
              </w:tabs>
              <w:ind w:left="28" w:right="88"/>
              <w:jc w:val="left"/>
              <w:rPr>
                <w:sz w:val="20"/>
              </w:rPr>
            </w:pPr>
            <w:r>
              <w:rPr>
                <w:sz w:val="20"/>
              </w:rPr>
              <w:t>Valores</w:t>
              <w:tab/>
              <w:t>Humanos,</w:t>
              <w:tab/>
            </w:r>
            <w:r>
              <w:rPr>
                <w:spacing w:val="-1"/>
                <w:sz w:val="20"/>
              </w:rPr>
              <w:t>Sociais, </w:t>
            </w:r>
            <w:r>
              <w:rPr>
                <w:sz w:val="20"/>
              </w:rPr>
              <w:t>Meio</w:t>
            </w:r>
            <w:r>
              <w:rPr>
                <w:spacing w:val="2"/>
                <w:sz w:val="20"/>
              </w:rPr>
              <w:t> </w:t>
            </w:r>
            <w:r>
              <w:rPr>
                <w:sz w:val="20"/>
              </w:rPr>
              <w:t>ambientais</w:t>
            </w:r>
          </w:p>
        </w:tc>
        <w:tc>
          <w:tcPr>
            <w:tcW w:w="953" w:type="dxa"/>
            <w:tcBorders>
              <w:bottom w:val="single" w:sz="17" w:space="0" w:color="000000"/>
              <w:right w:val="single" w:sz="17" w:space="0" w:color="000000"/>
            </w:tcBorders>
          </w:tcPr>
          <w:p>
            <w:pPr>
              <w:pStyle w:val="TableParagraph"/>
              <w:spacing w:before="112"/>
              <w:ind w:left="68" w:right="75"/>
              <w:rPr>
                <w:sz w:val="20"/>
              </w:rPr>
            </w:pPr>
            <w:r>
              <w:rPr>
                <w:sz w:val="20"/>
              </w:rPr>
              <w:t>04</w:t>
            </w:r>
          </w:p>
        </w:tc>
        <w:tc>
          <w:tcPr>
            <w:tcW w:w="551" w:type="dxa"/>
            <w:tcBorders>
              <w:left w:val="single" w:sz="17" w:space="0" w:color="000000"/>
              <w:bottom w:val="single" w:sz="17" w:space="0" w:color="000000"/>
            </w:tcBorders>
          </w:tcPr>
          <w:p>
            <w:pPr>
              <w:pStyle w:val="TableParagraph"/>
              <w:spacing w:before="112"/>
              <w:ind w:left="129" w:right="137"/>
              <w:rPr>
                <w:sz w:val="20"/>
              </w:rPr>
            </w:pPr>
            <w:r>
              <w:rPr>
                <w:sz w:val="20"/>
              </w:rPr>
              <w:t>06</w:t>
            </w:r>
          </w:p>
        </w:tc>
        <w:tc>
          <w:tcPr>
            <w:tcW w:w="587" w:type="dxa"/>
            <w:tcBorders>
              <w:bottom w:val="single" w:sz="17" w:space="0" w:color="000000"/>
              <w:right w:val="single" w:sz="17" w:space="0" w:color="000000"/>
            </w:tcBorders>
          </w:tcPr>
          <w:p>
            <w:pPr>
              <w:pStyle w:val="TableParagraph"/>
              <w:spacing w:before="112"/>
              <w:ind w:left="138" w:right="109"/>
              <w:rPr>
                <w:sz w:val="20"/>
              </w:rPr>
            </w:pPr>
            <w:r>
              <w:rPr>
                <w:sz w:val="20"/>
              </w:rPr>
              <w:t>0,0</w:t>
            </w:r>
          </w:p>
        </w:tc>
        <w:tc>
          <w:tcPr>
            <w:tcW w:w="524" w:type="dxa"/>
            <w:tcBorders>
              <w:left w:val="single" w:sz="17" w:space="0" w:color="000000"/>
              <w:bottom w:val="single" w:sz="17" w:space="0" w:color="000000"/>
            </w:tcBorders>
          </w:tcPr>
          <w:p>
            <w:pPr>
              <w:pStyle w:val="TableParagraph"/>
              <w:spacing w:before="112"/>
              <w:ind w:right="131"/>
              <w:jc w:val="right"/>
              <w:rPr>
                <w:sz w:val="20"/>
              </w:rPr>
            </w:pPr>
            <w:r>
              <w:rPr>
                <w:sz w:val="20"/>
              </w:rPr>
              <w:t>06</w:t>
            </w:r>
          </w:p>
        </w:tc>
        <w:tc>
          <w:tcPr>
            <w:tcW w:w="609" w:type="dxa"/>
            <w:tcBorders>
              <w:bottom w:val="single" w:sz="17" w:space="0" w:color="000000"/>
              <w:right w:val="single" w:sz="17" w:space="0" w:color="000000"/>
            </w:tcBorders>
          </w:tcPr>
          <w:p>
            <w:pPr>
              <w:pStyle w:val="TableParagraph"/>
              <w:spacing w:before="112"/>
              <w:ind w:left="107" w:right="46"/>
              <w:rPr>
                <w:sz w:val="20"/>
              </w:rPr>
            </w:pPr>
            <w:r>
              <w:rPr>
                <w:sz w:val="20"/>
              </w:rPr>
              <w:t>0,0</w:t>
            </w:r>
          </w:p>
        </w:tc>
        <w:tc>
          <w:tcPr>
            <w:tcW w:w="531" w:type="dxa"/>
            <w:tcBorders>
              <w:left w:val="single" w:sz="17" w:space="0" w:color="000000"/>
              <w:bottom w:val="single" w:sz="17" w:space="0" w:color="000000"/>
            </w:tcBorders>
          </w:tcPr>
          <w:p>
            <w:pPr>
              <w:pStyle w:val="TableParagraph"/>
              <w:spacing w:before="112"/>
              <w:ind w:left="127" w:right="119"/>
              <w:rPr>
                <w:sz w:val="20"/>
              </w:rPr>
            </w:pPr>
            <w:r>
              <w:rPr>
                <w:sz w:val="20"/>
              </w:rPr>
              <w:t>06</w:t>
            </w:r>
          </w:p>
        </w:tc>
        <w:tc>
          <w:tcPr>
            <w:tcW w:w="746" w:type="dxa"/>
            <w:tcBorders>
              <w:bottom w:val="single" w:sz="17" w:space="0" w:color="000000"/>
              <w:right w:val="single" w:sz="17" w:space="0" w:color="000000"/>
            </w:tcBorders>
          </w:tcPr>
          <w:p>
            <w:pPr>
              <w:pStyle w:val="TableParagraph"/>
              <w:spacing w:before="112"/>
              <w:ind w:left="277"/>
              <w:jc w:val="left"/>
              <w:rPr>
                <w:sz w:val="20"/>
              </w:rPr>
            </w:pPr>
            <w:r>
              <w:rPr>
                <w:sz w:val="20"/>
              </w:rPr>
              <w:t>50</w:t>
            </w:r>
          </w:p>
        </w:tc>
        <w:tc>
          <w:tcPr>
            <w:tcW w:w="568" w:type="dxa"/>
            <w:tcBorders>
              <w:left w:val="single" w:sz="17" w:space="0" w:color="000000"/>
              <w:bottom w:val="single" w:sz="17" w:space="0" w:color="000000"/>
            </w:tcBorders>
          </w:tcPr>
          <w:p>
            <w:pPr>
              <w:pStyle w:val="TableParagraph"/>
              <w:spacing w:before="112"/>
              <w:ind w:left="129" w:right="154"/>
              <w:rPr>
                <w:sz w:val="20"/>
              </w:rPr>
            </w:pPr>
            <w:r>
              <w:rPr>
                <w:sz w:val="20"/>
              </w:rPr>
              <w:t>06</w:t>
            </w:r>
          </w:p>
        </w:tc>
        <w:tc>
          <w:tcPr>
            <w:tcW w:w="849" w:type="dxa"/>
            <w:tcBorders>
              <w:bottom w:val="single" w:sz="17" w:space="0" w:color="000000"/>
              <w:right w:val="single" w:sz="17" w:space="0" w:color="000000"/>
            </w:tcBorders>
          </w:tcPr>
          <w:p>
            <w:pPr>
              <w:pStyle w:val="TableParagraph"/>
              <w:spacing w:before="112"/>
              <w:ind w:left="152" w:right="132"/>
              <w:rPr>
                <w:sz w:val="20"/>
              </w:rPr>
            </w:pPr>
            <w:r>
              <w:rPr>
                <w:sz w:val="20"/>
              </w:rPr>
              <w:t>50</w:t>
            </w:r>
          </w:p>
        </w:tc>
      </w:tr>
    </w:tbl>
    <w:p>
      <w:pPr>
        <w:spacing w:before="0"/>
        <w:ind w:left="308" w:right="0" w:firstLine="0"/>
        <w:jc w:val="left"/>
        <w:rPr>
          <w:sz w:val="20"/>
        </w:rPr>
      </w:pPr>
      <w:r>
        <w:rPr>
          <w:sz w:val="20"/>
        </w:rPr>
        <w:t>Fonte: Dados da Pesquisa – Mestrado – Pinho (2014</w:t>
      </w:r>
    </w:p>
    <w:p>
      <w:pPr>
        <w:pStyle w:val="BodyText"/>
        <w:rPr>
          <w:sz w:val="22"/>
        </w:rPr>
      </w:pPr>
    </w:p>
    <w:p>
      <w:pPr>
        <w:pStyle w:val="BodyText"/>
        <w:rPr>
          <w:sz w:val="26"/>
        </w:rPr>
      </w:pPr>
    </w:p>
    <w:p>
      <w:pPr>
        <w:spacing w:before="1" w:after="11"/>
        <w:ind w:left="495" w:right="332" w:firstLine="0"/>
        <w:jc w:val="center"/>
        <w:rPr>
          <w:b/>
          <w:sz w:val="20"/>
        </w:rPr>
      </w:pPr>
      <w:r>
        <w:rPr>
          <w:b/>
          <w:sz w:val="20"/>
        </w:rPr>
        <w:t>Quadro 02: Categoria I – Nível de Consciência Criativa / visão, missão, cultura e valor na percepção dos professores</w:t>
      </w:r>
    </w:p>
    <w:tbl>
      <w:tblPr>
        <w:tblW w:w="0" w:type="auto"/>
        <w:jc w:val="left"/>
        <w:tblInd w:w="28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66"/>
        <w:gridCol w:w="956"/>
        <w:gridCol w:w="560"/>
        <w:gridCol w:w="717"/>
        <w:gridCol w:w="531"/>
        <w:gridCol w:w="741"/>
        <w:gridCol w:w="639"/>
        <w:gridCol w:w="782"/>
        <w:gridCol w:w="709"/>
        <w:gridCol w:w="991"/>
      </w:tblGrid>
      <w:tr>
        <w:trPr>
          <w:trHeight w:val="257" w:hRule="exact"/>
        </w:trPr>
        <w:tc>
          <w:tcPr>
            <w:tcW w:w="3121" w:type="dxa"/>
            <w:gridSpan w:val="2"/>
            <w:vMerge w:val="restart"/>
            <w:tcBorders>
              <w:right w:val="single" w:sz="17" w:space="0" w:color="000000"/>
            </w:tcBorders>
          </w:tcPr>
          <w:p>
            <w:pPr/>
          </w:p>
        </w:tc>
        <w:tc>
          <w:tcPr>
            <w:tcW w:w="5671" w:type="dxa"/>
            <w:gridSpan w:val="8"/>
            <w:tcBorders>
              <w:top w:val="single" w:sz="17" w:space="0" w:color="000000"/>
              <w:left w:val="single" w:sz="17" w:space="0" w:color="000000"/>
              <w:bottom w:val="single" w:sz="4" w:space="0" w:color="000000"/>
              <w:right w:val="single" w:sz="17" w:space="0" w:color="000000"/>
            </w:tcBorders>
          </w:tcPr>
          <w:p>
            <w:pPr>
              <w:pStyle w:val="TableParagraph"/>
              <w:spacing w:line="230" w:lineRule="exact"/>
              <w:ind w:left="2199" w:right="2197"/>
              <w:rPr>
                <w:sz w:val="20"/>
              </w:rPr>
            </w:pPr>
            <w:r>
              <w:rPr>
                <w:sz w:val="20"/>
              </w:rPr>
              <w:t>AVALIAÇÃO</w:t>
            </w:r>
          </w:p>
        </w:tc>
      </w:tr>
      <w:tr>
        <w:trPr>
          <w:trHeight w:val="1472" w:hRule="exact"/>
        </w:trPr>
        <w:tc>
          <w:tcPr>
            <w:tcW w:w="3121" w:type="dxa"/>
            <w:gridSpan w:val="2"/>
            <w:vMerge/>
            <w:tcBorders>
              <w:bottom w:val="single" w:sz="17" w:space="0" w:color="000000"/>
              <w:right w:val="single" w:sz="17" w:space="0" w:color="000000"/>
            </w:tcBorders>
          </w:tcPr>
          <w:p>
            <w:pPr/>
          </w:p>
        </w:tc>
        <w:tc>
          <w:tcPr>
            <w:tcW w:w="1277" w:type="dxa"/>
            <w:gridSpan w:val="2"/>
            <w:vMerge w:val="restart"/>
            <w:tcBorders>
              <w:top w:val="single" w:sz="4" w:space="0" w:color="000000"/>
              <w:left w:val="single" w:sz="17" w:space="0" w:color="000000"/>
              <w:right w:val="single" w:sz="17" w:space="0" w:color="000000"/>
            </w:tcBorders>
          </w:tcPr>
          <w:p>
            <w:pPr>
              <w:pStyle w:val="TableParagraph"/>
              <w:spacing w:before="6"/>
              <w:jc w:val="left"/>
              <w:rPr>
                <w:b/>
                <w:sz w:val="32"/>
              </w:rPr>
            </w:pPr>
          </w:p>
          <w:p>
            <w:pPr>
              <w:pStyle w:val="TableParagraph"/>
              <w:ind w:left="43" w:right="44" w:hanging="1"/>
              <w:rPr>
                <w:sz w:val="20"/>
              </w:rPr>
            </w:pPr>
            <w:r>
              <w:rPr>
                <w:sz w:val="20"/>
              </w:rPr>
              <w:t>Nunca ou quase nunca (1-2)</w:t>
            </w:r>
          </w:p>
          <w:p>
            <w:pPr>
              <w:pStyle w:val="TableParagraph"/>
              <w:jc w:val="left"/>
              <w:rPr>
                <w:b/>
                <w:sz w:val="22"/>
              </w:rPr>
            </w:pPr>
          </w:p>
          <w:p>
            <w:pPr>
              <w:pStyle w:val="TableParagraph"/>
              <w:tabs>
                <w:tab w:pos="657" w:val="left" w:leader="none"/>
              </w:tabs>
              <w:spacing w:before="164"/>
              <w:ind w:right="87"/>
              <w:rPr>
                <w:sz w:val="20"/>
              </w:rPr>
            </w:pPr>
            <w:r>
              <w:rPr>
                <w:sz w:val="20"/>
              </w:rPr>
              <w:t>Nº</w:t>
              <w:tab/>
              <w:t>%</w:t>
            </w:r>
          </w:p>
        </w:tc>
        <w:tc>
          <w:tcPr>
            <w:tcW w:w="1273" w:type="dxa"/>
            <w:gridSpan w:val="2"/>
            <w:vMerge w:val="restart"/>
            <w:tcBorders>
              <w:top w:val="single" w:sz="4" w:space="0" w:color="000000"/>
              <w:left w:val="single" w:sz="17" w:space="0" w:color="000000"/>
              <w:right w:val="single" w:sz="17" w:space="0" w:color="000000"/>
            </w:tcBorders>
          </w:tcPr>
          <w:p>
            <w:pPr>
              <w:pStyle w:val="TableParagraph"/>
              <w:spacing w:before="6"/>
              <w:jc w:val="left"/>
              <w:rPr>
                <w:b/>
                <w:sz w:val="32"/>
              </w:rPr>
            </w:pPr>
          </w:p>
          <w:p>
            <w:pPr>
              <w:pStyle w:val="TableParagraph"/>
              <w:ind w:left="33" w:right="21" w:hanging="8"/>
              <w:rPr>
                <w:sz w:val="20"/>
              </w:rPr>
            </w:pPr>
            <w:r>
              <w:rPr>
                <w:sz w:val="20"/>
              </w:rPr>
              <w:t>Às vezes. Ocasionalme nte (3-4-5)</w:t>
            </w:r>
          </w:p>
          <w:p>
            <w:pPr>
              <w:pStyle w:val="TableParagraph"/>
              <w:jc w:val="left"/>
              <w:rPr>
                <w:b/>
                <w:sz w:val="22"/>
              </w:rPr>
            </w:pPr>
          </w:p>
          <w:p>
            <w:pPr>
              <w:pStyle w:val="TableParagraph"/>
              <w:tabs>
                <w:tab w:pos="652" w:val="left" w:leader="none"/>
              </w:tabs>
              <w:spacing w:before="164"/>
              <w:ind w:right="88"/>
              <w:rPr>
                <w:sz w:val="20"/>
              </w:rPr>
            </w:pPr>
            <w:r>
              <w:rPr>
                <w:sz w:val="20"/>
              </w:rPr>
              <w:t>Nº</w:t>
              <w:tab/>
              <w:t>%</w:t>
            </w:r>
          </w:p>
        </w:tc>
        <w:tc>
          <w:tcPr>
            <w:tcW w:w="1421" w:type="dxa"/>
            <w:gridSpan w:val="2"/>
            <w:vMerge w:val="restart"/>
            <w:tcBorders>
              <w:top w:val="single" w:sz="4" w:space="0" w:color="000000"/>
              <w:left w:val="single" w:sz="17" w:space="0" w:color="000000"/>
              <w:right w:val="single" w:sz="17" w:space="0" w:color="000000"/>
            </w:tcBorders>
          </w:tcPr>
          <w:p>
            <w:pPr>
              <w:pStyle w:val="TableParagraph"/>
              <w:spacing w:before="28"/>
              <w:ind w:left="100" w:right="104"/>
              <w:rPr>
                <w:sz w:val="20"/>
              </w:rPr>
            </w:pPr>
            <w:r>
              <w:rPr>
                <w:sz w:val="20"/>
              </w:rPr>
              <w:t>Muitas vezes ou ocasiões.</w:t>
            </w:r>
          </w:p>
          <w:p>
            <w:pPr>
              <w:pStyle w:val="TableParagraph"/>
              <w:spacing w:line="237" w:lineRule="auto" w:before="2"/>
              <w:ind w:left="38" w:right="41" w:hanging="11"/>
              <w:rPr>
                <w:sz w:val="20"/>
              </w:rPr>
            </w:pPr>
            <w:r>
              <w:rPr>
                <w:sz w:val="20"/>
              </w:rPr>
              <w:t>Existem evidências do indicador (6-7-</w:t>
            </w:r>
          </w:p>
          <w:p>
            <w:pPr>
              <w:pStyle w:val="TableParagraph"/>
              <w:spacing w:before="1"/>
              <w:ind w:left="95" w:right="104"/>
              <w:rPr>
                <w:sz w:val="20"/>
              </w:rPr>
            </w:pPr>
            <w:r>
              <w:rPr>
                <w:sz w:val="20"/>
              </w:rPr>
              <w:t>8)</w:t>
            </w:r>
          </w:p>
          <w:p>
            <w:pPr>
              <w:pStyle w:val="TableParagraph"/>
              <w:tabs>
                <w:tab w:pos="729" w:val="left" w:leader="none"/>
              </w:tabs>
              <w:spacing w:before="77"/>
              <w:ind w:right="15"/>
              <w:rPr>
                <w:sz w:val="20"/>
              </w:rPr>
            </w:pPr>
            <w:r>
              <w:rPr>
                <w:sz w:val="20"/>
              </w:rPr>
              <w:t>Nº</w:t>
              <w:tab/>
              <w:t>%</w:t>
            </w:r>
          </w:p>
        </w:tc>
        <w:tc>
          <w:tcPr>
            <w:tcW w:w="1700" w:type="dxa"/>
            <w:gridSpan w:val="2"/>
            <w:vMerge w:val="restart"/>
            <w:tcBorders>
              <w:top w:val="single" w:sz="4" w:space="0" w:color="000000"/>
              <w:left w:val="single" w:sz="17" w:space="0" w:color="000000"/>
              <w:right w:val="single" w:sz="17" w:space="0" w:color="000000"/>
            </w:tcBorders>
          </w:tcPr>
          <w:p>
            <w:pPr>
              <w:pStyle w:val="TableParagraph"/>
              <w:spacing w:before="28"/>
              <w:rPr>
                <w:sz w:val="20"/>
              </w:rPr>
            </w:pPr>
            <w:r>
              <w:rPr>
                <w:sz w:val="20"/>
              </w:rPr>
              <w:t>De continuo.</w:t>
            </w:r>
          </w:p>
          <w:p>
            <w:pPr>
              <w:pStyle w:val="TableParagraph"/>
              <w:spacing w:line="237" w:lineRule="auto" w:before="2"/>
              <w:rPr>
                <w:sz w:val="20"/>
              </w:rPr>
            </w:pPr>
            <w:r>
              <w:rPr>
                <w:sz w:val="20"/>
              </w:rPr>
              <w:t>Evidências claras de aparição do indicador ou característica (9-</w:t>
            </w:r>
          </w:p>
          <w:p>
            <w:pPr>
              <w:pStyle w:val="TableParagraph"/>
              <w:ind w:right="4"/>
              <w:rPr>
                <w:sz w:val="20"/>
              </w:rPr>
            </w:pPr>
            <w:r>
              <w:rPr>
                <w:sz w:val="20"/>
              </w:rPr>
              <w:t>10)</w:t>
            </w:r>
          </w:p>
          <w:p>
            <w:pPr>
              <w:pStyle w:val="TableParagraph"/>
              <w:tabs>
                <w:tab w:pos="864" w:val="left" w:leader="none"/>
              </w:tabs>
              <w:spacing w:before="76"/>
              <w:ind w:right="159"/>
              <w:rPr>
                <w:sz w:val="20"/>
              </w:rPr>
            </w:pPr>
            <w:r>
              <w:rPr>
                <w:sz w:val="20"/>
              </w:rPr>
              <w:t>Nº</w:t>
              <w:tab/>
              <w:t>%</w:t>
            </w:r>
          </w:p>
        </w:tc>
      </w:tr>
      <w:tr>
        <w:trPr>
          <w:trHeight w:val="274" w:hRule="exact"/>
        </w:trPr>
        <w:tc>
          <w:tcPr>
            <w:tcW w:w="2166" w:type="dxa"/>
            <w:tcBorders>
              <w:top w:val="single" w:sz="17" w:space="0" w:color="000000"/>
              <w:left w:val="single" w:sz="17" w:space="0" w:color="000000"/>
              <w:bottom w:val="single" w:sz="17" w:space="0" w:color="000000"/>
            </w:tcBorders>
          </w:tcPr>
          <w:p>
            <w:pPr>
              <w:pStyle w:val="TableParagraph"/>
              <w:spacing w:line="225" w:lineRule="exact"/>
              <w:ind w:left="576"/>
              <w:jc w:val="left"/>
              <w:rPr>
                <w:sz w:val="20"/>
              </w:rPr>
            </w:pPr>
            <w:r>
              <w:rPr>
                <w:sz w:val="20"/>
              </w:rPr>
              <w:t>Parâmetro</w:t>
            </w:r>
          </w:p>
        </w:tc>
        <w:tc>
          <w:tcPr>
            <w:tcW w:w="956" w:type="dxa"/>
            <w:tcBorders>
              <w:top w:val="single" w:sz="17" w:space="0" w:color="000000"/>
              <w:bottom w:val="single" w:sz="17" w:space="0" w:color="000000"/>
              <w:right w:val="single" w:sz="17" w:space="0" w:color="000000"/>
            </w:tcBorders>
          </w:tcPr>
          <w:p>
            <w:pPr>
              <w:pStyle w:val="TableParagraph"/>
              <w:spacing w:line="225" w:lineRule="exact"/>
              <w:ind w:left="65" w:right="83"/>
              <w:rPr>
                <w:sz w:val="20"/>
              </w:rPr>
            </w:pPr>
            <w:r>
              <w:rPr>
                <w:sz w:val="20"/>
              </w:rPr>
              <w:t>Amostra</w:t>
            </w:r>
          </w:p>
        </w:tc>
        <w:tc>
          <w:tcPr>
            <w:tcW w:w="1277" w:type="dxa"/>
            <w:gridSpan w:val="2"/>
            <w:vMerge/>
            <w:tcBorders>
              <w:left w:val="single" w:sz="17" w:space="0" w:color="000000"/>
              <w:bottom w:val="single" w:sz="17" w:space="0" w:color="000000"/>
              <w:right w:val="single" w:sz="17" w:space="0" w:color="000000"/>
            </w:tcBorders>
          </w:tcPr>
          <w:p>
            <w:pPr/>
          </w:p>
        </w:tc>
        <w:tc>
          <w:tcPr>
            <w:tcW w:w="1273" w:type="dxa"/>
            <w:gridSpan w:val="2"/>
            <w:vMerge/>
            <w:tcBorders>
              <w:left w:val="single" w:sz="17" w:space="0" w:color="000000"/>
              <w:bottom w:val="single" w:sz="17" w:space="0" w:color="000000"/>
              <w:right w:val="single" w:sz="17" w:space="0" w:color="000000"/>
            </w:tcBorders>
          </w:tcPr>
          <w:p>
            <w:pPr/>
          </w:p>
        </w:tc>
        <w:tc>
          <w:tcPr>
            <w:tcW w:w="1421" w:type="dxa"/>
            <w:gridSpan w:val="2"/>
            <w:vMerge/>
            <w:tcBorders>
              <w:left w:val="single" w:sz="17" w:space="0" w:color="000000"/>
              <w:bottom w:val="single" w:sz="17" w:space="0" w:color="000000"/>
              <w:right w:val="single" w:sz="17" w:space="0" w:color="000000"/>
            </w:tcBorders>
          </w:tcPr>
          <w:p>
            <w:pPr/>
          </w:p>
        </w:tc>
        <w:tc>
          <w:tcPr>
            <w:tcW w:w="1700" w:type="dxa"/>
            <w:gridSpan w:val="2"/>
            <w:vMerge/>
            <w:tcBorders>
              <w:left w:val="single" w:sz="17" w:space="0" w:color="000000"/>
              <w:bottom w:val="single" w:sz="17" w:space="0" w:color="000000"/>
              <w:right w:val="single" w:sz="17" w:space="0" w:color="000000"/>
            </w:tcBorders>
          </w:tcPr>
          <w:p>
            <w:pPr/>
          </w:p>
        </w:tc>
      </w:tr>
      <w:tr>
        <w:trPr>
          <w:trHeight w:val="290" w:hRule="exact"/>
        </w:trPr>
        <w:tc>
          <w:tcPr>
            <w:tcW w:w="2166" w:type="dxa"/>
            <w:tcBorders>
              <w:top w:val="single" w:sz="17" w:space="0" w:color="000000"/>
              <w:left w:val="single" w:sz="17" w:space="0" w:color="000000"/>
            </w:tcBorders>
          </w:tcPr>
          <w:p>
            <w:pPr>
              <w:pStyle w:val="TableParagraph"/>
              <w:spacing w:line="225" w:lineRule="exact"/>
              <w:ind w:left="28"/>
              <w:jc w:val="left"/>
              <w:rPr>
                <w:sz w:val="20"/>
              </w:rPr>
            </w:pPr>
            <w:r>
              <w:rPr>
                <w:sz w:val="20"/>
              </w:rPr>
              <w:t>Cultura Inovadora</w:t>
            </w:r>
          </w:p>
        </w:tc>
        <w:tc>
          <w:tcPr>
            <w:tcW w:w="956" w:type="dxa"/>
            <w:tcBorders>
              <w:top w:val="single" w:sz="17" w:space="0" w:color="000000"/>
              <w:right w:val="single" w:sz="17" w:space="0" w:color="000000"/>
            </w:tcBorders>
          </w:tcPr>
          <w:p>
            <w:pPr>
              <w:pStyle w:val="TableParagraph"/>
              <w:spacing w:before="23"/>
              <w:ind w:left="65" w:right="80"/>
              <w:rPr>
                <w:sz w:val="20"/>
              </w:rPr>
            </w:pPr>
            <w:r>
              <w:rPr>
                <w:sz w:val="20"/>
              </w:rPr>
              <w:t>06</w:t>
            </w:r>
          </w:p>
        </w:tc>
        <w:tc>
          <w:tcPr>
            <w:tcW w:w="560" w:type="dxa"/>
            <w:tcBorders>
              <w:top w:val="single" w:sz="17" w:space="0" w:color="000000"/>
              <w:left w:val="single" w:sz="17" w:space="0" w:color="000000"/>
            </w:tcBorders>
          </w:tcPr>
          <w:p>
            <w:pPr>
              <w:pStyle w:val="TableParagraph"/>
              <w:spacing w:before="23"/>
              <w:ind w:left="129" w:right="147"/>
              <w:rPr>
                <w:sz w:val="20"/>
              </w:rPr>
            </w:pPr>
            <w:r>
              <w:rPr>
                <w:sz w:val="20"/>
              </w:rPr>
              <w:t>06</w:t>
            </w:r>
          </w:p>
        </w:tc>
        <w:tc>
          <w:tcPr>
            <w:tcW w:w="717" w:type="dxa"/>
            <w:tcBorders>
              <w:top w:val="single" w:sz="17" w:space="0" w:color="000000"/>
              <w:right w:val="single" w:sz="17" w:space="0" w:color="000000"/>
            </w:tcBorders>
          </w:tcPr>
          <w:p>
            <w:pPr>
              <w:pStyle w:val="TableParagraph"/>
              <w:spacing w:before="23"/>
              <w:ind w:right="135"/>
              <w:jc w:val="right"/>
              <w:rPr>
                <w:sz w:val="20"/>
              </w:rPr>
            </w:pPr>
            <w:r>
              <w:rPr>
                <w:sz w:val="20"/>
              </w:rPr>
              <w:t>5,56</w:t>
            </w:r>
          </w:p>
        </w:tc>
        <w:tc>
          <w:tcPr>
            <w:tcW w:w="531" w:type="dxa"/>
            <w:tcBorders>
              <w:top w:val="single" w:sz="17" w:space="0" w:color="000000"/>
              <w:left w:val="single" w:sz="17" w:space="0" w:color="000000"/>
            </w:tcBorders>
          </w:tcPr>
          <w:p>
            <w:pPr>
              <w:pStyle w:val="TableParagraph"/>
              <w:spacing w:before="23"/>
              <w:ind w:right="138"/>
              <w:jc w:val="right"/>
              <w:rPr>
                <w:sz w:val="20"/>
              </w:rPr>
            </w:pPr>
            <w:r>
              <w:rPr>
                <w:sz w:val="20"/>
              </w:rPr>
              <w:t>06</w:t>
            </w:r>
          </w:p>
        </w:tc>
        <w:tc>
          <w:tcPr>
            <w:tcW w:w="741" w:type="dxa"/>
            <w:tcBorders>
              <w:top w:val="single" w:sz="17" w:space="0" w:color="000000"/>
              <w:right w:val="single" w:sz="17" w:space="0" w:color="000000"/>
            </w:tcBorders>
          </w:tcPr>
          <w:p>
            <w:pPr>
              <w:pStyle w:val="TableParagraph"/>
              <w:spacing w:before="23"/>
              <w:ind w:left="118" w:right="61"/>
              <w:rPr>
                <w:sz w:val="20"/>
              </w:rPr>
            </w:pPr>
            <w:r>
              <w:rPr>
                <w:sz w:val="20"/>
              </w:rPr>
              <w:t>27,78</w:t>
            </w:r>
          </w:p>
        </w:tc>
        <w:tc>
          <w:tcPr>
            <w:tcW w:w="639" w:type="dxa"/>
            <w:tcBorders>
              <w:top w:val="single" w:sz="17" w:space="0" w:color="000000"/>
              <w:left w:val="single" w:sz="17" w:space="0" w:color="000000"/>
            </w:tcBorders>
          </w:tcPr>
          <w:p>
            <w:pPr>
              <w:pStyle w:val="TableParagraph"/>
              <w:spacing w:before="23"/>
              <w:ind w:right="174"/>
              <w:jc w:val="right"/>
              <w:rPr>
                <w:sz w:val="20"/>
              </w:rPr>
            </w:pPr>
            <w:r>
              <w:rPr>
                <w:sz w:val="20"/>
              </w:rPr>
              <w:t>06</w:t>
            </w:r>
          </w:p>
        </w:tc>
        <w:tc>
          <w:tcPr>
            <w:tcW w:w="782" w:type="dxa"/>
            <w:tcBorders>
              <w:top w:val="single" w:sz="17" w:space="0" w:color="000000"/>
              <w:right w:val="single" w:sz="17" w:space="0" w:color="000000"/>
            </w:tcBorders>
          </w:tcPr>
          <w:p>
            <w:pPr>
              <w:pStyle w:val="TableParagraph"/>
              <w:spacing w:before="23"/>
              <w:ind w:right="82"/>
              <w:jc w:val="right"/>
              <w:rPr>
                <w:sz w:val="20"/>
              </w:rPr>
            </w:pPr>
            <w:r>
              <w:rPr>
                <w:sz w:val="20"/>
              </w:rPr>
              <w:t>33,33</w:t>
            </w:r>
          </w:p>
        </w:tc>
        <w:tc>
          <w:tcPr>
            <w:tcW w:w="709" w:type="dxa"/>
            <w:tcBorders>
              <w:top w:val="single" w:sz="17" w:space="0" w:color="000000"/>
              <w:left w:val="single" w:sz="17" w:space="0" w:color="000000"/>
            </w:tcBorders>
          </w:tcPr>
          <w:p>
            <w:pPr>
              <w:pStyle w:val="TableParagraph"/>
              <w:spacing w:before="23"/>
              <w:ind w:right="243"/>
              <w:jc w:val="right"/>
              <w:rPr>
                <w:sz w:val="20"/>
              </w:rPr>
            </w:pPr>
            <w:r>
              <w:rPr>
                <w:sz w:val="20"/>
              </w:rPr>
              <w:t>06</w:t>
            </w:r>
          </w:p>
        </w:tc>
        <w:tc>
          <w:tcPr>
            <w:tcW w:w="991" w:type="dxa"/>
            <w:tcBorders>
              <w:top w:val="single" w:sz="17" w:space="0" w:color="000000"/>
              <w:right w:val="single" w:sz="17" w:space="0" w:color="000000"/>
            </w:tcBorders>
          </w:tcPr>
          <w:p>
            <w:pPr>
              <w:pStyle w:val="TableParagraph"/>
              <w:spacing w:before="23"/>
              <w:ind w:left="224" w:right="204"/>
              <w:rPr>
                <w:sz w:val="20"/>
              </w:rPr>
            </w:pPr>
            <w:r>
              <w:rPr>
                <w:sz w:val="20"/>
              </w:rPr>
              <w:t>33,33</w:t>
            </w:r>
          </w:p>
        </w:tc>
      </w:tr>
      <w:tr>
        <w:trPr>
          <w:trHeight w:val="473" w:hRule="exact"/>
        </w:trPr>
        <w:tc>
          <w:tcPr>
            <w:tcW w:w="2166" w:type="dxa"/>
            <w:tcBorders>
              <w:left w:val="single" w:sz="17" w:space="0" w:color="000000"/>
            </w:tcBorders>
          </w:tcPr>
          <w:p>
            <w:pPr>
              <w:pStyle w:val="TableParagraph"/>
              <w:tabs>
                <w:tab w:pos="1564" w:val="left" w:leader="none"/>
              </w:tabs>
              <w:spacing w:before="9"/>
              <w:ind w:left="28" w:right="81"/>
              <w:jc w:val="left"/>
              <w:rPr>
                <w:sz w:val="20"/>
              </w:rPr>
            </w:pPr>
            <w:r>
              <w:rPr>
                <w:sz w:val="20"/>
              </w:rPr>
              <w:t>Criatividade</w:t>
              <w:tab/>
              <w:t>como Valor</w:t>
            </w:r>
          </w:p>
        </w:tc>
        <w:tc>
          <w:tcPr>
            <w:tcW w:w="956" w:type="dxa"/>
            <w:tcBorders>
              <w:right w:val="single" w:sz="17" w:space="0" w:color="000000"/>
            </w:tcBorders>
          </w:tcPr>
          <w:p>
            <w:pPr>
              <w:pStyle w:val="TableParagraph"/>
              <w:spacing w:before="125"/>
              <w:ind w:left="65" w:right="80"/>
              <w:rPr>
                <w:sz w:val="20"/>
              </w:rPr>
            </w:pPr>
            <w:r>
              <w:rPr>
                <w:sz w:val="20"/>
              </w:rPr>
              <w:t>06</w:t>
            </w:r>
          </w:p>
        </w:tc>
        <w:tc>
          <w:tcPr>
            <w:tcW w:w="560" w:type="dxa"/>
            <w:tcBorders>
              <w:left w:val="single" w:sz="17" w:space="0" w:color="000000"/>
            </w:tcBorders>
          </w:tcPr>
          <w:p>
            <w:pPr>
              <w:pStyle w:val="TableParagraph"/>
              <w:spacing w:before="125"/>
              <w:ind w:left="129" w:right="147"/>
              <w:rPr>
                <w:sz w:val="20"/>
              </w:rPr>
            </w:pPr>
            <w:r>
              <w:rPr>
                <w:sz w:val="20"/>
              </w:rPr>
              <w:t>06</w:t>
            </w:r>
          </w:p>
        </w:tc>
        <w:tc>
          <w:tcPr>
            <w:tcW w:w="717" w:type="dxa"/>
            <w:tcBorders>
              <w:right w:val="single" w:sz="17" w:space="0" w:color="000000"/>
            </w:tcBorders>
          </w:tcPr>
          <w:p>
            <w:pPr>
              <w:pStyle w:val="TableParagraph"/>
              <w:spacing w:before="125"/>
              <w:ind w:right="135"/>
              <w:jc w:val="right"/>
              <w:rPr>
                <w:sz w:val="20"/>
              </w:rPr>
            </w:pPr>
            <w:r>
              <w:rPr>
                <w:sz w:val="20"/>
              </w:rPr>
              <w:t>8,34</w:t>
            </w:r>
          </w:p>
        </w:tc>
        <w:tc>
          <w:tcPr>
            <w:tcW w:w="531" w:type="dxa"/>
            <w:tcBorders>
              <w:left w:val="single" w:sz="17" w:space="0" w:color="000000"/>
            </w:tcBorders>
          </w:tcPr>
          <w:p>
            <w:pPr>
              <w:pStyle w:val="TableParagraph"/>
              <w:spacing w:before="125"/>
              <w:ind w:right="138"/>
              <w:jc w:val="right"/>
              <w:rPr>
                <w:sz w:val="20"/>
              </w:rPr>
            </w:pPr>
            <w:r>
              <w:rPr>
                <w:sz w:val="20"/>
              </w:rPr>
              <w:t>06</w:t>
            </w:r>
          </w:p>
        </w:tc>
        <w:tc>
          <w:tcPr>
            <w:tcW w:w="741" w:type="dxa"/>
            <w:tcBorders>
              <w:right w:val="single" w:sz="17" w:space="0" w:color="000000"/>
            </w:tcBorders>
          </w:tcPr>
          <w:p>
            <w:pPr>
              <w:pStyle w:val="TableParagraph"/>
              <w:spacing w:before="125"/>
              <w:ind w:left="118" w:right="61"/>
              <w:rPr>
                <w:sz w:val="20"/>
              </w:rPr>
            </w:pPr>
            <w:r>
              <w:rPr>
                <w:sz w:val="20"/>
              </w:rPr>
              <w:t>22,22</w:t>
            </w:r>
          </w:p>
        </w:tc>
        <w:tc>
          <w:tcPr>
            <w:tcW w:w="639" w:type="dxa"/>
            <w:tcBorders>
              <w:left w:val="single" w:sz="17" w:space="0" w:color="000000"/>
            </w:tcBorders>
          </w:tcPr>
          <w:p>
            <w:pPr>
              <w:pStyle w:val="TableParagraph"/>
              <w:spacing w:before="125"/>
              <w:ind w:right="174"/>
              <w:jc w:val="right"/>
              <w:rPr>
                <w:sz w:val="20"/>
              </w:rPr>
            </w:pPr>
            <w:r>
              <w:rPr>
                <w:sz w:val="20"/>
              </w:rPr>
              <w:t>06</w:t>
            </w:r>
          </w:p>
        </w:tc>
        <w:tc>
          <w:tcPr>
            <w:tcW w:w="782" w:type="dxa"/>
            <w:tcBorders>
              <w:right w:val="single" w:sz="17" w:space="0" w:color="000000"/>
            </w:tcBorders>
          </w:tcPr>
          <w:p>
            <w:pPr>
              <w:pStyle w:val="TableParagraph"/>
              <w:spacing w:before="125"/>
              <w:ind w:right="82"/>
              <w:jc w:val="right"/>
              <w:rPr>
                <w:sz w:val="20"/>
              </w:rPr>
            </w:pPr>
            <w:r>
              <w:rPr>
                <w:sz w:val="20"/>
              </w:rPr>
              <w:t>58,33</w:t>
            </w:r>
          </w:p>
        </w:tc>
        <w:tc>
          <w:tcPr>
            <w:tcW w:w="709" w:type="dxa"/>
            <w:tcBorders>
              <w:left w:val="single" w:sz="17" w:space="0" w:color="000000"/>
            </w:tcBorders>
          </w:tcPr>
          <w:p>
            <w:pPr>
              <w:pStyle w:val="TableParagraph"/>
              <w:spacing w:before="125"/>
              <w:ind w:right="243"/>
              <w:jc w:val="right"/>
              <w:rPr>
                <w:sz w:val="20"/>
              </w:rPr>
            </w:pPr>
            <w:r>
              <w:rPr>
                <w:sz w:val="20"/>
              </w:rPr>
              <w:t>06</w:t>
            </w:r>
          </w:p>
        </w:tc>
        <w:tc>
          <w:tcPr>
            <w:tcW w:w="991" w:type="dxa"/>
            <w:tcBorders>
              <w:right w:val="single" w:sz="17" w:space="0" w:color="000000"/>
            </w:tcBorders>
          </w:tcPr>
          <w:p>
            <w:pPr>
              <w:pStyle w:val="TableParagraph"/>
              <w:spacing w:before="125"/>
              <w:ind w:left="224" w:right="204"/>
              <w:rPr>
                <w:sz w:val="20"/>
              </w:rPr>
            </w:pPr>
            <w:r>
              <w:rPr>
                <w:sz w:val="20"/>
              </w:rPr>
              <w:t>11,11</w:t>
            </w:r>
          </w:p>
        </w:tc>
      </w:tr>
      <w:tr>
        <w:trPr>
          <w:trHeight w:val="461" w:hRule="exact"/>
        </w:trPr>
        <w:tc>
          <w:tcPr>
            <w:tcW w:w="2166" w:type="dxa"/>
            <w:tcBorders>
              <w:left w:val="single" w:sz="17" w:space="0" w:color="000000"/>
            </w:tcBorders>
          </w:tcPr>
          <w:p>
            <w:pPr>
              <w:pStyle w:val="TableParagraph"/>
              <w:ind w:left="28"/>
              <w:jc w:val="left"/>
              <w:rPr>
                <w:sz w:val="20"/>
              </w:rPr>
            </w:pPr>
            <w:r>
              <w:rPr>
                <w:sz w:val="20"/>
              </w:rPr>
              <w:t>Visão Transdisciplinar no Projeto Educativo</w:t>
            </w:r>
          </w:p>
        </w:tc>
        <w:tc>
          <w:tcPr>
            <w:tcW w:w="956" w:type="dxa"/>
            <w:tcBorders>
              <w:right w:val="single" w:sz="17" w:space="0" w:color="000000"/>
            </w:tcBorders>
          </w:tcPr>
          <w:p>
            <w:pPr>
              <w:pStyle w:val="TableParagraph"/>
              <w:spacing w:before="112"/>
              <w:ind w:left="65" w:right="80"/>
              <w:rPr>
                <w:sz w:val="20"/>
              </w:rPr>
            </w:pPr>
            <w:r>
              <w:rPr>
                <w:sz w:val="20"/>
              </w:rPr>
              <w:t>06</w:t>
            </w:r>
          </w:p>
        </w:tc>
        <w:tc>
          <w:tcPr>
            <w:tcW w:w="560" w:type="dxa"/>
            <w:tcBorders>
              <w:left w:val="single" w:sz="17" w:space="0" w:color="000000"/>
            </w:tcBorders>
          </w:tcPr>
          <w:p>
            <w:pPr>
              <w:pStyle w:val="TableParagraph"/>
              <w:spacing w:before="112"/>
              <w:ind w:left="129" w:right="147"/>
              <w:rPr>
                <w:sz w:val="20"/>
              </w:rPr>
            </w:pPr>
            <w:r>
              <w:rPr>
                <w:sz w:val="20"/>
              </w:rPr>
              <w:t>06</w:t>
            </w:r>
          </w:p>
        </w:tc>
        <w:tc>
          <w:tcPr>
            <w:tcW w:w="717" w:type="dxa"/>
            <w:tcBorders>
              <w:right w:val="single" w:sz="17" w:space="0" w:color="000000"/>
            </w:tcBorders>
          </w:tcPr>
          <w:p>
            <w:pPr>
              <w:pStyle w:val="TableParagraph"/>
              <w:spacing w:before="112"/>
              <w:ind w:right="135"/>
              <w:jc w:val="right"/>
              <w:rPr>
                <w:sz w:val="20"/>
              </w:rPr>
            </w:pPr>
            <w:r>
              <w:rPr>
                <w:sz w:val="20"/>
              </w:rPr>
              <w:t>5,56</w:t>
            </w:r>
          </w:p>
        </w:tc>
        <w:tc>
          <w:tcPr>
            <w:tcW w:w="531" w:type="dxa"/>
            <w:tcBorders>
              <w:left w:val="single" w:sz="17" w:space="0" w:color="000000"/>
            </w:tcBorders>
          </w:tcPr>
          <w:p>
            <w:pPr>
              <w:pStyle w:val="TableParagraph"/>
              <w:spacing w:before="112"/>
              <w:ind w:right="138"/>
              <w:jc w:val="right"/>
              <w:rPr>
                <w:sz w:val="20"/>
              </w:rPr>
            </w:pPr>
            <w:r>
              <w:rPr>
                <w:sz w:val="20"/>
              </w:rPr>
              <w:t>06</w:t>
            </w:r>
          </w:p>
        </w:tc>
        <w:tc>
          <w:tcPr>
            <w:tcW w:w="741" w:type="dxa"/>
            <w:tcBorders>
              <w:right w:val="single" w:sz="17" w:space="0" w:color="000000"/>
            </w:tcBorders>
          </w:tcPr>
          <w:p>
            <w:pPr>
              <w:pStyle w:val="TableParagraph"/>
              <w:spacing w:before="112"/>
              <w:ind w:left="118" w:right="61"/>
              <w:rPr>
                <w:sz w:val="20"/>
              </w:rPr>
            </w:pPr>
            <w:r>
              <w:rPr>
                <w:sz w:val="20"/>
              </w:rPr>
              <w:t>27,78</w:t>
            </w:r>
          </w:p>
        </w:tc>
        <w:tc>
          <w:tcPr>
            <w:tcW w:w="639" w:type="dxa"/>
            <w:tcBorders>
              <w:left w:val="single" w:sz="17" w:space="0" w:color="000000"/>
            </w:tcBorders>
          </w:tcPr>
          <w:p>
            <w:pPr>
              <w:pStyle w:val="TableParagraph"/>
              <w:spacing w:before="112"/>
              <w:ind w:right="174"/>
              <w:jc w:val="right"/>
              <w:rPr>
                <w:sz w:val="20"/>
              </w:rPr>
            </w:pPr>
            <w:r>
              <w:rPr>
                <w:sz w:val="20"/>
              </w:rPr>
              <w:t>06</w:t>
            </w:r>
          </w:p>
        </w:tc>
        <w:tc>
          <w:tcPr>
            <w:tcW w:w="782" w:type="dxa"/>
            <w:tcBorders>
              <w:right w:val="single" w:sz="17" w:space="0" w:color="000000"/>
            </w:tcBorders>
          </w:tcPr>
          <w:p>
            <w:pPr>
              <w:pStyle w:val="TableParagraph"/>
              <w:spacing w:before="112"/>
              <w:ind w:right="82"/>
              <w:jc w:val="right"/>
              <w:rPr>
                <w:sz w:val="20"/>
              </w:rPr>
            </w:pPr>
            <w:r>
              <w:rPr>
                <w:sz w:val="20"/>
              </w:rPr>
              <w:t>38,89</w:t>
            </w:r>
          </w:p>
        </w:tc>
        <w:tc>
          <w:tcPr>
            <w:tcW w:w="709" w:type="dxa"/>
            <w:tcBorders>
              <w:left w:val="single" w:sz="17" w:space="0" w:color="000000"/>
            </w:tcBorders>
          </w:tcPr>
          <w:p>
            <w:pPr>
              <w:pStyle w:val="TableParagraph"/>
              <w:spacing w:before="112"/>
              <w:ind w:right="243"/>
              <w:jc w:val="right"/>
              <w:rPr>
                <w:sz w:val="20"/>
              </w:rPr>
            </w:pPr>
            <w:r>
              <w:rPr>
                <w:sz w:val="20"/>
              </w:rPr>
              <w:t>06</w:t>
            </w:r>
          </w:p>
        </w:tc>
        <w:tc>
          <w:tcPr>
            <w:tcW w:w="991" w:type="dxa"/>
            <w:tcBorders>
              <w:right w:val="single" w:sz="17" w:space="0" w:color="000000"/>
            </w:tcBorders>
          </w:tcPr>
          <w:p>
            <w:pPr>
              <w:pStyle w:val="TableParagraph"/>
              <w:spacing w:before="112"/>
              <w:ind w:left="224" w:right="204"/>
              <w:rPr>
                <w:sz w:val="20"/>
              </w:rPr>
            </w:pPr>
            <w:r>
              <w:rPr>
                <w:sz w:val="20"/>
              </w:rPr>
              <w:t>27,78</w:t>
            </w:r>
          </w:p>
        </w:tc>
      </w:tr>
      <w:tr>
        <w:trPr>
          <w:trHeight w:val="230" w:hRule="exact"/>
        </w:trPr>
        <w:tc>
          <w:tcPr>
            <w:tcW w:w="2166" w:type="dxa"/>
            <w:tcBorders>
              <w:left w:val="single" w:sz="17" w:space="0" w:color="000000"/>
            </w:tcBorders>
          </w:tcPr>
          <w:p>
            <w:pPr>
              <w:pStyle w:val="TableParagraph"/>
              <w:tabs>
                <w:tab w:pos="1141" w:val="left" w:leader="none"/>
              </w:tabs>
              <w:spacing w:line="227" w:lineRule="exact"/>
              <w:ind w:left="28"/>
              <w:jc w:val="left"/>
              <w:rPr>
                <w:sz w:val="20"/>
              </w:rPr>
            </w:pPr>
            <w:r>
              <w:rPr>
                <w:sz w:val="20"/>
              </w:rPr>
              <w:t>Valores</w:t>
              <w:tab/>
              <w:t>Humanos,</w:t>
            </w:r>
          </w:p>
        </w:tc>
        <w:tc>
          <w:tcPr>
            <w:tcW w:w="956" w:type="dxa"/>
            <w:tcBorders>
              <w:right w:val="single" w:sz="17" w:space="0" w:color="000000"/>
            </w:tcBorders>
          </w:tcPr>
          <w:p>
            <w:pPr/>
          </w:p>
        </w:tc>
        <w:tc>
          <w:tcPr>
            <w:tcW w:w="560" w:type="dxa"/>
            <w:tcBorders>
              <w:left w:val="single" w:sz="17" w:space="0" w:color="000000"/>
            </w:tcBorders>
          </w:tcPr>
          <w:p>
            <w:pPr/>
          </w:p>
        </w:tc>
        <w:tc>
          <w:tcPr>
            <w:tcW w:w="717" w:type="dxa"/>
            <w:tcBorders>
              <w:right w:val="single" w:sz="17" w:space="0" w:color="000000"/>
            </w:tcBorders>
          </w:tcPr>
          <w:p>
            <w:pPr/>
          </w:p>
        </w:tc>
        <w:tc>
          <w:tcPr>
            <w:tcW w:w="531" w:type="dxa"/>
            <w:tcBorders>
              <w:left w:val="single" w:sz="17" w:space="0" w:color="000000"/>
            </w:tcBorders>
          </w:tcPr>
          <w:p>
            <w:pPr/>
          </w:p>
        </w:tc>
        <w:tc>
          <w:tcPr>
            <w:tcW w:w="741" w:type="dxa"/>
            <w:tcBorders>
              <w:right w:val="single" w:sz="17" w:space="0" w:color="000000"/>
            </w:tcBorders>
          </w:tcPr>
          <w:p>
            <w:pPr/>
          </w:p>
        </w:tc>
        <w:tc>
          <w:tcPr>
            <w:tcW w:w="639" w:type="dxa"/>
            <w:tcBorders>
              <w:left w:val="single" w:sz="17" w:space="0" w:color="000000"/>
            </w:tcBorders>
          </w:tcPr>
          <w:p>
            <w:pPr/>
          </w:p>
        </w:tc>
        <w:tc>
          <w:tcPr>
            <w:tcW w:w="782" w:type="dxa"/>
            <w:tcBorders>
              <w:right w:val="single" w:sz="17" w:space="0" w:color="000000"/>
            </w:tcBorders>
          </w:tcPr>
          <w:p>
            <w:pPr/>
          </w:p>
        </w:tc>
        <w:tc>
          <w:tcPr>
            <w:tcW w:w="709" w:type="dxa"/>
            <w:tcBorders>
              <w:left w:val="single" w:sz="17" w:space="0" w:color="000000"/>
            </w:tcBorders>
          </w:tcPr>
          <w:p>
            <w:pPr/>
          </w:p>
        </w:tc>
        <w:tc>
          <w:tcPr>
            <w:tcW w:w="991" w:type="dxa"/>
            <w:tcBorders>
              <w:right w:val="single" w:sz="17" w:space="0" w:color="000000"/>
            </w:tcBorders>
          </w:tcPr>
          <w:p>
            <w:pPr/>
          </w:p>
        </w:tc>
      </w:tr>
      <w:tr>
        <w:trPr>
          <w:trHeight w:val="230" w:hRule="exact"/>
        </w:trPr>
        <w:tc>
          <w:tcPr>
            <w:tcW w:w="2166" w:type="dxa"/>
            <w:tcBorders>
              <w:left w:val="single" w:sz="17" w:space="0" w:color="000000"/>
            </w:tcBorders>
          </w:tcPr>
          <w:p>
            <w:pPr>
              <w:pStyle w:val="TableParagraph"/>
              <w:tabs>
                <w:tab w:pos="1088" w:val="left" w:leader="none"/>
                <w:tab w:pos="1616" w:val="left" w:leader="none"/>
              </w:tabs>
              <w:spacing w:line="227" w:lineRule="exact"/>
              <w:ind w:left="28"/>
              <w:jc w:val="left"/>
              <w:rPr>
                <w:sz w:val="20"/>
              </w:rPr>
            </w:pPr>
            <w:r>
              <w:rPr>
                <w:sz w:val="20"/>
              </w:rPr>
              <w:t>Sociais</w:t>
              <w:tab/>
              <w:t>e</w:t>
              <w:tab/>
              <w:t>Meio</w:t>
            </w:r>
          </w:p>
        </w:tc>
        <w:tc>
          <w:tcPr>
            <w:tcW w:w="956" w:type="dxa"/>
            <w:tcBorders>
              <w:right w:val="single" w:sz="17" w:space="0" w:color="000000"/>
            </w:tcBorders>
          </w:tcPr>
          <w:p>
            <w:pPr>
              <w:pStyle w:val="TableParagraph"/>
              <w:spacing w:line="227" w:lineRule="exact"/>
              <w:ind w:left="65" w:right="80"/>
              <w:rPr>
                <w:sz w:val="20"/>
              </w:rPr>
            </w:pPr>
            <w:r>
              <w:rPr>
                <w:sz w:val="20"/>
              </w:rPr>
              <w:t>06</w:t>
            </w:r>
          </w:p>
        </w:tc>
        <w:tc>
          <w:tcPr>
            <w:tcW w:w="560" w:type="dxa"/>
            <w:tcBorders>
              <w:left w:val="single" w:sz="17" w:space="0" w:color="000000"/>
            </w:tcBorders>
          </w:tcPr>
          <w:p>
            <w:pPr>
              <w:pStyle w:val="TableParagraph"/>
              <w:spacing w:line="227" w:lineRule="exact"/>
              <w:ind w:left="129" w:right="147"/>
              <w:rPr>
                <w:sz w:val="20"/>
              </w:rPr>
            </w:pPr>
            <w:r>
              <w:rPr>
                <w:sz w:val="20"/>
              </w:rPr>
              <w:t>06</w:t>
            </w:r>
          </w:p>
        </w:tc>
        <w:tc>
          <w:tcPr>
            <w:tcW w:w="717" w:type="dxa"/>
            <w:tcBorders>
              <w:right w:val="single" w:sz="17" w:space="0" w:color="000000"/>
            </w:tcBorders>
          </w:tcPr>
          <w:p>
            <w:pPr>
              <w:pStyle w:val="TableParagraph"/>
              <w:spacing w:line="227" w:lineRule="exact"/>
              <w:ind w:right="193"/>
              <w:jc w:val="right"/>
              <w:rPr>
                <w:sz w:val="20"/>
              </w:rPr>
            </w:pPr>
            <w:r>
              <w:rPr>
                <w:sz w:val="20"/>
              </w:rPr>
              <w:t>0,0</w:t>
            </w:r>
          </w:p>
        </w:tc>
        <w:tc>
          <w:tcPr>
            <w:tcW w:w="531" w:type="dxa"/>
            <w:tcBorders>
              <w:left w:val="single" w:sz="17" w:space="0" w:color="000000"/>
            </w:tcBorders>
          </w:tcPr>
          <w:p>
            <w:pPr>
              <w:pStyle w:val="TableParagraph"/>
              <w:spacing w:line="227" w:lineRule="exact"/>
              <w:ind w:right="138"/>
              <w:jc w:val="right"/>
              <w:rPr>
                <w:sz w:val="20"/>
              </w:rPr>
            </w:pPr>
            <w:r>
              <w:rPr>
                <w:sz w:val="20"/>
              </w:rPr>
              <w:t>06</w:t>
            </w:r>
          </w:p>
        </w:tc>
        <w:tc>
          <w:tcPr>
            <w:tcW w:w="741" w:type="dxa"/>
            <w:tcBorders>
              <w:right w:val="single" w:sz="17" w:space="0" w:color="000000"/>
            </w:tcBorders>
          </w:tcPr>
          <w:p>
            <w:pPr>
              <w:pStyle w:val="TableParagraph"/>
              <w:spacing w:line="227" w:lineRule="exact"/>
              <w:ind w:left="118" w:right="61"/>
              <w:rPr>
                <w:sz w:val="20"/>
              </w:rPr>
            </w:pPr>
            <w:r>
              <w:rPr>
                <w:sz w:val="20"/>
              </w:rPr>
              <w:t>30,56</w:t>
            </w:r>
          </w:p>
        </w:tc>
        <w:tc>
          <w:tcPr>
            <w:tcW w:w="639" w:type="dxa"/>
            <w:tcBorders>
              <w:left w:val="single" w:sz="17" w:space="0" w:color="000000"/>
            </w:tcBorders>
          </w:tcPr>
          <w:p>
            <w:pPr>
              <w:pStyle w:val="TableParagraph"/>
              <w:spacing w:line="227" w:lineRule="exact"/>
              <w:ind w:right="174"/>
              <w:jc w:val="right"/>
              <w:rPr>
                <w:sz w:val="20"/>
              </w:rPr>
            </w:pPr>
            <w:r>
              <w:rPr>
                <w:sz w:val="20"/>
              </w:rPr>
              <w:t>06</w:t>
            </w:r>
          </w:p>
        </w:tc>
        <w:tc>
          <w:tcPr>
            <w:tcW w:w="782" w:type="dxa"/>
            <w:tcBorders>
              <w:right w:val="single" w:sz="17" w:space="0" w:color="000000"/>
            </w:tcBorders>
          </w:tcPr>
          <w:p>
            <w:pPr>
              <w:pStyle w:val="TableParagraph"/>
              <w:spacing w:line="227" w:lineRule="exact"/>
              <w:ind w:right="82"/>
              <w:jc w:val="right"/>
              <w:rPr>
                <w:sz w:val="20"/>
              </w:rPr>
            </w:pPr>
            <w:r>
              <w:rPr>
                <w:sz w:val="20"/>
              </w:rPr>
              <w:t>30,56</w:t>
            </w:r>
          </w:p>
        </w:tc>
        <w:tc>
          <w:tcPr>
            <w:tcW w:w="709" w:type="dxa"/>
            <w:tcBorders>
              <w:left w:val="single" w:sz="17" w:space="0" w:color="000000"/>
            </w:tcBorders>
          </w:tcPr>
          <w:p>
            <w:pPr>
              <w:pStyle w:val="TableParagraph"/>
              <w:spacing w:line="227" w:lineRule="exact"/>
              <w:ind w:right="243"/>
              <w:jc w:val="right"/>
              <w:rPr>
                <w:sz w:val="20"/>
              </w:rPr>
            </w:pPr>
            <w:r>
              <w:rPr>
                <w:sz w:val="20"/>
              </w:rPr>
              <w:t>06</w:t>
            </w:r>
          </w:p>
        </w:tc>
        <w:tc>
          <w:tcPr>
            <w:tcW w:w="991" w:type="dxa"/>
            <w:tcBorders>
              <w:right w:val="single" w:sz="17" w:space="0" w:color="000000"/>
            </w:tcBorders>
          </w:tcPr>
          <w:p>
            <w:pPr>
              <w:pStyle w:val="TableParagraph"/>
              <w:spacing w:line="227" w:lineRule="exact"/>
              <w:ind w:left="224" w:right="204"/>
              <w:rPr>
                <w:sz w:val="20"/>
              </w:rPr>
            </w:pPr>
            <w:r>
              <w:rPr>
                <w:sz w:val="20"/>
              </w:rPr>
              <w:t>38,89</w:t>
            </w:r>
          </w:p>
        </w:tc>
      </w:tr>
      <w:tr>
        <w:trPr>
          <w:trHeight w:val="255" w:hRule="exact"/>
        </w:trPr>
        <w:tc>
          <w:tcPr>
            <w:tcW w:w="2166" w:type="dxa"/>
            <w:tcBorders>
              <w:left w:val="single" w:sz="17" w:space="0" w:color="000000"/>
              <w:bottom w:val="single" w:sz="17" w:space="0" w:color="000000"/>
            </w:tcBorders>
          </w:tcPr>
          <w:p>
            <w:pPr>
              <w:pStyle w:val="TableParagraph"/>
              <w:spacing w:line="227" w:lineRule="exact"/>
              <w:ind w:left="28"/>
              <w:jc w:val="left"/>
              <w:rPr>
                <w:sz w:val="20"/>
              </w:rPr>
            </w:pPr>
            <w:r>
              <w:rPr>
                <w:sz w:val="20"/>
              </w:rPr>
              <w:t>ambientais</w:t>
            </w:r>
          </w:p>
        </w:tc>
        <w:tc>
          <w:tcPr>
            <w:tcW w:w="956" w:type="dxa"/>
            <w:tcBorders>
              <w:bottom w:val="single" w:sz="17" w:space="0" w:color="000000"/>
              <w:right w:val="single" w:sz="17" w:space="0" w:color="000000"/>
            </w:tcBorders>
          </w:tcPr>
          <w:p>
            <w:pPr/>
          </w:p>
        </w:tc>
        <w:tc>
          <w:tcPr>
            <w:tcW w:w="560" w:type="dxa"/>
            <w:tcBorders>
              <w:left w:val="single" w:sz="17" w:space="0" w:color="000000"/>
              <w:bottom w:val="single" w:sz="17" w:space="0" w:color="000000"/>
            </w:tcBorders>
          </w:tcPr>
          <w:p>
            <w:pPr/>
          </w:p>
        </w:tc>
        <w:tc>
          <w:tcPr>
            <w:tcW w:w="717" w:type="dxa"/>
            <w:tcBorders>
              <w:bottom w:val="single" w:sz="17" w:space="0" w:color="000000"/>
              <w:right w:val="single" w:sz="17" w:space="0" w:color="000000"/>
            </w:tcBorders>
          </w:tcPr>
          <w:p>
            <w:pPr/>
          </w:p>
        </w:tc>
        <w:tc>
          <w:tcPr>
            <w:tcW w:w="531" w:type="dxa"/>
            <w:tcBorders>
              <w:left w:val="single" w:sz="17" w:space="0" w:color="000000"/>
              <w:bottom w:val="single" w:sz="17" w:space="0" w:color="000000"/>
            </w:tcBorders>
          </w:tcPr>
          <w:p>
            <w:pPr/>
          </w:p>
        </w:tc>
        <w:tc>
          <w:tcPr>
            <w:tcW w:w="741" w:type="dxa"/>
            <w:tcBorders>
              <w:bottom w:val="single" w:sz="17" w:space="0" w:color="000000"/>
              <w:right w:val="single" w:sz="17" w:space="0" w:color="000000"/>
            </w:tcBorders>
          </w:tcPr>
          <w:p>
            <w:pPr/>
          </w:p>
        </w:tc>
        <w:tc>
          <w:tcPr>
            <w:tcW w:w="639" w:type="dxa"/>
            <w:tcBorders>
              <w:left w:val="single" w:sz="17" w:space="0" w:color="000000"/>
              <w:bottom w:val="single" w:sz="17" w:space="0" w:color="000000"/>
            </w:tcBorders>
          </w:tcPr>
          <w:p>
            <w:pPr/>
          </w:p>
        </w:tc>
        <w:tc>
          <w:tcPr>
            <w:tcW w:w="782" w:type="dxa"/>
            <w:tcBorders>
              <w:bottom w:val="single" w:sz="17" w:space="0" w:color="000000"/>
              <w:right w:val="single" w:sz="17" w:space="0" w:color="000000"/>
            </w:tcBorders>
          </w:tcPr>
          <w:p>
            <w:pPr/>
          </w:p>
        </w:tc>
        <w:tc>
          <w:tcPr>
            <w:tcW w:w="709" w:type="dxa"/>
            <w:tcBorders>
              <w:left w:val="single" w:sz="17" w:space="0" w:color="000000"/>
              <w:bottom w:val="single" w:sz="17" w:space="0" w:color="000000"/>
            </w:tcBorders>
          </w:tcPr>
          <w:p>
            <w:pPr/>
          </w:p>
        </w:tc>
        <w:tc>
          <w:tcPr>
            <w:tcW w:w="991" w:type="dxa"/>
            <w:tcBorders>
              <w:bottom w:val="single" w:sz="17" w:space="0" w:color="000000"/>
              <w:right w:val="single" w:sz="17" w:space="0" w:color="000000"/>
            </w:tcBorders>
          </w:tcPr>
          <w:p>
            <w:pPr/>
          </w:p>
        </w:tc>
      </w:tr>
    </w:tbl>
    <w:p>
      <w:pPr>
        <w:spacing w:before="0"/>
        <w:ind w:left="308" w:right="0" w:firstLine="0"/>
        <w:jc w:val="left"/>
        <w:rPr>
          <w:sz w:val="20"/>
        </w:rPr>
      </w:pPr>
      <w:r>
        <w:rPr>
          <w:sz w:val="20"/>
        </w:rPr>
        <w:t>Fonte: Dados da Pesquisa – Mestrado – Pinho (2014</w:t>
      </w:r>
    </w:p>
    <w:p>
      <w:pPr>
        <w:spacing w:after="0"/>
        <w:jc w:val="left"/>
        <w:rPr>
          <w:sz w:val="20"/>
        </w:rPr>
        <w:sectPr>
          <w:pgSz w:w="11910" w:h="16840"/>
          <w:pgMar w:header="1133" w:footer="0" w:top="1340" w:bottom="280" w:left="1680" w:right="980"/>
        </w:sectPr>
      </w:pPr>
    </w:p>
    <w:p>
      <w:pPr>
        <w:pStyle w:val="BodyText"/>
        <w:spacing w:before="6"/>
        <w:rPr>
          <w:sz w:val="20"/>
        </w:rPr>
      </w:pPr>
    </w:p>
    <w:p>
      <w:pPr>
        <w:spacing w:before="95" w:after="10"/>
        <w:ind w:left="495" w:right="332" w:firstLine="0"/>
        <w:jc w:val="center"/>
        <w:rPr>
          <w:b/>
          <w:sz w:val="20"/>
        </w:rPr>
      </w:pPr>
      <w:r>
        <w:rPr>
          <w:b/>
          <w:sz w:val="20"/>
        </w:rPr>
        <w:t>Quadro 03: Categoria I – Nível de Consciência Criativa / visão, missão, cultura e valor na percepção dos servidores</w:t>
      </w:r>
    </w:p>
    <w:tbl>
      <w:tblPr>
        <w:tblW w:w="0" w:type="auto"/>
        <w:jc w:val="left"/>
        <w:tblInd w:w="28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74"/>
        <w:gridCol w:w="958"/>
        <w:gridCol w:w="524"/>
        <w:gridCol w:w="609"/>
        <w:gridCol w:w="532"/>
        <w:gridCol w:w="741"/>
        <w:gridCol w:w="428"/>
        <w:gridCol w:w="710"/>
        <w:gridCol w:w="637"/>
        <w:gridCol w:w="780"/>
      </w:tblGrid>
      <w:tr>
        <w:trPr>
          <w:trHeight w:val="262" w:hRule="exact"/>
        </w:trPr>
        <w:tc>
          <w:tcPr>
            <w:tcW w:w="3832" w:type="dxa"/>
            <w:gridSpan w:val="2"/>
            <w:vMerge w:val="restart"/>
            <w:tcBorders>
              <w:right w:val="single" w:sz="17" w:space="0" w:color="000000"/>
            </w:tcBorders>
          </w:tcPr>
          <w:p>
            <w:pPr/>
          </w:p>
        </w:tc>
        <w:tc>
          <w:tcPr>
            <w:tcW w:w="4961" w:type="dxa"/>
            <w:gridSpan w:val="8"/>
            <w:tcBorders>
              <w:top w:val="single" w:sz="17" w:space="0" w:color="000000"/>
              <w:left w:val="single" w:sz="17" w:space="0" w:color="000000"/>
              <w:bottom w:val="single" w:sz="4" w:space="0" w:color="000000"/>
              <w:right w:val="single" w:sz="17" w:space="0" w:color="000000"/>
            </w:tcBorders>
          </w:tcPr>
          <w:p>
            <w:pPr>
              <w:pStyle w:val="TableParagraph"/>
              <w:spacing w:line="230" w:lineRule="exact"/>
              <w:ind w:left="1872" w:right="1870"/>
              <w:rPr>
                <w:sz w:val="20"/>
              </w:rPr>
            </w:pPr>
            <w:r>
              <w:rPr>
                <w:sz w:val="20"/>
              </w:rPr>
              <w:t>AVALIAÇÃO</w:t>
            </w:r>
          </w:p>
        </w:tc>
      </w:tr>
      <w:tr>
        <w:trPr>
          <w:trHeight w:val="1871" w:hRule="exact"/>
        </w:trPr>
        <w:tc>
          <w:tcPr>
            <w:tcW w:w="3832" w:type="dxa"/>
            <w:gridSpan w:val="2"/>
            <w:vMerge/>
            <w:tcBorders>
              <w:bottom w:val="single" w:sz="17" w:space="0" w:color="000000"/>
              <w:right w:val="single" w:sz="17" w:space="0" w:color="000000"/>
            </w:tcBorders>
          </w:tcPr>
          <w:p>
            <w:pPr/>
          </w:p>
        </w:tc>
        <w:tc>
          <w:tcPr>
            <w:tcW w:w="1133" w:type="dxa"/>
            <w:gridSpan w:val="2"/>
            <w:vMerge w:val="restart"/>
            <w:tcBorders>
              <w:top w:val="single" w:sz="4" w:space="0" w:color="000000"/>
              <w:left w:val="single" w:sz="17" w:space="0" w:color="000000"/>
              <w:right w:val="single" w:sz="17" w:space="0" w:color="000000"/>
            </w:tcBorders>
          </w:tcPr>
          <w:p>
            <w:pPr>
              <w:pStyle w:val="TableParagraph"/>
              <w:jc w:val="left"/>
              <w:rPr>
                <w:b/>
                <w:sz w:val="22"/>
              </w:rPr>
            </w:pPr>
          </w:p>
          <w:p>
            <w:pPr>
              <w:pStyle w:val="TableParagraph"/>
              <w:spacing w:before="7"/>
              <w:jc w:val="left"/>
              <w:rPr>
                <w:b/>
                <w:sz w:val="27"/>
              </w:rPr>
            </w:pPr>
          </w:p>
          <w:p>
            <w:pPr>
              <w:pStyle w:val="TableParagraph"/>
              <w:spacing w:before="1"/>
              <w:ind w:left="33" w:right="33" w:hanging="2"/>
              <w:rPr>
                <w:sz w:val="20"/>
              </w:rPr>
            </w:pPr>
            <w:r>
              <w:rPr>
                <w:sz w:val="20"/>
              </w:rPr>
              <w:t>Nunca ou quase nunca (1-2)</w:t>
            </w:r>
          </w:p>
          <w:p>
            <w:pPr>
              <w:pStyle w:val="TableParagraph"/>
              <w:jc w:val="left"/>
              <w:rPr>
                <w:b/>
                <w:sz w:val="22"/>
              </w:rPr>
            </w:pPr>
          </w:p>
          <w:p>
            <w:pPr>
              <w:pStyle w:val="TableParagraph"/>
              <w:spacing w:before="10"/>
              <w:jc w:val="left"/>
              <w:rPr>
                <w:b/>
                <w:sz w:val="31"/>
              </w:rPr>
            </w:pPr>
          </w:p>
          <w:p>
            <w:pPr>
              <w:pStyle w:val="TableParagraph"/>
              <w:tabs>
                <w:tab w:pos="585" w:val="left" w:leader="none"/>
              </w:tabs>
              <w:ind w:right="15"/>
              <w:rPr>
                <w:sz w:val="20"/>
              </w:rPr>
            </w:pPr>
            <w:r>
              <w:rPr>
                <w:sz w:val="20"/>
              </w:rPr>
              <w:t>Nº</w:t>
              <w:tab/>
              <w:t>%</w:t>
            </w:r>
          </w:p>
        </w:tc>
        <w:tc>
          <w:tcPr>
            <w:tcW w:w="1273" w:type="dxa"/>
            <w:gridSpan w:val="2"/>
            <w:vMerge w:val="restart"/>
            <w:tcBorders>
              <w:top w:val="single" w:sz="4" w:space="0" w:color="000000"/>
              <w:left w:val="single" w:sz="17" w:space="0" w:color="000000"/>
              <w:right w:val="single" w:sz="17" w:space="0" w:color="000000"/>
            </w:tcBorders>
          </w:tcPr>
          <w:p>
            <w:pPr>
              <w:pStyle w:val="TableParagraph"/>
              <w:jc w:val="left"/>
              <w:rPr>
                <w:b/>
                <w:sz w:val="22"/>
              </w:rPr>
            </w:pPr>
          </w:p>
          <w:p>
            <w:pPr>
              <w:pStyle w:val="TableParagraph"/>
              <w:spacing w:before="7"/>
              <w:jc w:val="left"/>
              <w:rPr>
                <w:b/>
                <w:sz w:val="27"/>
              </w:rPr>
            </w:pPr>
          </w:p>
          <w:p>
            <w:pPr>
              <w:pStyle w:val="TableParagraph"/>
              <w:spacing w:before="1"/>
              <w:ind w:left="33" w:right="21" w:hanging="8"/>
              <w:rPr>
                <w:sz w:val="20"/>
              </w:rPr>
            </w:pPr>
            <w:r>
              <w:rPr>
                <w:sz w:val="20"/>
              </w:rPr>
              <w:t>Às vezes. Ocasionalme nte (3-4-5)</w:t>
            </w:r>
          </w:p>
          <w:p>
            <w:pPr>
              <w:pStyle w:val="TableParagraph"/>
              <w:jc w:val="left"/>
              <w:rPr>
                <w:b/>
                <w:sz w:val="22"/>
              </w:rPr>
            </w:pPr>
          </w:p>
          <w:p>
            <w:pPr>
              <w:pStyle w:val="TableParagraph"/>
              <w:spacing w:before="10"/>
              <w:jc w:val="left"/>
              <w:rPr>
                <w:b/>
                <w:sz w:val="31"/>
              </w:rPr>
            </w:pPr>
          </w:p>
          <w:p>
            <w:pPr>
              <w:pStyle w:val="TableParagraph"/>
              <w:tabs>
                <w:tab w:pos="653" w:val="left" w:leader="none"/>
              </w:tabs>
              <w:ind w:right="87"/>
              <w:rPr>
                <w:sz w:val="20"/>
              </w:rPr>
            </w:pPr>
            <w:r>
              <w:rPr>
                <w:sz w:val="20"/>
              </w:rPr>
              <w:t>Nº</w:t>
              <w:tab/>
              <w:t>%</w:t>
            </w:r>
          </w:p>
        </w:tc>
        <w:tc>
          <w:tcPr>
            <w:tcW w:w="1138" w:type="dxa"/>
            <w:gridSpan w:val="2"/>
            <w:vMerge w:val="restart"/>
            <w:tcBorders>
              <w:top w:val="single" w:sz="4" w:space="0" w:color="000000"/>
              <w:left w:val="single" w:sz="17" w:space="0" w:color="000000"/>
              <w:right w:val="single" w:sz="17" w:space="0" w:color="000000"/>
            </w:tcBorders>
          </w:tcPr>
          <w:p>
            <w:pPr>
              <w:pStyle w:val="TableParagraph"/>
              <w:ind w:left="72" w:right="70"/>
              <w:rPr>
                <w:sz w:val="20"/>
              </w:rPr>
            </w:pPr>
            <w:r>
              <w:rPr>
                <w:sz w:val="20"/>
              </w:rPr>
              <w:t>Muitas vezes ou ocasiões. Existem evidências do   indicador (6-7-8)</w:t>
            </w:r>
          </w:p>
          <w:p>
            <w:pPr>
              <w:pStyle w:val="TableParagraph"/>
              <w:tabs>
                <w:tab w:pos="585" w:val="left" w:leader="none"/>
              </w:tabs>
              <w:spacing w:before="48"/>
              <w:ind w:right="164"/>
              <w:rPr>
                <w:sz w:val="20"/>
              </w:rPr>
            </w:pPr>
            <w:r>
              <w:rPr>
                <w:sz w:val="20"/>
              </w:rPr>
              <w:t>Nº</w:t>
              <w:tab/>
              <w:t>%</w:t>
            </w:r>
          </w:p>
        </w:tc>
        <w:tc>
          <w:tcPr>
            <w:tcW w:w="1417" w:type="dxa"/>
            <w:gridSpan w:val="2"/>
            <w:vMerge w:val="restart"/>
            <w:tcBorders>
              <w:top w:val="single" w:sz="4" w:space="0" w:color="000000"/>
              <w:left w:val="single" w:sz="17" w:space="0" w:color="000000"/>
              <w:right w:val="single" w:sz="17" w:space="0" w:color="000000"/>
            </w:tcBorders>
          </w:tcPr>
          <w:p>
            <w:pPr>
              <w:pStyle w:val="TableParagraph"/>
              <w:spacing w:before="110"/>
              <w:ind w:left="91" w:right="84" w:hanging="3"/>
              <w:rPr>
                <w:sz w:val="20"/>
              </w:rPr>
            </w:pPr>
            <w:r>
              <w:rPr>
                <w:sz w:val="20"/>
              </w:rPr>
              <w:t>De continuo. Evidências claras de aparição do indicador ou característica (9-10)</w:t>
            </w:r>
          </w:p>
          <w:p>
            <w:pPr>
              <w:pStyle w:val="TableParagraph"/>
              <w:tabs>
                <w:tab w:pos="724" w:val="left" w:leader="none"/>
              </w:tabs>
              <w:spacing w:before="158"/>
              <w:ind w:right="15"/>
              <w:rPr>
                <w:sz w:val="20"/>
              </w:rPr>
            </w:pPr>
            <w:r>
              <w:rPr>
                <w:sz w:val="20"/>
              </w:rPr>
              <w:t>Nº</w:t>
              <w:tab/>
              <w:t>%</w:t>
            </w:r>
          </w:p>
        </w:tc>
      </w:tr>
      <w:tr>
        <w:trPr>
          <w:trHeight w:val="274" w:hRule="exact"/>
        </w:trPr>
        <w:tc>
          <w:tcPr>
            <w:tcW w:w="2874" w:type="dxa"/>
            <w:tcBorders>
              <w:top w:val="single" w:sz="17" w:space="0" w:color="000000"/>
              <w:left w:val="single" w:sz="17" w:space="0" w:color="000000"/>
              <w:bottom w:val="single" w:sz="17" w:space="0" w:color="000000"/>
            </w:tcBorders>
          </w:tcPr>
          <w:p>
            <w:pPr>
              <w:pStyle w:val="TableParagraph"/>
              <w:spacing w:line="225" w:lineRule="exact"/>
              <w:ind w:left="931"/>
              <w:jc w:val="left"/>
              <w:rPr>
                <w:sz w:val="20"/>
              </w:rPr>
            </w:pPr>
            <w:r>
              <w:rPr>
                <w:sz w:val="20"/>
              </w:rPr>
              <w:t>Parâmetro</w:t>
            </w:r>
          </w:p>
        </w:tc>
        <w:tc>
          <w:tcPr>
            <w:tcW w:w="958" w:type="dxa"/>
            <w:tcBorders>
              <w:top w:val="single" w:sz="17" w:space="0" w:color="000000"/>
              <w:bottom w:val="single" w:sz="17" w:space="0" w:color="000000"/>
              <w:right w:val="single" w:sz="17" w:space="0" w:color="000000"/>
            </w:tcBorders>
          </w:tcPr>
          <w:p>
            <w:pPr>
              <w:pStyle w:val="TableParagraph"/>
              <w:spacing w:line="225" w:lineRule="exact"/>
              <w:ind w:left="67" w:right="83"/>
              <w:rPr>
                <w:sz w:val="20"/>
              </w:rPr>
            </w:pPr>
            <w:r>
              <w:rPr>
                <w:sz w:val="20"/>
              </w:rPr>
              <w:t>Amostra</w:t>
            </w:r>
          </w:p>
        </w:tc>
        <w:tc>
          <w:tcPr>
            <w:tcW w:w="1133" w:type="dxa"/>
            <w:gridSpan w:val="2"/>
            <w:vMerge/>
            <w:tcBorders>
              <w:left w:val="single" w:sz="17" w:space="0" w:color="000000"/>
              <w:bottom w:val="single" w:sz="17" w:space="0" w:color="000000"/>
              <w:right w:val="single" w:sz="17" w:space="0" w:color="000000"/>
            </w:tcBorders>
          </w:tcPr>
          <w:p>
            <w:pPr/>
          </w:p>
        </w:tc>
        <w:tc>
          <w:tcPr>
            <w:tcW w:w="1273" w:type="dxa"/>
            <w:gridSpan w:val="2"/>
            <w:vMerge/>
            <w:tcBorders>
              <w:left w:val="single" w:sz="17" w:space="0" w:color="000000"/>
              <w:bottom w:val="single" w:sz="17" w:space="0" w:color="000000"/>
              <w:right w:val="single" w:sz="17" w:space="0" w:color="000000"/>
            </w:tcBorders>
          </w:tcPr>
          <w:p>
            <w:pPr/>
          </w:p>
        </w:tc>
        <w:tc>
          <w:tcPr>
            <w:tcW w:w="1138" w:type="dxa"/>
            <w:gridSpan w:val="2"/>
            <w:vMerge/>
            <w:tcBorders>
              <w:left w:val="single" w:sz="17" w:space="0" w:color="000000"/>
              <w:bottom w:val="single" w:sz="17" w:space="0" w:color="000000"/>
              <w:right w:val="single" w:sz="17" w:space="0" w:color="000000"/>
            </w:tcBorders>
          </w:tcPr>
          <w:p>
            <w:pPr/>
          </w:p>
        </w:tc>
        <w:tc>
          <w:tcPr>
            <w:tcW w:w="1417" w:type="dxa"/>
            <w:gridSpan w:val="2"/>
            <w:vMerge/>
            <w:tcBorders>
              <w:left w:val="single" w:sz="17" w:space="0" w:color="000000"/>
              <w:bottom w:val="single" w:sz="17" w:space="0" w:color="000000"/>
              <w:right w:val="single" w:sz="17" w:space="0" w:color="000000"/>
            </w:tcBorders>
          </w:tcPr>
          <w:p>
            <w:pPr/>
          </w:p>
        </w:tc>
      </w:tr>
      <w:tr>
        <w:trPr>
          <w:trHeight w:val="386" w:hRule="exact"/>
        </w:trPr>
        <w:tc>
          <w:tcPr>
            <w:tcW w:w="2874" w:type="dxa"/>
            <w:tcBorders>
              <w:top w:val="single" w:sz="17" w:space="0" w:color="000000"/>
              <w:left w:val="single" w:sz="17" w:space="0" w:color="000000"/>
            </w:tcBorders>
          </w:tcPr>
          <w:p>
            <w:pPr>
              <w:pStyle w:val="TableParagraph"/>
              <w:spacing w:line="225" w:lineRule="exact"/>
              <w:ind w:left="28"/>
              <w:jc w:val="left"/>
              <w:rPr>
                <w:sz w:val="20"/>
              </w:rPr>
            </w:pPr>
            <w:r>
              <w:rPr>
                <w:sz w:val="20"/>
              </w:rPr>
              <w:t>Cultura Inovadora</w:t>
            </w:r>
          </w:p>
        </w:tc>
        <w:tc>
          <w:tcPr>
            <w:tcW w:w="958" w:type="dxa"/>
            <w:tcBorders>
              <w:top w:val="single" w:sz="17" w:space="0" w:color="000000"/>
              <w:right w:val="single" w:sz="17" w:space="0" w:color="000000"/>
            </w:tcBorders>
          </w:tcPr>
          <w:p>
            <w:pPr>
              <w:pStyle w:val="TableParagraph"/>
              <w:spacing w:before="86"/>
              <w:ind w:left="67" w:right="78"/>
              <w:rPr>
                <w:sz w:val="20"/>
              </w:rPr>
            </w:pPr>
            <w:r>
              <w:rPr>
                <w:sz w:val="20"/>
              </w:rPr>
              <w:t>05</w:t>
            </w:r>
          </w:p>
        </w:tc>
        <w:tc>
          <w:tcPr>
            <w:tcW w:w="524" w:type="dxa"/>
            <w:tcBorders>
              <w:top w:val="single" w:sz="17" w:space="0" w:color="000000"/>
              <w:left w:val="single" w:sz="17" w:space="0" w:color="000000"/>
            </w:tcBorders>
          </w:tcPr>
          <w:p>
            <w:pPr>
              <w:pStyle w:val="TableParagraph"/>
              <w:spacing w:before="86"/>
              <w:ind w:right="131"/>
              <w:jc w:val="right"/>
              <w:rPr>
                <w:sz w:val="20"/>
              </w:rPr>
            </w:pPr>
            <w:r>
              <w:rPr>
                <w:sz w:val="20"/>
              </w:rPr>
              <w:t>06</w:t>
            </w:r>
          </w:p>
        </w:tc>
        <w:tc>
          <w:tcPr>
            <w:tcW w:w="609" w:type="dxa"/>
            <w:tcBorders>
              <w:top w:val="single" w:sz="17" w:space="0" w:color="000000"/>
              <w:right w:val="single" w:sz="17" w:space="0" w:color="000000"/>
            </w:tcBorders>
          </w:tcPr>
          <w:p>
            <w:pPr>
              <w:pStyle w:val="TableParagraph"/>
              <w:spacing w:before="86"/>
              <w:ind w:left="111" w:right="46"/>
              <w:rPr>
                <w:sz w:val="20"/>
              </w:rPr>
            </w:pPr>
            <w:r>
              <w:rPr>
                <w:sz w:val="20"/>
              </w:rPr>
              <w:t>3,33</w:t>
            </w:r>
          </w:p>
        </w:tc>
        <w:tc>
          <w:tcPr>
            <w:tcW w:w="532" w:type="dxa"/>
            <w:tcBorders>
              <w:top w:val="single" w:sz="17" w:space="0" w:color="000000"/>
              <w:left w:val="single" w:sz="17" w:space="0" w:color="000000"/>
            </w:tcBorders>
          </w:tcPr>
          <w:p>
            <w:pPr>
              <w:pStyle w:val="TableParagraph"/>
              <w:spacing w:before="86"/>
              <w:ind w:left="127" w:right="119"/>
              <w:rPr>
                <w:sz w:val="20"/>
              </w:rPr>
            </w:pPr>
            <w:r>
              <w:rPr>
                <w:sz w:val="20"/>
              </w:rPr>
              <w:t>06</w:t>
            </w:r>
          </w:p>
        </w:tc>
        <w:tc>
          <w:tcPr>
            <w:tcW w:w="741" w:type="dxa"/>
            <w:tcBorders>
              <w:top w:val="single" w:sz="17" w:space="0" w:color="000000"/>
              <w:right w:val="single" w:sz="17" w:space="0" w:color="000000"/>
            </w:tcBorders>
          </w:tcPr>
          <w:p>
            <w:pPr>
              <w:pStyle w:val="TableParagraph"/>
              <w:spacing w:before="86"/>
              <w:ind w:left="118" w:right="60"/>
              <w:rPr>
                <w:sz w:val="20"/>
              </w:rPr>
            </w:pPr>
            <w:r>
              <w:rPr>
                <w:sz w:val="20"/>
              </w:rPr>
              <w:t>26,67</w:t>
            </w:r>
          </w:p>
        </w:tc>
        <w:tc>
          <w:tcPr>
            <w:tcW w:w="428" w:type="dxa"/>
            <w:tcBorders>
              <w:top w:val="single" w:sz="17" w:space="0" w:color="000000"/>
              <w:left w:val="single" w:sz="17" w:space="0" w:color="000000"/>
            </w:tcBorders>
          </w:tcPr>
          <w:p>
            <w:pPr>
              <w:pStyle w:val="TableParagraph"/>
              <w:spacing w:before="86"/>
              <w:ind w:left="62" w:right="82"/>
              <w:rPr>
                <w:sz w:val="20"/>
              </w:rPr>
            </w:pPr>
            <w:r>
              <w:rPr>
                <w:sz w:val="20"/>
              </w:rPr>
              <w:t>06</w:t>
            </w:r>
          </w:p>
        </w:tc>
        <w:tc>
          <w:tcPr>
            <w:tcW w:w="710" w:type="dxa"/>
            <w:tcBorders>
              <w:top w:val="single" w:sz="17" w:space="0" w:color="000000"/>
              <w:right w:val="single" w:sz="17" w:space="0" w:color="000000"/>
            </w:tcBorders>
          </w:tcPr>
          <w:p>
            <w:pPr>
              <w:pStyle w:val="TableParagraph"/>
              <w:spacing w:before="86"/>
              <w:ind w:left="81" w:right="65"/>
              <w:rPr>
                <w:sz w:val="20"/>
              </w:rPr>
            </w:pPr>
            <w:r>
              <w:rPr>
                <w:sz w:val="20"/>
              </w:rPr>
              <w:t>50</w:t>
            </w:r>
          </w:p>
        </w:tc>
        <w:tc>
          <w:tcPr>
            <w:tcW w:w="637" w:type="dxa"/>
            <w:tcBorders>
              <w:top w:val="single" w:sz="17" w:space="0" w:color="000000"/>
              <w:left w:val="single" w:sz="17" w:space="0" w:color="000000"/>
            </w:tcBorders>
          </w:tcPr>
          <w:p>
            <w:pPr>
              <w:pStyle w:val="TableParagraph"/>
              <w:spacing w:before="86"/>
              <w:ind w:right="171"/>
              <w:jc w:val="right"/>
              <w:rPr>
                <w:sz w:val="20"/>
              </w:rPr>
            </w:pPr>
            <w:r>
              <w:rPr>
                <w:sz w:val="20"/>
              </w:rPr>
              <w:t>06</w:t>
            </w:r>
          </w:p>
        </w:tc>
        <w:tc>
          <w:tcPr>
            <w:tcW w:w="780" w:type="dxa"/>
            <w:tcBorders>
              <w:top w:val="single" w:sz="17" w:space="0" w:color="000000"/>
              <w:right w:val="single" w:sz="17" w:space="0" w:color="000000"/>
            </w:tcBorders>
          </w:tcPr>
          <w:p>
            <w:pPr>
              <w:pStyle w:val="TableParagraph"/>
              <w:spacing w:before="86"/>
              <w:ind w:left="150" w:right="65"/>
              <w:rPr>
                <w:sz w:val="20"/>
              </w:rPr>
            </w:pPr>
            <w:r>
              <w:rPr>
                <w:sz w:val="20"/>
              </w:rPr>
              <w:t>20</w:t>
            </w:r>
          </w:p>
        </w:tc>
      </w:tr>
      <w:tr>
        <w:trPr>
          <w:trHeight w:val="420" w:hRule="exact"/>
        </w:trPr>
        <w:tc>
          <w:tcPr>
            <w:tcW w:w="2874" w:type="dxa"/>
            <w:tcBorders>
              <w:left w:val="single" w:sz="17" w:space="0" w:color="000000"/>
            </w:tcBorders>
          </w:tcPr>
          <w:p>
            <w:pPr>
              <w:pStyle w:val="TableParagraph"/>
              <w:spacing w:before="43"/>
              <w:ind w:left="28"/>
              <w:jc w:val="left"/>
              <w:rPr>
                <w:sz w:val="20"/>
              </w:rPr>
            </w:pPr>
            <w:r>
              <w:rPr>
                <w:sz w:val="20"/>
              </w:rPr>
              <w:t>Criatividade como Valor</w:t>
            </w:r>
          </w:p>
        </w:tc>
        <w:tc>
          <w:tcPr>
            <w:tcW w:w="958" w:type="dxa"/>
            <w:tcBorders>
              <w:right w:val="single" w:sz="17" w:space="0" w:color="000000"/>
            </w:tcBorders>
          </w:tcPr>
          <w:p>
            <w:pPr>
              <w:pStyle w:val="TableParagraph"/>
              <w:spacing w:before="139"/>
              <w:ind w:left="67" w:right="78"/>
              <w:rPr>
                <w:sz w:val="20"/>
              </w:rPr>
            </w:pPr>
            <w:r>
              <w:rPr>
                <w:sz w:val="20"/>
              </w:rPr>
              <w:t>05</w:t>
            </w:r>
          </w:p>
        </w:tc>
        <w:tc>
          <w:tcPr>
            <w:tcW w:w="524" w:type="dxa"/>
            <w:tcBorders>
              <w:left w:val="single" w:sz="17" w:space="0" w:color="000000"/>
            </w:tcBorders>
          </w:tcPr>
          <w:p>
            <w:pPr>
              <w:pStyle w:val="TableParagraph"/>
              <w:spacing w:before="139"/>
              <w:ind w:right="131"/>
              <w:jc w:val="right"/>
              <w:rPr>
                <w:sz w:val="20"/>
              </w:rPr>
            </w:pPr>
            <w:r>
              <w:rPr>
                <w:sz w:val="20"/>
              </w:rPr>
              <w:t>06</w:t>
            </w:r>
          </w:p>
        </w:tc>
        <w:tc>
          <w:tcPr>
            <w:tcW w:w="609" w:type="dxa"/>
            <w:tcBorders>
              <w:right w:val="single" w:sz="17" w:space="0" w:color="000000"/>
            </w:tcBorders>
          </w:tcPr>
          <w:p>
            <w:pPr>
              <w:pStyle w:val="TableParagraph"/>
              <w:spacing w:before="139"/>
              <w:ind w:left="111" w:right="46"/>
              <w:rPr>
                <w:sz w:val="20"/>
              </w:rPr>
            </w:pPr>
            <w:r>
              <w:rPr>
                <w:sz w:val="20"/>
              </w:rPr>
              <w:t>3,33</w:t>
            </w:r>
          </w:p>
        </w:tc>
        <w:tc>
          <w:tcPr>
            <w:tcW w:w="532" w:type="dxa"/>
            <w:tcBorders>
              <w:left w:val="single" w:sz="17" w:space="0" w:color="000000"/>
            </w:tcBorders>
          </w:tcPr>
          <w:p>
            <w:pPr>
              <w:pStyle w:val="TableParagraph"/>
              <w:spacing w:before="139"/>
              <w:ind w:left="127" w:right="119"/>
              <w:rPr>
                <w:sz w:val="20"/>
              </w:rPr>
            </w:pPr>
            <w:r>
              <w:rPr>
                <w:sz w:val="20"/>
              </w:rPr>
              <w:t>06</w:t>
            </w:r>
          </w:p>
        </w:tc>
        <w:tc>
          <w:tcPr>
            <w:tcW w:w="741" w:type="dxa"/>
            <w:tcBorders>
              <w:right w:val="single" w:sz="17" w:space="0" w:color="000000"/>
            </w:tcBorders>
          </w:tcPr>
          <w:p>
            <w:pPr>
              <w:pStyle w:val="TableParagraph"/>
              <w:spacing w:before="139"/>
              <w:ind w:left="117" w:right="60"/>
              <w:rPr>
                <w:sz w:val="20"/>
              </w:rPr>
            </w:pPr>
            <w:r>
              <w:rPr>
                <w:sz w:val="20"/>
              </w:rPr>
              <w:t>30</w:t>
            </w:r>
          </w:p>
        </w:tc>
        <w:tc>
          <w:tcPr>
            <w:tcW w:w="428" w:type="dxa"/>
            <w:tcBorders>
              <w:left w:val="single" w:sz="17" w:space="0" w:color="000000"/>
            </w:tcBorders>
          </w:tcPr>
          <w:p>
            <w:pPr>
              <w:pStyle w:val="TableParagraph"/>
              <w:spacing w:before="139"/>
              <w:ind w:left="62" w:right="82"/>
              <w:rPr>
                <w:sz w:val="20"/>
              </w:rPr>
            </w:pPr>
            <w:r>
              <w:rPr>
                <w:sz w:val="20"/>
              </w:rPr>
              <w:t>06</w:t>
            </w:r>
          </w:p>
        </w:tc>
        <w:tc>
          <w:tcPr>
            <w:tcW w:w="710" w:type="dxa"/>
            <w:tcBorders>
              <w:right w:val="single" w:sz="17" w:space="0" w:color="000000"/>
            </w:tcBorders>
          </w:tcPr>
          <w:p>
            <w:pPr>
              <w:pStyle w:val="TableParagraph"/>
              <w:spacing w:before="139"/>
              <w:ind w:left="82" w:right="65"/>
              <w:rPr>
                <w:sz w:val="20"/>
              </w:rPr>
            </w:pPr>
            <w:r>
              <w:rPr>
                <w:sz w:val="20"/>
              </w:rPr>
              <w:t>36,67</w:t>
            </w:r>
          </w:p>
        </w:tc>
        <w:tc>
          <w:tcPr>
            <w:tcW w:w="637" w:type="dxa"/>
            <w:tcBorders>
              <w:left w:val="single" w:sz="17" w:space="0" w:color="000000"/>
            </w:tcBorders>
          </w:tcPr>
          <w:p>
            <w:pPr>
              <w:pStyle w:val="TableParagraph"/>
              <w:spacing w:before="139"/>
              <w:ind w:right="171"/>
              <w:jc w:val="right"/>
              <w:rPr>
                <w:sz w:val="20"/>
              </w:rPr>
            </w:pPr>
            <w:r>
              <w:rPr>
                <w:sz w:val="20"/>
              </w:rPr>
              <w:t>06</w:t>
            </w:r>
          </w:p>
        </w:tc>
        <w:tc>
          <w:tcPr>
            <w:tcW w:w="780" w:type="dxa"/>
            <w:tcBorders>
              <w:right w:val="single" w:sz="17" w:space="0" w:color="000000"/>
            </w:tcBorders>
          </w:tcPr>
          <w:p>
            <w:pPr>
              <w:pStyle w:val="TableParagraph"/>
              <w:spacing w:before="139"/>
              <w:ind w:left="150" w:right="65"/>
              <w:rPr>
                <w:sz w:val="20"/>
              </w:rPr>
            </w:pPr>
            <w:r>
              <w:rPr>
                <w:sz w:val="20"/>
              </w:rPr>
              <w:t>30</w:t>
            </w:r>
          </w:p>
        </w:tc>
      </w:tr>
      <w:tr>
        <w:trPr>
          <w:trHeight w:val="608" w:hRule="exact"/>
        </w:trPr>
        <w:tc>
          <w:tcPr>
            <w:tcW w:w="2874" w:type="dxa"/>
            <w:tcBorders>
              <w:left w:val="single" w:sz="17" w:space="0" w:color="000000"/>
            </w:tcBorders>
          </w:tcPr>
          <w:p>
            <w:pPr>
              <w:pStyle w:val="TableParagraph"/>
              <w:tabs>
                <w:tab w:pos="834" w:val="left" w:leader="none"/>
                <w:tab w:pos="2542" w:val="left" w:leader="none"/>
              </w:tabs>
              <w:spacing w:before="45"/>
              <w:ind w:left="28" w:right="84"/>
              <w:jc w:val="left"/>
              <w:rPr>
                <w:sz w:val="20"/>
              </w:rPr>
            </w:pPr>
            <w:r>
              <w:rPr>
                <w:sz w:val="20"/>
              </w:rPr>
              <w:t>Visão</w:t>
              <w:tab/>
              <w:t>Transdisciplinar</w:t>
              <w:tab/>
              <w:t>no Projeto</w:t>
            </w:r>
            <w:r>
              <w:rPr>
                <w:spacing w:val="3"/>
                <w:sz w:val="20"/>
              </w:rPr>
              <w:t> </w:t>
            </w:r>
            <w:r>
              <w:rPr>
                <w:sz w:val="20"/>
              </w:rPr>
              <w:t>Educativo</w:t>
            </w:r>
          </w:p>
        </w:tc>
        <w:tc>
          <w:tcPr>
            <w:tcW w:w="958" w:type="dxa"/>
            <w:tcBorders>
              <w:right w:val="single" w:sz="17" w:space="0" w:color="000000"/>
            </w:tcBorders>
          </w:tcPr>
          <w:p>
            <w:pPr>
              <w:pStyle w:val="TableParagraph"/>
              <w:spacing w:before="8"/>
              <w:jc w:val="left"/>
              <w:rPr>
                <w:b/>
                <w:sz w:val="22"/>
              </w:rPr>
            </w:pPr>
          </w:p>
          <w:p>
            <w:pPr>
              <w:pStyle w:val="TableParagraph"/>
              <w:ind w:left="67" w:right="78"/>
              <w:rPr>
                <w:sz w:val="20"/>
              </w:rPr>
            </w:pPr>
            <w:r>
              <w:rPr>
                <w:sz w:val="20"/>
              </w:rPr>
              <w:t>05</w:t>
            </w:r>
          </w:p>
        </w:tc>
        <w:tc>
          <w:tcPr>
            <w:tcW w:w="524" w:type="dxa"/>
            <w:tcBorders>
              <w:left w:val="single" w:sz="17" w:space="0" w:color="000000"/>
            </w:tcBorders>
          </w:tcPr>
          <w:p>
            <w:pPr>
              <w:pStyle w:val="TableParagraph"/>
              <w:spacing w:before="8"/>
              <w:jc w:val="left"/>
              <w:rPr>
                <w:b/>
                <w:sz w:val="22"/>
              </w:rPr>
            </w:pPr>
          </w:p>
          <w:p>
            <w:pPr>
              <w:pStyle w:val="TableParagraph"/>
              <w:ind w:right="131"/>
              <w:jc w:val="right"/>
              <w:rPr>
                <w:sz w:val="20"/>
              </w:rPr>
            </w:pPr>
            <w:r>
              <w:rPr>
                <w:sz w:val="20"/>
              </w:rPr>
              <w:t>06</w:t>
            </w:r>
          </w:p>
        </w:tc>
        <w:tc>
          <w:tcPr>
            <w:tcW w:w="609" w:type="dxa"/>
            <w:tcBorders>
              <w:right w:val="single" w:sz="17" w:space="0" w:color="000000"/>
            </w:tcBorders>
          </w:tcPr>
          <w:p>
            <w:pPr>
              <w:pStyle w:val="TableParagraph"/>
              <w:spacing w:before="8"/>
              <w:jc w:val="left"/>
              <w:rPr>
                <w:b/>
                <w:sz w:val="22"/>
              </w:rPr>
            </w:pPr>
          </w:p>
          <w:p>
            <w:pPr>
              <w:pStyle w:val="TableParagraph"/>
              <w:ind w:left="105" w:right="46"/>
              <w:rPr>
                <w:sz w:val="20"/>
              </w:rPr>
            </w:pPr>
            <w:r>
              <w:rPr>
                <w:sz w:val="20"/>
              </w:rPr>
              <w:t>10</w:t>
            </w:r>
          </w:p>
        </w:tc>
        <w:tc>
          <w:tcPr>
            <w:tcW w:w="532" w:type="dxa"/>
            <w:tcBorders>
              <w:left w:val="single" w:sz="17" w:space="0" w:color="000000"/>
            </w:tcBorders>
          </w:tcPr>
          <w:p>
            <w:pPr>
              <w:pStyle w:val="TableParagraph"/>
              <w:spacing w:before="8"/>
              <w:jc w:val="left"/>
              <w:rPr>
                <w:b/>
                <w:sz w:val="22"/>
              </w:rPr>
            </w:pPr>
          </w:p>
          <w:p>
            <w:pPr>
              <w:pStyle w:val="TableParagraph"/>
              <w:ind w:left="127" w:right="119"/>
              <w:rPr>
                <w:sz w:val="20"/>
              </w:rPr>
            </w:pPr>
            <w:r>
              <w:rPr>
                <w:sz w:val="20"/>
              </w:rPr>
              <w:t>06</w:t>
            </w:r>
          </w:p>
        </w:tc>
        <w:tc>
          <w:tcPr>
            <w:tcW w:w="741" w:type="dxa"/>
            <w:tcBorders>
              <w:right w:val="single" w:sz="17" w:space="0" w:color="000000"/>
            </w:tcBorders>
          </w:tcPr>
          <w:p>
            <w:pPr>
              <w:pStyle w:val="TableParagraph"/>
              <w:spacing w:before="8"/>
              <w:jc w:val="left"/>
              <w:rPr>
                <w:b/>
                <w:sz w:val="22"/>
              </w:rPr>
            </w:pPr>
          </w:p>
          <w:p>
            <w:pPr>
              <w:pStyle w:val="TableParagraph"/>
              <w:ind w:left="118" w:right="60"/>
              <w:rPr>
                <w:sz w:val="20"/>
              </w:rPr>
            </w:pPr>
            <w:r>
              <w:rPr>
                <w:sz w:val="20"/>
              </w:rPr>
              <w:t>26,67</w:t>
            </w:r>
          </w:p>
        </w:tc>
        <w:tc>
          <w:tcPr>
            <w:tcW w:w="428" w:type="dxa"/>
            <w:tcBorders>
              <w:left w:val="single" w:sz="17" w:space="0" w:color="000000"/>
            </w:tcBorders>
          </w:tcPr>
          <w:p>
            <w:pPr>
              <w:pStyle w:val="TableParagraph"/>
              <w:spacing w:before="8"/>
              <w:jc w:val="left"/>
              <w:rPr>
                <w:b/>
                <w:sz w:val="22"/>
              </w:rPr>
            </w:pPr>
          </w:p>
          <w:p>
            <w:pPr>
              <w:pStyle w:val="TableParagraph"/>
              <w:ind w:left="62" w:right="82"/>
              <w:rPr>
                <w:sz w:val="20"/>
              </w:rPr>
            </w:pPr>
            <w:r>
              <w:rPr>
                <w:sz w:val="20"/>
              </w:rPr>
              <w:t>06</w:t>
            </w:r>
          </w:p>
        </w:tc>
        <w:tc>
          <w:tcPr>
            <w:tcW w:w="710" w:type="dxa"/>
            <w:tcBorders>
              <w:right w:val="single" w:sz="17" w:space="0" w:color="000000"/>
            </w:tcBorders>
          </w:tcPr>
          <w:p>
            <w:pPr>
              <w:pStyle w:val="TableParagraph"/>
              <w:spacing w:before="8"/>
              <w:jc w:val="left"/>
              <w:rPr>
                <w:b/>
                <w:sz w:val="22"/>
              </w:rPr>
            </w:pPr>
          </w:p>
          <w:p>
            <w:pPr>
              <w:pStyle w:val="TableParagraph"/>
              <w:ind w:left="82" w:right="65"/>
              <w:rPr>
                <w:sz w:val="20"/>
              </w:rPr>
            </w:pPr>
            <w:r>
              <w:rPr>
                <w:sz w:val="20"/>
              </w:rPr>
              <w:t>43,33</w:t>
            </w:r>
          </w:p>
        </w:tc>
        <w:tc>
          <w:tcPr>
            <w:tcW w:w="637" w:type="dxa"/>
            <w:tcBorders>
              <w:left w:val="single" w:sz="17" w:space="0" w:color="000000"/>
            </w:tcBorders>
          </w:tcPr>
          <w:p>
            <w:pPr>
              <w:pStyle w:val="TableParagraph"/>
              <w:spacing w:before="8"/>
              <w:jc w:val="left"/>
              <w:rPr>
                <w:b/>
                <w:sz w:val="22"/>
              </w:rPr>
            </w:pPr>
          </w:p>
          <w:p>
            <w:pPr>
              <w:pStyle w:val="TableParagraph"/>
              <w:ind w:right="171"/>
              <w:jc w:val="right"/>
              <w:rPr>
                <w:sz w:val="20"/>
              </w:rPr>
            </w:pPr>
            <w:r>
              <w:rPr>
                <w:sz w:val="20"/>
              </w:rPr>
              <w:t>06</w:t>
            </w:r>
          </w:p>
        </w:tc>
        <w:tc>
          <w:tcPr>
            <w:tcW w:w="780" w:type="dxa"/>
            <w:tcBorders>
              <w:right w:val="single" w:sz="17" w:space="0" w:color="000000"/>
            </w:tcBorders>
          </w:tcPr>
          <w:p>
            <w:pPr>
              <w:pStyle w:val="TableParagraph"/>
              <w:spacing w:before="8"/>
              <w:jc w:val="left"/>
              <w:rPr>
                <w:b/>
                <w:sz w:val="22"/>
              </w:rPr>
            </w:pPr>
          </w:p>
          <w:p>
            <w:pPr>
              <w:pStyle w:val="TableParagraph"/>
              <w:ind w:left="150" w:right="65"/>
              <w:rPr>
                <w:sz w:val="20"/>
              </w:rPr>
            </w:pPr>
            <w:r>
              <w:rPr>
                <w:sz w:val="20"/>
              </w:rPr>
              <w:t>20</w:t>
            </w:r>
          </w:p>
        </w:tc>
      </w:tr>
      <w:tr>
        <w:trPr>
          <w:trHeight w:val="323" w:hRule="exact"/>
        </w:trPr>
        <w:tc>
          <w:tcPr>
            <w:tcW w:w="2874" w:type="dxa"/>
            <w:tcBorders>
              <w:left w:val="single" w:sz="17" w:space="0" w:color="000000"/>
            </w:tcBorders>
          </w:tcPr>
          <w:p>
            <w:pPr>
              <w:pStyle w:val="TableParagraph"/>
              <w:tabs>
                <w:tab w:pos="925" w:val="left" w:leader="none"/>
                <w:tab w:pos="2058" w:val="left" w:leader="none"/>
              </w:tabs>
              <w:spacing w:before="96"/>
              <w:ind w:left="28"/>
              <w:jc w:val="left"/>
              <w:rPr>
                <w:sz w:val="20"/>
              </w:rPr>
            </w:pPr>
            <w:r>
              <w:rPr>
                <w:sz w:val="20"/>
              </w:rPr>
              <w:t>Valores</w:t>
              <w:tab/>
              <w:t>Humanos,</w:t>
              <w:tab/>
              <w:t>Sociais,</w:t>
            </w:r>
          </w:p>
        </w:tc>
        <w:tc>
          <w:tcPr>
            <w:tcW w:w="958" w:type="dxa"/>
            <w:tcBorders>
              <w:right w:val="single" w:sz="17" w:space="0" w:color="000000"/>
            </w:tcBorders>
          </w:tcPr>
          <w:p>
            <w:pPr/>
          </w:p>
        </w:tc>
        <w:tc>
          <w:tcPr>
            <w:tcW w:w="524" w:type="dxa"/>
            <w:tcBorders>
              <w:left w:val="single" w:sz="17" w:space="0" w:color="000000"/>
            </w:tcBorders>
          </w:tcPr>
          <w:p>
            <w:pPr/>
          </w:p>
        </w:tc>
        <w:tc>
          <w:tcPr>
            <w:tcW w:w="609" w:type="dxa"/>
            <w:tcBorders>
              <w:right w:val="single" w:sz="17" w:space="0" w:color="000000"/>
            </w:tcBorders>
          </w:tcPr>
          <w:p>
            <w:pPr/>
          </w:p>
        </w:tc>
        <w:tc>
          <w:tcPr>
            <w:tcW w:w="532" w:type="dxa"/>
            <w:tcBorders>
              <w:left w:val="single" w:sz="17" w:space="0" w:color="000000"/>
            </w:tcBorders>
          </w:tcPr>
          <w:p>
            <w:pPr/>
          </w:p>
        </w:tc>
        <w:tc>
          <w:tcPr>
            <w:tcW w:w="741" w:type="dxa"/>
            <w:tcBorders>
              <w:right w:val="single" w:sz="17" w:space="0" w:color="000000"/>
            </w:tcBorders>
          </w:tcPr>
          <w:p>
            <w:pPr/>
          </w:p>
        </w:tc>
        <w:tc>
          <w:tcPr>
            <w:tcW w:w="428" w:type="dxa"/>
            <w:tcBorders>
              <w:left w:val="single" w:sz="17" w:space="0" w:color="000000"/>
            </w:tcBorders>
          </w:tcPr>
          <w:p>
            <w:pPr/>
          </w:p>
        </w:tc>
        <w:tc>
          <w:tcPr>
            <w:tcW w:w="710" w:type="dxa"/>
            <w:tcBorders>
              <w:right w:val="single" w:sz="17" w:space="0" w:color="000000"/>
            </w:tcBorders>
          </w:tcPr>
          <w:p>
            <w:pPr/>
          </w:p>
        </w:tc>
        <w:tc>
          <w:tcPr>
            <w:tcW w:w="637" w:type="dxa"/>
            <w:tcBorders>
              <w:left w:val="single" w:sz="17" w:space="0" w:color="000000"/>
            </w:tcBorders>
          </w:tcPr>
          <w:p>
            <w:pPr/>
          </w:p>
        </w:tc>
        <w:tc>
          <w:tcPr>
            <w:tcW w:w="780" w:type="dxa"/>
            <w:tcBorders>
              <w:right w:val="single" w:sz="17" w:space="0" w:color="000000"/>
            </w:tcBorders>
          </w:tcPr>
          <w:p>
            <w:pPr/>
          </w:p>
        </w:tc>
      </w:tr>
      <w:tr>
        <w:trPr>
          <w:trHeight w:val="477" w:hRule="exact"/>
        </w:trPr>
        <w:tc>
          <w:tcPr>
            <w:tcW w:w="2874" w:type="dxa"/>
            <w:tcBorders>
              <w:left w:val="single" w:sz="17" w:space="0" w:color="000000"/>
              <w:bottom w:val="single" w:sz="17" w:space="0" w:color="000000"/>
            </w:tcBorders>
          </w:tcPr>
          <w:p>
            <w:pPr>
              <w:pStyle w:val="TableParagraph"/>
              <w:spacing w:before="3"/>
              <w:ind w:left="28"/>
              <w:jc w:val="left"/>
              <w:rPr>
                <w:sz w:val="20"/>
              </w:rPr>
            </w:pPr>
            <w:r>
              <w:rPr>
                <w:sz w:val="20"/>
              </w:rPr>
              <w:t>Meio ambientais</w:t>
            </w:r>
          </w:p>
        </w:tc>
        <w:tc>
          <w:tcPr>
            <w:tcW w:w="958" w:type="dxa"/>
            <w:tcBorders>
              <w:bottom w:val="single" w:sz="17" w:space="0" w:color="000000"/>
              <w:right w:val="single" w:sz="17" w:space="0" w:color="000000"/>
            </w:tcBorders>
          </w:tcPr>
          <w:p>
            <w:pPr>
              <w:pStyle w:val="TableParagraph"/>
              <w:spacing w:line="224" w:lineRule="exact"/>
              <w:ind w:left="67" w:right="78"/>
              <w:rPr>
                <w:sz w:val="20"/>
              </w:rPr>
            </w:pPr>
            <w:r>
              <w:rPr>
                <w:sz w:val="20"/>
              </w:rPr>
              <w:t>05</w:t>
            </w:r>
          </w:p>
        </w:tc>
        <w:tc>
          <w:tcPr>
            <w:tcW w:w="524" w:type="dxa"/>
            <w:tcBorders>
              <w:left w:val="single" w:sz="17" w:space="0" w:color="000000"/>
              <w:bottom w:val="single" w:sz="17" w:space="0" w:color="000000"/>
            </w:tcBorders>
          </w:tcPr>
          <w:p>
            <w:pPr>
              <w:pStyle w:val="TableParagraph"/>
              <w:spacing w:line="224" w:lineRule="exact"/>
              <w:ind w:right="131"/>
              <w:jc w:val="right"/>
              <w:rPr>
                <w:sz w:val="20"/>
              </w:rPr>
            </w:pPr>
            <w:r>
              <w:rPr>
                <w:sz w:val="20"/>
              </w:rPr>
              <w:t>06</w:t>
            </w:r>
          </w:p>
        </w:tc>
        <w:tc>
          <w:tcPr>
            <w:tcW w:w="609" w:type="dxa"/>
            <w:tcBorders>
              <w:bottom w:val="single" w:sz="17" w:space="0" w:color="000000"/>
              <w:right w:val="single" w:sz="17" w:space="0" w:color="000000"/>
            </w:tcBorders>
          </w:tcPr>
          <w:p>
            <w:pPr>
              <w:pStyle w:val="TableParagraph"/>
              <w:spacing w:line="224" w:lineRule="exact"/>
              <w:ind w:left="106" w:right="46"/>
              <w:rPr>
                <w:sz w:val="20"/>
              </w:rPr>
            </w:pPr>
            <w:r>
              <w:rPr>
                <w:sz w:val="20"/>
              </w:rPr>
              <w:t>0,0</w:t>
            </w:r>
          </w:p>
        </w:tc>
        <w:tc>
          <w:tcPr>
            <w:tcW w:w="532" w:type="dxa"/>
            <w:tcBorders>
              <w:left w:val="single" w:sz="17" w:space="0" w:color="000000"/>
              <w:bottom w:val="single" w:sz="17" w:space="0" w:color="000000"/>
            </w:tcBorders>
          </w:tcPr>
          <w:p>
            <w:pPr>
              <w:pStyle w:val="TableParagraph"/>
              <w:spacing w:line="224" w:lineRule="exact"/>
              <w:ind w:left="127" w:right="119"/>
              <w:rPr>
                <w:sz w:val="20"/>
              </w:rPr>
            </w:pPr>
            <w:r>
              <w:rPr>
                <w:sz w:val="20"/>
              </w:rPr>
              <w:t>06</w:t>
            </w:r>
          </w:p>
        </w:tc>
        <w:tc>
          <w:tcPr>
            <w:tcW w:w="741" w:type="dxa"/>
            <w:tcBorders>
              <w:bottom w:val="single" w:sz="17" w:space="0" w:color="000000"/>
              <w:right w:val="single" w:sz="17" w:space="0" w:color="000000"/>
            </w:tcBorders>
          </w:tcPr>
          <w:p>
            <w:pPr>
              <w:pStyle w:val="TableParagraph"/>
              <w:spacing w:line="224" w:lineRule="exact"/>
              <w:ind w:left="118" w:right="60"/>
              <w:rPr>
                <w:sz w:val="20"/>
              </w:rPr>
            </w:pPr>
            <w:r>
              <w:rPr>
                <w:sz w:val="20"/>
              </w:rPr>
              <w:t>13,33</w:t>
            </w:r>
          </w:p>
        </w:tc>
        <w:tc>
          <w:tcPr>
            <w:tcW w:w="428" w:type="dxa"/>
            <w:tcBorders>
              <w:left w:val="single" w:sz="17" w:space="0" w:color="000000"/>
              <w:bottom w:val="single" w:sz="17" w:space="0" w:color="000000"/>
            </w:tcBorders>
          </w:tcPr>
          <w:p>
            <w:pPr>
              <w:pStyle w:val="TableParagraph"/>
              <w:spacing w:line="224" w:lineRule="exact"/>
              <w:ind w:left="62" w:right="82"/>
              <w:rPr>
                <w:sz w:val="20"/>
              </w:rPr>
            </w:pPr>
            <w:r>
              <w:rPr>
                <w:sz w:val="20"/>
              </w:rPr>
              <w:t>06</w:t>
            </w:r>
          </w:p>
        </w:tc>
        <w:tc>
          <w:tcPr>
            <w:tcW w:w="710" w:type="dxa"/>
            <w:tcBorders>
              <w:bottom w:val="single" w:sz="17" w:space="0" w:color="000000"/>
              <w:right w:val="single" w:sz="17" w:space="0" w:color="000000"/>
            </w:tcBorders>
          </w:tcPr>
          <w:p>
            <w:pPr>
              <w:pStyle w:val="TableParagraph"/>
              <w:spacing w:line="224" w:lineRule="exact"/>
              <w:ind w:left="82" w:right="65"/>
              <w:rPr>
                <w:sz w:val="20"/>
              </w:rPr>
            </w:pPr>
            <w:r>
              <w:rPr>
                <w:sz w:val="20"/>
              </w:rPr>
              <w:t>43,33</w:t>
            </w:r>
          </w:p>
        </w:tc>
        <w:tc>
          <w:tcPr>
            <w:tcW w:w="637" w:type="dxa"/>
            <w:tcBorders>
              <w:left w:val="single" w:sz="17" w:space="0" w:color="000000"/>
              <w:bottom w:val="single" w:sz="17" w:space="0" w:color="000000"/>
            </w:tcBorders>
          </w:tcPr>
          <w:p>
            <w:pPr>
              <w:pStyle w:val="TableParagraph"/>
              <w:spacing w:line="224" w:lineRule="exact"/>
              <w:ind w:right="171"/>
              <w:jc w:val="right"/>
              <w:rPr>
                <w:sz w:val="20"/>
              </w:rPr>
            </w:pPr>
            <w:r>
              <w:rPr>
                <w:sz w:val="20"/>
              </w:rPr>
              <w:t>06</w:t>
            </w:r>
          </w:p>
        </w:tc>
        <w:tc>
          <w:tcPr>
            <w:tcW w:w="780" w:type="dxa"/>
            <w:tcBorders>
              <w:bottom w:val="single" w:sz="17" w:space="0" w:color="000000"/>
              <w:right w:val="single" w:sz="17" w:space="0" w:color="000000"/>
            </w:tcBorders>
          </w:tcPr>
          <w:p>
            <w:pPr>
              <w:pStyle w:val="TableParagraph"/>
              <w:spacing w:line="224" w:lineRule="exact"/>
              <w:ind w:left="151" w:right="65"/>
              <w:rPr>
                <w:sz w:val="20"/>
              </w:rPr>
            </w:pPr>
            <w:r>
              <w:rPr>
                <w:sz w:val="20"/>
              </w:rPr>
              <w:t>43,33</w:t>
            </w:r>
          </w:p>
        </w:tc>
      </w:tr>
    </w:tbl>
    <w:p>
      <w:pPr>
        <w:spacing w:before="0"/>
        <w:ind w:left="308" w:right="0" w:firstLine="0"/>
        <w:jc w:val="left"/>
        <w:rPr>
          <w:sz w:val="22"/>
        </w:rPr>
      </w:pPr>
      <w:r>
        <w:rPr>
          <w:sz w:val="20"/>
        </w:rPr>
        <w:t>Fonte: Dados da Pesquisa – Mestrado – Pinho (2014</w:t>
      </w:r>
      <w:r>
        <w:rPr>
          <w:sz w:val="22"/>
        </w:rPr>
        <w:t>.</w:t>
      </w:r>
    </w:p>
    <w:p>
      <w:pPr>
        <w:pStyle w:val="BodyText"/>
      </w:pPr>
    </w:p>
    <w:p>
      <w:pPr>
        <w:pStyle w:val="BodyText"/>
        <w:spacing w:before="9"/>
        <w:rPr>
          <w:sz w:val="30"/>
        </w:rPr>
      </w:pPr>
    </w:p>
    <w:p>
      <w:pPr>
        <w:spacing w:before="0" w:after="10"/>
        <w:ind w:left="495" w:right="332" w:firstLine="0"/>
        <w:jc w:val="center"/>
        <w:rPr>
          <w:b/>
          <w:sz w:val="20"/>
        </w:rPr>
      </w:pPr>
      <w:r>
        <w:rPr>
          <w:b/>
          <w:sz w:val="20"/>
        </w:rPr>
        <w:t>Quadro 04: Categoria I – Nível de Consciência Criativa / visão, missão, cultura e valor na percepção dos pais</w:t>
      </w:r>
    </w:p>
    <w:tbl>
      <w:tblPr>
        <w:tblW w:w="0" w:type="auto"/>
        <w:jc w:val="left"/>
        <w:tblInd w:w="28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66"/>
        <w:gridCol w:w="956"/>
        <w:gridCol w:w="531"/>
        <w:gridCol w:w="746"/>
        <w:gridCol w:w="567"/>
        <w:gridCol w:w="849"/>
        <w:gridCol w:w="531"/>
        <w:gridCol w:w="746"/>
        <w:gridCol w:w="637"/>
        <w:gridCol w:w="1063"/>
      </w:tblGrid>
      <w:tr>
        <w:trPr>
          <w:trHeight w:val="257" w:hRule="exact"/>
        </w:trPr>
        <w:tc>
          <w:tcPr>
            <w:tcW w:w="3121" w:type="dxa"/>
            <w:gridSpan w:val="2"/>
            <w:vMerge w:val="restart"/>
            <w:tcBorders>
              <w:right w:val="single" w:sz="17" w:space="0" w:color="000000"/>
            </w:tcBorders>
          </w:tcPr>
          <w:p>
            <w:pPr/>
          </w:p>
        </w:tc>
        <w:tc>
          <w:tcPr>
            <w:tcW w:w="5671" w:type="dxa"/>
            <w:gridSpan w:val="8"/>
            <w:tcBorders>
              <w:top w:val="single" w:sz="17" w:space="0" w:color="000000"/>
              <w:left w:val="single" w:sz="17" w:space="0" w:color="000000"/>
              <w:bottom w:val="single" w:sz="4" w:space="0" w:color="000000"/>
              <w:right w:val="single" w:sz="17" w:space="0" w:color="000000"/>
            </w:tcBorders>
          </w:tcPr>
          <w:p>
            <w:pPr>
              <w:pStyle w:val="TableParagraph"/>
              <w:spacing w:line="225" w:lineRule="exact"/>
              <w:ind w:left="2228" w:right="2168"/>
              <w:rPr>
                <w:sz w:val="20"/>
              </w:rPr>
            </w:pPr>
            <w:r>
              <w:rPr>
                <w:sz w:val="20"/>
              </w:rPr>
              <w:t>AVALIAÇÃO</w:t>
            </w:r>
          </w:p>
        </w:tc>
      </w:tr>
      <w:tr>
        <w:trPr>
          <w:trHeight w:val="1404" w:hRule="exact"/>
        </w:trPr>
        <w:tc>
          <w:tcPr>
            <w:tcW w:w="3121" w:type="dxa"/>
            <w:gridSpan w:val="2"/>
            <w:vMerge/>
            <w:tcBorders>
              <w:bottom w:val="single" w:sz="17" w:space="0" w:color="000000"/>
              <w:right w:val="single" w:sz="17" w:space="0" w:color="000000"/>
            </w:tcBorders>
          </w:tcPr>
          <w:p>
            <w:pPr/>
          </w:p>
        </w:tc>
        <w:tc>
          <w:tcPr>
            <w:tcW w:w="1277" w:type="dxa"/>
            <w:gridSpan w:val="2"/>
            <w:vMerge w:val="restart"/>
            <w:tcBorders>
              <w:top w:val="single" w:sz="4" w:space="0" w:color="000000"/>
              <w:left w:val="single" w:sz="17" w:space="0" w:color="000000"/>
              <w:right w:val="single" w:sz="17" w:space="0" w:color="000000"/>
            </w:tcBorders>
          </w:tcPr>
          <w:p>
            <w:pPr>
              <w:pStyle w:val="TableParagraph"/>
              <w:spacing w:before="6"/>
              <w:jc w:val="left"/>
              <w:rPr>
                <w:b/>
                <w:sz w:val="29"/>
              </w:rPr>
            </w:pPr>
          </w:p>
          <w:p>
            <w:pPr>
              <w:pStyle w:val="TableParagraph"/>
              <w:spacing w:before="1"/>
              <w:ind w:left="43" w:right="44" w:hanging="1"/>
              <w:rPr>
                <w:sz w:val="20"/>
              </w:rPr>
            </w:pPr>
            <w:r>
              <w:rPr>
                <w:sz w:val="20"/>
              </w:rPr>
              <w:t>Nunca ou quase nunca (1-2)</w:t>
            </w:r>
          </w:p>
          <w:p>
            <w:pPr>
              <w:pStyle w:val="TableParagraph"/>
              <w:jc w:val="left"/>
              <w:rPr>
                <w:b/>
                <w:sz w:val="22"/>
              </w:rPr>
            </w:pPr>
          </w:p>
          <w:p>
            <w:pPr>
              <w:pStyle w:val="TableParagraph"/>
              <w:tabs>
                <w:tab w:pos="657" w:val="left" w:leader="none"/>
              </w:tabs>
              <w:spacing w:before="136"/>
              <w:ind w:right="87"/>
              <w:rPr>
                <w:sz w:val="20"/>
              </w:rPr>
            </w:pPr>
            <w:r>
              <w:rPr>
                <w:sz w:val="20"/>
              </w:rPr>
              <w:t>Nº</w:t>
              <w:tab/>
              <w:t>%</w:t>
            </w:r>
          </w:p>
        </w:tc>
        <w:tc>
          <w:tcPr>
            <w:tcW w:w="1417" w:type="dxa"/>
            <w:gridSpan w:val="2"/>
            <w:vMerge w:val="restart"/>
            <w:tcBorders>
              <w:top w:val="single" w:sz="4" w:space="0" w:color="000000"/>
              <w:left w:val="single" w:sz="17" w:space="0" w:color="000000"/>
              <w:right w:val="single" w:sz="17" w:space="0" w:color="000000"/>
            </w:tcBorders>
          </w:tcPr>
          <w:p>
            <w:pPr>
              <w:pStyle w:val="TableParagraph"/>
              <w:spacing w:before="6"/>
              <w:jc w:val="left"/>
              <w:rPr>
                <w:b/>
                <w:sz w:val="29"/>
              </w:rPr>
            </w:pPr>
          </w:p>
          <w:p>
            <w:pPr>
              <w:pStyle w:val="TableParagraph"/>
              <w:spacing w:before="1"/>
              <w:ind w:left="36" w:right="40"/>
              <w:rPr>
                <w:sz w:val="20"/>
              </w:rPr>
            </w:pPr>
            <w:r>
              <w:rPr>
                <w:sz w:val="20"/>
              </w:rPr>
              <w:t>Às vezes.</w:t>
            </w:r>
          </w:p>
          <w:p>
            <w:pPr>
              <w:pStyle w:val="TableParagraph"/>
              <w:ind w:left="47" w:right="40"/>
              <w:rPr>
                <w:sz w:val="20"/>
              </w:rPr>
            </w:pPr>
            <w:r>
              <w:rPr>
                <w:sz w:val="20"/>
              </w:rPr>
              <w:t>Ocasionalmen te (3-4-5)</w:t>
            </w:r>
          </w:p>
          <w:p>
            <w:pPr>
              <w:pStyle w:val="TableParagraph"/>
              <w:jc w:val="left"/>
              <w:rPr>
                <w:b/>
                <w:sz w:val="22"/>
              </w:rPr>
            </w:pPr>
          </w:p>
          <w:p>
            <w:pPr>
              <w:pStyle w:val="TableParagraph"/>
              <w:tabs>
                <w:tab w:pos="724" w:val="left" w:leader="none"/>
              </w:tabs>
              <w:spacing w:before="135"/>
              <w:ind w:right="160"/>
              <w:rPr>
                <w:sz w:val="20"/>
              </w:rPr>
            </w:pPr>
            <w:r>
              <w:rPr>
                <w:sz w:val="20"/>
              </w:rPr>
              <w:t>Nº</w:t>
              <w:tab/>
              <w:t>%</w:t>
            </w:r>
          </w:p>
        </w:tc>
        <w:tc>
          <w:tcPr>
            <w:tcW w:w="1277" w:type="dxa"/>
            <w:gridSpan w:val="2"/>
            <w:vMerge w:val="restart"/>
            <w:tcBorders>
              <w:top w:val="single" w:sz="4" w:space="0" w:color="000000"/>
              <w:left w:val="single" w:sz="17" w:space="0" w:color="000000"/>
              <w:right w:val="single" w:sz="17" w:space="0" w:color="000000"/>
            </w:tcBorders>
          </w:tcPr>
          <w:p>
            <w:pPr>
              <w:pStyle w:val="TableParagraph"/>
              <w:ind w:left="33" w:right="27"/>
              <w:rPr>
                <w:sz w:val="20"/>
              </w:rPr>
            </w:pPr>
            <w:r>
              <w:rPr>
                <w:sz w:val="20"/>
              </w:rPr>
              <w:t>Muitas vezes ou ocasiões.</w:t>
            </w:r>
          </w:p>
          <w:p>
            <w:pPr>
              <w:pStyle w:val="TableParagraph"/>
              <w:spacing w:before="5"/>
              <w:ind w:left="67" w:right="70" w:hanging="1"/>
              <w:rPr>
                <w:sz w:val="20"/>
              </w:rPr>
            </w:pPr>
            <w:r>
              <w:rPr>
                <w:sz w:val="20"/>
              </w:rPr>
              <w:t>Existem evidências do indicador (6-7-8)</w:t>
            </w:r>
          </w:p>
          <w:p>
            <w:pPr>
              <w:pStyle w:val="TableParagraph"/>
              <w:tabs>
                <w:tab w:pos="657" w:val="left" w:leader="none"/>
              </w:tabs>
              <w:spacing w:before="48"/>
              <w:ind w:right="87"/>
              <w:rPr>
                <w:sz w:val="20"/>
              </w:rPr>
            </w:pPr>
            <w:r>
              <w:rPr>
                <w:sz w:val="20"/>
              </w:rPr>
              <w:t>Nº</w:t>
              <w:tab/>
              <w:t>%</w:t>
            </w:r>
          </w:p>
        </w:tc>
        <w:tc>
          <w:tcPr>
            <w:tcW w:w="1700" w:type="dxa"/>
            <w:gridSpan w:val="2"/>
            <w:vMerge w:val="restart"/>
            <w:tcBorders>
              <w:top w:val="single" w:sz="4" w:space="0" w:color="000000"/>
              <w:left w:val="single" w:sz="17" w:space="0" w:color="000000"/>
              <w:right w:val="single" w:sz="17" w:space="0" w:color="000000"/>
            </w:tcBorders>
          </w:tcPr>
          <w:p>
            <w:pPr>
              <w:pStyle w:val="TableParagraph"/>
              <w:spacing w:line="225" w:lineRule="exact"/>
              <w:ind w:right="1"/>
              <w:rPr>
                <w:sz w:val="20"/>
              </w:rPr>
            </w:pPr>
            <w:r>
              <w:rPr>
                <w:sz w:val="20"/>
              </w:rPr>
              <w:t>De continuo.</w:t>
            </w:r>
          </w:p>
          <w:p>
            <w:pPr>
              <w:pStyle w:val="TableParagraph"/>
              <w:rPr>
                <w:sz w:val="20"/>
              </w:rPr>
            </w:pPr>
            <w:r>
              <w:rPr>
                <w:sz w:val="20"/>
              </w:rPr>
              <w:t>Evidências claras de aparição do indicador ou característica (9-</w:t>
            </w:r>
          </w:p>
          <w:p>
            <w:pPr>
              <w:pStyle w:val="TableParagraph"/>
              <w:spacing w:line="226" w:lineRule="exact"/>
              <w:ind w:right="4"/>
              <w:rPr>
                <w:sz w:val="20"/>
              </w:rPr>
            </w:pPr>
            <w:r>
              <w:rPr>
                <w:sz w:val="20"/>
              </w:rPr>
              <w:t>10)</w:t>
            </w:r>
          </w:p>
          <w:p>
            <w:pPr>
              <w:pStyle w:val="TableParagraph"/>
              <w:tabs>
                <w:tab w:pos="1022" w:val="left" w:leader="none"/>
              </w:tabs>
              <w:spacing w:before="49"/>
              <w:ind w:left="153"/>
              <w:jc w:val="left"/>
              <w:rPr>
                <w:sz w:val="20"/>
              </w:rPr>
            </w:pPr>
            <w:r>
              <w:rPr>
                <w:sz w:val="20"/>
              </w:rPr>
              <w:t>Nº</w:t>
              <w:tab/>
              <w:t>%</w:t>
            </w:r>
          </w:p>
        </w:tc>
      </w:tr>
      <w:tr>
        <w:trPr>
          <w:trHeight w:val="278" w:hRule="exact"/>
        </w:trPr>
        <w:tc>
          <w:tcPr>
            <w:tcW w:w="2166" w:type="dxa"/>
            <w:tcBorders>
              <w:top w:val="single" w:sz="17" w:space="0" w:color="000000"/>
              <w:left w:val="single" w:sz="17" w:space="0" w:color="000000"/>
              <w:bottom w:val="single" w:sz="17" w:space="0" w:color="000000"/>
            </w:tcBorders>
          </w:tcPr>
          <w:p>
            <w:pPr>
              <w:pStyle w:val="TableParagraph"/>
              <w:spacing w:line="230" w:lineRule="exact"/>
              <w:ind w:left="576"/>
              <w:jc w:val="left"/>
              <w:rPr>
                <w:sz w:val="20"/>
              </w:rPr>
            </w:pPr>
            <w:r>
              <w:rPr>
                <w:sz w:val="20"/>
              </w:rPr>
              <w:t>Parâmetro</w:t>
            </w:r>
          </w:p>
        </w:tc>
        <w:tc>
          <w:tcPr>
            <w:tcW w:w="956" w:type="dxa"/>
            <w:tcBorders>
              <w:top w:val="single" w:sz="17" w:space="0" w:color="000000"/>
              <w:bottom w:val="single" w:sz="17" w:space="0" w:color="000000"/>
              <w:right w:val="single" w:sz="17" w:space="0" w:color="000000"/>
            </w:tcBorders>
          </w:tcPr>
          <w:p>
            <w:pPr>
              <w:pStyle w:val="TableParagraph"/>
              <w:spacing w:line="230" w:lineRule="exact"/>
              <w:ind w:left="65" w:right="83"/>
              <w:rPr>
                <w:sz w:val="20"/>
              </w:rPr>
            </w:pPr>
            <w:r>
              <w:rPr>
                <w:sz w:val="20"/>
              </w:rPr>
              <w:t>Amostra</w:t>
            </w:r>
          </w:p>
        </w:tc>
        <w:tc>
          <w:tcPr>
            <w:tcW w:w="1277" w:type="dxa"/>
            <w:gridSpan w:val="2"/>
            <w:vMerge/>
            <w:tcBorders>
              <w:left w:val="single" w:sz="17" w:space="0" w:color="000000"/>
              <w:bottom w:val="single" w:sz="17" w:space="0" w:color="000000"/>
              <w:right w:val="single" w:sz="17" w:space="0" w:color="000000"/>
            </w:tcBorders>
          </w:tcPr>
          <w:p>
            <w:pPr/>
          </w:p>
        </w:tc>
        <w:tc>
          <w:tcPr>
            <w:tcW w:w="1417" w:type="dxa"/>
            <w:gridSpan w:val="2"/>
            <w:vMerge/>
            <w:tcBorders>
              <w:left w:val="single" w:sz="17" w:space="0" w:color="000000"/>
              <w:bottom w:val="single" w:sz="17" w:space="0" w:color="000000"/>
              <w:right w:val="single" w:sz="17" w:space="0" w:color="000000"/>
            </w:tcBorders>
          </w:tcPr>
          <w:p>
            <w:pPr/>
          </w:p>
        </w:tc>
        <w:tc>
          <w:tcPr>
            <w:tcW w:w="1277" w:type="dxa"/>
            <w:gridSpan w:val="2"/>
            <w:vMerge/>
            <w:tcBorders>
              <w:left w:val="single" w:sz="17" w:space="0" w:color="000000"/>
              <w:bottom w:val="single" w:sz="17" w:space="0" w:color="000000"/>
              <w:right w:val="single" w:sz="17" w:space="0" w:color="000000"/>
            </w:tcBorders>
          </w:tcPr>
          <w:p>
            <w:pPr/>
          </w:p>
        </w:tc>
        <w:tc>
          <w:tcPr>
            <w:tcW w:w="1700" w:type="dxa"/>
            <w:gridSpan w:val="2"/>
            <w:vMerge/>
            <w:tcBorders>
              <w:left w:val="single" w:sz="17" w:space="0" w:color="000000"/>
              <w:bottom w:val="single" w:sz="17" w:space="0" w:color="000000"/>
              <w:right w:val="single" w:sz="17" w:space="0" w:color="000000"/>
            </w:tcBorders>
          </w:tcPr>
          <w:p>
            <w:pPr/>
          </w:p>
        </w:tc>
      </w:tr>
      <w:tr>
        <w:trPr>
          <w:trHeight w:val="249" w:hRule="exact"/>
        </w:trPr>
        <w:tc>
          <w:tcPr>
            <w:tcW w:w="2166" w:type="dxa"/>
            <w:tcBorders>
              <w:top w:val="single" w:sz="17" w:space="0" w:color="000000"/>
              <w:left w:val="single" w:sz="17" w:space="0" w:color="000000"/>
            </w:tcBorders>
          </w:tcPr>
          <w:p>
            <w:pPr>
              <w:pStyle w:val="TableParagraph"/>
              <w:spacing w:line="225" w:lineRule="exact"/>
              <w:ind w:left="28"/>
              <w:jc w:val="left"/>
              <w:rPr>
                <w:sz w:val="20"/>
              </w:rPr>
            </w:pPr>
            <w:r>
              <w:rPr>
                <w:sz w:val="20"/>
              </w:rPr>
              <w:t>Cultura Inovadora</w:t>
            </w:r>
          </w:p>
        </w:tc>
        <w:tc>
          <w:tcPr>
            <w:tcW w:w="956" w:type="dxa"/>
            <w:tcBorders>
              <w:top w:val="single" w:sz="17" w:space="0" w:color="000000"/>
              <w:right w:val="single" w:sz="17" w:space="0" w:color="000000"/>
            </w:tcBorders>
          </w:tcPr>
          <w:p>
            <w:pPr>
              <w:pStyle w:val="TableParagraph"/>
              <w:spacing w:line="225" w:lineRule="exact"/>
              <w:ind w:left="65" w:right="80"/>
              <w:rPr>
                <w:sz w:val="20"/>
              </w:rPr>
            </w:pPr>
            <w:r>
              <w:rPr>
                <w:sz w:val="20"/>
              </w:rPr>
              <w:t>28</w:t>
            </w:r>
          </w:p>
        </w:tc>
        <w:tc>
          <w:tcPr>
            <w:tcW w:w="531" w:type="dxa"/>
            <w:tcBorders>
              <w:top w:val="single" w:sz="17" w:space="0" w:color="000000"/>
              <w:left w:val="single" w:sz="17" w:space="0" w:color="000000"/>
            </w:tcBorders>
          </w:tcPr>
          <w:p>
            <w:pPr>
              <w:pStyle w:val="TableParagraph"/>
              <w:spacing w:line="225" w:lineRule="exact"/>
              <w:ind w:right="138"/>
              <w:jc w:val="right"/>
              <w:rPr>
                <w:sz w:val="20"/>
              </w:rPr>
            </w:pPr>
            <w:r>
              <w:rPr>
                <w:sz w:val="20"/>
              </w:rPr>
              <w:t>06</w:t>
            </w:r>
          </w:p>
        </w:tc>
        <w:tc>
          <w:tcPr>
            <w:tcW w:w="746" w:type="dxa"/>
            <w:tcBorders>
              <w:top w:val="single" w:sz="17" w:space="0" w:color="000000"/>
              <w:right w:val="single" w:sz="17" w:space="0" w:color="000000"/>
            </w:tcBorders>
          </w:tcPr>
          <w:p>
            <w:pPr>
              <w:pStyle w:val="TableParagraph"/>
              <w:spacing w:line="225" w:lineRule="exact"/>
              <w:ind w:left="118" w:right="65"/>
              <w:rPr>
                <w:sz w:val="20"/>
              </w:rPr>
            </w:pPr>
            <w:r>
              <w:rPr>
                <w:sz w:val="20"/>
              </w:rPr>
              <w:t>21,86</w:t>
            </w:r>
          </w:p>
        </w:tc>
        <w:tc>
          <w:tcPr>
            <w:tcW w:w="567" w:type="dxa"/>
            <w:tcBorders>
              <w:top w:val="single" w:sz="17" w:space="0" w:color="000000"/>
              <w:left w:val="single" w:sz="17" w:space="0" w:color="000000"/>
            </w:tcBorders>
          </w:tcPr>
          <w:p>
            <w:pPr>
              <w:pStyle w:val="TableParagraph"/>
              <w:spacing w:line="225" w:lineRule="exact"/>
              <w:ind w:left="129" w:right="154"/>
              <w:rPr>
                <w:sz w:val="20"/>
              </w:rPr>
            </w:pPr>
            <w:r>
              <w:rPr>
                <w:sz w:val="20"/>
              </w:rPr>
              <w:t>06</w:t>
            </w:r>
          </w:p>
        </w:tc>
        <w:tc>
          <w:tcPr>
            <w:tcW w:w="849" w:type="dxa"/>
            <w:tcBorders>
              <w:top w:val="single" w:sz="17" w:space="0" w:color="000000"/>
              <w:right w:val="single" w:sz="17" w:space="0" w:color="000000"/>
            </w:tcBorders>
          </w:tcPr>
          <w:p>
            <w:pPr>
              <w:pStyle w:val="TableParagraph"/>
              <w:spacing w:line="225" w:lineRule="exact"/>
              <w:ind w:left="153" w:right="133"/>
              <w:rPr>
                <w:sz w:val="20"/>
              </w:rPr>
            </w:pPr>
            <w:r>
              <w:rPr>
                <w:sz w:val="20"/>
              </w:rPr>
              <w:t>25</w:t>
            </w:r>
          </w:p>
        </w:tc>
        <w:tc>
          <w:tcPr>
            <w:tcW w:w="531" w:type="dxa"/>
            <w:tcBorders>
              <w:top w:val="single" w:sz="17" w:space="0" w:color="000000"/>
              <w:left w:val="single" w:sz="17" w:space="0" w:color="000000"/>
            </w:tcBorders>
          </w:tcPr>
          <w:p>
            <w:pPr>
              <w:pStyle w:val="TableParagraph"/>
              <w:spacing w:line="225" w:lineRule="exact"/>
              <w:ind w:left="127" w:right="119"/>
              <w:rPr>
                <w:sz w:val="20"/>
              </w:rPr>
            </w:pPr>
            <w:r>
              <w:rPr>
                <w:sz w:val="20"/>
              </w:rPr>
              <w:t>06</w:t>
            </w:r>
          </w:p>
        </w:tc>
        <w:tc>
          <w:tcPr>
            <w:tcW w:w="746" w:type="dxa"/>
            <w:tcBorders>
              <w:top w:val="single" w:sz="17" w:space="0" w:color="000000"/>
              <w:right w:val="single" w:sz="17" w:space="0" w:color="000000"/>
            </w:tcBorders>
          </w:tcPr>
          <w:p>
            <w:pPr>
              <w:pStyle w:val="TableParagraph"/>
              <w:spacing w:line="225" w:lineRule="exact"/>
              <w:ind w:right="82"/>
              <w:jc w:val="right"/>
              <w:rPr>
                <w:sz w:val="20"/>
              </w:rPr>
            </w:pPr>
            <w:r>
              <w:rPr>
                <w:sz w:val="20"/>
              </w:rPr>
              <w:t>29,16</w:t>
            </w:r>
          </w:p>
        </w:tc>
        <w:tc>
          <w:tcPr>
            <w:tcW w:w="637" w:type="dxa"/>
            <w:tcBorders>
              <w:top w:val="single" w:sz="17" w:space="0" w:color="000000"/>
              <w:left w:val="single" w:sz="17" w:space="0" w:color="000000"/>
            </w:tcBorders>
          </w:tcPr>
          <w:p>
            <w:pPr>
              <w:pStyle w:val="TableParagraph"/>
              <w:spacing w:line="225" w:lineRule="exact"/>
              <w:ind w:left="129" w:right="224"/>
              <w:rPr>
                <w:sz w:val="20"/>
              </w:rPr>
            </w:pPr>
            <w:r>
              <w:rPr>
                <w:sz w:val="20"/>
              </w:rPr>
              <w:t>06</w:t>
            </w:r>
          </w:p>
        </w:tc>
        <w:tc>
          <w:tcPr>
            <w:tcW w:w="1063" w:type="dxa"/>
            <w:tcBorders>
              <w:top w:val="single" w:sz="17" w:space="0" w:color="000000"/>
              <w:right w:val="single" w:sz="17" w:space="0" w:color="000000"/>
            </w:tcBorders>
          </w:tcPr>
          <w:p>
            <w:pPr>
              <w:pStyle w:val="TableParagraph"/>
              <w:spacing w:line="225" w:lineRule="exact"/>
              <w:ind w:left="244"/>
              <w:jc w:val="left"/>
              <w:rPr>
                <w:sz w:val="20"/>
              </w:rPr>
            </w:pPr>
            <w:r>
              <w:rPr>
                <w:sz w:val="20"/>
              </w:rPr>
              <w:t>22,02</w:t>
            </w:r>
          </w:p>
        </w:tc>
      </w:tr>
      <w:tr>
        <w:trPr>
          <w:trHeight w:val="461" w:hRule="exact"/>
        </w:trPr>
        <w:tc>
          <w:tcPr>
            <w:tcW w:w="2166" w:type="dxa"/>
            <w:tcBorders>
              <w:left w:val="single" w:sz="17" w:space="0" w:color="000000"/>
            </w:tcBorders>
          </w:tcPr>
          <w:p>
            <w:pPr>
              <w:pStyle w:val="TableParagraph"/>
              <w:tabs>
                <w:tab w:pos="1564" w:val="left" w:leader="none"/>
              </w:tabs>
              <w:ind w:left="28" w:right="81"/>
              <w:jc w:val="left"/>
              <w:rPr>
                <w:sz w:val="20"/>
              </w:rPr>
            </w:pPr>
            <w:r>
              <w:rPr>
                <w:sz w:val="20"/>
              </w:rPr>
              <w:t>Criatividade</w:t>
              <w:tab/>
              <w:t>como Valor</w:t>
            </w:r>
          </w:p>
        </w:tc>
        <w:tc>
          <w:tcPr>
            <w:tcW w:w="956" w:type="dxa"/>
            <w:tcBorders>
              <w:right w:val="single" w:sz="17" w:space="0" w:color="000000"/>
            </w:tcBorders>
          </w:tcPr>
          <w:p>
            <w:pPr>
              <w:pStyle w:val="TableParagraph"/>
              <w:spacing w:before="112"/>
              <w:ind w:left="65" w:right="80"/>
              <w:rPr>
                <w:sz w:val="20"/>
              </w:rPr>
            </w:pPr>
            <w:r>
              <w:rPr>
                <w:sz w:val="20"/>
              </w:rPr>
              <w:t>28</w:t>
            </w:r>
          </w:p>
        </w:tc>
        <w:tc>
          <w:tcPr>
            <w:tcW w:w="531" w:type="dxa"/>
            <w:tcBorders>
              <w:left w:val="single" w:sz="17" w:space="0" w:color="000000"/>
            </w:tcBorders>
          </w:tcPr>
          <w:p>
            <w:pPr>
              <w:pStyle w:val="TableParagraph"/>
              <w:spacing w:before="112"/>
              <w:ind w:right="138"/>
              <w:jc w:val="right"/>
              <w:rPr>
                <w:sz w:val="20"/>
              </w:rPr>
            </w:pPr>
            <w:r>
              <w:rPr>
                <w:sz w:val="20"/>
              </w:rPr>
              <w:t>06</w:t>
            </w:r>
          </w:p>
        </w:tc>
        <w:tc>
          <w:tcPr>
            <w:tcW w:w="746" w:type="dxa"/>
            <w:tcBorders>
              <w:right w:val="single" w:sz="17" w:space="0" w:color="000000"/>
            </w:tcBorders>
          </w:tcPr>
          <w:p>
            <w:pPr>
              <w:pStyle w:val="TableParagraph"/>
              <w:spacing w:before="112"/>
              <w:ind w:left="118" w:right="65"/>
              <w:rPr>
                <w:sz w:val="20"/>
              </w:rPr>
            </w:pPr>
            <w:r>
              <w:rPr>
                <w:sz w:val="20"/>
              </w:rPr>
              <w:t>14,29</w:t>
            </w:r>
          </w:p>
        </w:tc>
        <w:tc>
          <w:tcPr>
            <w:tcW w:w="567" w:type="dxa"/>
            <w:tcBorders>
              <w:left w:val="single" w:sz="17" w:space="0" w:color="000000"/>
            </w:tcBorders>
          </w:tcPr>
          <w:p>
            <w:pPr>
              <w:pStyle w:val="TableParagraph"/>
              <w:spacing w:before="112"/>
              <w:ind w:left="129" w:right="154"/>
              <w:rPr>
                <w:sz w:val="20"/>
              </w:rPr>
            </w:pPr>
            <w:r>
              <w:rPr>
                <w:sz w:val="20"/>
              </w:rPr>
              <w:t>06</w:t>
            </w:r>
          </w:p>
        </w:tc>
        <w:tc>
          <w:tcPr>
            <w:tcW w:w="849" w:type="dxa"/>
            <w:tcBorders>
              <w:right w:val="single" w:sz="17" w:space="0" w:color="000000"/>
            </w:tcBorders>
          </w:tcPr>
          <w:p>
            <w:pPr>
              <w:pStyle w:val="TableParagraph"/>
              <w:spacing w:before="112"/>
              <w:ind w:left="154" w:right="133"/>
              <w:rPr>
                <w:sz w:val="20"/>
              </w:rPr>
            </w:pPr>
            <w:r>
              <w:rPr>
                <w:sz w:val="20"/>
              </w:rPr>
              <w:t>21,43</w:t>
            </w:r>
          </w:p>
        </w:tc>
        <w:tc>
          <w:tcPr>
            <w:tcW w:w="531" w:type="dxa"/>
            <w:tcBorders>
              <w:left w:val="single" w:sz="17" w:space="0" w:color="000000"/>
            </w:tcBorders>
          </w:tcPr>
          <w:p>
            <w:pPr>
              <w:pStyle w:val="TableParagraph"/>
              <w:spacing w:before="112"/>
              <w:ind w:left="127" w:right="119"/>
              <w:rPr>
                <w:sz w:val="20"/>
              </w:rPr>
            </w:pPr>
            <w:r>
              <w:rPr>
                <w:sz w:val="20"/>
              </w:rPr>
              <w:t>06</w:t>
            </w:r>
          </w:p>
        </w:tc>
        <w:tc>
          <w:tcPr>
            <w:tcW w:w="746" w:type="dxa"/>
            <w:tcBorders>
              <w:right w:val="single" w:sz="17" w:space="0" w:color="000000"/>
            </w:tcBorders>
          </w:tcPr>
          <w:p>
            <w:pPr>
              <w:pStyle w:val="TableParagraph"/>
              <w:spacing w:before="112"/>
              <w:ind w:right="82"/>
              <w:jc w:val="right"/>
              <w:rPr>
                <w:sz w:val="20"/>
              </w:rPr>
            </w:pPr>
            <w:r>
              <w:rPr>
                <w:sz w:val="20"/>
              </w:rPr>
              <w:t>35,72</w:t>
            </w:r>
          </w:p>
        </w:tc>
        <w:tc>
          <w:tcPr>
            <w:tcW w:w="637" w:type="dxa"/>
            <w:tcBorders>
              <w:left w:val="single" w:sz="17" w:space="0" w:color="000000"/>
            </w:tcBorders>
          </w:tcPr>
          <w:p>
            <w:pPr>
              <w:pStyle w:val="TableParagraph"/>
              <w:spacing w:before="112"/>
              <w:ind w:left="129" w:right="224"/>
              <w:rPr>
                <w:sz w:val="20"/>
              </w:rPr>
            </w:pPr>
            <w:r>
              <w:rPr>
                <w:sz w:val="20"/>
              </w:rPr>
              <w:t>06</w:t>
            </w:r>
          </w:p>
        </w:tc>
        <w:tc>
          <w:tcPr>
            <w:tcW w:w="1063" w:type="dxa"/>
            <w:tcBorders>
              <w:right w:val="single" w:sz="17" w:space="0" w:color="000000"/>
            </w:tcBorders>
          </w:tcPr>
          <w:p>
            <w:pPr>
              <w:pStyle w:val="TableParagraph"/>
              <w:spacing w:before="112"/>
              <w:ind w:left="244"/>
              <w:jc w:val="left"/>
              <w:rPr>
                <w:sz w:val="20"/>
              </w:rPr>
            </w:pPr>
            <w:r>
              <w:rPr>
                <w:sz w:val="20"/>
              </w:rPr>
              <w:t>28,57</w:t>
            </w:r>
          </w:p>
        </w:tc>
      </w:tr>
      <w:tr>
        <w:trPr>
          <w:trHeight w:val="461" w:hRule="exact"/>
        </w:trPr>
        <w:tc>
          <w:tcPr>
            <w:tcW w:w="2166" w:type="dxa"/>
            <w:tcBorders>
              <w:left w:val="single" w:sz="17" w:space="0" w:color="000000"/>
            </w:tcBorders>
          </w:tcPr>
          <w:p>
            <w:pPr>
              <w:pStyle w:val="TableParagraph"/>
              <w:ind w:left="28"/>
              <w:jc w:val="left"/>
              <w:rPr>
                <w:sz w:val="20"/>
              </w:rPr>
            </w:pPr>
            <w:r>
              <w:rPr>
                <w:sz w:val="20"/>
              </w:rPr>
              <w:t>Visão Transdisciplinar no Projeto Educativo</w:t>
            </w:r>
          </w:p>
        </w:tc>
        <w:tc>
          <w:tcPr>
            <w:tcW w:w="956" w:type="dxa"/>
            <w:tcBorders>
              <w:right w:val="single" w:sz="17" w:space="0" w:color="000000"/>
            </w:tcBorders>
          </w:tcPr>
          <w:p>
            <w:pPr>
              <w:pStyle w:val="TableParagraph"/>
              <w:spacing w:before="113"/>
              <w:ind w:left="65" w:right="80"/>
              <w:rPr>
                <w:sz w:val="20"/>
              </w:rPr>
            </w:pPr>
            <w:r>
              <w:rPr>
                <w:sz w:val="20"/>
              </w:rPr>
              <w:t>28</w:t>
            </w:r>
          </w:p>
        </w:tc>
        <w:tc>
          <w:tcPr>
            <w:tcW w:w="531" w:type="dxa"/>
            <w:tcBorders>
              <w:left w:val="single" w:sz="17" w:space="0" w:color="000000"/>
            </w:tcBorders>
          </w:tcPr>
          <w:p>
            <w:pPr>
              <w:pStyle w:val="TableParagraph"/>
              <w:spacing w:before="113"/>
              <w:ind w:right="138"/>
              <w:jc w:val="right"/>
              <w:rPr>
                <w:sz w:val="20"/>
              </w:rPr>
            </w:pPr>
            <w:r>
              <w:rPr>
                <w:sz w:val="20"/>
              </w:rPr>
              <w:t>06</w:t>
            </w:r>
          </w:p>
        </w:tc>
        <w:tc>
          <w:tcPr>
            <w:tcW w:w="746" w:type="dxa"/>
            <w:tcBorders>
              <w:right w:val="single" w:sz="17" w:space="0" w:color="000000"/>
            </w:tcBorders>
          </w:tcPr>
          <w:p>
            <w:pPr>
              <w:pStyle w:val="TableParagraph"/>
              <w:spacing w:before="113"/>
              <w:ind w:left="118" w:right="65"/>
              <w:rPr>
                <w:sz w:val="20"/>
              </w:rPr>
            </w:pPr>
            <w:r>
              <w:rPr>
                <w:sz w:val="20"/>
              </w:rPr>
              <w:t>19,64</w:t>
            </w:r>
          </w:p>
        </w:tc>
        <w:tc>
          <w:tcPr>
            <w:tcW w:w="567" w:type="dxa"/>
            <w:tcBorders>
              <w:left w:val="single" w:sz="17" w:space="0" w:color="000000"/>
            </w:tcBorders>
          </w:tcPr>
          <w:p>
            <w:pPr>
              <w:pStyle w:val="TableParagraph"/>
              <w:spacing w:before="113"/>
              <w:ind w:left="129" w:right="154"/>
              <w:rPr>
                <w:sz w:val="20"/>
              </w:rPr>
            </w:pPr>
            <w:r>
              <w:rPr>
                <w:sz w:val="20"/>
              </w:rPr>
              <w:t>06</w:t>
            </w:r>
          </w:p>
        </w:tc>
        <w:tc>
          <w:tcPr>
            <w:tcW w:w="849" w:type="dxa"/>
            <w:tcBorders>
              <w:right w:val="single" w:sz="17" w:space="0" w:color="000000"/>
            </w:tcBorders>
          </w:tcPr>
          <w:p>
            <w:pPr>
              <w:pStyle w:val="TableParagraph"/>
              <w:spacing w:before="113"/>
              <w:ind w:left="154" w:right="133"/>
              <w:rPr>
                <w:sz w:val="20"/>
              </w:rPr>
            </w:pPr>
            <w:r>
              <w:rPr>
                <w:sz w:val="20"/>
              </w:rPr>
              <w:t>36,90</w:t>
            </w:r>
          </w:p>
        </w:tc>
        <w:tc>
          <w:tcPr>
            <w:tcW w:w="531" w:type="dxa"/>
            <w:tcBorders>
              <w:left w:val="single" w:sz="17" w:space="0" w:color="000000"/>
            </w:tcBorders>
          </w:tcPr>
          <w:p>
            <w:pPr>
              <w:pStyle w:val="TableParagraph"/>
              <w:spacing w:before="113"/>
              <w:ind w:left="127" w:right="119"/>
              <w:rPr>
                <w:sz w:val="20"/>
              </w:rPr>
            </w:pPr>
            <w:r>
              <w:rPr>
                <w:sz w:val="20"/>
              </w:rPr>
              <w:t>06</w:t>
            </w:r>
          </w:p>
        </w:tc>
        <w:tc>
          <w:tcPr>
            <w:tcW w:w="746" w:type="dxa"/>
            <w:tcBorders>
              <w:right w:val="single" w:sz="17" w:space="0" w:color="000000"/>
            </w:tcBorders>
          </w:tcPr>
          <w:p>
            <w:pPr>
              <w:pStyle w:val="TableParagraph"/>
              <w:spacing w:before="113"/>
              <w:ind w:right="82"/>
              <w:jc w:val="right"/>
              <w:rPr>
                <w:sz w:val="20"/>
              </w:rPr>
            </w:pPr>
            <w:r>
              <w:rPr>
                <w:sz w:val="20"/>
              </w:rPr>
              <w:t>27,38</w:t>
            </w:r>
          </w:p>
        </w:tc>
        <w:tc>
          <w:tcPr>
            <w:tcW w:w="637" w:type="dxa"/>
            <w:tcBorders>
              <w:left w:val="single" w:sz="17" w:space="0" w:color="000000"/>
            </w:tcBorders>
          </w:tcPr>
          <w:p>
            <w:pPr>
              <w:pStyle w:val="TableParagraph"/>
              <w:spacing w:before="113"/>
              <w:ind w:left="129" w:right="224"/>
              <w:rPr>
                <w:sz w:val="20"/>
              </w:rPr>
            </w:pPr>
            <w:r>
              <w:rPr>
                <w:sz w:val="20"/>
              </w:rPr>
              <w:t>06</w:t>
            </w:r>
          </w:p>
        </w:tc>
        <w:tc>
          <w:tcPr>
            <w:tcW w:w="1063" w:type="dxa"/>
            <w:tcBorders>
              <w:right w:val="single" w:sz="17" w:space="0" w:color="000000"/>
            </w:tcBorders>
          </w:tcPr>
          <w:p>
            <w:pPr>
              <w:pStyle w:val="TableParagraph"/>
              <w:spacing w:before="113"/>
              <w:ind w:left="244"/>
              <w:jc w:val="left"/>
              <w:rPr>
                <w:sz w:val="20"/>
              </w:rPr>
            </w:pPr>
            <w:r>
              <w:rPr>
                <w:sz w:val="20"/>
              </w:rPr>
              <w:t>16,07</w:t>
            </w:r>
          </w:p>
        </w:tc>
      </w:tr>
      <w:tr>
        <w:trPr>
          <w:trHeight w:val="230" w:hRule="exact"/>
        </w:trPr>
        <w:tc>
          <w:tcPr>
            <w:tcW w:w="2166" w:type="dxa"/>
            <w:tcBorders>
              <w:left w:val="single" w:sz="17" w:space="0" w:color="000000"/>
            </w:tcBorders>
          </w:tcPr>
          <w:p>
            <w:pPr>
              <w:pStyle w:val="TableParagraph"/>
              <w:tabs>
                <w:tab w:pos="1141" w:val="left" w:leader="none"/>
              </w:tabs>
              <w:spacing w:line="227" w:lineRule="exact"/>
              <w:ind w:left="28"/>
              <w:jc w:val="left"/>
              <w:rPr>
                <w:sz w:val="20"/>
              </w:rPr>
            </w:pPr>
            <w:r>
              <w:rPr>
                <w:sz w:val="20"/>
              </w:rPr>
              <w:t>Valores</w:t>
              <w:tab/>
              <w:t>Humanos,</w:t>
            </w:r>
          </w:p>
        </w:tc>
        <w:tc>
          <w:tcPr>
            <w:tcW w:w="956" w:type="dxa"/>
            <w:tcBorders>
              <w:right w:val="single" w:sz="17" w:space="0" w:color="000000"/>
            </w:tcBorders>
          </w:tcPr>
          <w:p>
            <w:pPr/>
          </w:p>
        </w:tc>
        <w:tc>
          <w:tcPr>
            <w:tcW w:w="531" w:type="dxa"/>
            <w:tcBorders>
              <w:left w:val="single" w:sz="17" w:space="0" w:color="000000"/>
            </w:tcBorders>
          </w:tcPr>
          <w:p>
            <w:pPr/>
          </w:p>
        </w:tc>
        <w:tc>
          <w:tcPr>
            <w:tcW w:w="746" w:type="dxa"/>
            <w:tcBorders>
              <w:right w:val="single" w:sz="17" w:space="0" w:color="000000"/>
            </w:tcBorders>
          </w:tcPr>
          <w:p>
            <w:pPr/>
          </w:p>
        </w:tc>
        <w:tc>
          <w:tcPr>
            <w:tcW w:w="567" w:type="dxa"/>
            <w:tcBorders>
              <w:left w:val="single" w:sz="17" w:space="0" w:color="000000"/>
            </w:tcBorders>
          </w:tcPr>
          <w:p>
            <w:pPr/>
          </w:p>
        </w:tc>
        <w:tc>
          <w:tcPr>
            <w:tcW w:w="849" w:type="dxa"/>
            <w:tcBorders>
              <w:right w:val="single" w:sz="17" w:space="0" w:color="000000"/>
            </w:tcBorders>
          </w:tcPr>
          <w:p>
            <w:pPr/>
          </w:p>
        </w:tc>
        <w:tc>
          <w:tcPr>
            <w:tcW w:w="531" w:type="dxa"/>
            <w:tcBorders>
              <w:left w:val="single" w:sz="17" w:space="0" w:color="000000"/>
            </w:tcBorders>
          </w:tcPr>
          <w:p>
            <w:pPr/>
          </w:p>
        </w:tc>
        <w:tc>
          <w:tcPr>
            <w:tcW w:w="746" w:type="dxa"/>
            <w:tcBorders>
              <w:right w:val="single" w:sz="17" w:space="0" w:color="000000"/>
            </w:tcBorders>
          </w:tcPr>
          <w:p>
            <w:pPr/>
          </w:p>
        </w:tc>
        <w:tc>
          <w:tcPr>
            <w:tcW w:w="637" w:type="dxa"/>
            <w:tcBorders>
              <w:left w:val="single" w:sz="17" w:space="0" w:color="000000"/>
            </w:tcBorders>
          </w:tcPr>
          <w:p>
            <w:pPr/>
          </w:p>
        </w:tc>
        <w:tc>
          <w:tcPr>
            <w:tcW w:w="1063" w:type="dxa"/>
            <w:tcBorders>
              <w:right w:val="single" w:sz="17" w:space="0" w:color="000000"/>
            </w:tcBorders>
          </w:tcPr>
          <w:p>
            <w:pPr/>
          </w:p>
        </w:tc>
      </w:tr>
      <w:tr>
        <w:trPr>
          <w:trHeight w:val="228" w:hRule="exact"/>
        </w:trPr>
        <w:tc>
          <w:tcPr>
            <w:tcW w:w="2166" w:type="dxa"/>
            <w:tcBorders>
              <w:left w:val="single" w:sz="17" w:space="0" w:color="000000"/>
            </w:tcBorders>
          </w:tcPr>
          <w:p>
            <w:pPr>
              <w:pStyle w:val="TableParagraph"/>
              <w:tabs>
                <w:tab w:pos="1622" w:val="left" w:leader="none"/>
              </w:tabs>
              <w:spacing w:line="227" w:lineRule="exact"/>
              <w:ind w:left="28"/>
              <w:jc w:val="left"/>
              <w:rPr>
                <w:sz w:val="20"/>
              </w:rPr>
            </w:pPr>
            <w:r>
              <w:rPr>
                <w:sz w:val="20"/>
              </w:rPr>
              <w:t>Sociais,</w:t>
              <w:tab/>
              <w:t>Meio</w:t>
            </w:r>
          </w:p>
        </w:tc>
        <w:tc>
          <w:tcPr>
            <w:tcW w:w="956" w:type="dxa"/>
            <w:tcBorders>
              <w:right w:val="single" w:sz="17" w:space="0" w:color="000000"/>
            </w:tcBorders>
          </w:tcPr>
          <w:p>
            <w:pPr>
              <w:pStyle w:val="TableParagraph"/>
              <w:spacing w:line="227" w:lineRule="exact"/>
              <w:ind w:left="65" w:right="80"/>
              <w:rPr>
                <w:sz w:val="20"/>
              </w:rPr>
            </w:pPr>
            <w:r>
              <w:rPr>
                <w:sz w:val="20"/>
              </w:rPr>
              <w:t>28</w:t>
            </w:r>
          </w:p>
        </w:tc>
        <w:tc>
          <w:tcPr>
            <w:tcW w:w="531" w:type="dxa"/>
            <w:tcBorders>
              <w:left w:val="single" w:sz="17" w:space="0" w:color="000000"/>
            </w:tcBorders>
          </w:tcPr>
          <w:p>
            <w:pPr>
              <w:pStyle w:val="TableParagraph"/>
              <w:spacing w:line="227" w:lineRule="exact"/>
              <w:ind w:right="138"/>
              <w:jc w:val="right"/>
              <w:rPr>
                <w:sz w:val="20"/>
              </w:rPr>
            </w:pPr>
            <w:r>
              <w:rPr>
                <w:sz w:val="20"/>
              </w:rPr>
              <w:t>06</w:t>
            </w:r>
          </w:p>
        </w:tc>
        <w:tc>
          <w:tcPr>
            <w:tcW w:w="746" w:type="dxa"/>
            <w:tcBorders>
              <w:right w:val="single" w:sz="17" w:space="0" w:color="000000"/>
            </w:tcBorders>
          </w:tcPr>
          <w:p>
            <w:pPr>
              <w:pStyle w:val="TableParagraph"/>
              <w:spacing w:line="227" w:lineRule="exact"/>
              <w:ind w:left="118" w:right="65"/>
              <w:rPr>
                <w:sz w:val="20"/>
              </w:rPr>
            </w:pPr>
            <w:r>
              <w:rPr>
                <w:sz w:val="20"/>
              </w:rPr>
              <w:t>19,05</w:t>
            </w:r>
          </w:p>
        </w:tc>
        <w:tc>
          <w:tcPr>
            <w:tcW w:w="567" w:type="dxa"/>
            <w:tcBorders>
              <w:left w:val="single" w:sz="17" w:space="0" w:color="000000"/>
            </w:tcBorders>
          </w:tcPr>
          <w:p>
            <w:pPr>
              <w:pStyle w:val="TableParagraph"/>
              <w:spacing w:line="227" w:lineRule="exact"/>
              <w:ind w:left="129" w:right="154"/>
              <w:rPr>
                <w:sz w:val="20"/>
              </w:rPr>
            </w:pPr>
            <w:r>
              <w:rPr>
                <w:sz w:val="20"/>
              </w:rPr>
              <w:t>06</w:t>
            </w:r>
          </w:p>
        </w:tc>
        <w:tc>
          <w:tcPr>
            <w:tcW w:w="849" w:type="dxa"/>
            <w:tcBorders>
              <w:right w:val="single" w:sz="17" w:space="0" w:color="000000"/>
            </w:tcBorders>
          </w:tcPr>
          <w:p>
            <w:pPr>
              <w:pStyle w:val="TableParagraph"/>
              <w:spacing w:line="227" w:lineRule="exact"/>
              <w:ind w:left="154" w:right="133"/>
              <w:rPr>
                <w:sz w:val="20"/>
              </w:rPr>
            </w:pPr>
            <w:r>
              <w:rPr>
                <w:sz w:val="20"/>
              </w:rPr>
              <w:t>23,81</w:t>
            </w:r>
          </w:p>
        </w:tc>
        <w:tc>
          <w:tcPr>
            <w:tcW w:w="531" w:type="dxa"/>
            <w:tcBorders>
              <w:left w:val="single" w:sz="17" w:space="0" w:color="000000"/>
            </w:tcBorders>
          </w:tcPr>
          <w:p>
            <w:pPr>
              <w:pStyle w:val="TableParagraph"/>
              <w:spacing w:line="227" w:lineRule="exact"/>
              <w:ind w:left="127" w:right="119"/>
              <w:rPr>
                <w:sz w:val="20"/>
              </w:rPr>
            </w:pPr>
            <w:r>
              <w:rPr>
                <w:sz w:val="20"/>
              </w:rPr>
              <w:t>06</w:t>
            </w:r>
          </w:p>
        </w:tc>
        <w:tc>
          <w:tcPr>
            <w:tcW w:w="746" w:type="dxa"/>
            <w:tcBorders>
              <w:right w:val="single" w:sz="17" w:space="0" w:color="000000"/>
            </w:tcBorders>
          </w:tcPr>
          <w:p>
            <w:pPr>
              <w:pStyle w:val="TableParagraph"/>
              <w:spacing w:line="227" w:lineRule="exact"/>
              <w:ind w:right="82"/>
              <w:jc w:val="right"/>
              <w:rPr>
                <w:sz w:val="20"/>
              </w:rPr>
            </w:pPr>
            <w:r>
              <w:rPr>
                <w:sz w:val="20"/>
              </w:rPr>
              <w:t>35,72</w:t>
            </w:r>
          </w:p>
        </w:tc>
        <w:tc>
          <w:tcPr>
            <w:tcW w:w="637" w:type="dxa"/>
            <w:tcBorders>
              <w:left w:val="single" w:sz="17" w:space="0" w:color="000000"/>
            </w:tcBorders>
          </w:tcPr>
          <w:p>
            <w:pPr>
              <w:pStyle w:val="TableParagraph"/>
              <w:spacing w:line="227" w:lineRule="exact"/>
              <w:ind w:left="129" w:right="224"/>
              <w:rPr>
                <w:sz w:val="20"/>
              </w:rPr>
            </w:pPr>
            <w:r>
              <w:rPr>
                <w:sz w:val="20"/>
              </w:rPr>
              <w:t>06</w:t>
            </w:r>
          </w:p>
        </w:tc>
        <w:tc>
          <w:tcPr>
            <w:tcW w:w="1063" w:type="dxa"/>
            <w:tcBorders>
              <w:right w:val="single" w:sz="17" w:space="0" w:color="000000"/>
            </w:tcBorders>
          </w:tcPr>
          <w:p>
            <w:pPr>
              <w:pStyle w:val="TableParagraph"/>
              <w:spacing w:line="227" w:lineRule="exact"/>
              <w:ind w:left="244"/>
              <w:jc w:val="left"/>
              <w:rPr>
                <w:sz w:val="20"/>
              </w:rPr>
            </w:pPr>
            <w:r>
              <w:rPr>
                <w:sz w:val="20"/>
              </w:rPr>
              <w:t>21,43</w:t>
            </w:r>
          </w:p>
        </w:tc>
      </w:tr>
      <w:tr>
        <w:trPr>
          <w:trHeight w:val="257" w:hRule="exact"/>
        </w:trPr>
        <w:tc>
          <w:tcPr>
            <w:tcW w:w="2166" w:type="dxa"/>
            <w:tcBorders>
              <w:left w:val="single" w:sz="17" w:space="0" w:color="000000"/>
              <w:bottom w:val="single" w:sz="17" w:space="0" w:color="000000"/>
            </w:tcBorders>
          </w:tcPr>
          <w:p>
            <w:pPr>
              <w:pStyle w:val="TableParagraph"/>
              <w:spacing w:line="225" w:lineRule="exact"/>
              <w:ind w:left="28"/>
              <w:jc w:val="left"/>
              <w:rPr>
                <w:sz w:val="20"/>
              </w:rPr>
            </w:pPr>
            <w:r>
              <w:rPr>
                <w:sz w:val="20"/>
              </w:rPr>
              <w:t>ambientais</w:t>
            </w:r>
          </w:p>
        </w:tc>
        <w:tc>
          <w:tcPr>
            <w:tcW w:w="956" w:type="dxa"/>
            <w:tcBorders>
              <w:bottom w:val="single" w:sz="17" w:space="0" w:color="000000"/>
              <w:right w:val="single" w:sz="17" w:space="0" w:color="000000"/>
            </w:tcBorders>
          </w:tcPr>
          <w:p>
            <w:pPr/>
          </w:p>
        </w:tc>
        <w:tc>
          <w:tcPr>
            <w:tcW w:w="531" w:type="dxa"/>
            <w:tcBorders>
              <w:left w:val="single" w:sz="17" w:space="0" w:color="000000"/>
              <w:bottom w:val="single" w:sz="17" w:space="0" w:color="000000"/>
            </w:tcBorders>
          </w:tcPr>
          <w:p>
            <w:pPr/>
          </w:p>
        </w:tc>
        <w:tc>
          <w:tcPr>
            <w:tcW w:w="746" w:type="dxa"/>
            <w:tcBorders>
              <w:bottom w:val="single" w:sz="17" w:space="0" w:color="000000"/>
              <w:right w:val="single" w:sz="17" w:space="0" w:color="000000"/>
            </w:tcBorders>
          </w:tcPr>
          <w:p>
            <w:pPr/>
          </w:p>
        </w:tc>
        <w:tc>
          <w:tcPr>
            <w:tcW w:w="567" w:type="dxa"/>
            <w:tcBorders>
              <w:left w:val="single" w:sz="17" w:space="0" w:color="000000"/>
              <w:bottom w:val="single" w:sz="17" w:space="0" w:color="000000"/>
            </w:tcBorders>
          </w:tcPr>
          <w:p>
            <w:pPr/>
          </w:p>
        </w:tc>
        <w:tc>
          <w:tcPr>
            <w:tcW w:w="849" w:type="dxa"/>
            <w:tcBorders>
              <w:bottom w:val="single" w:sz="17" w:space="0" w:color="000000"/>
              <w:right w:val="single" w:sz="17" w:space="0" w:color="000000"/>
            </w:tcBorders>
          </w:tcPr>
          <w:p>
            <w:pPr/>
          </w:p>
        </w:tc>
        <w:tc>
          <w:tcPr>
            <w:tcW w:w="531" w:type="dxa"/>
            <w:tcBorders>
              <w:left w:val="single" w:sz="17" w:space="0" w:color="000000"/>
              <w:bottom w:val="single" w:sz="17" w:space="0" w:color="000000"/>
            </w:tcBorders>
          </w:tcPr>
          <w:p>
            <w:pPr/>
          </w:p>
        </w:tc>
        <w:tc>
          <w:tcPr>
            <w:tcW w:w="746" w:type="dxa"/>
            <w:tcBorders>
              <w:bottom w:val="single" w:sz="17" w:space="0" w:color="000000"/>
              <w:right w:val="single" w:sz="17" w:space="0" w:color="000000"/>
            </w:tcBorders>
          </w:tcPr>
          <w:p>
            <w:pPr/>
          </w:p>
        </w:tc>
        <w:tc>
          <w:tcPr>
            <w:tcW w:w="637" w:type="dxa"/>
            <w:tcBorders>
              <w:left w:val="single" w:sz="17" w:space="0" w:color="000000"/>
              <w:bottom w:val="single" w:sz="17" w:space="0" w:color="000000"/>
            </w:tcBorders>
          </w:tcPr>
          <w:p>
            <w:pPr/>
          </w:p>
        </w:tc>
        <w:tc>
          <w:tcPr>
            <w:tcW w:w="1063" w:type="dxa"/>
            <w:tcBorders>
              <w:bottom w:val="single" w:sz="17" w:space="0" w:color="000000"/>
              <w:right w:val="single" w:sz="17" w:space="0" w:color="000000"/>
            </w:tcBorders>
          </w:tcPr>
          <w:p>
            <w:pPr/>
          </w:p>
        </w:tc>
      </w:tr>
    </w:tbl>
    <w:p>
      <w:pPr>
        <w:spacing w:before="0"/>
        <w:ind w:left="308" w:right="0" w:firstLine="0"/>
        <w:jc w:val="left"/>
        <w:rPr>
          <w:sz w:val="22"/>
        </w:rPr>
      </w:pPr>
      <w:r>
        <w:rPr>
          <w:sz w:val="20"/>
        </w:rPr>
        <w:t>Fonte: Dados da Pesquisa – Mestrado – Pinho (2014)</w:t>
      </w:r>
      <w:r>
        <w:rPr>
          <w:sz w:val="22"/>
        </w:rPr>
        <w:t>.</w:t>
      </w:r>
    </w:p>
    <w:p>
      <w:pPr>
        <w:spacing w:after="0"/>
        <w:jc w:val="left"/>
        <w:rPr>
          <w:sz w:val="22"/>
        </w:rPr>
        <w:sectPr>
          <w:pgSz w:w="11910" w:h="16840"/>
          <w:pgMar w:header="1133" w:footer="0" w:top="1340" w:bottom="280" w:left="1680" w:right="980"/>
        </w:sectPr>
      </w:pPr>
    </w:p>
    <w:p>
      <w:pPr>
        <w:pStyle w:val="BodyText"/>
        <w:spacing w:before="10"/>
        <w:rPr>
          <w:sz w:val="20"/>
        </w:rPr>
      </w:pPr>
    </w:p>
    <w:p>
      <w:pPr>
        <w:pStyle w:val="Heading3"/>
        <w:ind w:left="529" w:right="436"/>
        <w:jc w:val="center"/>
      </w:pPr>
      <w:r>
        <w:rPr/>
        <w:t>APÊNDICE D</w:t>
      </w:r>
    </w:p>
    <w:p>
      <w:pPr>
        <w:pStyle w:val="BodyText"/>
        <w:rPr>
          <w:b/>
          <w:sz w:val="26"/>
        </w:rPr>
      </w:pPr>
    </w:p>
    <w:p>
      <w:pPr>
        <w:pStyle w:val="BodyText"/>
        <w:spacing w:before="2"/>
        <w:rPr>
          <w:b/>
          <w:sz w:val="22"/>
        </w:rPr>
      </w:pPr>
    </w:p>
    <w:p>
      <w:pPr>
        <w:spacing w:before="1"/>
        <w:ind w:left="533" w:right="430" w:firstLine="0"/>
        <w:jc w:val="center"/>
        <w:rPr>
          <w:b/>
          <w:sz w:val="24"/>
        </w:rPr>
      </w:pPr>
      <w:r>
        <w:rPr>
          <w:b/>
          <w:sz w:val="24"/>
        </w:rPr>
        <w:t>EVIDÊNCIAS DE CRIATIVIDADE NA CATEGORIA II</w:t>
      </w:r>
    </w:p>
    <w:p>
      <w:pPr>
        <w:pStyle w:val="BodyText"/>
        <w:rPr>
          <w:b/>
          <w:sz w:val="26"/>
        </w:rPr>
      </w:pPr>
    </w:p>
    <w:p>
      <w:pPr>
        <w:pStyle w:val="BodyText"/>
        <w:rPr>
          <w:b/>
          <w:sz w:val="26"/>
        </w:rPr>
      </w:pPr>
    </w:p>
    <w:p>
      <w:pPr>
        <w:pStyle w:val="BodyText"/>
        <w:rPr>
          <w:b/>
          <w:sz w:val="32"/>
        </w:rPr>
      </w:pPr>
    </w:p>
    <w:p>
      <w:pPr>
        <w:spacing w:before="0"/>
        <w:ind w:left="673" w:right="0" w:firstLine="0"/>
        <w:jc w:val="left"/>
        <w:rPr>
          <w:b/>
          <w:sz w:val="20"/>
        </w:rPr>
      </w:pPr>
      <w:r>
        <w:rPr>
          <w:b/>
          <w:sz w:val="20"/>
        </w:rPr>
        <w:t>Quadro 05: Categoria II – Potencial e Recursos Humanos na percepção dos gestores</w:t>
      </w:r>
    </w:p>
    <w:p>
      <w:pPr>
        <w:pStyle w:val="BodyText"/>
        <w:spacing w:before="2"/>
        <w:rPr>
          <w:b/>
          <w:sz w:val="9"/>
        </w:rPr>
      </w:pPr>
    </w:p>
    <w:tbl>
      <w:tblPr>
        <w:tblW w:w="0" w:type="auto"/>
        <w:jc w:val="left"/>
        <w:tblInd w:w="298"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529"/>
        <w:gridCol w:w="992"/>
        <w:gridCol w:w="713"/>
        <w:gridCol w:w="564"/>
        <w:gridCol w:w="569"/>
        <w:gridCol w:w="564"/>
        <w:gridCol w:w="713"/>
        <w:gridCol w:w="992"/>
        <w:gridCol w:w="1275"/>
        <w:gridCol w:w="843"/>
      </w:tblGrid>
      <w:tr>
        <w:trPr>
          <w:trHeight w:val="257" w:hRule="exact"/>
        </w:trPr>
        <w:tc>
          <w:tcPr>
            <w:tcW w:w="2521" w:type="dxa"/>
            <w:gridSpan w:val="2"/>
            <w:vMerge w:val="restart"/>
            <w:tcBorders>
              <w:top w:val="nil"/>
              <w:left w:val="nil"/>
            </w:tcBorders>
          </w:tcPr>
          <w:p>
            <w:pPr/>
          </w:p>
        </w:tc>
        <w:tc>
          <w:tcPr>
            <w:tcW w:w="6233" w:type="dxa"/>
            <w:gridSpan w:val="8"/>
            <w:tcBorders>
              <w:bottom w:val="single" w:sz="4" w:space="0" w:color="000000"/>
            </w:tcBorders>
          </w:tcPr>
          <w:p>
            <w:pPr>
              <w:pStyle w:val="TableParagraph"/>
              <w:spacing w:line="225" w:lineRule="exact"/>
              <w:ind w:left="2479" w:right="2481"/>
              <w:rPr>
                <w:b/>
                <w:sz w:val="20"/>
              </w:rPr>
            </w:pPr>
            <w:r>
              <w:rPr>
                <w:b/>
                <w:sz w:val="20"/>
              </w:rPr>
              <w:t>AVALIAÇÃO</w:t>
            </w:r>
          </w:p>
        </w:tc>
      </w:tr>
      <w:tr>
        <w:trPr>
          <w:trHeight w:val="1178" w:hRule="exact"/>
        </w:trPr>
        <w:tc>
          <w:tcPr>
            <w:tcW w:w="2521" w:type="dxa"/>
            <w:gridSpan w:val="2"/>
            <w:vMerge/>
            <w:tcBorders>
              <w:left w:val="nil"/>
            </w:tcBorders>
          </w:tcPr>
          <w:p>
            <w:pPr/>
          </w:p>
        </w:tc>
        <w:tc>
          <w:tcPr>
            <w:tcW w:w="1277" w:type="dxa"/>
            <w:gridSpan w:val="2"/>
            <w:tcBorders>
              <w:top w:val="single" w:sz="4" w:space="0" w:color="000000"/>
              <w:bottom w:val="single" w:sz="4" w:space="0" w:color="000000"/>
            </w:tcBorders>
          </w:tcPr>
          <w:p>
            <w:pPr>
              <w:pStyle w:val="TableParagraph"/>
              <w:spacing w:before="1"/>
              <w:jc w:val="left"/>
              <w:rPr>
                <w:b/>
                <w:sz w:val="19"/>
              </w:rPr>
            </w:pPr>
          </w:p>
          <w:p>
            <w:pPr>
              <w:pStyle w:val="TableParagraph"/>
              <w:spacing w:before="1"/>
              <w:ind w:left="86" w:right="76" w:hanging="1"/>
              <w:rPr>
                <w:b/>
                <w:sz w:val="20"/>
              </w:rPr>
            </w:pPr>
            <w:r>
              <w:rPr>
                <w:b/>
                <w:sz w:val="20"/>
              </w:rPr>
              <w:t>Nunca ou quase nunca (1-2)</w:t>
            </w:r>
          </w:p>
        </w:tc>
        <w:tc>
          <w:tcPr>
            <w:tcW w:w="1133" w:type="dxa"/>
            <w:gridSpan w:val="2"/>
            <w:tcBorders>
              <w:top w:val="single" w:sz="4" w:space="0" w:color="000000"/>
              <w:bottom w:val="single" w:sz="4" w:space="0" w:color="000000"/>
            </w:tcBorders>
          </w:tcPr>
          <w:p>
            <w:pPr>
              <w:pStyle w:val="TableParagraph"/>
              <w:spacing w:before="105"/>
              <w:ind w:left="71" w:right="57" w:hanging="5"/>
              <w:rPr>
                <w:b/>
                <w:sz w:val="20"/>
              </w:rPr>
            </w:pPr>
            <w:r>
              <w:rPr>
                <w:b/>
                <w:sz w:val="20"/>
              </w:rPr>
              <w:t>Às vezes. Ocasional mente</w:t>
            </w:r>
          </w:p>
          <w:p>
            <w:pPr>
              <w:pStyle w:val="TableParagraph"/>
              <w:ind w:left="22" w:right="15"/>
              <w:rPr>
                <w:b/>
                <w:sz w:val="20"/>
              </w:rPr>
            </w:pPr>
            <w:r>
              <w:rPr>
                <w:b/>
                <w:sz w:val="20"/>
              </w:rPr>
              <w:t>(3-4-5)</w:t>
            </w:r>
          </w:p>
        </w:tc>
        <w:tc>
          <w:tcPr>
            <w:tcW w:w="1705" w:type="dxa"/>
            <w:gridSpan w:val="2"/>
            <w:tcBorders>
              <w:top w:val="single" w:sz="4" w:space="0" w:color="000000"/>
              <w:bottom w:val="single" w:sz="4" w:space="0" w:color="000000"/>
            </w:tcBorders>
          </w:tcPr>
          <w:p>
            <w:pPr>
              <w:pStyle w:val="TableParagraph"/>
              <w:ind w:left="62" w:right="63"/>
              <w:rPr>
                <w:b/>
                <w:sz w:val="20"/>
              </w:rPr>
            </w:pPr>
            <w:r>
              <w:rPr>
                <w:b/>
                <w:sz w:val="20"/>
              </w:rPr>
              <w:t>Muitas vezes ou ocasiões.</w:t>
            </w:r>
          </w:p>
          <w:p>
            <w:pPr>
              <w:pStyle w:val="TableParagraph"/>
              <w:spacing w:before="10"/>
              <w:ind w:left="52" w:right="48" w:hanging="1"/>
              <w:rPr>
                <w:b/>
                <w:sz w:val="20"/>
              </w:rPr>
            </w:pPr>
            <w:r>
              <w:rPr>
                <w:b/>
                <w:sz w:val="20"/>
              </w:rPr>
              <w:t>Existem evidências do indicador (6-7-8)</w:t>
            </w:r>
          </w:p>
        </w:tc>
        <w:tc>
          <w:tcPr>
            <w:tcW w:w="2118" w:type="dxa"/>
            <w:gridSpan w:val="2"/>
            <w:tcBorders>
              <w:top w:val="single" w:sz="4" w:space="0" w:color="000000"/>
              <w:bottom w:val="single" w:sz="4" w:space="0" w:color="000000"/>
            </w:tcBorders>
          </w:tcPr>
          <w:p>
            <w:pPr>
              <w:pStyle w:val="TableParagraph"/>
              <w:spacing w:line="220" w:lineRule="exact"/>
              <w:ind w:left="40" w:right="46"/>
              <w:rPr>
                <w:b/>
                <w:sz w:val="20"/>
              </w:rPr>
            </w:pPr>
            <w:r>
              <w:rPr>
                <w:b/>
                <w:sz w:val="20"/>
              </w:rPr>
              <w:t>De continuo.</w:t>
            </w:r>
          </w:p>
          <w:p>
            <w:pPr>
              <w:pStyle w:val="TableParagraph"/>
              <w:ind w:left="52" w:right="46"/>
              <w:rPr>
                <w:b/>
                <w:sz w:val="20"/>
              </w:rPr>
            </w:pPr>
            <w:r>
              <w:rPr>
                <w:b/>
                <w:sz w:val="20"/>
              </w:rPr>
              <w:t>Evidências claras de aparição do indicador ou característica (9-10)</w:t>
            </w:r>
          </w:p>
        </w:tc>
      </w:tr>
      <w:tr>
        <w:trPr>
          <w:trHeight w:val="274" w:hRule="exact"/>
        </w:trPr>
        <w:tc>
          <w:tcPr>
            <w:tcW w:w="1529" w:type="dxa"/>
            <w:tcBorders>
              <w:right w:val="single" w:sz="4" w:space="0" w:color="000000"/>
            </w:tcBorders>
          </w:tcPr>
          <w:p>
            <w:pPr>
              <w:pStyle w:val="TableParagraph"/>
              <w:spacing w:line="220" w:lineRule="exact"/>
              <w:ind w:left="249"/>
              <w:jc w:val="left"/>
              <w:rPr>
                <w:b/>
                <w:sz w:val="20"/>
              </w:rPr>
            </w:pPr>
            <w:r>
              <w:rPr>
                <w:b/>
                <w:sz w:val="20"/>
              </w:rPr>
              <w:t>Parâmetro</w:t>
            </w:r>
          </w:p>
        </w:tc>
        <w:tc>
          <w:tcPr>
            <w:tcW w:w="992" w:type="dxa"/>
            <w:tcBorders>
              <w:left w:val="single" w:sz="4" w:space="0" w:color="000000"/>
            </w:tcBorders>
          </w:tcPr>
          <w:p>
            <w:pPr>
              <w:pStyle w:val="TableParagraph"/>
              <w:spacing w:line="220" w:lineRule="exact"/>
              <w:ind w:left="59" w:right="44"/>
              <w:rPr>
                <w:b/>
                <w:sz w:val="20"/>
              </w:rPr>
            </w:pPr>
            <w:r>
              <w:rPr>
                <w:b/>
                <w:sz w:val="20"/>
              </w:rPr>
              <w:t>Amostra</w:t>
            </w:r>
          </w:p>
        </w:tc>
        <w:tc>
          <w:tcPr>
            <w:tcW w:w="713" w:type="dxa"/>
            <w:tcBorders>
              <w:top w:val="single" w:sz="4" w:space="0" w:color="000000"/>
              <w:right w:val="single" w:sz="4" w:space="0" w:color="000000"/>
            </w:tcBorders>
          </w:tcPr>
          <w:p>
            <w:pPr>
              <w:pStyle w:val="TableParagraph"/>
              <w:spacing w:before="7"/>
              <w:ind w:left="201" w:right="208"/>
              <w:rPr>
                <w:b/>
                <w:sz w:val="20"/>
              </w:rPr>
            </w:pPr>
            <w:r>
              <w:rPr>
                <w:b/>
                <w:sz w:val="20"/>
              </w:rPr>
              <w:t>Nº</w:t>
            </w:r>
          </w:p>
        </w:tc>
        <w:tc>
          <w:tcPr>
            <w:tcW w:w="564" w:type="dxa"/>
            <w:tcBorders>
              <w:top w:val="single" w:sz="4" w:space="0" w:color="000000"/>
              <w:left w:val="single" w:sz="4" w:space="0" w:color="000000"/>
            </w:tcBorders>
          </w:tcPr>
          <w:p>
            <w:pPr>
              <w:pStyle w:val="TableParagraph"/>
              <w:spacing w:before="7"/>
              <w:ind w:left="16"/>
              <w:rPr>
                <w:b/>
                <w:sz w:val="20"/>
              </w:rPr>
            </w:pPr>
            <w:r>
              <w:rPr>
                <w:b/>
                <w:w w:val="100"/>
                <w:sz w:val="20"/>
              </w:rPr>
              <w:t>%</w:t>
            </w:r>
          </w:p>
        </w:tc>
        <w:tc>
          <w:tcPr>
            <w:tcW w:w="569" w:type="dxa"/>
            <w:tcBorders>
              <w:top w:val="single" w:sz="4" w:space="0" w:color="000000"/>
              <w:right w:val="single" w:sz="4" w:space="0" w:color="000000"/>
            </w:tcBorders>
          </w:tcPr>
          <w:p>
            <w:pPr>
              <w:pStyle w:val="TableParagraph"/>
              <w:spacing w:before="7"/>
              <w:ind w:left="129" w:right="136"/>
              <w:rPr>
                <w:b/>
                <w:sz w:val="20"/>
              </w:rPr>
            </w:pPr>
            <w:r>
              <w:rPr>
                <w:b/>
                <w:sz w:val="20"/>
              </w:rPr>
              <w:t>Nº</w:t>
            </w:r>
          </w:p>
        </w:tc>
        <w:tc>
          <w:tcPr>
            <w:tcW w:w="564" w:type="dxa"/>
            <w:tcBorders>
              <w:top w:val="single" w:sz="4" w:space="0" w:color="000000"/>
              <w:left w:val="single" w:sz="4" w:space="0" w:color="000000"/>
            </w:tcBorders>
          </w:tcPr>
          <w:p>
            <w:pPr>
              <w:pStyle w:val="TableParagraph"/>
              <w:spacing w:before="7"/>
              <w:ind w:left="25"/>
              <w:rPr>
                <w:b/>
                <w:sz w:val="20"/>
              </w:rPr>
            </w:pPr>
            <w:r>
              <w:rPr>
                <w:b/>
                <w:w w:val="100"/>
                <w:sz w:val="20"/>
              </w:rPr>
              <w:t>%</w:t>
            </w:r>
          </w:p>
        </w:tc>
        <w:tc>
          <w:tcPr>
            <w:tcW w:w="713" w:type="dxa"/>
            <w:tcBorders>
              <w:top w:val="single" w:sz="4" w:space="0" w:color="000000"/>
              <w:right w:val="single" w:sz="4" w:space="0" w:color="000000"/>
            </w:tcBorders>
          </w:tcPr>
          <w:p>
            <w:pPr>
              <w:pStyle w:val="TableParagraph"/>
              <w:spacing w:before="7"/>
              <w:ind w:left="230"/>
              <w:jc w:val="left"/>
              <w:rPr>
                <w:b/>
                <w:sz w:val="20"/>
              </w:rPr>
            </w:pPr>
            <w:r>
              <w:rPr>
                <w:b/>
                <w:sz w:val="20"/>
              </w:rPr>
              <w:t>Nº</w:t>
            </w:r>
          </w:p>
        </w:tc>
        <w:tc>
          <w:tcPr>
            <w:tcW w:w="992" w:type="dxa"/>
            <w:tcBorders>
              <w:top w:val="single" w:sz="4" w:space="0" w:color="000000"/>
              <w:left w:val="single" w:sz="4" w:space="0" w:color="000000"/>
            </w:tcBorders>
          </w:tcPr>
          <w:p>
            <w:pPr>
              <w:pStyle w:val="TableParagraph"/>
              <w:spacing w:before="7"/>
              <w:ind w:left="20"/>
              <w:rPr>
                <w:b/>
                <w:sz w:val="20"/>
              </w:rPr>
            </w:pPr>
            <w:r>
              <w:rPr>
                <w:b/>
                <w:w w:val="100"/>
                <w:sz w:val="20"/>
              </w:rPr>
              <w:t>%</w:t>
            </w:r>
          </w:p>
        </w:tc>
        <w:tc>
          <w:tcPr>
            <w:tcW w:w="1275" w:type="dxa"/>
            <w:tcBorders>
              <w:top w:val="single" w:sz="4" w:space="0" w:color="000000"/>
              <w:right w:val="single" w:sz="4" w:space="0" w:color="000000"/>
            </w:tcBorders>
          </w:tcPr>
          <w:p>
            <w:pPr>
              <w:pStyle w:val="TableParagraph"/>
              <w:spacing w:before="7"/>
              <w:ind w:left="484" w:right="496"/>
              <w:rPr>
                <w:b/>
                <w:sz w:val="20"/>
              </w:rPr>
            </w:pPr>
            <w:r>
              <w:rPr>
                <w:b/>
                <w:sz w:val="20"/>
              </w:rPr>
              <w:t>Nº</w:t>
            </w:r>
          </w:p>
        </w:tc>
        <w:tc>
          <w:tcPr>
            <w:tcW w:w="843" w:type="dxa"/>
            <w:tcBorders>
              <w:top w:val="single" w:sz="4" w:space="0" w:color="000000"/>
              <w:left w:val="single" w:sz="4" w:space="0" w:color="000000"/>
            </w:tcBorders>
          </w:tcPr>
          <w:p>
            <w:pPr>
              <w:pStyle w:val="TableParagraph"/>
              <w:spacing w:before="7"/>
              <w:ind w:left="15"/>
              <w:rPr>
                <w:b/>
                <w:sz w:val="20"/>
              </w:rPr>
            </w:pPr>
            <w:r>
              <w:rPr>
                <w:b/>
                <w:w w:val="100"/>
                <w:sz w:val="20"/>
              </w:rPr>
              <w:t>%</w:t>
            </w:r>
          </w:p>
        </w:tc>
      </w:tr>
      <w:tr>
        <w:trPr>
          <w:trHeight w:val="493" w:hRule="exact"/>
        </w:trPr>
        <w:tc>
          <w:tcPr>
            <w:tcW w:w="1529" w:type="dxa"/>
            <w:tcBorders>
              <w:bottom w:val="single" w:sz="4" w:space="0" w:color="000000"/>
              <w:right w:val="single" w:sz="4" w:space="0" w:color="000000"/>
            </w:tcBorders>
          </w:tcPr>
          <w:p>
            <w:pPr>
              <w:pStyle w:val="TableParagraph"/>
              <w:ind w:left="33" w:right="404"/>
              <w:jc w:val="left"/>
              <w:rPr>
                <w:sz w:val="20"/>
              </w:rPr>
            </w:pPr>
            <w:r>
              <w:rPr>
                <w:sz w:val="20"/>
              </w:rPr>
              <w:t>Liderança Estimulante</w:t>
            </w:r>
          </w:p>
        </w:tc>
        <w:tc>
          <w:tcPr>
            <w:tcW w:w="992" w:type="dxa"/>
            <w:tcBorders>
              <w:left w:val="single" w:sz="4" w:space="0" w:color="000000"/>
              <w:bottom w:val="single" w:sz="4" w:space="0" w:color="000000"/>
            </w:tcBorders>
          </w:tcPr>
          <w:p>
            <w:pPr>
              <w:pStyle w:val="TableParagraph"/>
              <w:spacing w:before="115"/>
              <w:ind w:left="59" w:right="36"/>
              <w:rPr>
                <w:sz w:val="20"/>
              </w:rPr>
            </w:pPr>
            <w:r>
              <w:rPr>
                <w:sz w:val="20"/>
              </w:rPr>
              <w:t>04</w:t>
            </w:r>
          </w:p>
        </w:tc>
        <w:tc>
          <w:tcPr>
            <w:tcW w:w="713" w:type="dxa"/>
            <w:tcBorders>
              <w:bottom w:val="single" w:sz="4" w:space="0" w:color="000000"/>
              <w:right w:val="single" w:sz="4" w:space="0" w:color="000000"/>
            </w:tcBorders>
          </w:tcPr>
          <w:p>
            <w:pPr>
              <w:pStyle w:val="TableParagraph"/>
              <w:spacing w:before="115"/>
              <w:ind w:left="201" w:right="213"/>
              <w:rPr>
                <w:sz w:val="20"/>
              </w:rPr>
            </w:pPr>
            <w:r>
              <w:rPr>
                <w:sz w:val="20"/>
              </w:rPr>
              <w:t>06</w:t>
            </w:r>
          </w:p>
        </w:tc>
        <w:tc>
          <w:tcPr>
            <w:tcW w:w="564" w:type="dxa"/>
            <w:tcBorders>
              <w:left w:val="single" w:sz="4" w:space="0" w:color="000000"/>
              <w:bottom w:val="single" w:sz="4" w:space="0" w:color="000000"/>
            </w:tcBorders>
          </w:tcPr>
          <w:p>
            <w:pPr>
              <w:pStyle w:val="TableParagraph"/>
              <w:spacing w:before="115"/>
              <w:ind w:left="52" w:right="41"/>
              <w:rPr>
                <w:sz w:val="20"/>
              </w:rPr>
            </w:pPr>
            <w:r>
              <w:rPr>
                <w:sz w:val="20"/>
              </w:rPr>
              <w:t>0,0</w:t>
            </w:r>
          </w:p>
        </w:tc>
        <w:tc>
          <w:tcPr>
            <w:tcW w:w="569" w:type="dxa"/>
            <w:tcBorders>
              <w:bottom w:val="single" w:sz="4" w:space="0" w:color="000000"/>
              <w:right w:val="single" w:sz="4" w:space="0" w:color="000000"/>
            </w:tcBorders>
          </w:tcPr>
          <w:p>
            <w:pPr>
              <w:pStyle w:val="TableParagraph"/>
              <w:spacing w:before="115"/>
              <w:ind w:left="129" w:right="141"/>
              <w:rPr>
                <w:sz w:val="20"/>
              </w:rPr>
            </w:pPr>
            <w:r>
              <w:rPr>
                <w:sz w:val="20"/>
              </w:rPr>
              <w:t>06</w:t>
            </w:r>
          </w:p>
        </w:tc>
        <w:tc>
          <w:tcPr>
            <w:tcW w:w="564" w:type="dxa"/>
            <w:tcBorders>
              <w:left w:val="single" w:sz="4" w:space="0" w:color="000000"/>
              <w:bottom w:val="single" w:sz="4" w:space="0" w:color="000000"/>
            </w:tcBorders>
          </w:tcPr>
          <w:p>
            <w:pPr>
              <w:pStyle w:val="TableParagraph"/>
              <w:spacing w:before="115"/>
              <w:ind w:left="61" w:right="41"/>
              <w:rPr>
                <w:sz w:val="20"/>
              </w:rPr>
            </w:pPr>
            <w:r>
              <w:rPr>
                <w:sz w:val="20"/>
              </w:rPr>
              <w:t>0,0</w:t>
            </w:r>
          </w:p>
        </w:tc>
        <w:tc>
          <w:tcPr>
            <w:tcW w:w="713" w:type="dxa"/>
            <w:tcBorders>
              <w:bottom w:val="single" w:sz="4" w:space="0" w:color="000000"/>
              <w:right w:val="single" w:sz="4" w:space="0" w:color="000000"/>
            </w:tcBorders>
          </w:tcPr>
          <w:p>
            <w:pPr>
              <w:pStyle w:val="TableParagraph"/>
              <w:spacing w:before="115"/>
              <w:ind w:left="225"/>
              <w:jc w:val="left"/>
              <w:rPr>
                <w:sz w:val="20"/>
              </w:rPr>
            </w:pPr>
            <w:r>
              <w:rPr>
                <w:sz w:val="20"/>
              </w:rPr>
              <w:t>06</w:t>
            </w:r>
          </w:p>
        </w:tc>
        <w:tc>
          <w:tcPr>
            <w:tcW w:w="992" w:type="dxa"/>
            <w:tcBorders>
              <w:left w:val="single" w:sz="4" w:space="0" w:color="000000"/>
              <w:bottom w:val="single" w:sz="4" w:space="0" w:color="000000"/>
            </w:tcBorders>
          </w:tcPr>
          <w:p>
            <w:pPr>
              <w:pStyle w:val="TableParagraph"/>
              <w:spacing w:before="115"/>
              <w:ind w:left="59" w:right="39"/>
              <w:rPr>
                <w:sz w:val="20"/>
              </w:rPr>
            </w:pPr>
            <w:r>
              <w:rPr>
                <w:sz w:val="20"/>
              </w:rPr>
              <w:t>37,5</w:t>
            </w:r>
          </w:p>
        </w:tc>
        <w:tc>
          <w:tcPr>
            <w:tcW w:w="1275" w:type="dxa"/>
            <w:tcBorders>
              <w:bottom w:val="single" w:sz="4" w:space="0" w:color="000000"/>
              <w:right w:val="single" w:sz="4" w:space="0" w:color="000000"/>
            </w:tcBorders>
          </w:tcPr>
          <w:p>
            <w:pPr>
              <w:pStyle w:val="TableParagraph"/>
              <w:spacing w:before="115"/>
              <w:ind w:left="484" w:right="501"/>
              <w:rPr>
                <w:sz w:val="20"/>
              </w:rPr>
            </w:pPr>
            <w:r>
              <w:rPr>
                <w:sz w:val="20"/>
              </w:rPr>
              <w:t>06</w:t>
            </w:r>
          </w:p>
        </w:tc>
        <w:tc>
          <w:tcPr>
            <w:tcW w:w="843" w:type="dxa"/>
            <w:tcBorders>
              <w:left w:val="single" w:sz="4" w:space="0" w:color="000000"/>
              <w:bottom w:val="single" w:sz="4" w:space="0" w:color="000000"/>
            </w:tcBorders>
          </w:tcPr>
          <w:p>
            <w:pPr>
              <w:pStyle w:val="TableParagraph"/>
              <w:spacing w:before="115"/>
              <w:ind w:left="142" w:right="127"/>
              <w:rPr>
                <w:sz w:val="20"/>
              </w:rPr>
            </w:pPr>
            <w:r>
              <w:rPr>
                <w:sz w:val="20"/>
              </w:rPr>
              <w:t>62,5</w:t>
            </w:r>
          </w:p>
        </w:tc>
      </w:tr>
      <w:tr>
        <w:trPr>
          <w:trHeight w:val="466" w:hRule="exact"/>
        </w:trPr>
        <w:tc>
          <w:tcPr>
            <w:tcW w:w="1529" w:type="dxa"/>
            <w:tcBorders>
              <w:top w:val="single" w:sz="4" w:space="0" w:color="000000"/>
              <w:bottom w:val="single" w:sz="4" w:space="0" w:color="000000"/>
              <w:right w:val="single" w:sz="4" w:space="0" w:color="000000"/>
            </w:tcBorders>
          </w:tcPr>
          <w:p>
            <w:pPr>
              <w:pStyle w:val="TableParagraph"/>
              <w:ind w:left="33" w:right="382"/>
              <w:jc w:val="left"/>
              <w:rPr>
                <w:sz w:val="20"/>
              </w:rPr>
            </w:pPr>
            <w:r>
              <w:rPr>
                <w:sz w:val="20"/>
              </w:rPr>
              <w:t>Professores Criativos</w:t>
            </w:r>
          </w:p>
        </w:tc>
        <w:tc>
          <w:tcPr>
            <w:tcW w:w="992" w:type="dxa"/>
            <w:tcBorders>
              <w:top w:val="single" w:sz="4" w:space="0" w:color="000000"/>
              <w:left w:val="single" w:sz="4" w:space="0" w:color="000000"/>
              <w:bottom w:val="single" w:sz="4" w:space="0" w:color="000000"/>
            </w:tcBorders>
          </w:tcPr>
          <w:p>
            <w:pPr>
              <w:pStyle w:val="TableParagraph"/>
              <w:spacing w:before="110"/>
              <w:ind w:left="59" w:right="36"/>
              <w:rPr>
                <w:sz w:val="20"/>
              </w:rPr>
            </w:pPr>
            <w:r>
              <w:rPr>
                <w:sz w:val="20"/>
              </w:rPr>
              <w:t>04</w:t>
            </w:r>
          </w:p>
        </w:tc>
        <w:tc>
          <w:tcPr>
            <w:tcW w:w="713" w:type="dxa"/>
            <w:tcBorders>
              <w:top w:val="single" w:sz="4" w:space="0" w:color="000000"/>
              <w:bottom w:val="single" w:sz="4" w:space="0" w:color="000000"/>
              <w:right w:val="single" w:sz="4" w:space="0" w:color="000000"/>
            </w:tcBorders>
          </w:tcPr>
          <w:p>
            <w:pPr>
              <w:pStyle w:val="TableParagraph"/>
              <w:spacing w:before="110"/>
              <w:ind w:left="201" w:right="213"/>
              <w:rPr>
                <w:sz w:val="20"/>
              </w:rPr>
            </w:pPr>
            <w:r>
              <w:rPr>
                <w:sz w:val="20"/>
              </w:rPr>
              <w:t>06</w:t>
            </w:r>
          </w:p>
        </w:tc>
        <w:tc>
          <w:tcPr>
            <w:tcW w:w="564" w:type="dxa"/>
            <w:tcBorders>
              <w:top w:val="single" w:sz="4" w:space="0" w:color="000000"/>
              <w:left w:val="single" w:sz="4" w:space="0" w:color="000000"/>
              <w:bottom w:val="single" w:sz="4" w:space="0" w:color="000000"/>
            </w:tcBorders>
          </w:tcPr>
          <w:p>
            <w:pPr>
              <w:pStyle w:val="TableParagraph"/>
              <w:spacing w:before="110"/>
              <w:ind w:left="52" w:right="41"/>
              <w:rPr>
                <w:sz w:val="20"/>
              </w:rPr>
            </w:pPr>
            <w:r>
              <w:rPr>
                <w:sz w:val="20"/>
              </w:rPr>
              <w:t>0,0</w:t>
            </w:r>
          </w:p>
        </w:tc>
        <w:tc>
          <w:tcPr>
            <w:tcW w:w="569" w:type="dxa"/>
            <w:tcBorders>
              <w:top w:val="single" w:sz="4" w:space="0" w:color="000000"/>
              <w:bottom w:val="single" w:sz="4" w:space="0" w:color="000000"/>
              <w:right w:val="single" w:sz="4" w:space="0" w:color="000000"/>
            </w:tcBorders>
          </w:tcPr>
          <w:p>
            <w:pPr>
              <w:pStyle w:val="TableParagraph"/>
              <w:spacing w:before="110"/>
              <w:ind w:left="129" w:right="141"/>
              <w:rPr>
                <w:sz w:val="20"/>
              </w:rPr>
            </w:pPr>
            <w:r>
              <w:rPr>
                <w:sz w:val="20"/>
              </w:rPr>
              <w:t>06</w:t>
            </w:r>
          </w:p>
        </w:tc>
        <w:tc>
          <w:tcPr>
            <w:tcW w:w="564" w:type="dxa"/>
            <w:tcBorders>
              <w:top w:val="single" w:sz="4" w:space="0" w:color="000000"/>
              <w:left w:val="single" w:sz="4" w:space="0" w:color="000000"/>
              <w:bottom w:val="single" w:sz="4" w:space="0" w:color="000000"/>
            </w:tcBorders>
          </w:tcPr>
          <w:p>
            <w:pPr>
              <w:pStyle w:val="TableParagraph"/>
              <w:spacing w:before="110"/>
              <w:ind w:left="66" w:right="41"/>
              <w:rPr>
                <w:sz w:val="20"/>
              </w:rPr>
            </w:pPr>
            <w:r>
              <w:rPr>
                <w:sz w:val="20"/>
              </w:rPr>
              <w:t>4,17</w:t>
            </w:r>
          </w:p>
        </w:tc>
        <w:tc>
          <w:tcPr>
            <w:tcW w:w="713" w:type="dxa"/>
            <w:tcBorders>
              <w:top w:val="single" w:sz="4" w:space="0" w:color="000000"/>
              <w:bottom w:val="single" w:sz="4" w:space="0" w:color="000000"/>
              <w:right w:val="single" w:sz="4" w:space="0" w:color="000000"/>
            </w:tcBorders>
          </w:tcPr>
          <w:p>
            <w:pPr>
              <w:pStyle w:val="TableParagraph"/>
              <w:spacing w:before="110"/>
              <w:ind w:left="225"/>
              <w:jc w:val="left"/>
              <w:rPr>
                <w:sz w:val="20"/>
              </w:rPr>
            </w:pPr>
            <w:r>
              <w:rPr>
                <w:sz w:val="20"/>
              </w:rPr>
              <w:t>06</w:t>
            </w:r>
          </w:p>
        </w:tc>
        <w:tc>
          <w:tcPr>
            <w:tcW w:w="992" w:type="dxa"/>
            <w:tcBorders>
              <w:top w:val="single" w:sz="4" w:space="0" w:color="000000"/>
              <w:left w:val="single" w:sz="4" w:space="0" w:color="000000"/>
              <w:bottom w:val="single" w:sz="4" w:space="0" w:color="000000"/>
            </w:tcBorders>
          </w:tcPr>
          <w:p>
            <w:pPr>
              <w:pStyle w:val="TableParagraph"/>
              <w:spacing w:before="110"/>
              <w:ind w:left="59" w:right="34"/>
              <w:rPr>
                <w:sz w:val="20"/>
              </w:rPr>
            </w:pPr>
            <w:r>
              <w:rPr>
                <w:sz w:val="20"/>
              </w:rPr>
              <w:t>54,17</w:t>
            </w:r>
          </w:p>
        </w:tc>
        <w:tc>
          <w:tcPr>
            <w:tcW w:w="1275" w:type="dxa"/>
            <w:tcBorders>
              <w:top w:val="single" w:sz="4" w:space="0" w:color="000000"/>
              <w:bottom w:val="single" w:sz="4" w:space="0" w:color="000000"/>
              <w:right w:val="single" w:sz="4" w:space="0" w:color="000000"/>
            </w:tcBorders>
          </w:tcPr>
          <w:p>
            <w:pPr>
              <w:pStyle w:val="TableParagraph"/>
              <w:spacing w:before="110"/>
              <w:ind w:left="484" w:right="501"/>
              <w:rPr>
                <w:sz w:val="20"/>
              </w:rPr>
            </w:pPr>
            <w:r>
              <w:rPr>
                <w:sz w:val="20"/>
              </w:rPr>
              <w:t>06</w:t>
            </w:r>
          </w:p>
        </w:tc>
        <w:tc>
          <w:tcPr>
            <w:tcW w:w="843" w:type="dxa"/>
            <w:tcBorders>
              <w:top w:val="single" w:sz="4" w:space="0" w:color="000000"/>
              <w:left w:val="single" w:sz="4" w:space="0" w:color="000000"/>
              <w:bottom w:val="single" w:sz="4" w:space="0" w:color="000000"/>
            </w:tcBorders>
          </w:tcPr>
          <w:p>
            <w:pPr>
              <w:pStyle w:val="TableParagraph"/>
              <w:spacing w:before="110"/>
              <w:ind w:left="147" w:right="127"/>
              <w:rPr>
                <w:sz w:val="20"/>
              </w:rPr>
            </w:pPr>
            <w:r>
              <w:rPr>
                <w:sz w:val="20"/>
              </w:rPr>
              <w:t>41,67</w:t>
            </w:r>
          </w:p>
        </w:tc>
      </w:tr>
      <w:tr>
        <w:trPr>
          <w:trHeight w:val="492" w:hRule="exact"/>
        </w:trPr>
        <w:tc>
          <w:tcPr>
            <w:tcW w:w="1529" w:type="dxa"/>
            <w:tcBorders>
              <w:top w:val="single" w:sz="4" w:space="0" w:color="000000"/>
              <w:right w:val="single" w:sz="4" w:space="0" w:color="000000"/>
            </w:tcBorders>
          </w:tcPr>
          <w:p>
            <w:pPr>
              <w:pStyle w:val="TableParagraph"/>
              <w:spacing w:line="226" w:lineRule="exact" w:before="6"/>
              <w:ind w:left="33" w:right="126"/>
              <w:jc w:val="left"/>
              <w:rPr>
                <w:sz w:val="20"/>
              </w:rPr>
            </w:pPr>
            <w:r>
              <w:rPr>
                <w:sz w:val="20"/>
              </w:rPr>
              <w:t>Espírito Empreendedor</w:t>
            </w:r>
          </w:p>
        </w:tc>
        <w:tc>
          <w:tcPr>
            <w:tcW w:w="992" w:type="dxa"/>
            <w:tcBorders>
              <w:top w:val="single" w:sz="4" w:space="0" w:color="000000"/>
              <w:left w:val="single" w:sz="4" w:space="0" w:color="000000"/>
            </w:tcBorders>
          </w:tcPr>
          <w:p>
            <w:pPr>
              <w:pStyle w:val="TableParagraph"/>
              <w:spacing w:before="110"/>
              <w:ind w:left="59" w:right="36"/>
              <w:rPr>
                <w:sz w:val="20"/>
              </w:rPr>
            </w:pPr>
            <w:r>
              <w:rPr>
                <w:sz w:val="20"/>
              </w:rPr>
              <w:t>04</w:t>
            </w:r>
          </w:p>
        </w:tc>
        <w:tc>
          <w:tcPr>
            <w:tcW w:w="713" w:type="dxa"/>
            <w:tcBorders>
              <w:top w:val="single" w:sz="4" w:space="0" w:color="000000"/>
              <w:right w:val="single" w:sz="4" w:space="0" w:color="000000"/>
            </w:tcBorders>
          </w:tcPr>
          <w:p>
            <w:pPr>
              <w:pStyle w:val="TableParagraph"/>
              <w:spacing w:before="110"/>
              <w:ind w:left="201" w:right="213"/>
              <w:rPr>
                <w:sz w:val="20"/>
              </w:rPr>
            </w:pPr>
            <w:r>
              <w:rPr>
                <w:sz w:val="20"/>
              </w:rPr>
              <w:t>06</w:t>
            </w:r>
          </w:p>
        </w:tc>
        <w:tc>
          <w:tcPr>
            <w:tcW w:w="564" w:type="dxa"/>
            <w:tcBorders>
              <w:top w:val="single" w:sz="4" w:space="0" w:color="000000"/>
              <w:left w:val="single" w:sz="4" w:space="0" w:color="000000"/>
            </w:tcBorders>
          </w:tcPr>
          <w:p>
            <w:pPr>
              <w:pStyle w:val="TableParagraph"/>
              <w:spacing w:before="110"/>
              <w:ind w:left="52" w:right="41"/>
              <w:rPr>
                <w:sz w:val="20"/>
              </w:rPr>
            </w:pPr>
            <w:r>
              <w:rPr>
                <w:sz w:val="20"/>
              </w:rPr>
              <w:t>0,0</w:t>
            </w:r>
          </w:p>
        </w:tc>
        <w:tc>
          <w:tcPr>
            <w:tcW w:w="569" w:type="dxa"/>
            <w:tcBorders>
              <w:top w:val="single" w:sz="4" w:space="0" w:color="000000"/>
              <w:right w:val="single" w:sz="4" w:space="0" w:color="000000"/>
            </w:tcBorders>
          </w:tcPr>
          <w:p>
            <w:pPr>
              <w:pStyle w:val="TableParagraph"/>
              <w:spacing w:before="110"/>
              <w:ind w:left="129" w:right="141"/>
              <w:rPr>
                <w:sz w:val="20"/>
              </w:rPr>
            </w:pPr>
            <w:r>
              <w:rPr>
                <w:sz w:val="20"/>
              </w:rPr>
              <w:t>06</w:t>
            </w:r>
          </w:p>
        </w:tc>
        <w:tc>
          <w:tcPr>
            <w:tcW w:w="564" w:type="dxa"/>
            <w:tcBorders>
              <w:top w:val="single" w:sz="4" w:space="0" w:color="000000"/>
              <w:left w:val="single" w:sz="4" w:space="0" w:color="000000"/>
            </w:tcBorders>
          </w:tcPr>
          <w:p>
            <w:pPr>
              <w:pStyle w:val="TableParagraph"/>
              <w:spacing w:before="110"/>
              <w:ind w:left="66" w:right="41"/>
              <w:rPr>
                <w:sz w:val="20"/>
              </w:rPr>
            </w:pPr>
            <w:r>
              <w:rPr>
                <w:sz w:val="20"/>
              </w:rPr>
              <w:t>4,17</w:t>
            </w:r>
          </w:p>
        </w:tc>
        <w:tc>
          <w:tcPr>
            <w:tcW w:w="713" w:type="dxa"/>
            <w:tcBorders>
              <w:top w:val="single" w:sz="4" w:space="0" w:color="000000"/>
              <w:right w:val="single" w:sz="4" w:space="0" w:color="000000"/>
            </w:tcBorders>
          </w:tcPr>
          <w:p>
            <w:pPr>
              <w:pStyle w:val="TableParagraph"/>
              <w:spacing w:before="110"/>
              <w:ind w:left="225"/>
              <w:jc w:val="left"/>
              <w:rPr>
                <w:sz w:val="20"/>
              </w:rPr>
            </w:pPr>
            <w:r>
              <w:rPr>
                <w:sz w:val="20"/>
              </w:rPr>
              <w:t>06</w:t>
            </w:r>
          </w:p>
        </w:tc>
        <w:tc>
          <w:tcPr>
            <w:tcW w:w="992" w:type="dxa"/>
            <w:tcBorders>
              <w:top w:val="single" w:sz="4" w:space="0" w:color="000000"/>
              <w:left w:val="single" w:sz="4" w:space="0" w:color="000000"/>
            </w:tcBorders>
          </w:tcPr>
          <w:p>
            <w:pPr>
              <w:pStyle w:val="TableParagraph"/>
              <w:spacing w:before="110"/>
              <w:ind w:left="59" w:right="34"/>
              <w:rPr>
                <w:sz w:val="20"/>
              </w:rPr>
            </w:pPr>
            <w:r>
              <w:rPr>
                <w:sz w:val="20"/>
              </w:rPr>
              <w:t>41,67</w:t>
            </w:r>
          </w:p>
        </w:tc>
        <w:tc>
          <w:tcPr>
            <w:tcW w:w="1275" w:type="dxa"/>
            <w:tcBorders>
              <w:top w:val="single" w:sz="4" w:space="0" w:color="000000"/>
              <w:right w:val="single" w:sz="4" w:space="0" w:color="000000"/>
            </w:tcBorders>
          </w:tcPr>
          <w:p>
            <w:pPr>
              <w:pStyle w:val="TableParagraph"/>
              <w:spacing w:before="110"/>
              <w:ind w:left="484" w:right="501"/>
              <w:rPr>
                <w:sz w:val="20"/>
              </w:rPr>
            </w:pPr>
            <w:r>
              <w:rPr>
                <w:sz w:val="20"/>
              </w:rPr>
              <w:t>06</w:t>
            </w:r>
          </w:p>
        </w:tc>
        <w:tc>
          <w:tcPr>
            <w:tcW w:w="843" w:type="dxa"/>
            <w:tcBorders>
              <w:top w:val="single" w:sz="4" w:space="0" w:color="000000"/>
              <w:left w:val="single" w:sz="4" w:space="0" w:color="000000"/>
            </w:tcBorders>
          </w:tcPr>
          <w:p>
            <w:pPr>
              <w:pStyle w:val="TableParagraph"/>
              <w:spacing w:before="110"/>
              <w:ind w:left="147" w:right="127"/>
              <w:rPr>
                <w:sz w:val="20"/>
              </w:rPr>
            </w:pPr>
            <w:r>
              <w:rPr>
                <w:sz w:val="20"/>
              </w:rPr>
              <w:t>54,17</w:t>
            </w:r>
          </w:p>
        </w:tc>
      </w:tr>
    </w:tbl>
    <w:p>
      <w:pPr>
        <w:spacing w:before="0"/>
        <w:ind w:left="308" w:right="0" w:firstLine="0"/>
        <w:jc w:val="left"/>
        <w:rPr>
          <w:sz w:val="22"/>
        </w:rPr>
      </w:pPr>
      <w:r>
        <w:rPr>
          <w:sz w:val="20"/>
        </w:rPr>
        <w:t>Fonte: Dados da Pesquisa – Mestrado – Pinho (2014)</w:t>
      </w:r>
      <w:r>
        <w:rPr>
          <w:sz w:val="22"/>
        </w:rPr>
        <w:t>.</w:t>
      </w:r>
    </w:p>
    <w:p>
      <w:pPr>
        <w:pStyle w:val="BodyText"/>
      </w:pPr>
    </w:p>
    <w:p>
      <w:pPr>
        <w:pStyle w:val="BodyText"/>
      </w:pPr>
    </w:p>
    <w:p>
      <w:pPr>
        <w:pStyle w:val="BodyText"/>
        <w:spacing w:before="5"/>
        <w:rPr>
          <w:sz w:val="23"/>
        </w:rPr>
      </w:pPr>
    </w:p>
    <w:p>
      <w:pPr>
        <w:spacing w:before="0" w:after="24"/>
        <w:ind w:left="519" w:right="0" w:firstLine="0"/>
        <w:jc w:val="left"/>
        <w:rPr>
          <w:b/>
          <w:sz w:val="20"/>
        </w:rPr>
      </w:pPr>
      <w:r>
        <w:rPr>
          <w:b/>
          <w:sz w:val="20"/>
        </w:rPr>
        <w:t>Quadro 06: Categoria II – Potencial e Recursos Humanos na percepção dos professores</w:t>
      </w:r>
    </w:p>
    <w:tbl>
      <w:tblPr>
        <w:tblW w:w="0" w:type="auto"/>
        <w:jc w:val="left"/>
        <w:tblInd w:w="226"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208"/>
        <w:gridCol w:w="1131"/>
        <w:gridCol w:w="569"/>
        <w:gridCol w:w="1131"/>
        <w:gridCol w:w="713"/>
        <w:gridCol w:w="848"/>
        <w:gridCol w:w="713"/>
        <w:gridCol w:w="848"/>
        <w:gridCol w:w="713"/>
        <w:gridCol w:w="1030"/>
      </w:tblGrid>
      <w:tr>
        <w:trPr>
          <w:trHeight w:val="281" w:hRule="exact"/>
        </w:trPr>
        <w:tc>
          <w:tcPr>
            <w:tcW w:w="2339" w:type="dxa"/>
            <w:gridSpan w:val="2"/>
            <w:vMerge w:val="restart"/>
            <w:tcBorders>
              <w:top w:val="nil"/>
              <w:left w:val="nil"/>
            </w:tcBorders>
          </w:tcPr>
          <w:p>
            <w:pPr/>
          </w:p>
        </w:tc>
        <w:tc>
          <w:tcPr>
            <w:tcW w:w="6564" w:type="dxa"/>
            <w:gridSpan w:val="8"/>
            <w:tcBorders>
              <w:bottom w:val="single" w:sz="4" w:space="0" w:color="000000"/>
            </w:tcBorders>
          </w:tcPr>
          <w:p>
            <w:pPr>
              <w:pStyle w:val="TableParagraph"/>
              <w:spacing w:line="248" w:lineRule="exact"/>
              <w:ind w:left="2584" w:right="2589"/>
              <w:rPr>
                <w:b/>
                <w:sz w:val="22"/>
              </w:rPr>
            </w:pPr>
            <w:r>
              <w:rPr>
                <w:b/>
                <w:sz w:val="22"/>
              </w:rPr>
              <w:t>AVALIAÇÃO</w:t>
            </w:r>
          </w:p>
        </w:tc>
      </w:tr>
      <w:tr>
        <w:trPr>
          <w:trHeight w:val="1798" w:hRule="exact"/>
        </w:trPr>
        <w:tc>
          <w:tcPr>
            <w:tcW w:w="2339" w:type="dxa"/>
            <w:gridSpan w:val="2"/>
            <w:vMerge/>
            <w:tcBorders>
              <w:left w:val="nil"/>
            </w:tcBorders>
          </w:tcPr>
          <w:p>
            <w:pPr/>
          </w:p>
        </w:tc>
        <w:tc>
          <w:tcPr>
            <w:tcW w:w="1700" w:type="dxa"/>
            <w:gridSpan w:val="2"/>
            <w:tcBorders>
              <w:top w:val="single" w:sz="4" w:space="0" w:color="000000"/>
              <w:bottom w:val="single" w:sz="4" w:space="0" w:color="000000"/>
            </w:tcBorders>
          </w:tcPr>
          <w:p>
            <w:pPr>
              <w:pStyle w:val="TableParagraph"/>
              <w:jc w:val="left"/>
              <w:rPr>
                <w:b/>
                <w:sz w:val="24"/>
              </w:rPr>
            </w:pPr>
          </w:p>
          <w:p>
            <w:pPr>
              <w:pStyle w:val="TableParagraph"/>
              <w:spacing w:before="5"/>
              <w:jc w:val="left"/>
              <w:rPr>
                <w:b/>
                <w:sz w:val="19"/>
              </w:rPr>
            </w:pPr>
          </w:p>
          <w:p>
            <w:pPr>
              <w:pStyle w:val="TableParagraph"/>
              <w:ind w:left="153" w:right="155" w:firstLine="3"/>
              <w:rPr>
                <w:b/>
                <w:sz w:val="22"/>
              </w:rPr>
            </w:pPr>
            <w:r>
              <w:rPr>
                <w:b/>
                <w:sz w:val="22"/>
              </w:rPr>
              <w:t>Nunca ou quase nunca (1-2)</w:t>
            </w:r>
          </w:p>
        </w:tc>
        <w:tc>
          <w:tcPr>
            <w:tcW w:w="1561" w:type="dxa"/>
            <w:gridSpan w:val="2"/>
            <w:tcBorders>
              <w:top w:val="single" w:sz="4" w:space="0" w:color="000000"/>
              <w:bottom w:val="single" w:sz="4" w:space="0" w:color="000000"/>
            </w:tcBorders>
          </w:tcPr>
          <w:p>
            <w:pPr>
              <w:pStyle w:val="TableParagraph"/>
              <w:jc w:val="left"/>
              <w:rPr>
                <w:b/>
                <w:sz w:val="24"/>
              </w:rPr>
            </w:pPr>
          </w:p>
          <w:p>
            <w:pPr>
              <w:pStyle w:val="TableParagraph"/>
              <w:spacing w:before="5"/>
              <w:jc w:val="left"/>
              <w:rPr>
                <w:b/>
                <w:sz w:val="19"/>
              </w:rPr>
            </w:pPr>
          </w:p>
          <w:p>
            <w:pPr>
              <w:pStyle w:val="TableParagraph"/>
              <w:ind w:left="71" w:right="78" w:firstLine="1"/>
              <w:rPr>
                <w:b/>
                <w:sz w:val="22"/>
              </w:rPr>
            </w:pPr>
            <w:r>
              <w:rPr>
                <w:b/>
                <w:spacing w:val="-3"/>
                <w:sz w:val="22"/>
              </w:rPr>
              <w:t>Às </w:t>
            </w:r>
            <w:r>
              <w:rPr>
                <w:b/>
                <w:sz w:val="22"/>
              </w:rPr>
              <w:t>vezes. </w:t>
            </w:r>
            <w:r>
              <w:rPr>
                <w:b/>
                <w:spacing w:val="-2"/>
                <w:sz w:val="22"/>
              </w:rPr>
              <w:t>Ocasionalme </w:t>
            </w:r>
            <w:r>
              <w:rPr>
                <w:b/>
                <w:sz w:val="22"/>
              </w:rPr>
              <w:t>nte (3-4-5)</w:t>
            </w:r>
          </w:p>
        </w:tc>
        <w:tc>
          <w:tcPr>
            <w:tcW w:w="1560" w:type="dxa"/>
            <w:gridSpan w:val="2"/>
            <w:tcBorders>
              <w:top w:val="single" w:sz="4" w:space="0" w:color="000000"/>
              <w:bottom w:val="single" w:sz="4" w:space="0" w:color="000000"/>
            </w:tcBorders>
          </w:tcPr>
          <w:p>
            <w:pPr>
              <w:pStyle w:val="TableParagraph"/>
              <w:spacing w:line="250" w:lineRule="exact" w:before="126"/>
              <w:ind w:left="81" w:right="78"/>
              <w:rPr>
                <w:b/>
                <w:sz w:val="22"/>
              </w:rPr>
            </w:pPr>
            <w:r>
              <w:rPr>
                <w:b/>
                <w:sz w:val="22"/>
              </w:rPr>
              <w:t>Muitas vezes ou ocasiões.</w:t>
            </w:r>
          </w:p>
          <w:p>
            <w:pPr>
              <w:pStyle w:val="TableParagraph"/>
              <w:ind w:left="28" w:right="32" w:firstLine="3"/>
              <w:rPr>
                <w:b/>
                <w:sz w:val="22"/>
              </w:rPr>
            </w:pPr>
            <w:r>
              <w:rPr>
                <w:b/>
                <w:sz w:val="22"/>
              </w:rPr>
              <w:t>Existem evidências do indicador</w:t>
            </w:r>
          </w:p>
          <w:p>
            <w:pPr>
              <w:pStyle w:val="TableParagraph"/>
              <w:spacing w:line="250" w:lineRule="exact" w:before="2"/>
              <w:ind w:left="81" w:right="78"/>
              <w:rPr>
                <w:b/>
                <w:sz w:val="22"/>
              </w:rPr>
            </w:pPr>
            <w:r>
              <w:rPr>
                <w:b/>
                <w:sz w:val="22"/>
              </w:rPr>
              <w:t>(6-7-8)</w:t>
            </w:r>
          </w:p>
        </w:tc>
        <w:tc>
          <w:tcPr>
            <w:tcW w:w="1743" w:type="dxa"/>
            <w:gridSpan w:val="2"/>
            <w:tcBorders>
              <w:top w:val="single" w:sz="4" w:space="0" w:color="000000"/>
              <w:bottom w:val="single" w:sz="4" w:space="0" w:color="000000"/>
            </w:tcBorders>
          </w:tcPr>
          <w:p>
            <w:pPr>
              <w:pStyle w:val="TableParagraph"/>
              <w:ind w:left="139" w:right="141" w:firstLine="2"/>
              <w:rPr>
                <w:b/>
                <w:sz w:val="22"/>
              </w:rPr>
            </w:pPr>
            <w:r>
              <w:rPr>
                <w:b/>
                <w:sz w:val="22"/>
              </w:rPr>
              <w:t>De continuo. Evidências claras de aparição do indicador ou característica (9-10)</w:t>
            </w:r>
          </w:p>
        </w:tc>
      </w:tr>
      <w:tr>
        <w:trPr>
          <w:trHeight w:val="298" w:hRule="exact"/>
        </w:trPr>
        <w:tc>
          <w:tcPr>
            <w:tcW w:w="1208" w:type="dxa"/>
            <w:tcBorders>
              <w:bottom w:val="single" w:sz="17" w:space="0" w:color="000000"/>
              <w:right w:val="single" w:sz="4" w:space="0" w:color="000000"/>
            </w:tcBorders>
          </w:tcPr>
          <w:p>
            <w:pPr>
              <w:pStyle w:val="TableParagraph"/>
              <w:spacing w:line="248" w:lineRule="exact"/>
              <w:ind w:left="38"/>
              <w:jc w:val="left"/>
              <w:rPr>
                <w:b/>
                <w:sz w:val="22"/>
              </w:rPr>
            </w:pPr>
            <w:r>
              <w:rPr>
                <w:b/>
                <w:sz w:val="22"/>
              </w:rPr>
              <w:t>Parâmetro</w:t>
            </w:r>
          </w:p>
        </w:tc>
        <w:tc>
          <w:tcPr>
            <w:tcW w:w="1131" w:type="dxa"/>
            <w:tcBorders>
              <w:left w:val="single" w:sz="4" w:space="0" w:color="000000"/>
              <w:bottom w:val="single" w:sz="17" w:space="0" w:color="000000"/>
            </w:tcBorders>
          </w:tcPr>
          <w:p>
            <w:pPr>
              <w:pStyle w:val="TableParagraph"/>
              <w:spacing w:line="248" w:lineRule="exact"/>
              <w:ind w:left="89" w:right="83"/>
              <w:rPr>
                <w:b/>
                <w:sz w:val="22"/>
              </w:rPr>
            </w:pPr>
            <w:r>
              <w:rPr>
                <w:b/>
                <w:sz w:val="22"/>
              </w:rPr>
              <w:t>Amostra</w:t>
            </w:r>
          </w:p>
        </w:tc>
        <w:tc>
          <w:tcPr>
            <w:tcW w:w="569" w:type="dxa"/>
            <w:tcBorders>
              <w:top w:val="single" w:sz="4" w:space="0" w:color="000000"/>
              <w:bottom w:val="single" w:sz="17" w:space="0" w:color="000000"/>
              <w:right w:val="single" w:sz="4" w:space="0" w:color="000000"/>
            </w:tcBorders>
          </w:tcPr>
          <w:p>
            <w:pPr>
              <w:pStyle w:val="TableParagraph"/>
              <w:spacing w:before="12"/>
              <w:ind w:left="101" w:right="134"/>
              <w:rPr>
                <w:b/>
                <w:sz w:val="22"/>
              </w:rPr>
            </w:pPr>
            <w:r>
              <w:rPr>
                <w:b/>
                <w:sz w:val="22"/>
              </w:rPr>
              <w:t>Nº</w:t>
            </w:r>
          </w:p>
        </w:tc>
        <w:tc>
          <w:tcPr>
            <w:tcW w:w="1131" w:type="dxa"/>
            <w:tcBorders>
              <w:top w:val="single" w:sz="4" w:space="0" w:color="000000"/>
              <w:left w:val="single" w:sz="4" w:space="0" w:color="000000"/>
              <w:bottom w:val="single" w:sz="17" w:space="0" w:color="000000"/>
            </w:tcBorders>
          </w:tcPr>
          <w:p>
            <w:pPr>
              <w:pStyle w:val="TableParagraph"/>
              <w:spacing w:before="12"/>
              <w:ind w:left="14"/>
              <w:rPr>
                <w:b/>
                <w:sz w:val="22"/>
              </w:rPr>
            </w:pPr>
            <w:r>
              <w:rPr>
                <w:b/>
                <w:w w:val="100"/>
                <w:sz w:val="22"/>
              </w:rPr>
              <w:t>%</w:t>
            </w:r>
          </w:p>
        </w:tc>
        <w:tc>
          <w:tcPr>
            <w:tcW w:w="713" w:type="dxa"/>
            <w:tcBorders>
              <w:top w:val="single" w:sz="4" w:space="0" w:color="000000"/>
              <w:bottom w:val="single" w:sz="17" w:space="0" w:color="000000"/>
              <w:right w:val="single" w:sz="4" w:space="0" w:color="000000"/>
            </w:tcBorders>
          </w:tcPr>
          <w:p>
            <w:pPr>
              <w:pStyle w:val="TableParagraph"/>
              <w:spacing w:before="12"/>
              <w:ind w:left="211"/>
              <w:jc w:val="left"/>
              <w:rPr>
                <w:b/>
                <w:sz w:val="22"/>
              </w:rPr>
            </w:pPr>
            <w:r>
              <w:rPr>
                <w:b/>
                <w:sz w:val="22"/>
              </w:rPr>
              <w:t>Nº</w:t>
            </w:r>
          </w:p>
        </w:tc>
        <w:tc>
          <w:tcPr>
            <w:tcW w:w="848" w:type="dxa"/>
            <w:tcBorders>
              <w:top w:val="single" w:sz="4" w:space="0" w:color="000000"/>
              <w:left w:val="single" w:sz="4" w:space="0" w:color="000000"/>
              <w:bottom w:val="single" w:sz="17" w:space="0" w:color="000000"/>
            </w:tcBorders>
          </w:tcPr>
          <w:p>
            <w:pPr>
              <w:pStyle w:val="TableParagraph"/>
              <w:spacing w:before="12"/>
              <w:ind w:left="8"/>
              <w:rPr>
                <w:b/>
                <w:sz w:val="22"/>
              </w:rPr>
            </w:pPr>
            <w:r>
              <w:rPr>
                <w:b/>
                <w:w w:val="100"/>
                <w:sz w:val="22"/>
              </w:rPr>
              <w:t>%</w:t>
            </w:r>
          </w:p>
        </w:tc>
        <w:tc>
          <w:tcPr>
            <w:tcW w:w="713" w:type="dxa"/>
            <w:tcBorders>
              <w:top w:val="single" w:sz="4" w:space="0" w:color="000000"/>
              <w:bottom w:val="single" w:sz="17" w:space="0" w:color="000000"/>
              <w:right w:val="single" w:sz="4" w:space="0" w:color="000000"/>
            </w:tcBorders>
          </w:tcPr>
          <w:p>
            <w:pPr>
              <w:pStyle w:val="TableParagraph"/>
              <w:spacing w:before="12"/>
              <w:ind w:left="173" w:right="206"/>
              <w:rPr>
                <w:b/>
                <w:sz w:val="22"/>
              </w:rPr>
            </w:pPr>
            <w:r>
              <w:rPr>
                <w:b/>
                <w:sz w:val="22"/>
              </w:rPr>
              <w:t>Nº</w:t>
            </w:r>
          </w:p>
        </w:tc>
        <w:tc>
          <w:tcPr>
            <w:tcW w:w="848" w:type="dxa"/>
            <w:tcBorders>
              <w:top w:val="single" w:sz="4" w:space="0" w:color="000000"/>
              <w:left w:val="single" w:sz="4" w:space="0" w:color="000000"/>
              <w:bottom w:val="single" w:sz="17" w:space="0" w:color="000000"/>
            </w:tcBorders>
          </w:tcPr>
          <w:p>
            <w:pPr>
              <w:pStyle w:val="TableParagraph"/>
              <w:spacing w:before="12"/>
              <w:ind w:left="9"/>
              <w:rPr>
                <w:b/>
                <w:sz w:val="22"/>
              </w:rPr>
            </w:pPr>
            <w:r>
              <w:rPr>
                <w:b/>
                <w:w w:val="100"/>
                <w:sz w:val="22"/>
              </w:rPr>
              <w:t>%</w:t>
            </w:r>
          </w:p>
        </w:tc>
        <w:tc>
          <w:tcPr>
            <w:tcW w:w="713" w:type="dxa"/>
            <w:tcBorders>
              <w:top w:val="single" w:sz="4" w:space="0" w:color="000000"/>
              <w:bottom w:val="single" w:sz="17" w:space="0" w:color="000000"/>
              <w:right w:val="single" w:sz="4" w:space="0" w:color="000000"/>
            </w:tcBorders>
          </w:tcPr>
          <w:p>
            <w:pPr>
              <w:pStyle w:val="TableParagraph"/>
              <w:spacing w:before="12"/>
              <w:ind w:left="211"/>
              <w:jc w:val="left"/>
              <w:rPr>
                <w:b/>
                <w:sz w:val="22"/>
              </w:rPr>
            </w:pPr>
            <w:r>
              <w:rPr>
                <w:b/>
                <w:sz w:val="22"/>
              </w:rPr>
              <w:t>Nº</w:t>
            </w:r>
          </w:p>
        </w:tc>
        <w:tc>
          <w:tcPr>
            <w:tcW w:w="1030" w:type="dxa"/>
            <w:tcBorders>
              <w:top w:val="single" w:sz="4" w:space="0" w:color="000000"/>
              <w:left w:val="single" w:sz="4" w:space="0" w:color="000000"/>
              <w:bottom w:val="single" w:sz="17" w:space="0" w:color="000000"/>
            </w:tcBorders>
          </w:tcPr>
          <w:p>
            <w:pPr>
              <w:pStyle w:val="TableParagraph"/>
              <w:spacing w:before="12"/>
              <w:ind w:left="8"/>
              <w:rPr>
                <w:b/>
                <w:sz w:val="22"/>
              </w:rPr>
            </w:pPr>
            <w:r>
              <w:rPr>
                <w:b/>
                <w:w w:val="100"/>
                <w:sz w:val="22"/>
              </w:rPr>
              <w:t>%</w:t>
            </w:r>
          </w:p>
        </w:tc>
      </w:tr>
      <w:tr>
        <w:trPr>
          <w:trHeight w:val="790" w:hRule="exact"/>
        </w:trPr>
        <w:tc>
          <w:tcPr>
            <w:tcW w:w="1208" w:type="dxa"/>
            <w:tcBorders>
              <w:top w:val="single" w:sz="17" w:space="0" w:color="000000"/>
              <w:bottom w:val="single" w:sz="4" w:space="0" w:color="000000"/>
              <w:right w:val="single" w:sz="4" w:space="0" w:color="000000"/>
            </w:tcBorders>
          </w:tcPr>
          <w:p>
            <w:pPr>
              <w:pStyle w:val="TableParagraph"/>
              <w:ind w:left="33" w:right="101"/>
              <w:jc w:val="left"/>
              <w:rPr>
                <w:sz w:val="22"/>
              </w:rPr>
            </w:pPr>
            <w:r>
              <w:rPr>
                <w:sz w:val="22"/>
              </w:rPr>
              <w:t>Liderança Estimulant e</w:t>
            </w:r>
          </w:p>
        </w:tc>
        <w:tc>
          <w:tcPr>
            <w:tcW w:w="1131" w:type="dxa"/>
            <w:tcBorders>
              <w:top w:val="single" w:sz="17" w:space="0" w:color="000000"/>
              <w:left w:val="single" w:sz="4" w:space="0" w:color="000000"/>
              <w:bottom w:val="single" w:sz="4" w:space="0" w:color="000000"/>
            </w:tcBorders>
          </w:tcPr>
          <w:p>
            <w:pPr>
              <w:pStyle w:val="TableParagraph"/>
              <w:spacing w:before="8"/>
              <w:jc w:val="left"/>
              <w:rPr>
                <w:b/>
                <w:sz w:val="21"/>
              </w:rPr>
            </w:pPr>
          </w:p>
          <w:p>
            <w:pPr>
              <w:pStyle w:val="TableParagraph"/>
              <w:ind w:left="89" w:right="71"/>
              <w:rPr>
                <w:sz w:val="22"/>
              </w:rPr>
            </w:pPr>
            <w:r>
              <w:rPr>
                <w:sz w:val="22"/>
              </w:rPr>
              <w:t>06</w:t>
            </w:r>
          </w:p>
        </w:tc>
        <w:tc>
          <w:tcPr>
            <w:tcW w:w="569" w:type="dxa"/>
            <w:tcBorders>
              <w:top w:val="single" w:sz="17" w:space="0" w:color="000000"/>
              <w:bottom w:val="single" w:sz="4" w:space="0" w:color="000000"/>
              <w:right w:val="single" w:sz="4" w:space="0" w:color="000000"/>
            </w:tcBorders>
          </w:tcPr>
          <w:p>
            <w:pPr>
              <w:pStyle w:val="TableParagraph"/>
              <w:spacing w:before="8"/>
              <w:jc w:val="left"/>
              <w:rPr>
                <w:b/>
                <w:sz w:val="21"/>
              </w:rPr>
            </w:pPr>
          </w:p>
          <w:p>
            <w:pPr>
              <w:pStyle w:val="TableParagraph"/>
              <w:ind w:left="115" w:right="127"/>
              <w:rPr>
                <w:sz w:val="22"/>
              </w:rPr>
            </w:pPr>
            <w:r>
              <w:rPr>
                <w:sz w:val="22"/>
              </w:rPr>
              <w:t>06</w:t>
            </w:r>
          </w:p>
        </w:tc>
        <w:tc>
          <w:tcPr>
            <w:tcW w:w="1131" w:type="dxa"/>
            <w:tcBorders>
              <w:top w:val="single" w:sz="17" w:space="0" w:color="000000"/>
              <w:left w:val="single" w:sz="4" w:space="0" w:color="000000"/>
              <w:bottom w:val="single" w:sz="4" w:space="0" w:color="000000"/>
            </w:tcBorders>
          </w:tcPr>
          <w:p>
            <w:pPr>
              <w:pStyle w:val="TableParagraph"/>
              <w:spacing w:before="8"/>
              <w:jc w:val="left"/>
              <w:rPr>
                <w:b/>
                <w:sz w:val="21"/>
              </w:rPr>
            </w:pPr>
          </w:p>
          <w:p>
            <w:pPr>
              <w:pStyle w:val="TableParagraph"/>
              <w:ind w:left="131" w:right="114"/>
              <w:rPr>
                <w:sz w:val="22"/>
              </w:rPr>
            </w:pPr>
            <w:r>
              <w:rPr>
                <w:sz w:val="22"/>
              </w:rPr>
              <w:t>8,34</w:t>
            </w:r>
          </w:p>
        </w:tc>
        <w:tc>
          <w:tcPr>
            <w:tcW w:w="713" w:type="dxa"/>
            <w:tcBorders>
              <w:top w:val="single" w:sz="17" w:space="0" w:color="000000"/>
              <w:bottom w:val="single" w:sz="4" w:space="0" w:color="000000"/>
              <w:right w:val="single" w:sz="4" w:space="0" w:color="000000"/>
            </w:tcBorders>
          </w:tcPr>
          <w:p>
            <w:pPr>
              <w:pStyle w:val="TableParagraph"/>
              <w:spacing w:before="8"/>
              <w:jc w:val="left"/>
              <w:rPr>
                <w:b/>
                <w:sz w:val="21"/>
              </w:rPr>
            </w:pPr>
          </w:p>
          <w:p>
            <w:pPr>
              <w:pStyle w:val="TableParagraph"/>
              <w:ind w:left="211"/>
              <w:jc w:val="left"/>
              <w:rPr>
                <w:sz w:val="22"/>
              </w:rPr>
            </w:pPr>
            <w:r>
              <w:rPr>
                <w:sz w:val="22"/>
              </w:rPr>
              <w:t>06</w:t>
            </w:r>
          </w:p>
        </w:tc>
        <w:tc>
          <w:tcPr>
            <w:tcW w:w="848" w:type="dxa"/>
            <w:tcBorders>
              <w:top w:val="single" w:sz="17" w:space="0" w:color="000000"/>
              <w:left w:val="single" w:sz="4" w:space="0" w:color="000000"/>
              <w:bottom w:val="single" w:sz="4" w:space="0" w:color="000000"/>
            </w:tcBorders>
          </w:tcPr>
          <w:p>
            <w:pPr>
              <w:pStyle w:val="TableParagraph"/>
              <w:spacing w:before="8"/>
              <w:jc w:val="left"/>
              <w:rPr>
                <w:b/>
                <w:sz w:val="21"/>
              </w:rPr>
            </w:pPr>
          </w:p>
          <w:p>
            <w:pPr>
              <w:pStyle w:val="TableParagraph"/>
              <w:ind w:left="120" w:right="110"/>
              <w:rPr>
                <w:sz w:val="22"/>
              </w:rPr>
            </w:pPr>
            <w:r>
              <w:rPr>
                <w:sz w:val="22"/>
              </w:rPr>
              <w:t>16,67</w:t>
            </w:r>
          </w:p>
        </w:tc>
        <w:tc>
          <w:tcPr>
            <w:tcW w:w="713" w:type="dxa"/>
            <w:tcBorders>
              <w:top w:val="single" w:sz="17" w:space="0" w:color="000000"/>
              <w:bottom w:val="single" w:sz="4" w:space="0" w:color="000000"/>
              <w:right w:val="single" w:sz="4" w:space="0" w:color="000000"/>
            </w:tcBorders>
          </w:tcPr>
          <w:p>
            <w:pPr>
              <w:pStyle w:val="TableParagraph"/>
              <w:spacing w:before="8"/>
              <w:jc w:val="left"/>
              <w:rPr>
                <w:b/>
                <w:sz w:val="21"/>
              </w:rPr>
            </w:pPr>
          </w:p>
          <w:p>
            <w:pPr>
              <w:pStyle w:val="TableParagraph"/>
              <w:ind w:left="187" w:right="199"/>
              <w:rPr>
                <w:sz w:val="22"/>
              </w:rPr>
            </w:pPr>
            <w:r>
              <w:rPr>
                <w:sz w:val="22"/>
              </w:rPr>
              <w:t>06</w:t>
            </w:r>
          </w:p>
        </w:tc>
        <w:tc>
          <w:tcPr>
            <w:tcW w:w="848" w:type="dxa"/>
            <w:tcBorders>
              <w:top w:val="single" w:sz="17" w:space="0" w:color="000000"/>
              <w:left w:val="single" w:sz="4" w:space="0" w:color="000000"/>
              <w:bottom w:val="single" w:sz="4" w:space="0" w:color="000000"/>
            </w:tcBorders>
          </w:tcPr>
          <w:p>
            <w:pPr>
              <w:pStyle w:val="TableParagraph"/>
              <w:spacing w:before="8"/>
              <w:jc w:val="left"/>
              <w:rPr>
                <w:b/>
                <w:sz w:val="21"/>
              </w:rPr>
            </w:pPr>
          </w:p>
          <w:p>
            <w:pPr>
              <w:pStyle w:val="TableParagraph"/>
              <w:ind w:left="120" w:right="109"/>
              <w:rPr>
                <w:sz w:val="22"/>
              </w:rPr>
            </w:pPr>
            <w:r>
              <w:rPr>
                <w:sz w:val="22"/>
              </w:rPr>
              <w:t>41,67</w:t>
            </w:r>
          </w:p>
        </w:tc>
        <w:tc>
          <w:tcPr>
            <w:tcW w:w="713" w:type="dxa"/>
            <w:tcBorders>
              <w:top w:val="single" w:sz="17" w:space="0" w:color="000000"/>
              <w:bottom w:val="single" w:sz="4" w:space="0" w:color="000000"/>
              <w:right w:val="single" w:sz="4" w:space="0" w:color="000000"/>
            </w:tcBorders>
          </w:tcPr>
          <w:p>
            <w:pPr>
              <w:pStyle w:val="TableParagraph"/>
              <w:spacing w:before="8"/>
              <w:jc w:val="left"/>
              <w:rPr>
                <w:b/>
                <w:sz w:val="21"/>
              </w:rPr>
            </w:pPr>
          </w:p>
          <w:p>
            <w:pPr>
              <w:pStyle w:val="TableParagraph"/>
              <w:ind w:left="206"/>
              <w:jc w:val="left"/>
              <w:rPr>
                <w:sz w:val="22"/>
              </w:rPr>
            </w:pPr>
            <w:r>
              <w:rPr>
                <w:sz w:val="22"/>
              </w:rPr>
              <w:t>06</w:t>
            </w:r>
          </w:p>
        </w:tc>
        <w:tc>
          <w:tcPr>
            <w:tcW w:w="1030" w:type="dxa"/>
            <w:tcBorders>
              <w:top w:val="single" w:sz="17" w:space="0" w:color="000000"/>
              <w:left w:val="single" w:sz="4" w:space="0" w:color="000000"/>
              <w:bottom w:val="single" w:sz="4" w:space="0" w:color="000000"/>
            </w:tcBorders>
          </w:tcPr>
          <w:p>
            <w:pPr>
              <w:pStyle w:val="TableParagraph"/>
              <w:spacing w:before="8"/>
              <w:jc w:val="left"/>
              <w:rPr>
                <w:b/>
                <w:sz w:val="21"/>
              </w:rPr>
            </w:pPr>
          </w:p>
          <w:p>
            <w:pPr>
              <w:pStyle w:val="TableParagraph"/>
              <w:ind w:left="212" w:right="201"/>
              <w:rPr>
                <w:sz w:val="22"/>
              </w:rPr>
            </w:pPr>
            <w:r>
              <w:rPr>
                <w:sz w:val="22"/>
              </w:rPr>
              <w:t>33,33</w:t>
            </w:r>
          </w:p>
        </w:tc>
      </w:tr>
      <w:tr>
        <w:trPr>
          <w:trHeight w:val="514" w:hRule="exact"/>
        </w:trPr>
        <w:tc>
          <w:tcPr>
            <w:tcW w:w="1208" w:type="dxa"/>
            <w:tcBorders>
              <w:top w:val="single" w:sz="4" w:space="0" w:color="000000"/>
              <w:bottom w:val="single" w:sz="4" w:space="0" w:color="000000"/>
              <w:right w:val="single" w:sz="4" w:space="0" w:color="000000"/>
            </w:tcBorders>
          </w:tcPr>
          <w:p>
            <w:pPr>
              <w:pStyle w:val="TableParagraph"/>
              <w:spacing w:line="242" w:lineRule="auto"/>
              <w:ind w:left="33" w:right="64"/>
              <w:jc w:val="left"/>
              <w:rPr>
                <w:sz w:val="22"/>
              </w:rPr>
            </w:pPr>
            <w:r>
              <w:rPr>
                <w:sz w:val="22"/>
              </w:rPr>
              <w:t>Professore s Criativos</w:t>
            </w:r>
          </w:p>
        </w:tc>
        <w:tc>
          <w:tcPr>
            <w:tcW w:w="1131" w:type="dxa"/>
            <w:tcBorders>
              <w:top w:val="single" w:sz="4" w:space="0" w:color="000000"/>
              <w:left w:val="single" w:sz="4" w:space="0" w:color="000000"/>
              <w:bottom w:val="single" w:sz="4" w:space="0" w:color="000000"/>
            </w:tcBorders>
          </w:tcPr>
          <w:p>
            <w:pPr>
              <w:pStyle w:val="TableParagraph"/>
              <w:spacing w:before="120"/>
              <w:ind w:left="89" w:right="71"/>
              <w:rPr>
                <w:sz w:val="22"/>
              </w:rPr>
            </w:pPr>
            <w:r>
              <w:rPr>
                <w:sz w:val="22"/>
              </w:rPr>
              <w:t>06</w:t>
            </w:r>
          </w:p>
        </w:tc>
        <w:tc>
          <w:tcPr>
            <w:tcW w:w="569" w:type="dxa"/>
            <w:tcBorders>
              <w:top w:val="single" w:sz="4" w:space="0" w:color="000000"/>
              <w:bottom w:val="single" w:sz="4" w:space="0" w:color="000000"/>
              <w:right w:val="single" w:sz="4" w:space="0" w:color="000000"/>
            </w:tcBorders>
          </w:tcPr>
          <w:p>
            <w:pPr>
              <w:pStyle w:val="TableParagraph"/>
              <w:spacing w:before="120"/>
              <w:ind w:left="115" w:right="127"/>
              <w:rPr>
                <w:sz w:val="22"/>
              </w:rPr>
            </w:pPr>
            <w:r>
              <w:rPr>
                <w:sz w:val="22"/>
              </w:rPr>
              <w:t>06</w:t>
            </w:r>
          </w:p>
        </w:tc>
        <w:tc>
          <w:tcPr>
            <w:tcW w:w="1131" w:type="dxa"/>
            <w:tcBorders>
              <w:top w:val="single" w:sz="4" w:space="0" w:color="000000"/>
              <w:left w:val="single" w:sz="4" w:space="0" w:color="000000"/>
              <w:bottom w:val="single" w:sz="4" w:space="0" w:color="000000"/>
            </w:tcBorders>
          </w:tcPr>
          <w:p>
            <w:pPr>
              <w:pStyle w:val="TableParagraph"/>
              <w:spacing w:before="120"/>
              <w:ind w:left="131" w:right="115"/>
              <w:rPr>
                <w:sz w:val="22"/>
              </w:rPr>
            </w:pPr>
            <w:r>
              <w:rPr>
                <w:sz w:val="22"/>
              </w:rPr>
              <w:t>11,11</w:t>
            </w:r>
          </w:p>
        </w:tc>
        <w:tc>
          <w:tcPr>
            <w:tcW w:w="713" w:type="dxa"/>
            <w:tcBorders>
              <w:top w:val="single" w:sz="4" w:space="0" w:color="000000"/>
              <w:bottom w:val="single" w:sz="4" w:space="0" w:color="000000"/>
              <w:right w:val="single" w:sz="4" w:space="0" w:color="000000"/>
            </w:tcBorders>
          </w:tcPr>
          <w:p>
            <w:pPr>
              <w:pStyle w:val="TableParagraph"/>
              <w:spacing w:before="120"/>
              <w:ind w:left="211"/>
              <w:jc w:val="left"/>
              <w:rPr>
                <w:sz w:val="22"/>
              </w:rPr>
            </w:pPr>
            <w:r>
              <w:rPr>
                <w:sz w:val="22"/>
              </w:rPr>
              <w:t>06</w:t>
            </w:r>
          </w:p>
        </w:tc>
        <w:tc>
          <w:tcPr>
            <w:tcW w:w="848" w:type="dxa"/>
            <w:tcBorders>
              <w:top w:val="single" w:sz="4" w:space="0" w:color="000000"/>
              <w:left w:val="single" w:sz="4" w:space="0" w:color="000000"/>
              <w:bottom w:val="single" w:sz="4" w:space="0" w:color="000000"/>
            </w:tcBorders>
          </w:tcPr>
          <w:p>
            <w:pPr>
              <w:pStyle w:val="TableParagraph"/>
              <w:spacing w:before="120"/>
              <w:ind w:left="120" w:right="110"/>
              <w:rPr>
                <w:sz w:val="22"/>
              </w:rPr>
            </w:pPr>
            <w:r>
              <w:rPr>
                <w:sz w:val="22"/>
              </w:rPr>
              <w:t>27,78</w:t>
            </w:r>
          </w:p>
        </w:tc>
        <w:tc>
          <w:tcPr>
            <w:tcW w:w="713" w:type="dxa"/>
            <w:tcBorders>
              <w:top w:val="single" w:sz="4" w:space="0" w:color="000000"/>
              <w:bottom w:val="single" w:sz="4" w:space="0" w:color="000000"/>
              <w:right w:val="single" w:sz="4" w:space="0" w:color="000000"/>
            </w:tcBorders>
          </w:tcPr>
          <w:p>
            <w:pPr>
              <w:pStyle w:val="TableParagraph"/>
              <w:spacing w:before="120"/>
              <w:ind w:left="187" w:right="199"/>
              <w:rPr>
                <w:sz w:val="22"/>
              </w:rPr>
            </w:pPr>
            <w:r>
              <w:rPr>
                <w:sz w:val="22"/>
              </w:rPr>
              <w:t>06</w:t>
            </w:r>
          </w:p>
        </w:tc>
        <w:tc>
          <w:tcPr>
            <w:tcW w:w="848" w:type="dxa"/>
            <w:tcBorders>
              <w:top w:val="single" w:sz="4" w:space="0" w:color="000000"/>
              <w:left w:val="single" w:sz="4" w:space="0" w:color="000000"/>
              <w:bottom w:val="single" w:sz="4" w:space="0" w:color="000000"/>
            </w:tcBorders>
          </w:tcPr>
          <w:p>
            <w:pPr>
              <w:pStyle w:val="TableParagraph"/>
              <w:spacing w:before="120"/>
              <w:ind w:left="120" w:right="109"/>
              <w:rPr>
                <w:sz w:val="22"/>
              </w:rPr>
            </w:pPr>
            <w:r>
              <w:rPr>
                <w:sz w:val="22"/>
              </w:rPr>
              <w:t>27,78</w:t>
            </w:r>
          </w:p>
        </w:tc>
        <w:tc>
          <w:tcPr>
            <w:tcW w:w="713" w:type="dxa"/>
            <w:tcBorders>
              <w:top w:val="single" w:sz="4" w:space="0" w:color="000000"/>
              <w:bottom w:val="single" w:sz="4" w:space="0" w:color="000000"/>
              <w:right w:val="single" w:sz="4" w:space="0" w:color="000000"/>
            </w:tcBorders>
          </w:tcPr>
          <w:p>
            <w:pPr>
              <w:pStyle w:val="TableParagraph"/>
              <w:spacing w:before="120"/>
              <w:ind w:left="206"/>
              <w:jc w:val="left"/>
              <w:rPr>
                <w:sz w:val="22"/>
              </w:rPr>
            </w:pPr>
            <w:r>
              <w:rPr>
                <w:sz w:val="22"/>
              </w:rPr>
              <w:t>06</w:t>
            </w:r>
          </w:p>
        </w:tc>
        <w:tc>
          <w:tcPr>
            <w:tcW w:w="1030" w:type="dxa"/>
            <w:tcBorders>
              <w:top w:val="single" w:sz="4" w:space="0" w:color="000000"/>
              <w:left w:val="single" w:sz="4" w:space="0" w:color="000000"/>
              <w:bottom w:val="single" w:sz="4" w:space="0" w:color="000000"/>
            </w:tcBorders>
          </w:tcPr>
          <w:p>
            <w:pPr>
              <w:pStyle w:val="TableParagraph"/>
              <w:spacing w:before="120"/>
              <w:ind w:left="212" w:right="201"/>
              <w:rPr>
                <w:sz w:val="22"/>
              </w:rPr>
            </w:pPr>
            <w:r>
              <w:rPr>
                <w:sz w:val="22"/>
              </w:rPr>
              <w:t>33,33</w:t>
            </w:r>
          </w:p>
        </w:tc>
      </w:tr>
      <w:tr>
        <w:trPr>
          <w:trHeight w:val="790" w:hRule="exact"/>
        </w:trPr>
        <w:tc>
          <w:tcPr>
            <w:tcW w:w="1208" w:type="dxa"/>
            <w:tcBorders>
              <w:top w:val="single" w:sz="4" w:space="0" w:color="000000"/>
              <w:right w:val="single" w:sz="4" w:space="0" w:color="000000"/>
            </w:tcBorders>
          </w:tcPr>
          <w:p>
            <w:pPr>
              <w:pStyle w:val="TableParagraph"/>
              <w:spacing w:line="242" w:lineRule="auto"/>
              <w:ind w:left="33" w:right="113"/>
              <w:jc w:val="left"/>
              <w:rPr>
                <w:sz w:val="22"/>
              </w:rPr>
            </w:pPr>
            <w:r>
              <w:rPr>
                <w:sz w:val="22"/>
              </w:rPr>
              <w:t>Espírito Empreend edor</w:t>
            </w:r>
          </w:p>
        </w:tc>
        <w:tc>
          <w:tcPr>
            <w:tcW w:w="1131" w:type="dxa"/>
            <w:tcBorders>
              <w:top w:val="single" w:sz="4" w:space="0" w:color="000000"/>
              <w:left w:val="single" w:sz="4" w:space="0" w:color="000000"/>
            </w:tcBorders>
          </w:tcPr>
          <w:p>
            <w:pPr>
              <w:pStyle w:val="TableParagraph"/>
              <w:spacing w:before="8"/>
              <w:jc w:val="left"/>
              <w:rPr>
                <w:b/>
                <w:sz w:val="21"/>
              </w:rPr>
            </w:pPr>
          </w:p>
          <w:p>
            <w:pPr>
              <w:pStyle w:val="TableParagraph"/>
              <w:ind w:left="89" w:right="71"/>
              <w:rPr>
                <w:sz w:val="22"/>
              </w:rPr>
            </w:pPr>
            <w:r>
              <w:rPr>
                <w:sz w:val="22"/>
              </w:rPr>
              <w:t>06</w:t>
            </w:r>
          </w:p>
        </w:tc>
        <w:tc>
          <w:tcPr>
            <w:tcW w:w="569" w:type="dxa"/>
            <w:tcBorders>
              <w:top w:val="single" w:sz="4" w:space="0" w:color="000000"/>
              <w:right w:val="single" w:sz="4" w:space="0" w:color="000000"/>
            </w:tcBorders>
          </w:tcPr>
          <w:p>
            <w:pPr>
              <w:pStyle w:val="TableParagraph"/>
              <w:spacing w:before="8"/>
              <w:jc w:val="left"/>
              <w:rPr>
                <w:b/>
                <w:sz w:val="21"/>
              </w:rPr>
            </w:pPr>
          </w:p>
          <w:p>
            <w:pPr>
              <w:pStyle w:val="TableParagraph"/>
              <w:ind w:left="115" w:right="127"/>
              <w:rPr>
                <w:sz w:val="22"/>
              </w:rPr>
            </w:pPr>
            <w:r>
              <w:rPr>
                <w:sz w:val="22"/>
              </w:rPr>
              <w:t>06</w:t>
            </w:r>
          </w:p>
        </w:tc>
        <w:tc>
          <w:tcPr>
            <w:tcW w:w="1131" w:type="dxa"/>
            <w:tcBorders>
              <w:top w:val="single" w:sz="4" w:space="0" w:color="000000"/>
              <w:left w:val="single" w:sz="4" w:space="0" w:color="000000"/>
            </w:tcBorders>
          </w:tcPr>
          <w:p>
            <w:pPr>
              <w:pStyle w:val="TableParagraph"/>
              <w:spacing w:before="8"/>
              <w:jc w:val="left"/>
              <w:rPr>
                <w:b/>
                <w:sz w:val="21"/>
              </w:rPr>
            </w:pPr>
          </w:p>
          <w:p>
            <w:pPr>
              <w:pStyle w:val="TableParagraph"/>
              <w:ind w:left="131" w:right="114"/>
              <w:rPr>
                <w:sz w:val="22"/>
              </w:rPr>
            </w:pPr>
            <w:r>
              <w:rPr>
                <w:sz w:val="22"/>
              </w:rPr>
              <w:t>8,33</w:t>
            </w:r>
          </w:p>
        </w:tc>
        <w:tc>
          <w:tcPr>
            <w:tcW w:w="713" w:type="dxa"/>
            <w:tcBorders>
              <w:top w:val="single" w:sz="4" w:space="0" w:color="000000"/>
              <w:right w:val="single" w:sz="4" w:space="0" w:color="000000"/>
            </w:tcBorders>
          </w:tcPr>
          <w:p>
            <w:pPr>
              <w:pStyle w:val="TableParagraph"/>
              <w:spacing w:before="8"/>
              <w:jc w:val="left"/>
              <w:rPr>
                <w:b/>
                <w:sz w:val="21"/>
              </w:rPr>
            </w:pPr>
          </w:p>
          <w:p>
            <w:pPr>
              <w:pStyle w:val="TableParagraph"/>
              <w:ind w:left="211"/>
              <w:jc w:val="left"/>
              <w:rPr>
                <w:sz w:val="22"/>
              </w:rPr>
            </w:pPr>
            <w:r>
              <w:rPr>
                <w:sz w:val="22"/>
              </w:rPr>
              <w:t>06</w:t>
            </w:r>
          </w:p>
        </w:tc>
        <w:tc>
          <w:tcPr>
            <w:tcW w:w="848" w:type="dxa"/>
            <w:tcBorders>
              <w:top w:val="single" w:sz="4" w:space="0" w:color="000000"/>
              <w:left w:val="single" w:sz="4" w:space="0" w:color="000000"/>
            </w:tcBorders>
          </w:tcPr>
          <w:p>
            <w:pPr>
              <w:pStyle w:val="TableParagraph"/>
              <w:spacing w:before="8"/>
              <w:jc w:val="left"/>
              <w:rPr>
                <w:b/>
                <w:sz w:val="21"/>
              </w:rPr>
            </w:pPr>
          </w:p>
          <w:p>
            <w:pPr>
              <w:pStyle w:val="TableParagraph"/>
              <w:ind w:left="120" w:right="110"/>
              <w:rPr>
                <w:sz w:val="22"/>
              </w:rPr>
            </w:pPr>
            <w:r>
              <w:rPr>
                <w:sz w:val="22"/>
              </w:rPr>
              <w:t>16,67</w:t>
            </w:r>
          </w:p>
        </w:tc>
        <w:tc>
          <w:tcPr>
            <w:tcW w:w="713" w:type="dxa"/>
            <w:tcBorders>
              <w:top w:val="single" w:sz="4" w:space="0" w:color="000000"/>
              <w:right w:val="single" w:sz="4" w:space="0" w:color="000000"/>
            </w:tcBorders>
          </w:tcPr>
          <w:p>
            <w:pPr>
              <w:pStyle w:val="TableParagraph"/>
              <w:spacing w:before="8"/>
              <w:jc w:val="left"/>
              <w:rPr>
                <w:b/>
                <w:sz w:val="21"/>
              </w:rPr>
            </w:pPr>
          </w:p>
          <w:p>
            <w:pPr>
              <w:pStyle w:val="TableParagraph"/>
              <w:ind w:left="187" w:right="199"/>
              <w:rPr>
                <w:sz w:val="22"/>
              </w:rPr>
            </w:pPr>
            <w:r>
              <w:rPr>
                <w:sz w:val="22"/>
              </w:rPr>
              <w:t>06</w:t>
            </w:r>
          </w:p>
        </w:tc>
        <w:tc>
          <w:tcPr>
            <w:tcW w:w="848" w:type="dxa"/>
            <w:tcBorders>
              <w:top w:val="single" w:sz="4" w:space="0" w:color="000000"/>
              <w:left w:val="single" w:sz="4" w:space="0" w:color="000000"/>
            </w:tcBorders>
          </w:tcPr>
          <w:p>
            <w:pPr>
              <w:pStyle w:val="TableParagraph"/>
              <w:spacing w:before="8"/>
              <w:jc w:val="left"/>
              <w:rPr>
                <w:b/>
                <w:sz w:val="21"/>
              </w:rPr>
            </w:pPr>
          </w:p>
          <w:p>
            <w:pPr>
              <w:pStyle w:val="TableParagraph"/>
              <w:ind w:left="120" w:right="109"/>
              <w:rPr>
                <w:sz w:val="22"/>
              </w:rPr>
            </w:pPr>
            <w:r>
              <w:rPr>
                <w:sz w:val="22"/>
              </w:rPr>
              <w:t>55,56</w:t>
            </w:r>
          </w:p>
        </w:tc>
        <w:tc>
          <w:tcPr>
            <w:tcW w:w="713" w:type="dxa"/>
            <w:tcBorders>
              <w:top w:val="single" w:sz="4" w:space="0" w:color="000000"/>
              <w:right w:val="single" w:sz="4" w:space="0" w:color="000000"/>
            </w:tcBorders>
          </w:tcPr>
          <w:p>
            <w:pPr>
              <w:pStyle w:val="TableParagraph"/>
              <w:spacing w:before="8"/>
              <w:jc w:val="left"/>
              <w:rPr>
                <w:b/>
                <w:sz w:val="21"/>
              </w:rPr>
            </w:pPr>
          </w:p>
          <w:p>
            <w:pPr>
              <w:pStyle w:val="TableParagraph"/>
              <w:ind w:left="206"/>
              <w:jc w:val="left"/>
              <w:rPr>
                <w:sz w:val="22"/>
              </w:rPr>
            </w:pPr>
            <w:r>
              <w:rPr>
                <w:sz w:val="22"/>
              </w:rPr>
              <w:t>06</w:t>
            </w:r>
          </w:p>
        </w:tc>
        <w:tc>
          <w:tcPr>
            <w:tcW w:w="1030" w:type="dxa"/>
            <w:tcBorders>
              <w:top w:val="single" w:sz="4" w:space="0" w:color="000000"/>
              <w:left w:val="single" w:sz="4" w:space="0" w:color="000000"/>
            </w:tcBorders>
          </w:tcPr>
          <w:p>
            <w:pPr>
              <w:pStyle w:val="TableParagraph"/>
              <w:spacing w:before="8"/>
              <w:jc w:val="left"/>
              <w:rPr>
                <w:b/>
                <w:sz w:val="21"/>
              </w:rPr>
            </w:pPr>
          </w:p>
          <w:p>
            <w:pPr>
              <w:pStyle w:val="TableParagraph"/>
              <w:ind w:left="212" w:right="201"/>
              <w:rPr>
                <w:sz w:val="22"/>
              </w:rPr>
            </w:pPr>
            <w:r>
              <w:rPr>
                <w:sz w:val="22"/>
              </w:rPr>
              <w:t>30,56</w:t>
            </w:r>
          </w:p>
        </w:tc>
      </w:tr>
    </w:tbl>
    <w:p>
      <w:pPr>
        <w:spacing w:before="38"/>
        <w:ind w:left="308" w:right="0" w:firstLine="0"/>
        <w:jc w:val="left"/>
        <w:rPr>
          <w:sz w:val="20"/>
        </w:rPr>
      </w:pPr>
      <w:r>
        <w:rPr>
          <w:sz w:val="20"/>
        </w:rPr>
        <w:t>Fonte: Dados da Pesquisa – Mestrado – Pinho (2014).</w:t>
      </w:r>
    </w:p>
    <w:p>
      <w:pPr>
        <w:spacing w:after="0"/>
        <w:jc w:val="left"/>
        <w:rPr>
          <w:sz w:val="20"/>
        </w:rPr>
        <w:sectPr>
          <w:pgSz w:w="11910" w:h="16840"/>
          <w:pgMar w:header="1133" w:footer="0" w:top="1340" w:bottom="280" w:left="1680" w:right="920"/>
        </w:sectPr>
      </w:pPr>
    </w:p>
    <w:p>
      <w:pPr>
        <w:pStyle w:val="BodyText"/>
        <w:spacing w:before="6"/>
        <w:rPr>
          <w:sz w:val="20"/>
        </w:rPr>
      </w:pPr>
    </w:p>
    <w:p>
      <w:pPr>
        <w:spacing w:before="95" w:after="10"/>
        <w:ind w:left="586" w:right="0" w:firstLine="0"/>
        <w:jc w:val="left"/>
        <w:rPr>
          <w:b/>
          <w:sz w:val="20"/>
        </w:rPr>
      </w:pPr>
      <w:r>
        <w:rPr>
          <w:b/>
          <w:sz w:val="20"/>
        </w:rPr>
        <w:t>Quadro 07: Categoria II – Potencial e Recursos Humanos na percepção dos servidores</w:t>
      </w:r>
    </w:p>
    <w:tbl>
      <w:tblPr>
        <w:tblW w:w="0" w:type="auto"/>
        <w:jc w:val="left"/>
        <w:tblInd w:w="274"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457"/>
        <w:gridCol w:w="1016"/>
        <w:gridCol w:w="675"/>
        <w:gridCol w:w="943"/>
        <w:gridCol w:w="675"/>
        <w:gridCol w:w="944"/>
        <w:gridCol w:w="674"/>
        <w:gridCol w:w="804"/>
        <w:gridCol w:w="680"/>
        <w:gridCol w:w="939"/>
      </w:tblGrid>
      <w:tr>
        <w:trPr>
          <w:trHeight w:val="281" w:hRule="exact"/>
        </w:trPr>
        <w:tc>
          <w:tcPr>
            <w:tcW w:w="2473" w:type="dxa"/>
            <w:gridSpan w:val="2"/>
            <w:vMerge w:val="restart"/>
            <w:tcBorders>
              <w:top w:val="nil"/>
              <w:left w:val="nil"/>
            </w:tcBorders>
          </w:tcPr>
          <w:p>
            <w:pPr/>
          </w:p>
        </w:tc>
        <w:tc>
          <w:tcPr>
            <w:tcW w:w="6334" w:type="dxa"/>
            <w:gridSpan w:val="8"/>
            <w:tcBorders>
              <w:bottom w:val="single" w:sz="4" w:space="0" w:color="000000"/>
            </w:tcBorders>
          </w:tcPr>
          <w:p>
            <w:pPr>
              <w:pStyle w:val="TableParagraph"/>
              <w:spacing w:line="225" w:lineRule="exact"/>
              <w:ind w:left="2527" w:right="2533"/>
              <w:rPr>
                <w:b/>
                <w:sz w:val="20"/>
              </w:rPr>
            </w:pPr>
            <w:r>
              <w:rPr>
                <w:b/>
                <w:sz w:val="20"/>
              </w:rPr>
              <w:t>AVALIAÇÃO</w:t>
            </w:r>
          </w:p>
        </w:tc>
      </w:tr>
      <w:tr>
        <w:trPr>
          <w:trHeight w:val="1640" w:hRule="exact"/>
        </w:trPr>
        <w:tc>
          <w:tcPr>
            <w:tcW w:w="2473" w:type="dxa"/>
            <w:gridSpan w:val="2"/>
            <w:vMerge/>
            <w:tcBorders>
              <w:left w:val="nil"/>
            </w:tcBorders>
          </w:tcPr>
          <w:p>
            <w:pPr/>
          </w:p>
        </w:tc>
        <w:tc>
          <w:tcPr>
            <w:tcW w:w="1618" w:type="dxa"/>
            <w:gridSpan w:val="2"/>
            <w:tcBorders>
              <w:top w:val="single" w:sz="4" w:space="0" w:color="000000"/>
              <w:bottom w:val="single" w:sz="4" w:space="0" w:color="000000"/>
            </w:tcBorders>
          </w:tcPr>
          <w:p>
            <w:pPr>
              <w:pStyle w:val="TableParagraph"/>
              <w:jc w:val="left"/>
              <w:rPr>
                <w:b/>
                <w:sz w:val="22"/>
              </w:rPr>
            </w:pPr>
          </w:p>
          <w:p>
            <w:pPr>
              <w:pStyle w:val="TableParagraph"/>
              <w:spacing w:before="2"/>
              <w:jc w:val="left"/>
              <w:rPr>
                <w:b/>
                <w:sz w:val="17"/>
              </w:rPr>
            </w:pPr>
          </w:p>
          <w:p>
            <w:pPr>
              <w:pStyle w:val="TableParagraph"/>
              <w:spacing w:before="1"/>
              <w:ind w:left="172" w:right="174" w:firstLine="6"/>
              <w:rPr>
                <w:b/>
                <w:sz w:val="20"/>
              </w:rPr>
            </w:pPr>
            <w:r>
              <w:rPr>
                <w:b/>
                <w:sz w:val="20"/>
              </w:rPr>
              <w:t>Nunca ou quase nunca (1-2)</w:t>
            </w:r>
          </w:p>
        </w:tc>
        <w:tc>
          <w:tcPr>
            <w:tcW w:w="1619" w:type="dxa"/>
            <w:gridSpan w:val="2"/>
            <w:tcBorders>
              <w:top w:val="single" w:sz="4" w:space="0" w:color="000000"/>
              <w:bottom w:val="single" w:sz="4" w:space="0" w:color="000000"/>
            </w:tcBorders>
          </w:tcPr>
          <w:p>
            <w:pPr>
              <w:pStyle w:val="TableParagraph"/>
              <w:jc w:val="left"/>
              <w:rPr>
                <w:b/>
                <w:sz w:val="22"/>
              </w:rPr>
            </w:pPr>
          </w:p>
          <w:p>
            <w:pPr>
              <w:pStyle w:val="TableParagraph"/>
              <w:spacing w:before="2"/>
              <w:jc w:val="left"/>
              <w:rPr>
                <w:b/>
                <w:sz w:val="17"/>
              </w:rPr>
            </w:pPr>
          </w:p>
          <w:p>
            <w:pPr>
              <w:pStyle w:val="TableParagraph"/>
              <w:spacing w:before="1"/>
              <w:ind w:left="62" w:right="66"/>
              <w:rPr>
                <w:b/>
                <w:sz w:val="20"/>
              </w:rPr>
            </w:pPr>
            <w:r>
              <w:rPr>
                <w:b/>
                <w:sz w:val="20"/>
              </w:rPr>
              <w:t>Às vezes.</w:t>
            </w:r>
          </w:p>
          <w:p>
            <w:pPr>
              <w:pStyle w:val="TableParagraph"/>
              <w:ind w:left="67" w:right="66"/>
              <w:rPr>
                <w:b/>
                <w:sz w:val="20"/>
              </w:rPr>
            </w:pPr>
            <w:r>
              <w:rPr>
                <w:b/>
                <w:sz w:val="20"/>
              </w:rPr>
              <w:t>Ocasionalment e (3-4-5)</w:t>
            </w:r>
          </w:p>
        </w:tc>
        <w:tc>
          <w:tcPr>
            <w:tcW w:w="1479" w:type="dxa"/>
            <w:gridSpan w:val="2"/>
            <w:tcBorders>
              <w:top w:val="single" w:sz="4" w:space="0" w:color="000000"/>
              <w:bottom w:val="single" w:sz="4" w:space="0" w:color="000000"/>
            </w:tcBorders>
          </w:tcPr>
          <w:p>
            <w:pPr>
              <w:pStyle w:val="TableParagraph"/>
              <w:spacing w:before="105"/>
              <w:ind w:left="100" w:right="92"/>
              <w:rPr>
                <w:b/>
                <w:sz w:val="20"/>
              </w:rPr>
            </w:pPr>
            <w:r>
              <w:rPr>
                <w:b/>
                <w:sz w:val="20"/>
              </w:rPr>
              <w:t>Muitas vezes ou ocasiões.</w:t>
            </w:r>
          </w:p>
          <w:p>
            <w:pPr>
              <w:pStyle w:val="TableParagraph"/>
              <w:ind w:left="57" w:right="48" w:hanging="2"/>
              <w:rPr>
                <w:b/>
                <w:sz w:val="20"/>
              </w:rPr>
            </w:pPr>
            <w:r>
              <w:rPr>
                <w:b/>
                <w:sz w:val="20"/>
              </w:rPr>
              <w:t>Existem evidências do indicador</w:t>
            </w:r>
          </w:p>
          <w:p>
            <w:pPr>
              <w:pStyle w:val="TableParagraph"/>
              <w:ind w:left="91" w:right="92"/>
              <w:rPr>
                <w:b/>
                <w:sz w:val="20"/>
              </w:rPr>
            </w:pPr>
            <w:r>
              <w:rPr>
                <w:b/>
                <w:sz w:val="20"/>
              </w:rPr>
              <w:t>(6-7-8)</w:t>
            </w:r>
          </w:p>
        </w:tc>
        <w:tc>
          <w:tcPr>
            <w:tcW w:w="1619" w:type="dxa"/>
            <w:gridSpan w:val="2"/>
            <w:tcBorders>
              <w:top w:val="single" w:sz="4" w:space="0" w:color="000000"/>
              <w:bottom w:val="single" w:sz="4" w:space="0" w:color="000000"/>
            </w:tcBorders>
          </w:tcPr>
          <w:p>
            <w:pPr>
              <w:pStyle w:val="TableParagraph"/>
              <w:ind w:left="143" w:right="141" w:hanging="10"/>
              <w:rPr>
                <w:b/>
                <w:sz w:val="20"/>
              </w:rPr>
            </w:pPr>
            <w:r>
              <w:rPr>
                <w:b/>
                <w:sz w:val="20"/>
              </w:rPr>
              <w:t>De continuo. Evidências claras de aparição do indicador ou característica (9-10)</w:t>
            </w:r>
          </w:p>
        </w:tc>
      </w:tr>
      <w:tr>
        <w:trPr>
          <w:trHeight w:val="274" w:hRule="exact"/>
        </w:trPr>
        <w:tc>
          <w:tcPr>
            <w:tcW w:w="1457" w:type="dxa"/>
            <w:tcBorders>
              <w:right w:val="single" w:sz="4" w:space="0" w:color="000000"/>
            </w:tcBorders>
          </w:tcPr>
          <w:p>
            <w:pPr>
              <w:pStyle w:val="TableParagraph"/>
              <w:spacing w:line="220" w:lineRule="exact"/>
              <w:ind w:left="206"/>
              <w:jc w:val="left"/>
              <w:rPr>
                <w:b/>
                <w:sz w:val="20"/>
              </w:rPr>
            </w:pPr>
            <w:r>
              <w:rPr>
                <w:b/>
                <w:sz w:val="20"/>
              </w:rPr>
              <w:t>Parâmetro</w:t>
            </w:r>
          </w:p>
        </w:tc>
        <w:tc>
          <w:tcPr>
            <w:tcW w:w="1016" w:type="dxa"/>
            <w:tcBorders>
              <w:left w:val="single" w:sz="4" w:space="0" w:color="000000"/>
            </w:tcBorders>
          </w:tcPr>
          <w:p>
            <w:pPr>
              <w:pStyle w:val="TableParagraph"/>
              <w:spacing w:line="220" w:lineRule="exact"/>
              <w:ind w:left="74" w:right="64"/>
              <w:rPr>
                <w:b/>
                <w:sz w:val="20"/>
              </w:rPr>
            </w:pPr>
            <w:r>
              <w:rPr>
                <w:b/>
                <w:sz w:val="20"/>
              </w:rPr>
              <w:t>Amostra</w:t>
            </w:r>
          </w:p>
        </w:tc>
        <w:tc>
          <w:tcPr>
            <w:tcW w:w="675" w:type="dxa"/>
            <w:tcBorders>
              <w:top w:val="single" w:sz="4" w:space="0" w:color="000000"/>
              <w:right w:val="single" w:sz="4" w:space="0" w:color="000000"/>
            </w:tcBorders>
          </w:tcPr>
          <w:p>
            <w:pPr>
              <w:pStyle w:val="TableParagraph"/>
              <w:spacing w:before="7"/>
              <w:ind w:left="206"/>
              <w:jc w:val="left"/>
              <w:rPr>
                <w:b/>
                <w:sz w:val="20"/>
              </w:rPr>
            </w:pPr>
            <w:r>
              <w:rPr>
                <w:b/>
                <w:sz w:val="20"/>
              </w:rPr>
              <w:t>Nº</w:t>
            </w:r>
          </w:p>
        </w:tc>
        <w:tc>
          <w:tcPr>
            <w:tcW w:w="943" w:type="dxa"/>
            <w:tcBorders>
              <w:top w:val="single" w:sz="4" w:space="0" w:color="000000"/>
              <w:left w:val="single" w:sz="4" w:space="0" w:color="000000"/>
            </w:tcBorders>
          </w:tcPr>
          <w:p>
            <w:pPr>
              <w:pStyle w:val="TableParagraph"/>
              <w:spacing w:before="7"/>
              <w:ind w:left="11"/>
              <w:rPr>
                <w:b/>
                <w:sz w:val="20"/>
              </w:rPr>
            </w:pPr>
            <w:r>
              <w:rPr>
                <w:b/>
                <w:w w:val="100"/>
                <w:sz w:val="20"/>
              </w:rPr>
              <w:t>%</w:t>
            </w:r>
          </w:p>
        </w:tc>
        <w:tc>
          <w:tcPr>
            <w:tcW w:w="675" w:type="dxa"/>
            <w:tcBorders>
              <w:top w:val="single" w:sz="4" w:space="0" w:color="000000"/>
              <w:right w:val="single" w:sz="4" w:space="0" w:color="000000"/>
            </w:tcBorders>
          </w:tcPr>
          <w:p>
            <w:pPr>
              <w:pStyle w:val="TableParagraph"/>
              <w:spacing w:before="7"/>
              <w:ind w:left="182" w:right="198"/>
              <w:rPr>
                <w:b/>
                <w:sz w:val="20"/>
              </w:rPr>
            </w:pPr>
            <w:r>
              <w:rPr>
                <w:b/>
                <w:sz w:val="20"/>
              </w:rPr>
              <w:t>Nº</w:t>
            </w:r>
          </w:p>
        </w:tc>
        <w:tc>
          <w:tcPr>
            <w:tcW w:w="944" w:type="dxa"/>
            <w:tcBorders>
              <w:top w:val="single" w:sz="4" w:space="0" w:color="000000"/>
              <w:left w:val="single" w:sz="4" w:space="0" w:color="000000"/>
            </w:tcBorders>
          </w:tcPr>
          <w:p>
            <w:pPr>
              <w:pStyle w:val="TableParagraph"/>
              <w:spacing w:before="7"/>
              <w:ind w:left="10"/>
              <w:rPr>
                <w:b/>
                <w:sz w:val="20"/>
              </w:rPr>
            </w:pPr>
            <w:r>
              <w:rPr>
                <w:b/>
                <w:w w:val="100"/>
                <w:sz w:val="20"/>
              </w:rPr>
              <w:t>%</w:t>
            </w:r>
          </w:p>
        </w:tc>
        <w:tc>
          <w:tcPr>
            <w:tcW w:w="674" w:type="dxa"/>
            <w:tcBorders>
              <w:top w:val="single" w:sz="4" w:space="0" w:color="000000"/>
              <w:right w:val="single" w:sz="4" w:space="0" w:color="000000"/>
            </w:tcBorders>
          </w:tcPr>
          <w:p>
            <w:pPr>
              <w:pStyle w:val="TableParagraph"/>
              <w:spacing w:before="7"/>
              <w:ind w:left="181" w:right="198"/>
              <w:rPr>
                <w:b/>
                <w:sz w:val="20"/>
              </w:rPr>
            </w:pPr>
            <w:r>
              <w:rPr>
                <w:b/>
                <w:sz w:val="20"/>
              </w:rPr>
              <w:t>Nº</w:t>
            </w:r>
          </w:p>
        </w:tc>
        <w:tc>
          <w:tcPr>
            <w:tcW w:w="804" w:type="dxa"/>
            <w:tcBorders>
              <w:top w:val="single" w:sz="4" w:space="0" w:color="000000"/>
              <w:left w:val="single" w:sz="4" w:space="0" w:color="000000"/>
            </w:tcBorders>
          </w:tcPr>
          <w:p>
            <w:pPr>
              <w:pStyle w:val="TableParagraph"/>
              <w:spacing w:before="7"/>
              <w:ind w:left="16"/>
              <w:rPr>
                <w:b/>
                <w:sz w:val="20"/>
              </w:rPr>
            </w:pPr>
            <w:r>
              <w:rPr>
                <w:b/>
                <w:w w:val="100"/>
                <w:sz w:val="20"/>
              </w:rPr>
              <w:t>%</w:t>
            </w:r>
          </w:p>
        </w:tc>
        <w:tc>
          <w:tcPr>
            <w:tcW w:w="680" w:type="dxa"/>
            <w:tcBorders>
              <w:top w:val="single" w:sz="4" w:space="0" w:color="000000"/>
              <w:right w:val="single" w:sz="4" w:space="0" w:color="000000"/>
            </w:tcBorders>
          </w:tcPr>
          <w:p>
            <w:pPr>
              <w:pStyle w:val="TableParagraph"/>
              <w:spacing w:before="7"/>
              <w:ind w:left="206"/>
              <w:jc w:val="left"/>
              <w:rPr>
                <w:b/>
                <w:sz w:val="20"/>
              </w:rPr>
            </w:pPr>
            <w:r>
              <w:rPr>
                <w:b/>
                <w:sz w:val="20"/>
              </w:rPr>
              <w:t>Nº</w:t>
            </w:r>
          </w:p>
        </w:tc>
        <w:tc>
          <w:tcPr>
            <w:tcW w:w="939" w:type="dxa"/>
            <w:tcBorders>
              <w:top w:val="single" w:sz="4" w:space="0" w:color="000000"/>
              <w:left w:val="single" w:sz="4" w:space="0" w:color="000000"/>
            </w:tcBorders>
          </w:tcPr>
          <w:p>
            <w:pPr>
              <w:pStyle w:val="TableParagraph"/>
              <w:spacing w:before="7"/>
              <w:ind w:left="15"/>
              <w:rPr>
                <w:b/>
                <w:sz w:val="20"/>
              </w:rPr>
            </w:pPr>
            <w:r>
              <w:rPr>
                <w:b/>
                <w:w w:val="100"/>
                <w:sz w:val="20"/>
              </w:rPr>
              <w:t>%</w:t>
            </w:r>
          </w:p>
        </w:tc>
      </w:tr>
      <w:tr>
        <w:trPr>
          <w:trHeight w:val="488" w:hRule="exact"/>
        </w:trPr>
        <w:tc>
          <w:tcPr>
            <w:tcW w:w="1457" w:type="dxa"/>
            <w:tcBorders>
              <w:bottom w:val="single" w:sz="4" w:space="0" w:color="000000"/>
              <w:right w:val="single" w:sz="4" w:space="0" w:color="000000"/>
            </w:tcBorders>
          </w:tcPr>
          <w:p>
            <w:pPr>
              <w:pStyle w:val="TableParagraph"/>
              <w:spacing w:line="226" w:lineRule="exact" w:before="7"/>
              <w:ind w:left="28" w:right="337"/>
              <w:jc w:val="left"/>
              <w:rPr>
                <w:sz w:val="20"/>
              </w:rPr>
            </w:pPr>
            <w:r>
              <w:rPr>
                <w:sz w:val="20"/>
              </w:rPr>
              <w:t>Liderança Estimulante</w:t>
            </w:r>
          </w:p>
        </w:tc>
        <w:tc>
          <w:tcPr>
            <w:tcW w:w="1016" w:type="dxa"/>
            <w:tcBorders>
              <w:left w:val="single" w:sz="4" w:space="0" w:color="000000"/>
              <w:bottom w:val="single" w:sz="4" w:space="0" w:color="000000"/>
            </w:tcBorders>
          </w:tcPr>
          <w:p>
            <w:pPr>
              <w:pStyle w:val="TableParagraph"/>
              <w:spacing w:before="110"/>
              <w:ind w:left="72" w:right="64"/>
              <w:rPr>
                <w:sz w:val="20"/>
              </w:rPr>
            </w:pPr>
            <w:r>
              <w:rPr>
                <w:sz w:val="20"/>
              </w:rPr>
              <w:t>05</w:t>
            </w:r>
          </w:p>
        </w:tc>
        <w:tc>
          <w:tcPr>
            <w:tcW w:w="675" w:type="dxa"/>
            <w:tcBorders>
              <w:bottom w:val="single" w:sz="4" w:space="0" w:color="000000"/>
              <w:right w:val="single" w:sz="4" w:space="0" w:color="000000"/>
            </w:tcBorders>
          </w:tcPr>
          <w:p>
            <w:pPr>
              <w:pStyle w:val="TableParagraph"/>
              <w:spacing w:before="110"/>
              <w:ind w:left="201"/>
              <w:jc w:val="left"/>
              <w:rPr>
                <w:sz w:val="20"/>
              </w:rPr>
            </w:pPr>
            <w:r>
              <w:rPr>
                <w:sz w:val="20"/>
              </w:rPr>
              <w:t>06</w:t>
            </w:r>
          </w:p>
        </w:tc>
        <w:tc>
          <w:tcPr>
            <w:tcW w:w="943" w:type="dxa"/>
            <w:tcBorders>
              <w:left w:val="single" w:sz="4" w:space="0" w:color="000000"/>
              <w:bottom w:val="single" w:sz="4" w:space="0" w:color="000000"/>
            </w:tcBorders>
          </w:tcPr>
          <w:p>
            <w:pPr>
              <w:pStyle w:val="TableParagraph"/>
              <w:spacing w:before="110"/>
              <w:ind w:right="313"/>
              <w:jc w:val="right"/>
              <w:rPr>
                <w:sz w:val="20"/>
              </w:rPr>
            </w:pPr>
            <w:r>
              <w:rPr>
                <w:sz w:val="20"/>
              </w:rPr>
              <w:t>0,0</w:t>
            </w:r>
          </w:p>
        </w:tc>
        <w:tc>
          <w:tcPr>
            <w:tcW w:w="675" w:type="dxa"/>
            <w:tcBorders>
              <w:bottom w:val="single" w:sz="4" w:space="0" w:color="000000"/>
              <w:right w:val="single" w:sz="4" w:space="0" w:color="000000"/>
            </w:tcBorders>
          </w:tcPr>
          <w:p>
            <w:pPr>
              <w:pStyle w:val="TableParagraph"/>
              <w:spacing w:before="110"/>
              <w:ind w:left="182" w:right="203"/>
              <w:rPr>
                <w:sz w:val="20"/>
              </w:rPr>
            </w:pPr>
            <w:r>
              <w:rPr>
                <w:sz w:val="20"/>
              </w:rPr>
              <w:t>06</w:t>
            </w:r>
          </w:p>
        </w:tc>
        <w:tc>
          <w:tcPr>
            <w:tcW w:w="944" w:type="dxa"/>
            <w:tcBorders>
              <w:left w:val="single" w:sz="4" w:space="0" w:color="000000"/>
              <w:bottom w:val="single" w:sz="4" w:space="0" w:color="000000"/>
            </w:tcBorders>
          </w:tcPr>
          <w:p>
            <w:pPr>
              <w:pStyle w:val="TableParagraph"/>
              <w:spacing w:before="110"/>
              <w:ind w:left="190" w:right="185"/>
              <w:rPr>
                <w:sz w:val="20"/>
              </w:rPr>
            </w:pPr>
            <w:r>
              <w:rPr>
                <w:sz w:val="20"/>
              </w:rPr>
              <w:t>0,0</w:t>
            </w:r>
          </w:p>
        </w:tc>
        <w:tc>
          <w:tcPr>
            <w:tcW w:w="674" w:type="dxa"/>
            <w:tcBorders>
              <w:bottom w:val="single" w:sz="4" w:space="0" w:color="000000"/>
              <w:right w:val="single" w:sz="4" w:space="0" w:color="000000"/>
            </w:tcBorders>
          </w:tcPr>
          <w:p>
            <w:pPr>
              <w:pStyle w:val="TableParagraph"/>
              <w:spacing w:before="110"/>
              <w:ind w:left="181" w:right="203"/>
              <w:rPr>
                <w:sz w:val="20"/>
              </w:rPr>
            </w:pPr>
            <w:r>
              <w:rPr>
                <w:sz w:val="20"/>
              </w:rPr>
              <w:t>06</w:t>
            </w:r>
          </w:p>
        </w:tc>
        <w:tc>
          <w:tcPr>
            <w:tcW w:w="804" w:type="dxa"/>
            <w:tcBorders>
              <w:left w:val="single" w:sz="4" w:space="0" w:color="000000"/>
              <w:bottom w:val="single" w:sz="4" w:space="0" w:color="000000"/>
            </w:tcBorders>
          </w:tcPr>
          <w:p>
            <w:pPr>
              <w:pStyle w:val="TableParagraph"/>
              <w:spacing w:before="110"/>
              <w:ind w:left="124" w:right="113"/>
              <w:rPr>
                <w:sz w:val="20"/>
              </w:rPr>
            </w:pPr>
            <w:r>
              <w:rPr>
                <w:sz w:val="20"/>
              </w:rPr>
              <w:t>56,67</w:t>
            </w:r>
          </w:p>
        </w:tc>
        <w:tc>
          <w:tcPr>
            <w:tcW w:w="680" w:type="dxa"/>
            <w:tcBorders>
              <w:bottom w:val="single" w:sz="4" w:space="0" w:color="000000"/>
              <w:right w:val="single" w:sz="4" w:space="0" w:color="000000"/>
            </w:tcBorders>
          </w:tcPr>
          <w:p>
            <w:pPr>
              <w:pStyle w:val="TableParagraph"/>
              <w:spacing w:before="110"/>
              <w:ind w:left="201"/>
              <w:jc w:val="left"/>
              <w:rPr>
                <w:sz w:val="20"/>
              </w:rPr>
            </w:pPr>
            <w:r>
              <w:rPr>
                <w:sz w:val="20"/>
              </w:rPr>
              <w:t>06</w:t>
            </w:r>
          </w:p>
        </w:tc>
        <w:tc>
          <w:tcPr>
            <w:tcW w:w="939" w:type="dxa"/>
            <w:tcBorders>
              <w:left w:val="single" w:sz="4" w:space="0" w:color="000000"/>
              <w:bottom w:val="single" w:sz="4" w:space="0" w:color="000000"/>
            </w:tcBorders>
          </w:tcPr>
          <w:p>
            <w:pPr>
              <w:pStyle w:val="TableParagraph"/>
              <w:spacing w:before="110"/>
              <w:ind w:left="190" w:right="180"/>
              <w:rPr>
                <w:sz w:val="20"/>
              </w:rPr>
            </w:pPr>
            <w:r>
              <w:rPr>
                <w:sz w:val="20"/>
              </w:rPr>
              <w:t>43,33</w:t>
            </w:r>
          </w:p>
        </w:tc>
      </w:tr>
      <w:tr>
        <w:trPr>
          <w:trHeight w:val="470" w:hRule="exact"/>
        </w:trPr>
        <w:tc>
          <w:tcPr>
            <w:tcW w:w="1457" w:type="dxa"/>
            <w:tcBorders>
              <w:top w:val="single" w:sz="4" w:space="0" w:color="000000"/>
              <w:bottom w:val="single" w:sz="4" w:space="0" w:color="000000"/>
              <w:right w:val="single" w:sz="4" w:space="0" w:color="000000"/>
            </w:tcBorders>
          </w:tcPr>
          <w:p>
            <w:pPr>
              <w:pStyle w:val="TableParagraph"/>
              <w:ind w:left="28" w:right="315"/>
              <w:jc w:val="left"/>
              <w:rPr>
                <w:sz w:val="20"/>
              </w:rPr>
            </w:pPr>
            <w:r>
              <w:rPr>
                <w:sz w:val="20"/>
              </w:rPr>
              <w:t>Professores Criativos</w:t>
            </w:r>
          </w:p>
        </w:tc>
        <w:tc>
          <w:tcPr>
            <w:tcW w:w="1016" w:type="dxa"/>
            <w:tcBorders>
              <w:top w:val="single" w:sz="4" w:space="0" w:color="000000"/>
              <w:left w:val="single" w:sz="4" w:space="0" w:color="000000"/>
              <w:bottom w:val="single" w:sz="4" w:space="0" w:color="000000"/>
            </w:tcBorders>
          </w:tcPr>
          <w:p>
            <w:pPr>
              <w:pStyle w:val="TableParagraph"/>
              <w:spacing w:before="110"/>
              <w:ind w:left="72" w:right="64"/>
              <w:rPr>
                <w:sz w:val="20"/>
              </w:rPr>
            </w:pPr>
            <w:r>
              <w:rPr>
                <w:sz w:val="20"/>
              </w:rPr>
              <w:t>05</w:t>
            </w:r>
          </w:p>
        </w:tc>
        <w:tc>
          <w:tcPr>
            <w:tcW w:w="675" w:type="dxa"/>
            <w:tcBorders>
              <w:top w:val="single" w:sz="4" w:space="0" w:color="000000"/>
              <w:bottom w:val="single" w:sz="4" w:space="0" w:color="000000"/>
              <w:right w:val="single" w:sz="4" w:space="0" w:color="000000"/>
            </w:tcBorders>
          </w:tcPr>
          <w:p>
            <w:pPr>
              <w:pStyle w:val="TableParagraph"/>
              <w:spacing w:before="110"/>
              <w:ind w:left="201"/>
              <w:jc w:val="left"/>
              <w:rPr>
                <w:sz w:val="20"/>
              </w:rPr>
            </w:pPr>
            <w:r>
              <w:rPr>
                <w:sz w:val="20"/>
              </w:rPr>
              <w:t>06</w:t>
            </w:r>
          </w:p>
        </w:tc>
        <w:tc>
          <w:tcPr>
            <w:tcW w:w="943" w:type="dxa"/>
            <w:tcBorders>
              <w:top w:val="single" w:sz="4" w:space="0" w:color="000000"/>
              <w:left w:val="single" w:sz="4" w:space="0" w:color="000000"/>
              <w:bottom w:val="single" w:sz="4" w:space="0" w:color="000000"/>
            </w:tcBorders>
          </w:tcPr>
          <w:p>
            <w:pPr>
              <w:pStyle w:val="TableParagraph"/>
              <w:spacing w:before="110"/>
              <w:ind w:right="255"/>
              <w:jc w:val="right"/>
              <w:rPr>
                <w:sz w:val="20"/>
              </w:rPr>
            </w:pPr>
            <w:r>
              <w:rPr>
                <w:sz w:val="20"/>
              </w:rPr>
              <w:t>3,33</w:t>
            </w:r>
          </w:p>
        </w:tc>
        <w:tc>
          <w:tcPr>
            <w:tcW w:w="675" w:type="dxa"/>
            <w:tcBorders>
              <w:top w:val="single" w:sz="4" w:space="0" w:color="000000"/>
              <w:bottom w:val="single" w:sz="4" w:space="0" w:color="000000"/>
              <w:right w:val="single" w:sz="4" w:space="0" w:color="000000"/>
            </w:tcBorders>
          </w:tcPr>
          <w:p>
            <w:pPr>
              <w:pStyle w:val="TableParagraph"/>
              <w:spacing w:before="110"/>
              <w:ind w:left="182" w:right="203"/>
              <w:rPr>
                <w:sz w:val="20"/>
              </w:rPr>
            </w:pPr>
            <w:r>
              <w:rPr>
                <w:sz w:val="20"/>
              </w:rPr>
              <w:t>06</w:t>
            </w:r>
          </w:p>
        </w:tc>
        <w:tc>
          <w:tcPr>
            <w:tcW w:w="944" w:type="dxa"/>
            <w:tcBorders>
              <w:top w:val="single" w:sz="4" w:space="0" w:color="000000"/>
              <w:left w:val="single" w:sz="4" w:space="0" w:color="000000"/>
              <w:bottom w:val="single" w:sz="4" w:space="0" w:color="000000"/>
            </w:tcBorders>
          </w:tcPr>
          <w:p>
            <w:pPr>
              <w:pStyle w:val="TableParagraph"/>
              <w:spacing w:before="110"/>
              <w:ind w:left="189" w:right="185"/>
              <w:rPr>
                <w:sz w:val="20"/>
              </w:rPr>
            </w:pPr>
            <w:r>
              <w:rPr>
                <w:sz w:val="20"/>
              </w:rPr>
              <w:t>40</w:t>
            </w:r>
          </w:p>
        </w:tc>
        <w:tc>
          <w:tcPr>
            <w:tcW w:w="674" w:type="dxa"/>
            <w:tcBorders>
              <w:top w:val="single" w:sz="4" w:space="0" w:color="000000"/>
              <w:bottom w:val="single" w:sz="4" w:space="0" w:color="000000"/>
              <w:right w:val="single" w:sz="4" w:space="0" w:color="000000"/>
            </w:tcBorders>
          </w:tcPr>
          <w:p>
            <w:pPr>
              <w:pStyle w:val="TableParagraph"/>
              <w:spacing w:before="110"/>
              <w:ind w:left="181" w:right="203"/>
              <w:rPr>
                <w:sz w:val="20"/>
              </w:rPr>
            </w:pPr>
            <w:r>
              <w:rPr>
                <w:sz w:val="20"/>
              </w:rPr>
              <w:t>06</w:t>
            </w:r>
          </w:p>
        </w:tc>
        <w:tc>
          <w:tcPr>
            <w:tcW w:w="804" w:type="dxa"/>
            <w:tcBorders>
              <w:top w:val="single" w:sz="4" w:space="0" w:color="000000"/>
              <w:left w:val="single" w:sz="4" w:space="0" w:color="000000"/>
              <w:bottom w:val="single" w:sz="4" w:space="0" w:color="000000"/>
            </w:tcBorders>
          </w:tcPr>
          <w:p>
            <w:pPr>
              <w:pStyle w:val="TableParagraph"/>
              <w:spacing w:before="110"/>
              <w:ind w:left="122" w:right="113"/>
              <w:rPr>
                <w:sz w:val="20"/>
              </w:rPr>
            </w:pPr>
            <w:r>
              <w:rPr>
                <w:sz w:val="20"/>
              </w:rPr>
              <w:t>30</w:t>
            </w:r>
          </w:p>
        </w:tc>
        <w:tc>
          <w:tcPr>
            <w:tcW w:w="680" w:type="dxa"/>
            <w:tcBorders>
              <w:top w:val="single" w:sz="4" w:space="0" w:color="000000"/>
              <w:bottom w:val="single" w:sz="4" w:space="0" w:color="000000"/>
              <w:right w:val="single" w:sz="4" w:space="0" w:color="000000"/>
            </w:tcBorders>
          </w:tcPr>
          <w:p>
            <w:pPr>
              <w:pStyle w:val="TableParagraph"/>
              <w:spacing w:before="110"/>
              <w:ind w:left="201"/>
              <w:jc w:val="left"/>
              <w:rPr>
                <w:sz w:val="20"/>
              </w:rPr>
            </w:pPr>
            <w:r>
              <w:rPr>
                <w:sz w:val="20"/>
              </w:rPr>
              <w:t>06</w:t>
            </w:r>
          </w:p>
        </w:tc>
        <w:tc>
          <w:tcPr>
            <w:tcW w:w="939" w:type="dxa"/>
            <w:tcBorders>
              <w:top w:val="single" w:sz="4" w:space="0" w:color="000000"/>
              <w:left w:val="single" w:sz="4" w:space="0" w:color="000000"/>
              <w:bottom w:val="single" w:sz="4" w:space="0" w:color="000000"/>
            </w:tcBorders>
          </w:tcPr>
          <w:p>
            <w:pPr>
              <w:pStyle w:val="TableParagraph"/>
              <w:spacing w:before="110"/>
              <w:ind w:left="190" w:right="180"/>
              <w:rPr>
                <w:sz w:val="20"/>
              </w:rPr>
            </w:pPr>
            <w:r>
              <w:rPr>
                <w:sz w:val="20"/>
              </w:rPr>
              <w:t>26,67</w:t>
            </w:r>
          </w:p>
        </w:tc>
      </w:tr>
      <w:tr>
        <w:trPr>
          <w:trHeight w:val="492" w:hRule="exact"/>
        </w:trPr>
        <w:tc>
          <w:tcPr>
            <w:tcW w:w="1457" w:type="dxa"/>
            <w:tcBorders>
              <w:top w:val="single" w:sz="4" w:space="0" w:color="000000"/>
              <w:right w:val="single" w:sz="4" w:space="0" w:color="000000"/>
            </w:tcBorders>
          </w:tcPr>
          <w:p>
            <w:pPr>
              <w:pStyle w:val="TableParagraph"/>
              <w:ind w:left="28" w:right="59"/>
              <w:jc w:val="left"/>
              <w:rPr>
                <w:sz w:val="20"/>
              </w:rPr>
            </w:pPr>
            <w:r>
              <w:rPr>
                <w:sz w:val="20"/>
              </w:rPr>
              <w:t>Espírito Empreendedor</w:t>
            </w:r>
          </w:p>
        </w:tc>
        <w:tc>
          <w:tcPr>
            <w:tcW w:w="1016" w:type="dxa"/>
            <w:tcBorders>
              <w:top w:val="single" w:sz="4" w:space="0" w:color="000000"/>
              <w:left w:val="single" w:sz="4" w:space="0" w:color="000000"/>
            </w:tcBorders>
          </w:tcPr>
          <w:p>
            <w:pPr>
              <w:pStyle w:val="TableParagraph"/>
              <w:spacing w:before="110"/>
              <w:ind w:left="72" w:right="64"/>
              <w:rPr>
                <w:sz w:val="20"/>
              </w:rPr>
            </w:pPr>
            <w:r>
              <w:rPr>
                <w:sz w:val="20"/>
              </w:rPr>
              <w:t>05</w:t>
            </w:r>
          </w:p>
        </w:tc>
        <w:tc>
          <w:tcPr>
            <w:tcW w:w="675" w:type="dxa"/>
            <w:tcBorders>
              <w:top w:val="single" w:sz="4" w:space="0" w:color="000000"/>
              <w:right w:val="single" w:sz="4" w:space="0" w:color="000000"/>
            </w:tcBorders>
          </w:tcPr>
          <w:p>
            <w:pPr>
              <w:pStyle w:val="TableParagraph"/>
              <w:spacing w:before="110"/>
              <w:ind w:left="201"/>
              <w:jc w:val="left"/>
              <w:rPr>
                <w:sz w:val="20"/>
              </w:rPr>
            </w:pPr>
            <w:r>
              <w:rPr>
                <w:sz w:val="20"/>
              </w:rPr>
              <w:t>06</w:t>
            </w:r>
          </w:p>
        </w:tc>
        <w:tc>
          <w:tcPr>
            <w:tcW w:w="943" w:type="dxa"/>
            <w:tcBorders>
              <w:top w:val="single" w:sz="4" w:space="0" w:color="000000"/>
              <w:left w:val="single" w:sz="4" w:space="0" w:color="000000"/>
            </w:tcBorders>
          </w:tcPr>
          <w:p>
            <w:pPr>
              <w:pStyle w:val="TableParagraph"/>
              <w:spacing w:before="110"/>
              <w:ind w:right="313"/>
              <w:jc w:val="right"/>
              <w:rPr>
                <w:sz w:val="20"/>
              </w:rPr>
            </w:pPr>
            <w:r>
              <w:rPr>
                <w:sz w:val="20"/>
              </w:rPr>
              <w:t>0,0</w:t>
            </w:r>
          </w:p>
        </w:tc>
        <w:tc>
          <w:tcPr>
            <w:tcW w:w="675" w:type="dxa"/>
            <w:tcBorders>
              <w:top w:val="single" w:sz="4" w:space="0" w:color="000000"/>
              <w:right w:val="single" w:sz="4" w:space="0" w:color="000000"/>
            </w:tcBorders>
          </w:tcPr>
          <w:p>
            <w:pPr>
              <w:pStyle w:val="TableParagraph"/>
              <w:spacing w:before="110"/>
              <w:ind w:left="182" w:right="203"/>
              <w:rPr>
                <w:sz w:val="20"/>
              </w:rPr>
            </w:pPr>
            <w:r>
              <w:rPr>
                <w:sz w:val="20"/>
              </w:rPr>
              <w:t>06</w:t>
            </w:r>
          </w:p>
        </w:tc>
        <w:tc>
          <w:tcPr>
            <w:tcW w:w="944" w:type="dxa"/>
            <w:tcBorders>
              <w:top w:val="single" w:sz="4" w:space="0" w:color="000000"/>
              <w:left w:val="single" w:sz="4" w:space="0" w:color="000000"/>
            </w:tcBorders>
          </w:tcPr>
          <w:p>
            <w:pPr>
              <w:pStyle w:val="TableParagraph"/>
              <w:spacing w:before="110"/>
              <w:ind w:left="190" w:right="185"/>
              <w:rPr>
                <w:sz w:val="20"/>
              </w:rPr>
            </w:pPr>
            <w:r>
              <w:rPr>
                <w:sz w:val="20"/>
              </w:rPr>
              <w:t>23,33</w:t>
            </w:r>
          </w:p>
        </w:tc>
        <w:tc>
          <w:tcPr>
            <w:tcW w:w="674" w:type="dxa"/>
            <w:tcBorders>
              <w:top w:val="single" w:sz="4" w:space="0" w:color="000000"/>
              <w:right w:val="single" w:sz="4" w:space="0" w:color="000000"/>
            </w:tcBorders>
          </w:tcPr>
          <w:p>
            <w:pPr>
              <w:pStyle w:val="TableParagraph"/>
              <w:spacing w:before="110"/>
              <w:ind w:left="181" w:right="203"/>
              <w:rPr>
                <w:sz w:val="20"/>
              </w:rPr>
            </w:pPr>
            <w:r>
              <w:rPr>
                <w:sz w:val="20"/>
              </w:rPr>
              <w:t>06</w:t>
            </w:r>
          </w:p>
        </w:tc>
        <w:tc>
          <w:tcPr>
            <w:tcW w:w="804" w:type="dxa"/>
            <w:tcBorders>
              <w:top w:val="single" w:sz="4" w:space="0" w:color="000000"/>
              <w:left w:val="single" w:sz="4" w:space="0" w:color="000000"/>
            </w:tcBorders>
          </w:tcPr>
          <w:p>
            <w:pPr>
              <w:pStyle w:val="TableParagraph"/>
              <w:spacing w:before="110"/>
              <w:ind w:left="124" w:right="113"/>
              <w:rPr>
                <w:sz w:val="20"/>
              </w:rPr>
            </w:pPr>
            <w:r>
              <w:rPr>
                <w:sz w:val="20"/>
              </w:rPr>
              <w:t>33,33</w:t>
            </w:r>
          </w:p>
        </w:tc>
        <w:tc>
          <w:tcPr>
            <w:tcW w:w="680" w:type="dxa"/>
            <w:tcBorders>
              <w:top w:val="single" w:sz="4" w:space="0" w:color="000000"/>
              <w:right w:val="single" w:sz="4" w:space="0" w:color="000000"/>
            </w:tcBorders>
          </w:tcPr>
          <w:p>
            <w:pPr>
              <w:pStyle w:val="TableParagraph"/>
              <w:spacing w:before="110"/>
              <w:ind w:left="201"/>
              <w:jc w:val="left"/>
              <w:rPr>
                <w:sz w:val="20"/>
              </w:rPr>
            </w:pPr>
            <w:r>
              <w:rPr>
                <w:sz w:val="20"/>
              </w:rPr>
              <w:t>06</w:t>
            </w:r>
          </w:p>
        </w:tc>
        <w:tc>
          <w:tcPr>
            <w:tcW w:w="939" w:type="dxa"/>
            <w:tcBorders>
              <w:top w:val="single" w:sz="4" w:space="0" w:color="000000"/>
              <w:left w:val="single" w:sz="4" w:space="0" w:color="000000"/>
            </w:tcBorders>
          </w:tcPr>
          <w:p>
            <w:pPr>
              <w:pStyle w:val="TableParagraph"/>
              <w:spacing w:before="110"/>
              <w:ind w:left="190" w:right="180"/>
              <w:rPr>
                <w:sz w:val="20"/>
              </w:rPr>
            </w:pPr>
            <w:r>
              <w:rPr>
                <w:sz w:val="20"/>
              </w:rPr>
              <w:t>43,33</w:t>
            </w:r>
          </w:p>
        </w:tc>
      </w:tr>
    </w:tbl>
    <w:p>
      <w:pPr>
        <w:spacing w:before="0"/>
        <w:ind w:left="308" w:right="0" w:firstLine="0"/>
        <w:jc w:val="left"/>
        <w:rPr>
          <w:sz w:val="18"/>
        </w:rPr>
      </w:pPr>
      <w:r>
        <w:rPr>
          <w:sz w:val="20"/>
        </w:rPr>
        <w:t>Fonte: Dados da Pesquisa – Mestrado – Pinho (2014)</w:t>
      </w:r>
      <w:r>
        <w:rPr>
          <w:sz w:val="18"/>
        </w:rPr>
        <w:t>.</w:t>
      </w:r>
    </w:p>
    <w:p>
      <w:pPr>
        <w:pStyle w:val="BodyText"/>
        <w:rPr>
          <w:sz w:val="22"/>
        </w:rPr>
      </w:pPr>
    </w:p>
    <w:p>
      <w:pPr>
        <w:pStyle w:val="BodyText"/>
        <w:rPr>
          <w:sz w:val="22"/>
        </w:rPr>
      </w:pPr>
    </w:p>
    <w:p>
      <w:pPr>
        <w:pStyle w:val="BodyText"/>
        <w:spacing w:before="11"/>
        <w:rPr>
          <w:sz w:val="29"/>
        </w:rPr>
      </w:pPr>
    </w:p>
    <w:p>
      <w:pPr>
        <w:spacing w:before="0" w:after="10"/>
        <w:ind w:left="888" w:right="0" w:firstLine="0"/>
        <w:jc w:val="left"/>
        <w:rPr>
          <w:b/>
          <w:sz w:val="20"/>
        </w:rPr>
      </w:pPr>
      <w:r>
        <w:rPr>
          <w:b/>
          <w:sz w:val="20"/>
        </w:rPr>
        <w:t>Quadro 08: Categoria II – Potencial e Recursos Humanos na percepção dos pais</w:t>
      </w:r>
    </w:p>
    <w:tbl>
      <w:tblPr>
        <w:tblW w:w="0" w:type="auto"/>
        <w:jc w:val="left"/>
        <w:tblInd w:w="31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529"/>
        <w:gridCol w:w="992"/>
        <w:gridCol w:w="713"/>
        <w:gridCol w:w="665"/>
        <w:gridCol w:w="689"/>
        <w:gridCol w:w="968"/>
        <w:gridCol w:w="689"/>
        <w:gridCol w:w="968"/>
        <w:gridCol w:w="555"/>
        <w:gridCol w:w="963"/>
      </w:tblGrid>
      <w:tr>
        <w:trPr>
          <w:trHeight w:val="281" w:hRule="exact"/>
        </w:trPr>
        <w:tc>
          <w:tcPr>
            <w:tcW w:w="2521" w:type="dxa"/>
            <w:gridSpan w:val="2"/>
            <w:vMerge w:val="restart"/>
            <w:tcBorders>
              <w:top w:val="nil"/>
              <w:left w:val="nil"/>
            </w:tcBorders>
          </w:tcPr>
          <w:p>
            <w:pPr/>
          </w:p>
        </w:tc>
        <w:tc>
          <w:tcPr>
            <w:tcW w:w="6209" w:type="dxa"/>
            <w:gridSpan w:val="8"/>
            <w:tcBorders>
              <w:bottom w:val="single" w:sz="4" w:space="0" w:color="000000"/>
            </w:tcBorders>
          </w:tcPr>
          <w:p>
            <w:pPr>
              <w:pStyle w:val="TableParagraph"/>
              <w:spacing w:line="220" w:lineRule="exact"/>
              <w:ind w:left="2465" w:right="2471"/>
              <w:rPr>
                <w:b/>
                <w:sz w:val="20"/>
              </w:rPr>
            </w:pPr>
            <w:r>
              <w:rPr>
                <w:b/>
                <w:sz w:val="20"/>
              </w:rPr>
              <w:t>AVALIAÇÃO</w:t>
            </w:r>
          </w:p>
        </w:tc>
      </w:tr>
      <w:tr>
        <w:trPr>
          <w:trHeight w:val="1640" w:hRule="exact"/>
        </w:trPr>
        <w:tc>
          <w:tcPr>
            <w:tcW w:w="2521" w:type="dxa"/>
            <w:gridSpan w:val="2"/>
            <w:vMerge/>
            <w:tcBorders>
              <w:left w:val="nil"/>
            </w:tcBorders>
          </w:tcPr>
          <w:p>
            <w:pPr/>
          </w:p>
        </w:tc>
        <w:tc>
          <w:tcPr>
            <w:tcW w:w="1378" w:type="dxa"/>
            <w:gridSpan w:val="2"/>
            <w:tcBorders>
              <w:top w:val="single" w:sz="4" w:space="0" w:color="000000"/>
              <w:bottom w:val="single" w:sz="4" w:space="0" w:color="000000"/>
            </w:tcBorders>
          </w:tcPr>
          <w:p>
            <w:pPr>
              <w:pStyle w:val="TableParagraph"/>
              <w:jc w:val="left"/>
              <w:rPr>
                <w:b/>
                <w:sz w:val="22"/>
              </w:rPr>
            </w:pPr>
          </w:p>
          <w:p>
            <w:pPr>
              <w:pStyle w:val="TableParagraph"/>
              <w:spacing w:before="2"/>
              <w:jc w:val="left"/>
              <w:rPr>
                <w:b/>
                <w:sz w:val="17"/>
              </w:rPr>
            </w:pPr>
          </w:p>
          <w:p>
            <w:pPr>
              <w:pStyle w:val="TableParagraph"/>
              <w:ind w:left="52" w:right="54" w:firstLine="6"/>
              <w:rPr>
                <w:b/>
                <w:sz w:val="20"/>
              </w:rPr>
            </w:pPr>
            <w:r>
              <w:rPr>
                <w:b/>
                <w:sz w:val="20"/>
              </w:rPr>
              <w:t>Nunca ou quase nunca (1-2)</w:t>
            </w:r>
          </w:p>
        </w:tc>
        <w:tc>
          <w:tcPr>
            <w:tcW w:w="1657" w:type="dxa"/>
            <w:gridSpan w:val="2"/>
            <w:tcBorders>
              <w:top w:val="single" w:sz="4" w:space="0" w:color="000000"/>
              <w:bottom w:val="single" w:sz="4" w:space="0" w:color="000000"/>
            </w:tcBorders>
          </w:tcPr>
          <w:p>
            <w:pPr>
              <w:pStyle w:val="TableParagraph"/>
              <w:jc w:val="left"/>
              <w:rPr>
                <w:b/>
                <w:sz w:val="22"/>
              </w:rPr>
            </w:pPr>
          </w:p>
          <w:p>
            <w:pPr>
              <w:pStyle w:val="TableParagraph"/>
              <w:spacing w:before="2"/>
              <w:jc w:val="left"/>
              <w:rPr>
                <w:b/>
                <w:sz w:val="17"/>
              </w:rPr>
            </w:pPr>
          </w:p>
          <w:p>
            <w:pPr>
              <w:pStyle w:val="TableParagraph"/>
              <w:ind w:left="22" w:right="26"/>
              <w:rPr>
                <w:b/>
                <w:sz w:val="20"/>
              </w:rPr>
            </w:pPr>
            <w:r>
              <w:rPr>
                <w:b/>
                <w:sz w:val="20"/>
              </w:rPr>
              <w:t>Às vezes.</w:t>
            </w:r>
          </w:p>
          <w:p>
            <w:pPr>
              <w:pStyle w:val="TableParagraph"/>
              <w:ind w:left="33" w:right="26"/>
              <w:rPr>
                <w:b/>
                <w:sz w:val="20"/>
              </w:rPr>
            </w:pPr>
            <w:r>
              <w:rPr>
                <w:b/>
                <w:sz w:val="20"/>
              </w:rPr>
              <w:t>Ocasionalmente (3-4-5)</w:t>
            </w:r>
          </w:p>
        </w:tc>
        <w:tc>
          <w:tcPr>
            <w:tcW w:w="1656" w:type="dxa"/>
            <w:gridSpan w:val="2"/>
            <w:tcBorders>
              <w:top w:val="single" w:sz="4" w:space="0" w:color="000000"/>
              <w:bottom w:val="single" w:sz="4" w:space="0" w:color="000000"/>
            </w:tcBorders>
          </w:tcPr>
          <w:p>
            <w:pPr>
              <w:pStyle w:val="TableParagraph"/>
              <w:spacing w:before="105"/>
              <w:ind w:left="38" w:right="38"/>
              <w:rPr>
                <w:b/>
                <w:sz w:val="20"/>
              </w:rPr>
            </w:pPr>
            <w:r>
              <w:rPr>
                <w:b/>
                <w:sz w:val="20"/>
              </w:rPr>
              <w:t>Muitas vezes ou ocasiões.</w:t>
            </w:r>
          </w:p>
          <w:p>
            <w:pPr>
              <w:pStyle w:val="TableParagraph"/>
              <w:ind w:left="143" w:right="139" w:hanging="2"/>
              <w:rPr>
                <w:b/>
                <w:sz w:val="20"/>
              </w:rPr>
            </w:pPr>
            <w:r>
              <w:rPr>
                <w:b/>
                <w:sz w:val="20"/>
              </w:rPr>
              <w:t>Existem evidências do indicador</w:t>
            </w:r>
          </w:p>
          <w:p>
            <w:pPr>
              <w:pStyle w:val="TableParagraph"/>
              <w:ind w:left="34" w:right="38"/>
              <w:rPr>
                <w:b/>
                <w:sz w:val="20"/>
              </w:rPr>
            </w:pPr>
            <w:r>
              <w:rPr>
                <w:b/>
                <w:sz w:val="20"/>
              </w:rPr>
              <w:t>(6-7-8)</w:t>
            </w:r>
          </w:p>
        </w:tc>
        <w:tc>
          <w:tcPr>
            <w:tcW w:w="1518" w:type="dxa"/>
            <w:gridSpan w:val="2"/>
            <w:tcBorders>
              <w:top w:val="single" w:sz="4" w:space="0" w:color="000000"/>
              <w:bottom w:val="single" w:sz="4" w:space="0" w:color="000000"/>
            </w:tcBorders>
          </w:tcPr>
          <w:p>
            <w:pPr>
              <w:pStyle w:val="TableParagraph"/>
              <w:ind w:left="95" w:right="88" w:hanging="10"/>
              <w:rPr>
                <w:b/>
                <w:sz w:val="20"/>
              </w:rPr>
            </w:pPr>
            <w:r>
              <w:rPr>
                <w:b/>
                <w:sz w:val="20"/>
              </w:rPr>
              <w:t>De continuo. Evidências claras de aparição do indicador ou característica (9-10)</w:t>
            </w:r>
          </w:p>
        </w:tc>
      </w:tr>
      <w:tr>
        <w:trPr>
          <w:trHeight w:val="274" w:hRule="exact"/>
        </w:trPr>
        <w:tc>
          <w:tcPr>
            <w:tcW w:w="1529" w:type="dxa"/>
            <w:tcBorders>
              <w:right w:val="single" w:sz="4" w:space="0" w:color="000000"/>
            </w:tcBorders>
          </w:tcPr>
          <w:p>
            <w:pPr>
              <w:pStyle w:val="TableParagraph"/>
              <w:spacing w:line="220" w:lineRule="exact"/>
              <w:ind w:left="244"/>
              <w:jc w:val="left"/>
              <w:rPr>
                <w:b/>
                <w:sz w:val="20"/>
              </w:rPr>
            </w:pPr>
            <w:r>
              <w:rPr>
                <w:b/>
                <w:sz w:val="20"/>
              </w:rPr>
              <w:t>Parâmetro</w:t>
            </w:r>
          </w:p>
        </w:tc>
        <w:tc>
          <w:tcPr>
            <w:tcW w:w="992" w:type="dxa"/>
            <w:tcBorders>
              <w:left w:val="single" w:sz="4" w:space="0" w:color="000000"/>
            </w:tcBorders>
          </w:tcPr>
          <w:p>
            <w:pPr>
              <w:pStyle w:val="TableParagraph"/>
              <w:spacing w:line="220" w:lineRule="exact"/>
              <w:ind w:left="54" w:right="49"/>
              <w:rPr>
                <w:b/>
                <w:sz w:val="20"/>
              </w:rPr>
            </w:pPr>
            <w:r>
              <w:rPr>
                <w:b/>
                <w:sz w:val="20"/>
              </w:rPr>
              <w:t>Amostra</w:t>
            </w:r>
          </w:p>
        </w:tc>
        <w:tc>
          <w:tcPr>
            <w:tcW w:w="713" w:type="dxa"/>
            <w:tcBorders>
              <w:top w:val="single" w:sz="4" w:space="0" w:color="000000"/>
              <w:right w:val="single" w:sz="4" w:space="0" w:color="000000"/>
            </w:tcBorders>
          </w:tcPr>
          <w:p>
            <w:pPr>
              <w:pStyle w:val="TableParagraph"/>
              <w:spacing w:before="7"/>
              <w:ind w:left="225"/>
              <w:jc w:val="left"/>
              <w:rPr>
                <w:b/>
                <w:sz w:val="20"/>
              </w:rPr>
            </w:pPr>
            <w:r>
              <w:rPr>
                <w:b/>
                <w:sz w:val="20"/>
              </w:rPr>
              <w:t>Nº</w:t>
            </w:r>
          </w:p>
        </w:tc>
        <w:tc>
          <w:tcPr>
            <w:tcW w:w="665" w:type="dxa"/>
            <w:tcBorders>
              <w:top w:val="single" w:sz="4" w:space="0" w:color="000000"/>
              <w:left w:val="single" w:sz="4" w:space="0" w:color="000000"/>
            </w:tcBorders>
          </w:tcPr>
          <w:p>
            <w:pPr>
              <w:pStyle w:val="TableParagraph"/>
              <w:spacing w:before="7"/>
              <w:ind w:left="11"/>
              <w:rPr>
                <w:b/>
                <w:sz w:val="20"/>
              </w:rPr>
            </w:pPr>
            <w:r>
              <w:rPr>
                <w:b/>
                <w:w w:val="100"/>
                <w:sz w:val="20"/>
              </w:rPr>
              <w:t>%</w:t>
            </w:r>
          </w:p>
        </w:tc>
        <w:tc>
          <w:tcPr>
            <w:tcW w:w="689" w:type="dxa"/>
            <w:tcBorders>
              <w:top w:val="single" w:sz="4" w:space="0" w:color="000000"/>
              <w:right w:val="single" w:sz="4" w:space="0" w:color="000000"/>
            </w:tcBorders>
          </w:tcPr>
          <w:p>
            <w:pPr>
              <w:pStyle w:val="TableParagraph"/>
              <w:spacing w:before="7"/>
              <w:ind w:left="44" w:right="56"/>
              <w:rPr>
                <w:b/>
                <w:sz w:val="20"/>
              </w:rPr>
            </w:pPr>
            <w:r>
              <w:rPr>
                <w:b/>
                <w:sz w:val="20"/>
              </w:rPr>
              <w:t>Nº</w:t>
            </w:r>
          </w:p>
        </w:tc>
        <w:tc>
          <w:tcPr>
            <w:tcW w:w="968" w:type="dxa"/>
            <w:tcBorders>
              <w:top w:val="single" w:sz="4" w:space="0" w:color="000000"/>
              <w:left w:val="single" w:sz="4" w:space="0" w:color="000000"/>
            </w:tcBorders>
          </w:tcPr>
          <w:p>
            <w:pPr>
              <w:pStyle w:val="TableParagraph"/>
              <w:spacing w:before="7"/>
              <w:ind w:left="5"/>
              <w:rPr>
                <w:b/>
                <w:sz w:val="20"/>
              </w:rPr>
            </w:pPr>
            <w:r>
              <w:rPr>
                <w:b/>
                <w:w w:val="100"/>
                <w:sz w:val="20"/>
              </w:rPr>
              <w:t>%</w:t>
            </w:r>
          </w:p>
        </w:tc>
        <w:tc>
          <w:tcPr>
            <w:tcW w:w="689" w:type="dxa"/>
            <w:tcBorders>
              <w:top w:val="single" w:sz="4" w:space="0" w:color="000000"/>
              <w:right w:val="single" w:sz="4" w:space="0" w:color="000000"/>
            </w:tcBorders>
          </w:tcPr>
          <w:p>
            <w:pPr>
              <w:pStyle w:val="TableParagraph"/>
              <w:spacing w:before="7"/>
              <w:ind w:left="191" w:right="203"/>
              <w:rPr>
                <w:b/>
                <w:sz w:val="20"/>
              </w:rPr>
            </w:pPr>
            <w:r>
              <w:rPr>
                <w:b/>
                <w:sz w:val="20"/>
              </w:rPr>
              <w:t>Nº</w:t>
            </w:r>
          </w:p>
        </w:tc>
        <w:tc>
          <w:tcPr>
            <w:tcW w:w="968" w:type="dxa"/>
            <w:tcBorders>
              <w:top w:val="single" w:sz="4" w:space="0" w:color="000000"/>
              <w:left w:val="single" w:sz="4" w:space="0" w:color="000000"/>
            </w:tcBorders>
          </w:tcPr>
          <w:p>
            <w:pPr>
              <w:pStyle w:val="TableParagraph"/>
              <w:spacing w:before="7"/>
              <w:ind w:left="6"/>
              <w:rPr>
                <w:b/>
                <w:sz w:val="20"/>
              </w:rPr>
            </w:pPr>
            <w:r>
              <w:rPr>
                <w:b/>
                <w:w w:val="100"/>
                <w:sz w:val="20"/>
              </w:rPr>
              <w:t>%</w:t>
            </w:r>
          </w:p>
        </w:tc>
        <w:tc>
          <w:tcPr>
            <w:tcW w:w="555" w:type="dxa"/>
            <w:tcBorders>
              <w:top w:val="single" w:sz="4" w:space="0" w:color="000000"/>
              <w:right w:val="single" w:sz="4" w:space="0" w:color="000000"/>
            </w:tcBorders>
          </w:tcPr>
          <w:p>
            <w:pPr>
              <w:pStyle w:val="TableParagraph"/>
              <w:spacing w:before="7"/>
              <w:ind w:left="119" w:right="141"/>
              <w:rPr>
                <w:b/>
                <w:sz w:val="20"/>
              </w:rPr>
            </w:pPr>
            <w:r>
              <w:rPr>
                <w:b/>
                <w:sz w:val="20"/>
              </w:rPr>
              <w:t>Nº</w:t>
            </w:r>
          </w:p>
        </w:tc>
        <w:tc>
          <w:tcPr>
            <w:tcW w:w="963" w:type="dxa"/>
            <w:tcBorders>
              <w:top w:val="single" w:sz="4" w:space="0" w:color="000000"/>
              <w:left w:val="single" w:sz="4" w:space="0" w:color="000000"/>
            </w:tcBorders>
          </w:tcPr>
          <w:p>
            <w:pPr>
              <w:pStyle w:val="TableParagraph"/>
              <w:spacing w:before="7"/>
              <w:ind w:left="20"/>
              <w:rPr>
                <w:b/>
                <w:sz w:val="20"/>
              </w:rPr>
            </w:pPr>
            <w:r>
              <w:rPr>
                <w:b/>
                <w:w w:val="100"/>
                <w:sz w:val="20"/>
              </w:rPr>
              <w:t>%</w:t>
            </w:r>
          </w:p>
        </w:tc>
      </w:tr>
      <w:tr>
        <w:trPr>
          <w:trHeight w:val="488" w:hRule="exact"/>
        </w:trPr>
        <w:tc>
          <w:tcPr>
            <w:tcW w:w="1529" w:type="dxa"/>
            <w:tcBorders>
              <w:bottom w:val="single" w:sz="4" w:space="0" w:color="000000"/>
              <w:right w:val="single" w:sz="4" w:space="0" w:color="000000"/>
            </w:tcBorders>
          </w:tcPr>
          <w:p>
            <w:pPr>
              <w:pStyle w:val="TableParagraph"/>
              <w:ind w:left="28" w:right="409"/>
              <w:jc w:val="left"/>
              <w:rPr>
                <w:sz w:val="20"/>
              </w:rPr>
            </w:pPr>
            <w:r>
              <w:rPr>
                <w:sz w:val="20"/>
              </w:rPr>
              <w:t>Liderança Estimulante</w:t>
            </w:r>
          </w:p>
        </w:tc>
        <w:tc>
          <w:tcPr>
            <w:tcW w:w="992" w:type="dxa"/>
            <w:tcBorders>
              <w:left w:val="single" w:sz="4" w:space="0" w:color="000000"/>
              <w:bottom w:val="single" w:sz="4" w:space="0" w:color="000000"/>
            </w:tcBorders>
          </w:tcPr>
          <w:p>
            <w:pPr>
              <w:pStyle w:val="TableParagraph"/>
              <w:spacing w:before="110"/>
              <w:ind w:left="59" w:right="46"/>
              <w:rPr>
                <w:sz w:val="20"/>
              </w:rPr>
            </w:pPr>
            <w:r>
              <w:rPr>
                <w:sz w:val="20"/>
              </w:rPr>
              <w:t>28</w:t>
            </w:r>
          </w:p>
        </w:tc>
        <w:tc>
          <w:tcPr>
            <w:tcW w:w="713" w:type="dxa"/>
            <w:tcBorders>
              <w:bottom w:val="single" w:sz="4" w:space="0" w:color="000000"/>
              <w:right w:val="single" w:sz="4" w:space="0" w:color="000000"/>
            </w:tcBorders>
          </w:tcPr>
          <w:p>
            <w:pPr>
              <w:pStyle w:val="TableParagraph"/>
              <w:spacing w:before="110"/>
              <w:ind w:left="220"/>
              <w:jc w:val="left"/>
              <w:rPr>
                <w:sz w:val="20"/>
              </w:rPr>
            </w:pPr>
            <w:r>
              <w:rPr>
                <w:sz w:val="20"/>
              </w:rPr>
              <w:t>06</w:t>
            </w:r>
          </w:p>
        </w:tc>
        <w:tc>
          <w:tcPr>
            <w:tcW w:w="665" w:type="dxa"/>
            <w:tcBorders>
              <w:left w:val="single" w:sz="4" w:space="0" w:color="000000"/>
              <w:bottom w:val="single" w:sz="4" w:space="0" w:color="000000"/>
            </w:tcBorders>
          </w:tcPr>
          <w:p>
            <w:pPr>
              <w:pStyle w:val="TableParagraph"/>
              <w:spacing w:before="110"/>
              <w:ind w:left="56" w:right="40"/>
              <w:rPr>
                <w:sz w:val="20"/>
              </w:rPr>
            </w:pPr>
            <w:r>
              <w:rPr>
                <w:sz w:val="20"/>
              </w:rPr>
              <w:t>15,48</w:t>
            </w:r>
          </w:p>
        </w:tc>
        <w:tc>
          <w:tcPr>
            <w:tcW w:w="689" w:type="dxa"/>
            <w:tcBorders>
              <w:bottom w:val="single" w:sz="4" w:space="0" w:color="000000"/>
              <w:right w:val="single" w:sz="4" w:space="0" w:color="000000"/>
            </w:tcBorders>
          </w:tcPr>
          <w:p>
            <w:pPr>
              <w:pStyle w:val="TableParagraph"/>
              <w:spacing w:before="110"/>
              <w:ind w:left="39" w:right="56"/>
              <w:rPr>
                <w:sz w:val="20"/>
              </w:rPr>
            </w:pPr>
            <w:r>
              <w:rPr>
                <w:sz w:val="20"/>
              </w:rPr>
              <w:t>06</w:t>
            </w:r>
          </w:p>
        </w:tc>
        <w:tc>
          <w:tcPr>
            <w:tcW w:w="968" w:type="dxa"/>
            <w:tcBorders>
              <w:left w:val="single" w:sz="4" w:space="0" w:color="000000"/>
              <w:bottom w:val="single" w:sz="4" w:space="0" w:color="000000"/>
            </w:tcBorders>
          </w:tcPr>
          <w:p>
            <w:pPr>
              <w:pStyle w:val="TableParagraph"/>
              <w:spacing w:before="110"/>
              <w:ind w:left="205" w:right="195"/>
              <w:rPr>
                <w:sz w:val="20"/>
              </w:rPr>
            </w:pPr>
            <w:r>
              <w:rPr>
                <w:sz w:val="20"/>
              </w:rPr>
              <w:t>16,07</w:t>
            </w:r>
          </w:p>
        </w:tc>
        <w:tc>
          <w:tcPr>
            <w:tcW w:w="689" w:type="dxa"/>
            <w:tcBorders>
              <w:bottom w:val="single" w:sz="4" w:space="0" w:color="000000"/>
              <w:right w:val="single" w:sz="4" w:space="0" w:color="000000"/>
            </w:tcBorders>
          </w:tcPr>
          <w:p>
            <w:pPr>
              <w:pStyle w:val="TableParagraph"/>
              <w:spacing w:before="110"/>
              <w:ind w:left="191" w:right="208"/>
              <w:rPr>
                <w:sz w:val="20"/>
              </w:rPr>
            </w:pPr>
            <w:r>
              <w:rPr>
                <w:sz w:val="20"/>
              </w:rPr>
              <w:t>06</w:t>
            </w:r>
          </w:p>
        </w:tc>
        <w:tc>
          <w:tcPr>
            <w:tcW w:w="968" w:type="dxa"/>
            <w:tcBorders>
              <w:left w:val="single" w:sz="4" w:space="0" w:color="000000"/>
              <w:bottom w:val="single" w:sz="4" w:space="0" w:color="000000"/>
            </w:tcBorders>
          </w:tcPr>
          <w:p>
            <w:pPr>
              <w:pStyle w:val="TableParagraph"/>
              <w:spacing w:before="110"/>
              <w:ind w:left="205" w:right="194"/>
              <w:rPr>
                <w:sz w:val="20"/>
              </w:rPr>
            </w:pPr>
            <w:r>
              <w:rPr>
                <w:sz w:val="20"/>
              </w:rPr>
              <w:t>35,71</w:t>
            </w:r>
          </w:p>
        </w:tc>
        <w:tc>
          <w:tcPr>
            <w:tcW w:w="555" w:type="dxa"/>
            <w:tcBorders>
              <w:bottom w:val="single" w:sz="4" w:space="0" w:color="000000"/>
              <w:right w:val="single" w:sz="4" w:space="0" w:color="000000"/>
            </w:tcBorders>
          </w:tcPr>
          <w:p>
            <w:pPr>
              <w:pStyle w:val="TableParagraph"/>
              <w:spacing w:before="110"/>
              <w:ind w:left="124" w:right="141"/>
              <w:rPr>
                <w:sz w:val="20"/>
              </w:rPr>
            </w:pPr>
            <w:r>
              <w:rPr>
                <w:sz w:val="20"/>
              </w:rPr>
              <w:t>06</w:t>
            </w:r>
          </w:p>
        </w:tc>
        <w:tc>
          <w:tcPr>
            <w:tcW w:w="963" w:type="dxa"/>
            <w:tcBorders>
              <w:left w:val="single" w:sz="4" w:space="0" w:color="000000"/>
              <w:bottom w:val="single" w:sz="4" w:space="0" w:color="000000"/>
            </w:tcBorders>
          </w:tcPr>
          <w:p>
            <w:pPr>
              <w:pStyle w:val="TableParagraph"/>
              <w:spacing w:before="110"/>
              <w:ind w:left="178" w:right="163"/>
              <w:rPr>
                <w:sz w:val="20"/>
              </w:rPr>
            </w:pPr>
            <w:r>
              <w:rPr>
                <w:sz w:val="20"/>
              </w:rPr>
              <w:t>32,71</w:t>
            </w:r>
          </w:p>
        </w:tc>
      </w:tr>
      <w:tr>
        <w:trPr>
          <w:trHeight w:val="470" w:hRule="exact"/>
        </w:trPr>
        <w:tc>
          <w:tcPr>
            <w:tcW w:w="1529" w:type="dxa"/>
            <w:tcBorders>
              <w:top w:val="single" w:sz="4" w:space="0" w:color="000000"/>
              <w:bottom w:val="single" w:sz="4" w:space="0" w:color="000000"/>
              <w:right w:val="single" w:sz="4" w:space="0" w:color="000000"/>
            </w:tcBorders>
          </w:tcPr>
          <w:p>
            <w:pPr>
              <w:pStyle w:val="TableParagraph"/>
              <w:ind w:left="28" w:right="387"/>
              <w:jc w:val="left"/>
              <w:rPr>
                <w:sz w:val="20"/>
              </w:rPr>
            </w:pPr>
            <w:r>
              <w:rPr>
                <w:sz w:val="20"/>
              </w:rPr>
              <w:t>Professores Criativos</w:t>
            </w:r>
          </w:p>
        </w:tc>
        <w:tc>
          <w:tcPr>
            <w:tcW w:w="992" w:type="dxa"/>
            <w:tcBorders>
              <w:top w:val="single" w:sz="4" w:space="0" w:color="000000"/>
              <w:left w:val="single" w:sz="4" w:space="0" w:color="000000"/>
              <w:bottom w:val="single" w:sz="4" w:space="0" w:color="000000"/>
            </w:tcBorders>
          </w:tcPr>
          <w:p>
            <w:pPr>
              <w:pStyle w:val="TableParagraph"/>
              <w:spacing w:before="110"/>
              <w:ind w:left="59" w:right="46"/>
              <w:rPr>
                <w:sz w:val="20"/>
              </w:rPr>
            </w:pPr>
            <w:r>
              <w:rPr>
                <w:sz w:val="20"/>
              </w:rPr>
              <w:t>28</w:t>
            </w:r>
          </w:p>
        </w:tc>
        <w:tc>
          <w:tcPr>
            <w:tcW w:w="713" w:type="dxa"/>
            <w:tcBorders>
              <w:top w:val="single" w:sz="4" w:space="0" w:color="000000"/>
              <w:bottom w:val="single" w:sz="4" w:space="0" w:color="000000"/>
              <w:right w:val="single" w:sz="4" w:space="0" w:color="000000"/>
            </w:tcBorders>
          </w:tcPr>
          <w:p>
            <w:pPr>
              <w:pStyle w:val="TableParagraph"/>
              <w:spacing w:before="110"/>
              <w:ind w:left="220"/>
              <w:jc w:val="left"/>
              <w:rPr>
                <w:sz w:val="20"/>
              </w:rPr>
            </w:pPr>
            <w:r>
              <w:rPr>
                <w:sz w:val="20"/>
              </w:rPr>
              <w:t>06</w:t>
            </w:r>
          </w:p>
        </w:tc>
        <w:tc>
          <w:tcPr>
            <w:tcW w:w="665" w:type="dxa"/>
            <w:tcBorders>
              <w:top w:val="single" w:sz="4" w:space="0" w:color="000000"/>
              <w:left w:val="single" w:sz="4" w:space="0" w:color="000000"/>
              <w:bottom w:val="single" w:sz="4" w:space="0" w:color="000000"/>
            </w:tcBorders>
          </w:tcPr>
          <w:p>
            <w:pPr>
              <w:pStyle w:val="TableParagraph"/>
              <w:spacing w:before="110"/>
              <w:ind w:left="56" w:right="40"/>
              <w:rPr>
                <w:sz w:val="20"/>
              </w:rPr>
            </w:pPr>
            <w:r>
              <w:rPr>
                <w:sz w:val="20"/>
              </w:rPr>
              <w:t>19,65</w:t>
            </w:r>
          </w:p>
        </w:tc>
        <w:tc>
          <w:tcPr>
            <w:tcW w:w="689" w:type="dxa"/>
            <w:tcBorders>
              <w:top w:val="single" w:sz="4" w:space="0" w:color="000000"/>
              <w:bottom w:val="single" w:sz="4" w:space="0" w:color="000000"/>
              <w:right w:val="single" w:sz="4" w:space="0" w:color="000000"/>
            </w:tcBorders>
          </w:tcPr>
          <w:p>
            <w:pPr>
              <w:pStyle w:val="TableParagraph"/>
              <w:spacing w:before="110"/>
              <w:ind w:left="39" w:right="56"/>
              <w:rPr>
                <w:sz w:val="20"/>
              </w:rPr>
            </w:pPr>
            <w:r>
              <w:rPr>
                <w:sz w:val="20"/>
              </w:rPr>
              <w:t>06</w:t>
            </w:r>
          </w:p>
        </w:tc>
        <w:tc>
          <w:tcPr>
            <w:tcW w:w="968" w:type="dxa"/>
            <w:tcBorders>
              <w:top w:val="single" w:sz="4" w:space="0" w:color="000000"/>
              <w:left w:val="single" w:sz="4" w:space="0" w:color="000000"/>
              <w:bottom w:val="single" w:sz="4" w:space="0" w:color="000000"/>
            </w:tcBorders>
          </w:tcPr>
          <w:p>
            <w:pPr>
              <w:pStyle w:val="TableParagraph"/>
              <w:spacing w:before="110"/>
              <w:ind w:left="205" w:right="195"/>
              <w:rPr>
                <w:sz w:val="20"/>
              </w:rPr>
            </w:pPr>
            <w:r>
              <w:rPr>
                <w:sz w:val="20"/>
              </w:rPr>
              <w:t>23,21</w:t>
            </w:r>
          </w:p>
        </w:tc>
        <w:tc>
          <w:tcPr>
            <w:tcW w:w="689" w:type="dxa"/>
            <w:tcBorders>
              <w:top w:val="single" w:sz="4" w:space="0" w:color="000000"/>
              <w:bottom w:val="single" w:sz="4" w:space="0" w:color="000000"/>
              <w:right w:val="single" w:sz="4" w:space="0" w:color="000000"/>
            </w:tcBorders>
          </w:tcPr>
          <w:p>
            <w:pPr>
              <w:pStyle w:val="TableParagraph"/>
              <w:spacing w:before="110"/>
              <w:ind w:left="191" w:right="208"/>
              <w:rPr>
                <w:sz w:val="20"/>
              </w:rPr>
            </w:pPr>
            <w:r>
              <w:rPr>
                <w:sz w:val="20"/>
              </w:rPr>
              <w:t>06</w:t>
            </w:r>
          </w:p>
        </w:tc>
        <w:tc>
          <w:tcPr>
            <w:tcW w:w="968" w:type="dxa"/>
            <w:tcBorders>
              <w:top w:val="single" w:sz="4" w:space="0" w:color="000000"/>
              <w:left w:val="single" w:sz="4" w:space="0" w:color="000000"/>
              <w:bottom w:val="single" w:sz="4" w:space="0" w:color="000000"/>
            </w:tcBorders>
          </w:tcPr>
          <w:p>
            <w:pPr>
              <w:pStyle w:val="TableParagraph"/>
              <w:spacing w:before="110"/>
              <w:ind w:left="205" w:right="194"/>
              <w:rPr>
                <w:sz w:val="20"/>
              </w:rPr>
            </w:pPr>
            <w:r>
              <w:rPr>
                <w:sz w:val="20"/>
              </w:rPr>
              <w:t>34,53</w:t>
            </w:r>
          </w:p>
        </w:tc>
        <w:tc>
          <w:tcPr>
            <w:tcW w:w="555" w:type="dxa"/>
            <w:tcBorders>
              <w:top w:val="single" w:sz="4" w:space="0" w:color="000000"/>
              <w:bottom w:val="single" w:sz="4" w:space="0" w:color="000000"/>
              <w:right w:val="single" w:sz="4" w:space="0" w:color="000000"/>
            </w:tcBorders>
          </w:tcPr>
          <w:p>
            <w:pPr>
              <w:pStyle w:val="TableParagraph"/>
              <w:spacing w:before="110"/>
              <w:ind w:left="124" w:right="141"/>
              <w:rPr>
                <w:sz w:val="20"/>
              </w:rPr>
            </w:pPr>
            <w:r>
              <w:rPr>
                <w:sz w:val="20"/>
              </w:rPr>
              <w:t>06</w:t>
            </w:r>
          </w:p>
        </w:tc>
        <w:tc>
          <w:tcPr>
            <w:tcW w:w="963" w:type="dxa"/>
            <w:tcBorders>
              <w:top w:val="single" w:sz="4" w:space="0" w:color="000000"/>
              <w:left w:val="single" w:sz="4" w:space="0" w:color="000000"/>
              <w:bottom w:val="single" w:sz="4" w:space="0" w:color="000000"/>
            </w:tcBorders>
          </w:tcPr>
          <w:p>
            <w:pPr>
              <w:pStyle w:val="TableParagraph"/>
              <w:spacing w:before="110"/>
              <w:ind w:left="178" w:right="163"/>
              <w:rPr>
                <w:sz w:val="20"/>
              </w:rPr>
            </w:pPr>
            <w:r>
              <w:rPr>
                <w:sz w:val="20"/>
              </w:rPr>
              <w:t>22,62</w:t>
            </w:r>
          </w:p>
        </w:tc>
      </w:tr>
      <w:tr>
        <w:trPr>
          <w:trHeight w:val="487" w:hRule="exact"/>
        </w:trPr>
        <w:tc>
          <w:tcPr>
            <w:tcW w:w="1529" w:type="dxa"/>
            <w:tcBorders>
              <w:top w:val="single" w:sz="4" w:space="0" w:color="000000"/>
              <w:right w:val="single" w:sz="4" w:space="0" w:color="000000"/>
            </w:tcBorders>
          </w:tcPr>
          <w:p>
            <w:pPr>
              <w:pStyle w:val="TableParagraph"/>
              <w:ind w:left="28" w:right="131"/>
              <w:jc w:val="left"/>
              <w:rPr>
                <w:sz w:val="20"/>
              </w:rPr>
            </w:pPr>
            <w:r>
              <w:rPr>
                <w:sz w:val="20"/>
              </w:rPr>
              <w:t>Espírito Empreendedor</w:t>
            </w:r>
          </w:p>
        </w:tc>
        <w:tc>
          <w:tcPr>
            <w:tcW w:w="992" w:type="dxa"/>
            <w:tcBorders>
              <w:top w:val="single" w:sz="4" w:space="0" w:color="000000"/>
              <w:left w:val="single" w:sz="4" w:space="0" w:color="000000"/>
            </w:tcBorders>
          </w:tcPr>
          <w:p>
            <w:pPr>
              <w:pStyle w:val="TableParagraph"/>
              <w:spacing w:before="110"/>
              <w:ind w:left="59" w:right="46"/>
              <w:rPr>
                <w:sz w:val="20"/>
              </w:rPr>
            </w:pPr>
            <w:r>
              <w:rPr>
                <w:sz w:val="20"/>
              </w:rPr>
              <w:t>28</w:t>
            </w:r>
          </w:p>
        </w:tc>
        <w:tc>
          <w:tcPr>
            <w:tcW w:w="713" w:type="dxa"/>
            <w:tcBorders>
              <w:top w:val="single" w:sz="4" w:space="0" w:color="000000"/>
              <w:right w:val="single" w:sz="4" w:space="0" w:color="000000"/>
            </w:tcBorders>
          </w:tcPr>
          <w:p>
            <w:pPr>
              <w:pStyle w:val="TableParagraph"/>
              <w:spacing w:before="110"/>
              <w:ind w:left="220"/>
              <w:jc w:val="left"/>
              <w:rPr>
                <w:sz w:val="20"/>
              </w:rPr>
            </w:pPr>
            <w:r>
              <w:rPr>
                <w:sz w:val="20"/>
              </w:rPr>
              <w:t>06</w:t>
            </w:r>
          </w:p>
        </w:tc>
        <w:tc>
          <w:tcPr>
            <w:tcW w:w="665" w:type="dxa"/>
            <w:tcBorders>
              <w:top w:val="single" w:sz="4" w:space="0" w:color="000000"/>
              <w:left w:val="single" w:sz="4" w:space="0" w:color="000000"/>
            </w:tcBorders>
          </w:tcPr>
          <w:p>
            <w:pPr>
              <w:pStyle w:val="TableParagraph"/>
              <w:spacing w:before="110"/>
              <w:ind w:left="56" w:right="40"/>
              <w:rPr>
                <w:sz w:val="20"/>
              </w:rPr>
            </w:pPr>
            <w:r>
              <w:rPr>
                <w:sz w:val="20"/>
              </w:rPr>
              <w:t>11,31</w:t>
            </w:r>
          </w:p>
        </w:tc>
        <w:tc>
          <w:tcPr>
            <w:tcW w:w="689" w:type="dxa"/>
            <w:tcBorders>
              <w:top w:val="single" w:sz="4" w:space="0" w:color="000000"/>
              <w:right w:val="single" w:sz="4" w:space="0" w:color="000000"/>
            </w:tcBorders>
          </w:tcPr>
          <w:p>
            <w:pPr>
              <w:pStyle w:val="TableParagraph"/>
              <w:spacing w:before="110"/>
              <w:ind w:left="39" w:right="56"/>
              <w:rPr>
                <w:sz w:val="20"/>
              </w:rPr>
            </w:pPr>
            <w:r>
              <w:rPr>
                <w:sz w:val="20"/>
              </w:rPr>
              <w:t>06</w:t>
            </w:r>
          </w:p>
        </w:tc>
        <w:tc>
          <w:tcPr>
            <w:tcW w:w="968" w:type="dxa"/>
            <w:tcBorders>
              <w:top w:val="single" w:sz="4" w:space="0" w:color="000000"/>
              <w:left w:val="single" w:sz="4" w:space="0" w:color="000000"/>
            </w:tcBorders>
          </w:tcPr>
          <w:p>
            <w:pPr>
              <w:pStyle w:val="TableParagraph"/>
              <w:spacing w:before="110"/>
              <w:ind w:left="205" w:right="195"/>
              <w:rPr>
                <w:sz w:val="20"/>
              </w:rPr>
            </w:pPr>
            <w:r>
              <w:rPr>
                <w:sz w:val="20"/>
              </w:rPr>
              <w:t>24,41</w:t>
            </w:r>
          </w:p>
        </w:tc>
        <w:tc>
          <w:tcPr>
            <w:tcW w:w="689" w:type="dxa"/>
            <w:tcBorders>
              <w:top w:val="single" w:sz="4" w:space="0" w:color="000000"/>
              <w:right w:val="single" w:sz="4" w:space="0" w:color="000000"/>
            </w:tcBorders>
          </w:tcPr>
          <w:p>
            <w:pPr>
              <w:pStyle w:val="TableParagraph"/>
              <w:spacing w:before="110"/>
              <w:ind w:left="191" w:right="208"/>
              <w:rPr>
                <w:sz w:val="20"/>
              </w:rPr>
            </w:pPr>
            <w:r>
              <w:rPr>
                <w:sz w:val="20"/>
              </w:rPr>
              <w:t>06</w:t>
            </w:r>
          </w:p>
        </w:tc>
        <w:tc>
          <w:tcPr>
            <w:tcW w:w="968" w:type="dxa"/>
            <w:tcBorders>
              <w:top w:val="single" w:sz="4" w:space="0" w:color="000000"/>
              <w:left w:val="single" w:sz="4" w:space="0" w:color="000000"/>
            </w:tcBorders>
          </w:tcPr>
          <w:p>
            <w:pPr>
              <w:pStyle w:val="TableParagraph"/>
              <w:spacing w:before="110"/>
              <w:ind w:left="205" w:right="194"/>
              <w:rPr>
                <w:sz w:val="20"/>
              </w:rPr>
            </w:pPr>
            <w:r>
              <w:rPr>
                <w:sz w:val="20"/>
              </w:rPr>
              <w:t>39,28</w:t>
            </w:r>
          </w:p>
        </w:tc>
        <w:tc>
          <w:tcPr>
            <w:tcW w:w="555" w:type="dxa"/>
            <w:tcBorders>
              <w:top w:val="single" w:sz="4" w:space="0" w:color="000000"/>
              <w:right w:val="single" w:sz="4" w:space="0" w:color="000000"/>
            </w:tcBorders>
          </w:tcPr>
          <w:p>
            <w:pPr>
              <w:pStyle w:val="TableParagraph"/>
              <w:spacing w:before="110"/>
              <w:ind w:left="124" w:right="141"/>
              <w:rPr>
                <w:sz w:val="20"/>
              </w:rPr>
            </w:pPr>
            <w:r>
              <w:rPr>
                <w:sz w:val="20"/>
              </w:rPr>
              <w:t>06</w:t>
            </w:r>
          </w:p>
        </w:tc>
        <w:tc>
          <w:tcPr>
            <w:tcW w:w="963" w:type="dxa"/>
            <w:tcBorders>
              <w:top w:val="single" w:sz="4" w:space="0" w:color="000000"/>
              <w:left w:val="single" w:sz="4" w:space="0" w:color="000000"/>
            </w:tcBorders>
          </w:tcPr>
          <w:p>
            <w:pPr>
              <w:pStyle w:val="TableParagraph"/>
              <w:spacing w:before="110"/>
              <w:ind w:left="178" w:right="163"/>
              <w:rPr>
                <w:sz w:val="20"/>
              </w:rPr>
            </w:pPr>
            <w:r>
              <w:rPr>
                <w:sz w:val="20"/>
              </w:rPr>
              <w:t>23,81</w:t>
            </w:r>
          </w:p>
        </w:tc>
      </w:tr>
    </w:tbl>
    <w:p>
      <w:pPr>
        <w:spacing w:before="0"/>
        <w:ind w:left="308" w:right="0" w:firstLine="0"/>
        <w:jc w:val="left"/>
        <w:rPr>
          <w:sz w:val="22"/>
        </w:rPr>
      </w:pPr>
      <w:r>
        <w:rPr>
          <w:sz w:val="20"/>
        </w:rPr>
        <w:t>Fonte: Dados da Pesquisa – Mestrado – Pinho (2014)</w:t>
      </w:r>
      <w:r>
        <w:rPr>
          <w:sz w:val="22"/>
        </w:rPr>
        <w:t>.</w:t>
      </w:r>
    </w:p>
    <w:p>
      <w:pPr>
        <w:spacing w:after="0"/>
        <w:jc w:val="left"/>
        <w:rPr>
          <w:sz w:val="22"/>
        </w:rPr>
        <w:sectPr>
          <w:pgSz w:w="11910" w:h="16840"/>
          <w:pgMar w:header="1133" w:footer="0" w:top="1340" w:bottom="280" w:left="1680" w:right="960"/>
        </w:sectPr>
      </w:pPr>
    </w:p>
    <w:p>
      <w:pPr>
        <w:pStyle w:val="BodyText"/>
        <w:spacing w:before="10"/>
        <w:rPr>
          <w:sz w:val="20"/>
        </w:rPr>
      </w:pPr>
    </w:p>
    <w:p>
      <w:pPr>
        <w:pStyle w:val="Heading3"/>
        <w:ind w:left="1768" w:right="1910"/>
        <w:jc w:val="center"/>
      </w:pPr>
      <w:r>
        <w:rPr/>
        <w:t>APÊNDICE E</w:t>
      </w:r>
    </w:p>
    <w:p>
      <w:pPr>
        <w:pStyle w:val="BodyText"/>
        <w:rPr>
          <w:b/>
          <w:sz w:val="26"/>
        </w:rPr>
      </w:pPr>
    </w:p>
    <w:p>
      <w:pPr>
        <w:pStyle w:val="BodyText"/>
        <w:spacing w:before="2"/>
        <w:rPr>
          <w:b/>
          <w:sz w:val="22"/>
        </w:rPr>
      </w:pPr>
    </w:p>
    <w:p>
      <w:pPr>
        <w:spacing w:before="1"/>
        <w:ind w:left="1771" w:right="1910" w:firstLine="0"/>
        <w:jc w:val="center"/>
        <w:rPr>
          <w:b/>
          <w:sz w:val="24"/>
        </w:rPr>
      </w:pPr>
      <w:r>
        <w:rPr>
          <w:b/>
          <w:sz w:val="24"/>
        </w:rPr>
        <w:t>EVIDÊNCIAS DE CRIATIVIDADE NA CATEGORIA III</w:t>
      </w:r>
    </w:p>
    <w:p>
      <w:pPr>
        <w:pStyle w:val="BodyText"/>
        <w:rPr>
          <w:b/>
          <w:sz w:val="26"/>
        </w:rPr>
      </w:pPr>
    </w:p>
    <w:p>
      <w:pPr>
        <w:pStyle w:val="BodyText"/>
        <w:rPr>
          <w:b/>
          <w:sz w:val="26"/>
        </w:rPr>
      </w:pPr>
    </w:p>
    <w:p>
      <w:pPr>
        <w:pStyle w:val="BodyText"/>
        <w:rPr>
          <w:b/>
          <w:sz w:val="32"/>
        </w:rPr>
      </w:pPr>
    </w:p>
    <w:p>
      <w:pPr>
        <w:spacing w:before="0" w:after="10"/>
        <w:ind w:left="793" w:right="0" w:firstLine="0"/>
        <w:jc w:val="left"/>
        <w:rPr>
          <w:b/>
          <w:sz w:val="20"/>
        </w:rPr>
      </w:pPr>
      <w:r>
        <w:rPr>
          <w:b/>
          <w:sz w:val="20"/>
        </w:rPr>
        <w:t>Quadro 09: Categoria III – Plano Estratégico e de Ação na percepção dos gestores</w:t>
      </w:r>
    </w:p>
    <w:tbl>
      <w:tblPr>
        <w:tblW w:w="0" w:type="auto"/>
        <w:jc w:val="left"/>
        <w:tblInd w:w="240"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990"/>
        <w:gridCol w:w="1131"/>
        <w:gridCol w:w="569"/>
        <w:gridCol w:w="564"/>
        <w:gridCol w:w="713"/>
        <w:gridCol w:w="704"/>
        <w:gridCol w:w="867"/>
        <w:gridCol w:w="694"/>
        <w:gridCol w:w="685"/>
        <w:gridCol w:w="963"/>
      </w:tblGrid>
      <w:tr>
        <w:trPr>
          <w:trHeight w:val="281" w:hRule="exact"/>
        </w:trPr>
        <w:tc>
          <w:tcPr>
            <w:tcW w:w="3121" w:type="dxa"/>
            <w:gridSpan w:val="2"/>
            <w:vMerge w:val="restart"/>
            <w:tcBorders>
              <w:top w:val="nil"/>
              <w:left w:val="nil"/>
              <w:right w:val="single" w:sz="17" w:space="0" w:color="000000"/>
            </w:tcBorders>
          </w:tcPr>
          <w:p>
            <w:pPr/>
          </w:p>
        </w:tc>
        <w:tc>
          <w:tcPr>
            <w:tcW w:w="5758" w:type="dxa"/>
            <w:gridSpan w:val="8"/>
            <w:tcBorders>
              <w:left w:val="single" w:sz="17" w:space="0" w:color="000000"/>
              <w:bottom w:val="single" w:sz="4" w:space="0" w:color="000000"/>
            </w:tcBorders>
          </w:tcPr>
          <w:p>
            <w:pPr>
              <w:pStyle w:val="TableParagraph"/>
              <w:spacing w:line="243" w:lineRule="exact"/>
              <w:ind w:left="2180" w:right="2185"/>
              <w:rPr>
                <w:b/>
                <w:sz w:val="22"/>
              </w:rPr>
            </w:pPr>
            <w:r>
              <w:rPr>
                <w:b/>
                <w:sz w:val="22"/>
              </w:rPr>
              <w:t>AVALIAÇÃO</w:t>
            </w:r>
          </w:p>
        </w:tc>
      </w:tr>
      <w:tr>
        <w:trPr>
          <w:trHeight w:val="1798" w:hRule="exact"/>
        </w:trPr>
        <w:tc>
          <w:tcPr>
            <w:tcW w:w="3121" w:type="dxa"/>
            <w:gridSpan w:val="2"/>
            <w:vMerge/>
            <w:tcBorders>
              <w:left w:val="nil"/>
              <w:right w:val="single" w:sz="17" w:space="0" w:color="000000"/>
            </w:tcBorders>
          </w:tcPr>
          <w:p>
            <w:pPr/>
          </w:p>
        </w:tc>
        <w:tc>
          <w:tcPr>
            <w:tcW w:w="1133" w:type="dxa"/>
            <w:gridSpan w:val="2"/>
            <w:tcBorders>
              <w:top w:val="single" w:sz="4" w:space="0" w:color="000000"/>
              <w:left w:val="single" w:sz="17" w:space="0" w:color="000000"/>
              <w:bottom w:val="single" w:sz="4" w:space="0" w:color="000000"/>
              <w:right w:val="single" w:sz="17" w:space="0" w:color="000000"/>
            </w:tcBorders>
          </w:tcPr>
          <w:p>
            <w:pPr>
              <w:pStyle w:val="TableParagraph"/>
              <w:spacing w:before="6"/>
              <w:jc w:val="left"/>
              <w:rPr>
                <w:b/>
                <w:sz w:val="32"/>
              </w:rPr>
            </w:pPr>
          </w:p>
          <w:p>
            <w:pPr>
              <w:pStyle w:val="TableParagraph"/>
              <w:ind w:left="215" w:right="40" w:hanging="173"/>
              <w:jc w:val="left"/>
              <w:rPr>
                <w:b/>
                <w:sz w:val="22"/>
              </w:rPr>
            </w:pPr>
            <w:r>
              <w:rPr>
                <w:b/>
                <w:sz w:val="22"/>
              </w:rPr>
              <w:t>Nunca ou quase nunca (1-2)</w:t>
            </w:r>
          </w:p>
        </w:tc>
        <w:tc>
          <w:tcPr>
            <w:tcW w:w="1417" w:type="dxa"/>
            <w:gridSpan w:val="2"/>
            <w:tcBorders>
              <w:top w:val="single" w:sz="4" w:space="0" w:color="000000"/>
              <w:left w:val="single" w:sz="17" w:space="0" w:color="000000"/>
              <w:bottom w:val="single" w:sz="4" w:space="0" w:color="000000"/>
            </w:tcBorders>
          </w:tcPr>
          <w:p>
            <w:pPr>
              <w:pStyle w:val="TableParagraph"/>
              <w:spacing w:before="6"/>
              <w:jc w:val="left"/>
              <w:rPr>
                <w:b/>
                <w:sz w:val="32"/>
              </w:rPr>
            </w:pPr>
          </w:p>
          <w:p>
            <w:pPr>
              <w:pStyle w:val="TableParagraph"/>
              <w:ind w:left="124" w:right="121" w:hanging="9"/>
              <w:rPr>
                <w:b/>
                <w:sz w:val="22"/>
              </w:rPr>
            </w:pPr>
            <w:r>
              <w:rPr>
                <w:b/>
                <w:sz w:val="22"/>
              </w:rPr>
              <w:t>Às vezes. Ocasional- mente</w:t>
            </w:r>
          </w:p>
          <w:p>
            <w:pPr>
              <w:pStyle w:val="TableParagraph"/>
              <w:spacing w:before="1"/>
              <w:ind w:left="337" w:right="335"/>
              <w:rPr>
                <w:b/>
                <w:sz w:val="22"/>
              </w:rPr>
            </w:pPr>
            <w:r>
              <w:rPr>
                <w:b/>
                <w:sz w:val="22"/>
              </w:rPr>
              <w:t>(3-4-5)</w:t>
            </w:r>
          </w:p>
        </w:tc>
        <w:tc>
          <w:tcPr>
            <w:tcW w:w="1560" w:type="dxa"/>
            <w:gridSpan w:val="2"/>
            <w:tcBorders>
              <w:top w:val="single" w:sz="4" w:space="0" w:color="000000"/>
              <w:bottom w:val="single" w:sz="4" w:space="0" w:color="000000"/>
            </w:tcBorders>
          </w:tcPr>
          <w:p>
            <w:pPr>
              <w:pStyle w:val="TableParagraph"/>
              <w:spacing w:before="120"/>
              <w:ind w:left="81" w:right="78"/>
              <w:rPr>
                <w:b/>
                <w:sz w:val="22"/>
              </w:rPr>
            </w:pPr>
            <w:r>
              <w:rPr>
                <w:b/>
                <w:sz w:val="22"/>
              </w:rPr>
              <w:t>Muitas vezes ou ocasiões.</w:t>
            </w:r>
          </w:p>
          <w:p>
            <w:pPr>
              <w:pStyle w:val="TableParagraph"/>
              <w:spacing w:line="242" w:lineRule="auto"/>
              <w:ind w:left="28" w:right="32" w:firstLine="3"/>
              <w:rPr>
                <w:b/>
                <w:sz w:val="22"/>
              </w:rPr>
            </w:pPr>
            <w:r>
              <w:rPr>
                <w:b/>
                <w:sz w:val="22"/>
              </w:rPr>
              <w:t>Existem evidências do indicador</w:t>
            </w:r>
          </w:p>
          <w:p>
            <w:pPr>
              <w:pStyle w:val="TableParagraph"/>
              <w:spacing w:line="247" w:lineRule="exact" w:before="3"/>
              <w:ind w:left="81" w:right="78"/>
              <w:rPr>
                <w:b/>
                <w:sz w:val="22"/>
              </w:rPr>
            </w:pPr>
            <w:r>
              <w:rPr>
                <w:b/>
                <w:sz w:val="22"/>
              </w:rPr>
              <w:t>(6-7-8)</w:t>
            </w:r>
          </w:p>
        </w:tc>
        <w:tc>
          <w:tcPr>
            <w:tcW w:w="1647" w:type="dxa"/>
            <w:gridSpan w:val="2"/>
            <w:tcBorders>
              <w:top w:val="single" w:sz="4" w:space="0" w:color="000000"/>
              <w:bottom w:val="single" w:sz="4" w:space="0" w:color="000000"/>
            </w:tcBorders>
          </w:tcPr>
          <w:p>
            <w:pPr>
              <w:pStyle w:val="TableParagraph"/>
              <w:ind w:left="86" w:right="98" w:firstLine="2"/>
              <w:rPr>
                <w:b/>
                <w:sz w:val="22"/>
              </w:rPr>
            </w:pPr>
            <w:r>
              <w:rPr>
                <w:b/>
                <w:sz w:val="22"/>
              </w:rPr>
              <w:t>De continuo. Evidências claras de aparição do indicador ou característica (9-10)</w:t>
            </w:r>
          </w:p>
        </w:tc>
      </w:tr>
      <w:tr>
        <w:trPr>
          <w:trHeight w:val="302" w:hRule="exact"/>
        </w:trPr>
        <w:tc>
          <w:tcPr>
            <w:tcW w:w="1990" w:type="dxa"/>
            <w:tcBorders>
              <w:right w:val="single" w:sz="4" w:space="0" w:color="000000"/>
            </w:tcBorders>
          </w:tcPr>
          <w:p>
            <w:pPr>
              <w:pStyle w:val="TableParagraph"/>
              <w:spacing w:line="248" w:lineRule="exact"/>
              <w:ind w:left="422"/>
              <w:jc w:val="left"/>
              <w:rPr>
                <w:b/>
                <w:sz w:val="22"/>
              </w:rPr>
            </w:pPr>
            <w:r>
              <w:rPr>
                <w:b/>
                <w:sz w:val="22"/>
              </w:rPr>
              <w:t>Parâmetro</w:t>
            </w:r>
          </w:p>
        </w:tc>
        <w:tc>
          <w:tcPr>
            <w:tcW w:w="1131" w:type="dxa"/>
            <w:tcBorders>
              <w:left w:val="single" w:sz="4" w:space="0" w:color="000000"/>
              <w:right w:val="single" w:sz="17" w:space="0" w:color="000000"/>
            </w:tcBorders>
          </w:tcPr>
          <w:p>
            <w:pPr>
              <w:pStyle w:val="TableParagraph"/>
              <w:spacing w:line="248" w:lineRule="exact"/>
              <w:ind w:left="88" w:right="82"/>
              <w:rPr>
                <w:b/>
                <w:sz w:val="22"/>
              </w:rPr>
            </w:pPr>
            <w:r>
              <w:rPr>
                <w:b/>
                <w:sz w:val="22"/>
              </w:rPr>
              <w:t>Amostra</w:t>
            </w:r>
          </w:p>
        </w:tc>
        <w:tc>
          <w:tcPr>
            <w:tcW w:w="569" w:type="dxa"/>
            <w:tcBorders>
              <w:top w:val="single" w:sz="4" w:space="0" w:color="000000"/>
              <w:left w:val="single" w:sz="17" w:space="0" w:color="000000"/>
              <w:right w:val="single" w:sz="4" w:space="0" w:color="000000"/>
            </w:tcBorders>
          </w:tcPr>
          <w:p>
            <w:pPr>
              <w:pStyle w:val="TableParagraph"/>
              <w:spacing w:before="12"/>
              <w:ind w:left="101" w:right="134"/>
              <w:rPr>
                <w:b/>
                <w:sz w:val="22"/>
              </w:rPr>
            </w:pPr>
            <w:r>
              <w:rPr>
                <w:b/>
                <w:sz w:val="22"/>
              </w:rPr>
              <w:t>Nº</w:t>
            </w:r>
          </w:p>
        </w:tc>
        <w:tc>
          <w:tcPr>
            <w:tcW w:w="564" w:type="dxa"/>
            <w:tcBorders>
              <w:top w:val="single" w:sz="4" w:space="0" w:color="000000"/>
              <w:left w:val="single" w:sz="4" w:space="0" w:color="000000"/>
              <w:right w:val="single" w:sz="17" w:space="0" w:color="000000"/>
            </w:tcBorders>
          </w:tcPr>
          <w:p>
            <w:pPr>
              <w:pStyle w:val="TableParagraph"/>
              <w:spacing w:before="12"/>
              <w:ind w:left="13"/>
              <w:rPr>
                <w:b/>
                <w:sz w:val="22"/>
              </w:rPr>
            </w:pPr>
            <w:r>
              <w:rPr>
                <w:b/>
                <w:w w:val="100"/>
                <w:sz w:val="22"/>
              </w:rPr>
              <w:t>%</w:t>
            </w:r>
          </w:p>
        </w:tc>
        <w:tc>
          <w:tcPr>
            <w:tcW w:w="713" w:type="dxa"/>
            <w:tcBorders>
              <w:top w:val="single" w:sz="4" w:space="0" w:color="000000"/>
              <w:left w:val="single" w:sz="17" w:space="0" w:color="000000"/>
              <w:right w:val="single" w:sz="4" w:space="0" w:color="000000"/>
            </w:tcBorders>
          </w:tcPr>
          <w:p>
            <w:pPr>
              <w:pStyle w:val="TableParagraph"/>
              <w:spacing w:before="12"/>
              <w:ind w:left="178" w:right="211"/>
              <w:rPr>
                <w:b/>
                <w:sz w:val="22"/>
              </w:rPr>
            </w:pPr>
            <w:r>
              <w:rPr>
                <w:b/>
                <w:sz w:val="22"/>
              </w:rPr>
              <w:t>Nº</w:t>
            </w:r>
          </w:p>
        </w:tc>
        <w:tc>
          <w:tcPr>
            <w:tcW w:w="704" w:type="dxa"/>
            <w:tcBorders>
              <w:top w:val="single" w:sz="4" w:space="0" w:color="000000"/>
              <w:left w:val="single" w:sz="4" w:space="0" w:color="000000"/>
            </w:tcBorders>
          </w:tcPr>
          <w:p>
            <w:pPr>
              <w:pStyle w:val="TableParagraph"/>
              <w:spacing w:before="12"/>
              <w:ind w:left="18"/>
              <w:rPr>
                <w:b/>
                <w:sz w:val="22"/>
              </w:rPr>
            </w:pPr>
            <w:r>
              <w:rPr>
                <w:b/>
                <w:w w:val="100"/>
                <w:sz w:val="22"/>
              </w:rPr>
              <w:t>%</w:t>
            </w:r>
          </w:p>
        </w:tc>
        <w:tc>
          <w:tcPr>
            <w:tcW w:w="867" w:type="dxa"/>
            <w:tcBorders>
              <w:top w:val="single" w:sz="4" w:space="0" w:color="000000"/>
              <w:right w:val="single" w:sz="4" w:space="0" w:color="000000"/>
            </w:tcBorders>
          </w:tcPr>
          <w:p>
            <w:pPr>
              <w:pStyle w:val="TableParagraph"/>
              <w:spacing w:before="12"/>
              <w:ind w:left="249" w:right="283"/>
              <w:rPr>
                <w:b/>
                <w:sz w:val="22"/>
              </w:rPr>
            </w:pPr>
            <w:r>
              <w:rPr>
                <w:b/>
                <w:sz w:val="22"/>
              </w:rPr>
              <w:t>Nº</w:t>
            </w:r>
          </w:p>
        </w:tc>
        <w:tc>
          <w:tcPr>
            <w:tcW w:w="694" w:type="dxa"/>
            <w:tcBorders>
              <w:top w:val="single" w:sz="4" w:space="0" w:color="000000"/>
              <w:left w:val="single" w:sz="4" w:space="0" w:color="000000"/>
            </w:tcBorders>
          </w:tcPr>
          <w:p>
            <w:pPr>
              <w:pStyle w:val="TableParagraph"/>
              <w:spacing w:before="12"/>
              <w:ind w:left="9"/>
              <w:rPr>
                <w:b/>
                <w:sz w:val="22"/>
              </w:rPr>
            </w:pPr>
            <w:r>
              <w:rPr>
                <w:b/>
                <w:w w:val="100"/>
                <w:sz w:val="22"/>
              </w:rPr>
              <w:t>%</w:t>
            </w:r>
          </w:p>
        </w:tc>
        <w:tc>
          <w:tcPr>
            <w:tcW w:w="685" w:type="dxa"/>
            <w:tcBorders>
              <w:top w:val="single" w:sz="4" w:space="0" w:color="000000"/>
              <w:right w:val="single" w:sz="4" w:space="0" w:color="000000"/>
            </w:tcBorders>
          </w:tcPr>
          <w:p>
            <w:pPr>
              <w:pStyle w:val="TableParagraph"/>
              <w:spacing w:before="12"/>
              <w:ind w:left="196"/>
              <w:jc w:val="left"/>
              <w:rPr>
                <w:b/>
                <w:sz w:val="22"/>
              </w:rPr>
            </w:pPr>
            <w:r>
              <w:rPr>
                <w:b/>
                <w:sz w:val="22"/>
              </w:rPr>
              <w:t>Nº</w:t>
            </w:r>
          </w:p>
        </w:tc>
        <w:tc>
          <w:tcPr>
            <w:tcW w:w="963" w:type="dxa"/>
            <w:tcBorders>
              <w:top w:val="single" w:sz="4" w:space="0" w:color="000000"/>
              <w:left w:val="single" w:sz="4" w:space="0" w:color="000000"/>
            </w:tcBorders>
          </w:tcPr>
          <w:p>
            <w:pPr>
              <w:pStyle w:val="TableParagraph"/>
              <w:spacing w:before="12"/>
              <w:ind w:left="8"/>
              <w:rPr>
                <w:b/>
                <w:sz w:val="22"/>
              </w:rPr>
            </w:pPr>
            <w:r>
              <w:rPr>
                <w:b/>
                <w:w w:val="100"/>
                <w:sz w:val="22"/>
              </w:rPr>
              <w:t>%</w:t>
            </w:r>
          </w:p>
        </w:tc>
      </w:tr>
      <w:tr>
        <w:trPr>
          <w:trHeight w:val="530" w:hRule="exact"/>
        </w:trPr>
        <w:tc>
          <w:tcPr>
            <w:tcW w:w="1990" w:type="dxa"/>
            <w:tcBorders>
              <w:bottom w:val="single" w:sz="4" w:space="0" w:color="000000"/>
              <w:right w:val="single" w:sz="4" w:space="0" w:color="000000"/>
            </w:tcBorders>
          </w:tcPr>
          <w:p>
            <w:pPr>
              <w:pStyle w:val="TableParagraph"/>
              <w:spacing w:line="242" w:lineRule="auto"/>
              <w:ind w:left="28" w:right="839"/>
              <w:jc w:val="left"/>
              <w:rPr>
                <w:sz w:val="22"/>
              </w:rPr>
            </w:pPr>
            <w:r>
              <w:rPr>
                <w:sz w:val="22"/>
              </w:rPr>
              <w:t>Currículo Polivalente</w:t>
            </w:r>
          </w:p>
        </w:tc>
        <w:tc>
          <w:tcPr>
            <w:tcW w:w="1131" w:type="dxa"/>
            <w:tcBorders>
              <w:left w:val="single" w:sz="4" w:space="0" w:color="000000"/>
              <w:bottom w:val="single" w:sz="4" w:space="0" w:color="000000"/>
              <w:right w:val="single" w:sz="17" w:space="0" w:color="000000"/>
            </w:tcBorders>
          </w:tcPr>
          <w:p>
            <w:pPr>
              <w:pStyle w:val="TableParagraph"/>
              <w:spacing w:before="120"/>
              <w:ind w:left="88" w:right="69"/>
              <w:rPr>
                <w:sz w:val="22"/>
              </w:rPr>
            </w:pPr>
            <w:r>
              <w:rPr>
                <w:sz w:val="22"/>
              </w:rPr>
              <w:t>04</w:t>
            </w:r>
          </w:p>
        </w:tc>
        <w:tc>
          <w:tcPr>
            <w:tcW w:w="569" w:type="dxa"/>
            <w:tcBorders>
              <w:left w:val="single" w:sz="17" w:space="0" w:color="000000"/>
              <w:bottom w:val="single" w:sz="4" w:space="0" w:color="000000"/>
              <w:right w:val="single" w:sz="4" w:space="0" w:color="000000"/>
            </w:tcBorders>
          </w:tcPr>
          <w:p>
            <w:pPr>
              <w:pStyle w:val="TableParagraph"/>
              <w:spacing w:before="120"/>
              <w:ind w:left="115" w:right="127"/>
              <w:rPr>
                <w:sz w:val="22"/>
              </w:rPr>
            </w:pPr>
            <w:r>
              <w:rPr>
                <w:sz w:val="22"/>
              </w:rPr>
              <w:t>06</w:t>
            </w:r>
          </w:p>
        </w:tc>
        <w:tc>
          <w:tcPr>
            <w:tcW w:w="564" w:type="dxa"/>
            <w:tcBorders>
              <w:left w:val="single" w:sz="4" w:space="0" w:color="000000"/>
              <w:bottom w:val="single" w:sz="4" w:space="0" w:color="000000"/>
              <w:right w:val="single" w:sz="17" w:space="0" w:color="000000"/>
            </w:tcBorders>
          </w:tcPr>
          <w:p>
            <w:pPr>
              <w:pStyle w:val="TableParagraph"/>
              <w:spacing w:before="120"/>
              <w:ind w:left="52" w:right="41"/>
              <w:rPr>
                <w:sz w:val="22"/>
              </w:rPr>
            </w:pPr>
            <w:r>
              <w:rPr>
                <w:sz w:val="22"/>
              </w:rPr>
              <w:t>0,0</w:t>
            </w:r>
          </w:p>
        </w:tc>
        <w:tc>
          <w:tcPr>
            <w:tcW w:w="713" w:type="dxa"/>
            <w:tcBorders>
              <w:left w:val="single" w:sz="17" w:space="0" w:color="000000"/>
              <w:bottom w:val="single" w:sz="4" w:space="0" w:color="000000"/>
              <w:right w:val="single" w:sz="4" w:space="0" w:color="000000"/>
            </w:tcBorders>
          </w:tcPr>
          <w:p>
            <w:pPr>
              <w:pStyle w:val="TableParagraph"/>
              <w:spacing w:before="120"/>
              <w:ind w:left="187" w:right="209"/>
              <w:rPr>
                <w:sz w:val="22"/>
              </w:rPr>
            </w:pPr>
            <w:r>
              <w:rPr>
                <w:sz w:val="22"/>
              </w:rPr>
              <w:t>06</w:t>
            </w:r>
          </w:p>
        </w:tc>
        <w:tc>
          <w:tcPr>
            <w:tcW w:w="704" w:type="dxa"/>
            <w:tcBorders>
              <w:left w:val="single" w:sz="4" w:space="0" w:color="000000"/>
              <w:bottom w:val="single" w:sz="4" w:space="0" w:color="000000"/>
            </w:tcBorders>
          </w:tcPr>
          <w:p>
            <w:pPr>
              <w:pStyle w:val="TableParagraph"/>
              <w:spacing w:before="120"/>
              <w:ind w:left="114" w:right="94"/>
              <w:rPr>
                <w:sz w:val="22"/>
              </w:rPr>
            </w:pPr>
            <w:r>
              <w:rPr>
                <w:sz w:val="22"/>
              </w:rPr>
              <w:t>12,5</w:t>
            </w:r>
          </w:p>
        </w:tc>
        <w:tc>
          <w:tcPr>
            <w:tcW w:w="867" w:type="dxa"/>
            <w:tcBorders>
              <w:bottom w:val="single" w:sz="4" w:space="0" w:color="000000"/>
              <w:right w:val="single" w:sz="4" w:space="0" w:color="000000"/>
            </w:tcBorders>
          </w:tcPr>
          <w:p>
            <w:pPr>
              <w:pStyle w:val="TableParagraph"/>
              <w:spacing w:before="120"/>
              <w:ind w:left="263" w:right="275"/>
              <w:rPr>
                <w:sz w:val="22"/>
              </w:rPr>
            </w:pPr>
            <w:r>
              <w:rPr>
                <w:sz w:val="22"/>
              </w:rPr>
              <w:t>06</w:t>
            </w:r>
          </w:p>
        </w:tc>
        <w:tc>
          <w:tcPr>
            <w:tcW w:w="694" w:type="dxa"/>
            <w:tcBorders>
              <w:left w:val="single" w:sz="4" w:space="0" w:color="000000"/>
              <w:bottom w:val="single" w:sz="4" w:space="0" w:color="000000"/>
            </w:tcBorders>
          </w:tcPr>
          <w:p>
            <w:pPr>
              <w:pStyle w:val="TableParagraph"/>
              <w:spacing w:before="120"/>
              <w:ind w:left="43" w:right="32"/>
              <w:rPr>
                <w:sz w:val="22"/>
              </w:rPr>
            </w:pPr>
            <w:r>
              <w:rPr>
                <w:sz w:val="22"/>
              </w:rPr>
              <w:t>54,17</w:t>
            </w:r>
          </w:p>
        </w:tc>
        <w:tc>
          <w:tcPr>
            <w:tcW w:w="685" w:type="dxa"/>
            <w:tcBorders>
              <w:bottom w:val="single" w:sz="4" w:space="0" w:color="000000"/>
              <w:right w:val="single" w:sz="4" w:space="0" w:color="000000"/>
            </w:tcBorders>
          </w:tcPr>
          <w:p>
            <w:pPr>
              <w:pStyle w:val="TableParagraph"/>
              <w:spacing w:before="120"/>
              <w:ind w:left="196"/>
              <w:jc w:val="left"/>
              <w:rPr>
                <w:sz w:val="22"/>
              </w:rPr>
            </w:pPr>
            <w:r>
              <w:rPr>
                <w:sz w:val="22"/>
              </w:rPr>
              <w:t>06</w:t>
            </w:r>
          </w:p>
        </w:tc>
        <w:tc>
          <w:tcPr>
            <w:tcW w:w="963" w:type="dxa"/>
            <w:tcBorders>
              <w:left w:val="single" w:sz="4" w:space="0" w:color="000000"/>
              <w:bottom w:val="single" w:sz="4" w:space="0" w:color="000000"/>
            </w:tcBorders>
          </w:tcPr>
          <w:p>
            <w:pPr>
              <w:pStyle w:val="TableParagraph"/>
              <w:spacing w:before="120"/>
              <w:ind w:left="178" w:right="167"/>
              <w:rPr>
                <w:sz w:val="22"/>
              </w:rPr>
            </w:pPr>
            <w:r>
              <w:rPr>
                <w:sz w:val="22"/>
              </w:rPr>
              <w:t>33,33</w:t>
            </w:r>
          </w:p>
        </w:tc>
      </w:tr>
      <w:tr>
        <w:trPr>
          <w:trHeight w:val="768" w:hRule="exact"/>
        </w:trPr>
        <w:tc>
          <w:tcPr>
            <w:tcW w:w="1990" w:type="dxa"/>
            <w:tcBorders>
              <w:top w:val="single" w:sz="4" w:space="0" w:color="000000"/>
              <w:bottom w:val="single" w:sz="4" w:space="0" w:color="000000"/>
              <w:right w:val="single" w:sz="4" w:space="0" w:color="000000"/>
            </w:tcBorders>
          </w:tcPr>
          <w:p>
            <w:pPr>
              <w:pStyle w:val="TableParagraph"/>
              <w:tabs>
                <w:tab w:pos="1788" w:val="left" w:leader="none"/>
              </w:tabs>
              <w:spacing w:line="242" w:lineRule="auto"/>
              <w:ind w:left="28" w:right="50"/>
              <w:jc w:val="left"/>
              <w:rPr>
                <w:sz w:val="22"/>
              </w:rPr>
            </w:pPr>
            <w:r>
              <w:rPr>
                <w:sz w:val="22"/>
              </w:rPr>
              <w:t>Metodologia</w:t>
              <w:tab/>
              <w:t>e Estratégicas Diversificadas</w:t>
            </w:r>
          </w:p>
        </w:tc>
        <w:tc>
          <w:tcPr>
            <w:tcW w:w="1131" w:type="dxa"/>
            <w:tcBorders>
              <w:top w:val="single" w:sz="4" w:space="0" w:color="000000"/>
              <w:left w:val="single" w:sz="4" w:space="0" w:color="000000"/>
              <w:bottom w:val="single" w:sz="4" w:space="0" w:color="000000"/>
              <w:right w:val="single" w:sz="17" w:space="0" w:color="000000"/>
            </w:tcBorders>
          </w:tcPr>
          <w:p>
            <w:pPr>
              <w:pStyle w:val="TableParagraph"/>
              <w:spacing w:before="8"/>
              <w:jc w:val="left"/>
              <w:rPr>
                <w:b/>
                <w:sz w:val="21"/>
              </w:rPr>
            </w:pPr>
          </w:p>
          <w:p>
            <w:pPr>
              <w:pStyle w:val="TableParagraph"/>
              <w:ind w:left="88" w:right="69"/>
              <w:rPr>
                <w:sz w:val="22"/>
              </w:rPr>
            </w:pPr>
            <w:r>
              <w:rPr>
                <w:sz w:val="22"/>
              </w:rPr>
              <w:t>04</w:t>
            </w:r>
          </w:p>
        </w:tc>
        <w:tc>
          <w:tcPr>
            <w:tcW w:w="569" w:type="dxa"/>
            <w:tcBorders>
              <w:top w:val="single" w:sz="4" w:space="0" w:color="000000"/>
              <w:left w:val="single" w:sz="17" w:space="0" w:color="000000"/>
              <w:bottom w:val="single" w:sz="4" w:space="0" w:color="000000"/>
              <w:right w:val="single" w:sz="4" w:space="0" w:color="000000"/>
            </w:tcBorders>
          </w:tcPr>
          <w:p>
            <w:pPr>
              <w:pStyle w:val="TableParagraph"/>
              <w:spacing w:before="8"/>
              <w:jc w:val="left"/>
              <w:rPr>
                <w:b/>
                <w:sz w:val="21"/>
              </w:rPr>
            </w:pPr>
          </w:p>
          <w:p>
            <w:pPr>
              <w:pStyle w:val="TableParagraph"/>
              <w:ind w:left="115" w:right="127"/>
              <w:rPr>
                <w:sz w:val="22"/>
              </w:rPr>
            </w:pPr>
            <w:r>
              <w:rPr>
                <w:sz w:val="22"/>
              </w:rPr>
              <w:t>06</w:t>
            </w:r>
          </w:p>
        </w:tc>
        <w:tc>
          <w:tcPr>
            <w:tcW w:w="564" w:type="dxa"/>
            <w:tcBorders>
              <w:top w:val="single" w:sz="4" w:space="0" w:color="000000"/>
              <w:left w:val="single" w:sz="4" w:space="0" w:color="000000"/>
              <w:bottom w:val="single" w:sz="4" w:space="0" w:color="000000"/>
              <w:right w:val="single" w:sz="17" w:space="0" w:color="000000"/>
            </w:tcBorders>
          </w:tcPr>
          <w:p>
            <w:pPr>
              <w:pStyle w:val="TableParagraph"/>
              <w:spacing w:before="8"/>
              <w:jc w:val="left"/>
              <w:rPr>
                <w:b/>
                <w:sz w:val="21"/>
              </w:rPr>
            </w:pPr>
          </w:p>
          <w:p>
            <w:pPr>
              <w:pStyle w:val="TableParagraph"/>
              <w:ind w:left="52" w:right="41"/>
              <w:rPr>
                <w:sz w:val="22"/>
              </w:rPr>
            </w:pPr>
            <w:r>
              <w:rPr>
                <w:sz w:val="22"/>
              </w:rPr>
              <w:t>0,0</w:t>
            </w:r>
          </w:p>
        </w:tc>
        <w:tc>
          <w:tcPr>
            <w:tcW w:w="713" w:type="dxa"/>
            <w:tcBorders>
              <w:top w:val="single" w:sz="4" w:space="0" w:color="000000"/>
              <w:left w:val="single" w:sz="17" w:space="0" w:color="000000"/>
              <w:bottom w:val="single" w:sz="4" w:space="0" w:color="000000"/>
              <w:right w:val="single" w:sz="4" w:space="0" w:color="000000"/>
            </w:tcBorders>
          </w:tcPr>
          <w:p>
            <w:pPr>
              <w:pStyle w:val="TableParagraph"/>
              <w:spacing w:before="8"/>
              <w:jc w:val="left"/>
              <w:rPr>
                <w:b/>
                <w:sz w:val="21"/>
              </w:rPr>
            </w:pPr>
          </w:p>
          <w:p>
            <w:pPr>
              <w:pStyle w:val="TableParagraph"/>
              <w:ind w:left="187" w:right="209"/>
              <w:rPr>
                <w:sz w:val="22"/>
              </w:rPr>
            </w:pPr>
            <w:r>
              <w:rPr>
                <w:sz w:val="22"/>
              </w:rPr>
              <w:t>06</w:t>
            </w:r>
          </w:p>
        </w:tc>
        <w:tc>
          <w:tcPr>
            <w:tcW w:w="704" w:type="dxa"/>
            <w:tcBorders>
              <w:top w:val="single" w:sz="4" w:space="0" w:color="000000"/>
              <w:left w:val="single" w:sz="4" w:space="0" w:color="000000"/>
              <w:bottom w:val="single" w:sz="4" w:space="0" w:color="000000"/>
            </w:tcBorders>
          </w:tcPr>
          <w:p>
            <w:pPr>
              <w:pStyle w:val="TableParagraph"/>
              <w:spacing w:before="8"/>
              <w:jc w:val="left"/>
              <w:rPr>
                <w:b/>
                <w:sz w:val="21"/>
              </w:rPr>
            </w:pPr>
          </w:p>
          <w:p>
            <w:pPr>
              <w:pStyle w:val="TableParagraph"/>
              <w:ind w:left="110" w:right="94"/>
              <w:rPr>
                <w:sz w:val="22"/>
              </w:rPr>
            </w:pPr>
            <w:r>
              <w:rPr>
                <w:sz w:val="22"/>
              </w:rPr>
              <w:t>0,0</w:t>
            </w:r>
          </w:p>
        </w:tc>
        <w:tc>
          <w:tcPr>
            <w:tcW w:w="867" w:type="dxa"/>
            <w:tcBorders>
              <w:top w:val="single" w:sz="4" w:space="0" w:color="000000"/>
              <w:bottom w:val="single" w:sz="4" w:space="0" w:color="000000"/>
              <w:right w:val="single" w:sz="4" w:space="0" w:color="000000"/>
            </w:tcBorders>
          </w:tcPr>
          <w:p>
            <w:pPr>
              <w:pStyle w:val="TableParagraph"/>
              <w:spacing w:before="8"/>
              <w:jc w:val="left"/>
              <w:rPr>
                <w:b/>
                <w:sz w:val="21"/>
              </w:rPr>
            </w:pPr>
          </w:p>
          <w:p>
            <w:pPr>
              <w:pStyle w:val="TableParagraph"/>
              <w:ind w:left="263" w:right="275"/>
              <w:rPr>
                <w:sz w:val="22"/>
              </w:rPr>
            </w:pPr>
            <w:r>
              <w:rPr>
                <w:sz w:val="22"/>
              </w:rPr>
              <w:t>06</w:t>
            </w:r>
          </w:p>
        </w:tc>
        <w:tc>
          <w:tcPr>
            <w:tcW w:w="694" w:type="dxa"/>
            <w:tcBorders>
              <w:top w:val="single" w:sz="4" w:space="0" w:color="000000"/>
              <w:left w:val="single" w:sz="4" w:space="0" w:color="000000"/>
              <w:bottom w:val="single" w:sz="4" w:space="0" w:color="000000"/>
            </w:tcBorders>
          </w:tcPr>
          <w:p>
            <w:pPr>
              <w:pStyle w:val="TableParagraph"/>
              <w:spacing w:before="8"/>
              <w:jc w:val="left"/>
              <w:rPr>
                <w:b/>
                <w:sz w:val="21"/>
              </w:rPr>
            </w:pPr>
          </w:p>
          <w:p>
            <w:pPr>
              <w:pStyle w:val="TableParagraph"/>
              <w:ind w:left="43" w:right="32"/>
              <w:rPr>
                <w:sz w:val="22"/>
              </w:rPr>
            </w:pPr>
            <w:r>
              <w:rPr>
                <w:sz w:val="22"/>
              </w:rPr>
              <w:t>41,67</w:t>
            </w:r>
          </w:p>
        </w:tc>
        <w:tc>
          <w:tcPr>
            <w:tcW w:w="685" w:type="dxa"/>
            <w:tcBorders>
              <w:top w:val="single" w:sz="4" w:space="0" w:color="000000"/>
              <w:bottom w:val="single" w:sz="4" w:space="0" w:color="000000"/>
              <w:right w:val="single" w:sz="4" w:space="0" w:color="000000"/>
            </w:tcBorders>
          </w:tcPr>
          <w:p>
            <w:pPr>
              <w:pStyle w:val="TableParagraph"/>
              <w:spacing w:before="8"/>
              <w:jc w:val="left"/>
              <w:rPr>
                <w:b/>
                <w:sz w:val="21"/>
              </w:rPr>
            </w:pPr>
          </w:p>
          <w:p>
            <w:pPr>
              <w:pStyle w:val="TableParagraph"/>
              <w:ind w:left="196"/>
              <w:jc w:val="left"/>
              <w:rPr>
                <w:sz w:val="22"/>
              </w:rPr>
            </w:pPr>
            <w:r>
              <w:rPr>
                <w:sz w:val="22"/>
              </w:rPr>
              <w:t>06</w:t>
            </w:r>
          </w:p>
        </w:tc>
        <w:tc>
          <w:tcPr>
            <w:tcW w:w="963" w:type="dxa"/>
            <w:tcBorders>
              <w:top w:val="single" w:sz="4" w:space="0" w:color="000000"/>
              <w:left w:val="single" w:sz="4" w:space="0" w:color="000000"/>
              <w:bottom w:val="single" w:sz="4" w:space="0" w:color="000000"/>
            </w:tcBorders>
          </w:tcPr>
          <w:p>
            <w:pPr>
              <w:pStyle w:val="TableParagraph"/>
              <w:spacing w:before="8"/>
              <w:jc w:val="left"/>
              <w:rPr>
                <w:b/>
                <w:sz w:val="21"/>
              </w:rPr>
            </w:pPr>
          </w:p>
          <w:p>
            <w:pPr>
              <w:pStyle w:val="TableParagraph"/>
              <w:ind w:left="178" w:right="167"/>
              <w:rPr>
                <w:sz w:val="22"/>
              </w:rPr>
            </w:pPr>
            <w:r>
              <w:rPr>
                <w:sz w:val="22"/>
              </w:rPr>
              <w:t>58,33</w:t>
            </w:r>
          </w:p>
        </w:tc>
      </w:tr>
      <w:tr>
        <w:trPr>
          <w:trHeight w:val="790" w:hRule="exact"/>
        </w:trPr>
        <w:tc>
          <w:tcPr>
            <w:tcW w:w="1990" w:type="dxa"/>
            <w:tcBorders>
              <w:top w:val="single" w:sz="4" w:space="0" w:color="000000"/>
              <w:right w:val="single" w:sz="4" w:space="0" w:color="000000"/>
            </w:tcBorders>
          </w:tcPr>
          <w:p>
            <w:pPr>
              <w:pStyle w:val="TableParagraph"/>
              <w:tabs>
                <w:tab w:pos="1789" w:val="left" w:leader="none"/>
              </w:tabs>
              <w:ind w:left="28" w:right="49"/>
              <w:jc w:val="left"/>
              <w:rPr>
                <w:sz w:val="22"/>
              </w:rPr>
            </w:pPr>
            <w:r>
              <w:rPr>
                <w:sz w:val="22"/>
              </w:rPr>
              <w:t>Avaliação Formadora</w:t>
              <w:tab/>
              <w:t>e Emergente</w:t>
            </w:r>
          </w:p>
        </w:tc>
        <w:tc>
          <w:tcPr>
            <w:tcW w:w="1131" w:type="dxa"/>
            <w:tcBorders>
              <w:top w:val="single" w:sz="4" w:space="0" w:color="000000"/>
              <w:left w:val="single" w:sz="4" w:space="0" w:color="000000"/>
              <w:right w:val="single" w:sz="17" w:space="0" w:color="000000"/>
            </w:tcBorders>
          </w:tcPr>
          <w:p>
            <w:pPr>
              <w:pStyle w:val="TableParagraph"/>
              <w:spacing w:before="8"/>
              <w:jc w:val="left"/>
              <w:rPr>
                <w:b/>
                <w:sz w:val="21"/>
              </w:rPr>
            </w:pPr>
          </w:p>
          <w:p>
            <w:pPr>
              <w:pStyle w:val="TableParagraph"/>
              <w:ind w:left="88" w:right="69"/>
              <w:rPr>
                <w:sz w:val="22"/>
              </w:rPr>
            </w:pPr>
            <w:r>
              <w:rPr>
                <w:sz w:val="22"/>
              </w:rPr>
              <w:t>04</w:t>
            </w:r>
          </w:p>
        </w:tc>
        <w:tc>
          <w:tcPr>
            <w:tcW w:w="569" w:type="dxa"/>
            <w:tcBorders>
              <w:top w:val="single" w:sz="4" w:space="0" w:color="000000"/>
              <w:left w:val="single" w:sz="17" w:space="0" w:color="000000"/>
              <w:right w:val="single" w:sz="4" w:space="0" w:color="000000"/>
            </w:tcBorders>
          </w:tcPr>
          <w:p>
            <w:pPr>
              <w:pStyle w:val="TableParagraph"/>
              <w:spacing w:before="8"/>
              <w:jc w:val="left"/>
              <w:rPr>
                <w:b/>
                <w:sz w:val="21"/>
              </w:rPr>
            </w:pPr>
          </w:p>
          <w:p>
            <w:pPr>
              <w:pStyle w:val="TableParagraph"/>
              <w:ind w:left="115" w:right="127"/>
              <w:rPr>
                <w:sz w:val="22"/>
              </w:rPr>
            </w:pPr>
            <w:r>
              <w:rPr>
                <w:sz w:val="22"/>
              </w:rPr>
              <w:t>06</w:t>
            </w:r>
          </w:p>
        </w:tc>
        <w:tc>
          <w:tcPr>
            <w:tcW w:w="564" w:type="dxa"/>
            <w:tcBorders>
              <w:top w:val="single" w:sz="4" w:space="0" w:color="000000"/>
              <w:left w:val="single" w:sz="4" w:space="0" w:color="000000"/>
              <w:right w:val="single" w:sz="17" w:space="0" w:color="000000"/>
            </w:tcBorders>
          </w:tcPr>
          <w:p>
            <w:pPr>
              <w:pStyle w:val="TableParagraph"/>
              <w:spacing w:before="8"/>
              <w:jc w:val="left"/>
              <w:rPr>
                <w:b/>
                <w:sz w:val="21"/>
              </w:rPr>
            </w:pPr>
          </w:p>
          <w:p>
            <w:pPr>
              <w:pStyle w:val="TableParagraph"/>
              <w:ind w:left="52" w:right="41"/>
              <w:rPr>
                <w:sz w:val="22"/>
              </w:rPr>
            </w:pPr>
            <w:r>
              <w:rPr>
                <w:sz w:val="22"/>
              </w:rPr>
              <w:t>0,0</w:t>
            </w:r>
          </w:p>
        </w:tc>
        <w:tc>
          <w:tcPr>
            <w:tcW w:w="713" w:type="dxa"/>
            <w:tcBorders>
              <w:top w:val="single" w:sz="4" w:space="0" w:color="000000"/>
              <w:left w:val="single" w:sz="17" w:space="0" w:color="000000"/>
              <w:right w:val="single" w:sz="4" w:space="0" w:color="000000"/>
            </w:tcBorders>
          </w:tcPr>
          <w:p>
            <w:pPr>
              <w:pStyle w:val="TableParagraph"/>
              <w:spacing w:before="8"/>
              <w:jc w:val="left"/>
              <w:rPr>
                <w:b/>
                <w:sz w:val="21"/>
              </w:rPr>
            </w:pPr>
          </w:p>
          <w:p>
            <w:pPr>
              <w:pStyle w:val="TableParagraph"/>
              <w:ind w:left="187" w:right="209"/>
              <w:rPr>
                <w:sz w:val="22"/>
              </w:rPr>
            </w:pPr>
            <w:r>
              <w:rPr>
                <w:sz w:val="22"/>
              </w:rPr>
              <w:t>06</w:t>
            </w:r>
          </w:p>
        </w:tc>
        <w:tc>
          <w:tcPr>
            <w:tcW w:w="704" w:type="dxa"/>
            <w:tcBorders>
              <w:top w:val="single" w:sz="4" w:space="0" w:color="000000"/>
              <w:left w:val="single" w:sz="4" w:space="0" w:color="000000"/>
            </w:tcBorders>
          </w:tcPr>
          <w:p>
            <w:pPr>
              <w:pStyle w:val="TableParagraph"/>
              <w:spacing w:before="8"/>
              <w:jc w:val="left"/>
              <w:rPr>
                <w:b/>
                <w:sz w:val="21"/>
              </w:rPr>
            </w:pPr>
          </w:p>
          <w:p>
            <w:pPr>
              <w:pStyle w:val="TableParagraph"/>
              <w:ind w:left="114" w:right="94"/>
              <w:rPr>
                <w:sz w:val="22"/>
              </w:rPr>
            </w:pPr>
            <w:r>
              <w:rPr>
                <w:sz w:val="22"/>
              </w:rPr>
              <w:t>8,33</w:t>
            </w:r>
          </w:p>
        </w:tc>
        <w:tc>
          <w:tcPr>
            <w:tcW w:w="867" w:type="dxa"/>
            <w:tcBorders>
              <w:top w:val="single" w:sz="4" w:space="0" w:color="000000"/>
              <w:right w:val="single" w:sz="4" w:space="0" w:color="000000"/>
            </w:tcBorders>
          </w:tcPr>
          <w:p>
            <w:pPr>
              <w:pStyle w:val="TableParagraph"/>
              <w:spacing w:before="8"/>
              <w:jc w:val="left"/>
              <w:rPr>
                <w:b/>
                <w:sz w:val="21"/>
              </w:rPr>
            </w:pPr>
          </w:p>
          <w:p>
            <w:pPr>
              <w:pStyle w:val="TableParagraph"/>
              <w:ind w:left="263" w:right="275"/>
              <w:rPr>
                <w:sz w:val="22"/>
              </w:rPr>
            </w:pPr>
            <w:r>
              <w:rPr>
                <w:sz w:val="22"/>
              </w:rPr>
              <w:t>06</w:t>
            </w:r>
          </w:p>
        </w:tc>
        <w:tc>
          <w:tcPr>
            <w:tcW w:w="694" w:type="dxa"/>
            <w:tcBorders>
              <w:top w:val="single" w:sz="4" w:space="0" w:color="000000"/>
              <w:left w:val="single" w:sz="4" w:space="0" w:color="000000"/>
            </w:tcBorders>
          </w:tcPr>
          <w:p>
            <w:pPr>
              <w:pStyle w:val="TableParagraph"/>
              <w:spacing w:before="8"/>
              <w:jc w:val="left"/>
              <w:rPr>
                <w:b/>
                <w:sz w:val="21"/>
              </w:rPr>
            </w:pPr>
          </w:p>
          <w:p>
            <w:pPr>
              <w:pStyle w:val="TableParagraph"/>
              <w:ind w:left="43" w:right="32"/>
              <w:rPr>
                <w:sz w:val="22"/>
              </w:rPr>
            </w:pPr>
            <w:r>
              <w:rPr>
                <w:sz w:val="22"/>
              </w:rPr>
              <w:t>45,83</w:t>
            </w:r>
          </w:p>
        </w:tc>
        <w:tc>
          <w:tcPr>
            <w:tcW w:w="685" w:type="dxa"/>
            <w:tcBorders>
              <w:top w:val="single" w:sz="4" w:space="0" w:color="000000"/>
              <w:right w:val="single" w:sz="4" w:space="0" w:color="000000"/>
            </w:tcBorders>
          </w:tcPr>
          <w:p>
            <w:pPr>
              <w:pStyle w:val="TableParagraph"/>
              <w:spacing w:before="8"/>
              <w:jc w:val="left"/>
              <w:rPr>
                <w:b/>
                <w:sz w:val="21"/>
              </w:rPr>
            </w:pPr>
          </w:p>
          <w:p>
            <w:pPr>
              <w:pStyle w:val="TableParagraph"/>
              <w:ind w:left="196"/>
              <w:jc w:val="left"/>
              <w:rPr>
                <w:sz w:val="22"/>
              </w:rPr>
            </w:pPr>
            <w:r>
              <w:rPr>
                <w:sz w:val="22"/>
              </w:rPr>
              <w:t>06</w:t>
            </w:r>
          </w:p>
        </w:tc>
        <w:tc>
          <w:tcPr>
            <w:tcW w:w="963" w:type="dxa"/>
            <w:tcBorders>
              <w:top w:val="single" w:sz="4" w:space="0" w:color="000000"/>
              <w:left w:val="single" w:sz="4" w:space="0" w:color="000000"/>
            </w:tcBorders>
          </w:tcPr>
          <w:p>
            <w:pPr>
              <w:pStyle w:val="TableParagraph"/>
              <w:spacing w:before="8"/>
              <w:jc w:val="left"/>
              <w:rPr>
                <w:b/>
                <w:sz w:val="21"/>
              </w:rPr>
            </w:pPr>
          </w:p>
          <w:p>
            <w:pPr>
              <w:pStyle w:val="TableParagraph"/>
              <w:ind w:left="178" w:right="167"/>
              <w:rPr>
                <w:sz w:val="22"/>
              </w:rPr>
            </w:pPr>
            <w:r>
              <w:rPr>
                <w:sz w:val="22"/>
              </w:rPr>
              <w:t>45,84</w:t>
            </w:r>
          </w:p>
        </w:tc>
      </w:tr>
    </w:tbl>
    <w:p>
      <w:pPr>
        <w:spacing w:before="0"/>
        <w:ind w:left="308" w:right="0" w:firstLine="0"/>
        <w:jc w:val="left"/>
        <w:rPr>
          <w:sz w:val="22"/>
        </w:rPr>
      </w:pPr>
      <w:r>
        <w:rPr>
          <w:sz w:val="20"/>
        </w:rPr>
        <w:t>Fonte: Dados da Pesquisa – Mestrado – Pinho (2014)</w:t>
      </w:r>
      <w:r>
        <w:rPr>
          <w:sz w:val="22"/>
        </w:rPr>
        <w:t>.</w:t>
      </w:r>
    </w:p>
    <w:p>
      <w:pPr>
        <w:pStyle w:val="BodyText"/>
      </w:pPr>
    </w:p>
    <w:p>
      <w:pPr>
        <w:pStyle w:val="BodyText"/>
      </w:pPr>
    </w:p>
    <w:p>
      <w:pPr>
        <w:pStyle w:val="BodyText"/>
        <w:spacing w:before="5"/>
        <w:rPr>
          <w:sz w:val="23"/>
        </w:rPr>
      </w:pPr>
    </w:p>
    <w:p>
      <w:pPr>
        <w:spacing w:before="0" w:after="10"/>
        <w:ind w:left="639" w:right="0" w:firstLine="0"/>
        <w:jc w:val="left"/>
        <w:rPr>
          <w:b/>
          <w:sz w:val="20"/>
        </w:rPr>
      </w:pPr>
      <w:r>
        <w:rPr>
          <w:b/>
          <w:sz w:val="20"/>
        </w:rPr>
        <w:t>Quadro 10: Categoria III – Plano Estratégico e de Ação na percepção dos professores</w:t>
      </w:r>
    </w:p>
    <w:tbl>
      <w:tblPr>
        <w:tblW w:w="0" w:type="auto"/>
        <w:jc w:val="left"/>
        <w:tblInd w:w="284"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245"/>
        <w:gridCol w:w="1131"/>
        <w:gridCol w:w="569"/>
        <w:gridCol w:w="848"/>
        <w:gridCol w:w="569"/>
        <w:gridCol w:w="852"/>
        <w:gridCol w:w="569"/>
        <w:gridCol w:w="848"/>
        <w:gridCol w:w="569"/>
        <w:gridCol w:w="876"/>
      </w:tblGrid>
      <w:tr>
        <w:trPr>
          <w:trHeight w:val="281" w:hRule="exact"/>
        </w:trPr>
        <w:tc>
          <w:tcPr>
            <w:tcW w:w="3376" w:type="dxa"/>
            <w:gridSpan w:val="2"/>
            <w:vMerge w:val="restart"/>
            <w:tcBorders>
              <w:top w:val="nil"/>
              <w:left w:val="nil"/>
            </w:tcBorders>
          </w:tcPr>
          <w:p>
            <w:pPr/>
          </w:p>
        </w:tc>
        <w:tc>
          <w:tcPr>
            <w:tcW w:w="5700" w:type="dxa"/>
            <w:gridSpan w:val="8"/>
            <w:tcBorders>
              <w:bottom w:val="single" w:sz="4" w:space="0" w:color="000000"/>
            </w:tcBorders>
          </w:tcPr>
          <w:p>
            <w:pPr>
              <w:pStyle w:val="TableParagraph"/>
              <w:spacing w:line="225" w:lineRule="exact"/>
              <w:ind w:left="2210" w:right="2216"/>
              <w:rPr>
                <w:b/>
                <w:sz w:val="20"/>
              </w:rPr>
            </w:pPr>
            <w:r>
              <w:rPr>
                <w:b/>
                <w:sz w:val="20"/>
              </w:rPr>
              <w:t>AVALIAÇÃO</w:t>
            </w:r>
          </w:p>
        </w:tc>
      </w:tr>
      <w:tr>
        <w:trPr>
          <w:trHeight w:val="1640" w:hRule="exact"/>
        </w:trPr>
        <w:tc>
          <w:tcPr>
            <w:tcW w:w="3376" w:type="dxa"/>
            <w:gridSpan w:val="2"/>
            <w:vMerge/>
            <w:tcBorders>
              <w:left w:val="nil"/>
            </w:tcBorders>
          </w:tcPr>
          <w:p>
            <w:pPr/>
          </w:p>
        </w:tc>
        <w:tc>
          <w:tcPr>
            <w:tcW w:w="1416" w:type="dxa"/>
            <w:gridSpan w:val="2"/>
            <w:tcBorders>
              <w:top w:val="single" w:sz="4" w:space="0" w:color="000000"/>
              <w:bottom w:val="single" w:sz="4" w:space="0" w:color="000000"/>
            </w:tcBorders>
          </w:tcPr>
          <w:p>
            <w:pPr>
              <w:pStyle w:val="TableParagraph"/>
              <w:jc w:val="left"/>
              <w:rPr>
                <w:b/>
                <w:sz w:val="22"/>
              </w:rPr>
            </w:pPr>
          </w:p>
          <w:p>
            <w:pPr>
              <w:pStyle w:val="TableParagraph"/>
              <w:spacing w:before="198"/>
              <w:ind w:left="71" w:right="74" w:firstLine="6"/>
              <w:rPr>
                <w:b/>
                <w:sz w:val="20"/>
              </w:rPr>
            </w:pPr>
            <w:r>
              <w:rPr>
                <w:b/>
                <w:sz w:val="20"/>
              </w:rPr>
              <w:t>Nunca ou quase nunca (1-2)</w:t>
            </w:r>
          </w:p>
        </w:tc>
        <w:tc>
          <w:tcPr>
            <w:tcW w:w="1421" w:type="dxa"/>
            <w:gridSpan w:val="2"/>
            <w:tcBorders>
              <w:top w:val="single" w:sz="4" w:space="0" w:color="000000"/>
              <w:bottom w:val="single" w:sz="4" w:space="0" w:color="000000"/>
            </w:tcBorders>
          </w:tcPr>
          <w:p>
            <w:pPr>
              <w:pStyle w:val="TableParagraph"/>
              <w:jc w:val="left"/>
              <w:rPr>
                <w:b/>
                <w:sz w:val="22"/>
              </w:rPr>
            </w:pPr>
          </w:p>
          <w:p>
            <w:pPr>
              <w:pStyle w:val="TableParagraph"/>
              <w:spacing w:before="198"/>
              <w:ind w:left="62" w:right="64" w:hanging="8"/>
              <w:rPr>
                <w:b/>
                <w:sz w:val="20"/>
              </w:rPr>
            </w:pPr>
            <w:r>
              <w:rPr>
                <w:b/>
                <w:sz w:val="20"/>
              </w:rPr>
              <w:t>Às vezes. Ocasionalme nte (3-4-5)</w:t>
            </w:r>
          </w:p>
        </w:tc>
        <w:tc>
          <w:tcPr>
            <w:tcW w:w="1417" w:type="dxa"/>
            <w:gridSpan w:val="2"/>
            <w:tcBorders>
              <w:top w:val="single" w:sz="4" w:space="0" w:color="000000"/>
              <w:bottom w:val="single" w:sz="4" w:space="0" w:color="000000"/>
            </w:tcBorders>
          </w:tcPr>
          <w:p>
            <w:pPr>
              <w:pStyle w:val="TableParagraph"/>
              <w:spacing w:before="105"/>
              <w:ind w:left="18" w:right="15"/>
              <w:rPr>
                <w:b/>
                <w:sz w:val="20"/>
              </w:rPr>
            </w:pPr>
            <w:r>
              <w:rPr>
                <w:b/>
                <w:sz w:val="20"/>
              </w:rPr>
              <w:t>Muitas vezes ou ocasiões.</w:t>
            </w:r>
          </w:p>
          <w:p>
            <w:pPr>
              <w:pStyle w:val="TableParagraph"/>
              <w:ind w:left="81" w:right="85" w:firstLine="6"/>
              <w:rPr>
                <w:b/>
                <w:sz w:val="20"/>
              </w:rPr>
            </w:pPr>
            <w:r>
              <w:rPr>
                <w:b/>
                <w:sz w:val="20"/>
              </w:rPr>
              <w:t>Existem evidências do indicador (6-7-8)</w:t>
            </w:r>
          </w:p>
        </w:tc>
        <w:tc>
          <w:tcPr>
            <w:tcW w:w="1445" w:type="dxa"/>
            <w:gridSpan w:val="2"/>
            <w:tcBorders>
              <w:top w:val="single" w:sz="4" w:space="0" w:color="000000"/>
              <w:bottom w:val="single" w:sz="4" w:space="0" w:color="000000"/>
            </w:tcBorders>
          </w:tcPr>
          <w:p>
            <w:pPr>
              <w:pStyle w:val="TableParagraph"/>
              <w:ind w:left="52" w:right="58"/>
              <w:rPr>
                <w:b/>
                <w:sz w:val="20"/>
              </w:rPr>
            </w:pPr>
            <w:r>
              <w:rPr>
                <w:b/>
                <w:sz w:val="20"/>
              </w:rPr>
              <w:t>De continuo. Evidências claras de aparição do indicador ou característica (9-10)</w:t>
            </w:r>
          </w:p>
        </w:tc>
      </w:tr>
      <w:tr>
        <w:trPr>
          <w:trHeight w:val="274" w:hRule="exact"/>
        </w:trPr>
        <w:tc>
          <w:tcPr>
            <w:tcW w:w="2245" w:type="dxa"/>
            <w:tcBorders>
              <w:right w:val="single" w:sz="4" w:space="0" w:color="000000"/>
            </w:tcBorders>
          </w:tcPr>
          <w:p>
            <w:pPr>
              <w:pStyle w:val="TableParagraph"/>
              <w:spacing w:line="220" w:lineRule="exact"/>
              <w:ind w:left="604"/>
              <w:jc w:val="left"/>
              <w:rPr>
                <w:b/>
                <w:sz w:val="20"/>
              </w:rPr>
            </w:pPr>
            <w:r>
              <w:rPr>
                <w:b/>
                <w:sz w:val="20"/>
              </w:rPr>
              <w:t>Parâmetro</w:t>
            </w:r>
          </w:p>
        </w:tc>
        <w:tc>
          <w:tcPr>
            <w:tcW w:w="1131" w:type="dxa"/>
            <w:tcBorders>
              <w:left w:val="single" w:sz="4" w:space="0" w:color="000000"/>
            </w:tcBorders>
          </w:tcPr>
          <w:p>
            <w:pPr>
              <w:pStyle w:val="TableParagraph"/>
              <w:spacing w:line="220" w:lineRule="exact"/>
              <w:ind w:left="131" w:right="121"/>
              <w:rPr>
                <w:b/>
                <w:sz w:val="20"/>
              </w:rPr>
            </w:pPr>
            <w:r>
              <w:rPr>
                <w:b/>
                <w:sz w:val="20"/>
              </w:rPr>
              <w:t>Amostra</w:t>
            </w:r>
          </w:p>
        </w:tc>
        <w:tc>
          <w:tcPr>
            <w:tcW w:w="569" w:type="dxa"/>
            <w:tcBorders>
              <w:top w:val="single" w:sz="4" w:space="0" w:color="000000"/>
              <w:right w:val="single" w:sz="4" w:space="0" w:color="000000"/>
            </w:tcBorders>
          </w:tcPr>
          <w:p>
            <w:pPr>
              <w:pStyle w:val="TableParagraph"/>
              <w:spacing w:before="7"/>
              <w:ind w:left="115" w:right="132"/>
              <w:rPr>
                <w:b/>
                <w:sz w:val="20"/>
              </w:rPr>
            </w:pPr>
            <w:r>
              <w:rPr>
                <w:b/>
                <w:sz w:val="20"/>
              </w:rPr>
              <w:t>Nº</w:t>
            </w:r>
          </w:p>
        </w:tc>
        <w:tc>
          <w:tcPr>
            <w:tcW w:w="848" w:type="dxa"/>
            <w:tcBorders>
              <w:top w:val="single" w:sz="4" w:space="0" w:color="000000"/>
              <w:left w:val="single" w:sz="4" w:space="0" w:color="000000"/>
            </w:tcBorders>
          </w:tcPr>
          <w:p>
            <w:pPr>
              <w:pStyle w:val="TableParagraph"/>
              <w:spacing w:before="7"/>
              <w:ind w:right="313"/>
              <w:jc w:val="right"/>
              <w:rPr>
                <w:b/>
                <w:sz w:val="20"/>
              </w:rPr>
            </w:pPr>
            <w:r>
              <w:rPr>
                <w:b/>
                <w:w w:val="100"/>
                <w:sz w:val="20"/>
              </w:rPr>
              <w:t>%</w:t>
            </w:r>
          </w:p>
        </w:tc>
        <w:tc>
          <w:tcPr>
            <w:tcW w:w="569" w:type="dxa"/>
            <w:tcBorders>
              <w:top w:val="single" w:sz="4" w:space="0" w:color="000000"/>
              <w:right w:val="single" w:sz="4" w:space="0" w:color="000000"/>
            </w:tcBorders>
          </w:tcPr>
          <w:p>
            <w:pPr>
              <w:pStyle w:val="TableParagraph"/>
              <w:spacing w:before="7"/>
              <w:ind w:left="129" w:right="146"/>
              <w:rPr>
                <w:b/>
                <w:sz w:val="20"/>
              </w:rPr>
            </w:pPr>
            <w:r>
              <w:rPr>
                <w:b/>
                <w:sz w:val="20"/>
              </w:rPr>
              <w:t>Nº</w:t>
            </w:r>
          </w:p>
        </w:tc>
        <w:tc>
          <w:tcPr>
            <w:tcW w:w="852" w:type="dxa"/>
            <w:tcBorders>
              <w:top w:val="single" w:sz="4" w:space="0" w:color="000000"/>
              <w:left w:val="single" w:sz="4" w:space="0" w:color="000000"/>
            </w:tcBorders>
          </w:tcPr>
          <w:p>
            <w:pPr>
              <w:pStyle w:val="TableParagraph"/>
              <w:spacing w:before="7"/>
              <w:ind w:left="6"/>
              <w:rPr>
                <w:b/>
                <w:sz w:val="20"/>
              </w:rPr>
            </w:pPr>
            <w:r>
              <w:rPr>
                <w:b/>
                <w:w w:val="100"/>
                <w:sz w:val="20"/>
              </w:rPr>
              <w:t>%</w:t>
            </w:r>
          </w:p>
        </w:tc>
        <w:tc>
          <w:tcPr>
            <w:tcW w:w="569" w:type="dxa"/>
            <w:tcBorders>
              <w:top w:val="single" w:sz="4" w:space="0" w:color="000000"/>
              <w:right w:val="single" w:sz="4" w:space="0" w:color="000000"/>
            </w:tcBorders>
          </w:tcPr>
          <w:p>
            <w:pPr>
              <w:pStyle w:val="TableParagraph"/>
              <w:spacing w:before="7"/>
              <w:ind w:left="129" w:right="146"/>
              <w:rPr>
                <w:b/>
                <w:sz w:val="20"/>
              </w:rPr>
            </w:pPr>
            <w:r>
              <w:rPr>
                <w:b/>
                <w:sz w:val="20"/>
              </w:rPr>
              <w:t>Nº</w:t>
            </w:r>
          </w:p>
        </w:tc>
        <w:tc>
          <w:tcPr>
            <w:tcW w:w="848" w:type="dxa"/>
            <w:tcBorders>
              <w:top w:val="single" w:sz="4" w:space="0" w:color="000000"/>
              <w:left w:val="single" w:sz="4" w:space="0" w:color="000000"/>
            </w:tcBorders>
          </w:tcPr>
          <w:p>
            <w:pPr>
              <w:pStyle w:val="TableParagraph"/>
              <w:spacing w:before="7"/>
              <w:ind w:left="10"/>
              <w:rPr>
                <w:b/>
                <w:sz w:val="20"/>
              </w:rPr>
            </w:pPr>
            <w:r>
              <w:rPr>
                <w:b/>
                <w:w w:val="100"/>
                <w:sz w:val="20"/>
              </w:rPr>
              <w:t>%</w:t>
            </w:r>
          </w:p>
        </w:tc>
        <w:tc>
          <w:tcPr>
            <w:tcW w:w="569" w:type="dxa"/>
            <w:tcBorders>
              <w:top w:val="single" w:sz="4" w:space="0" w:color="000000"/>
              <w:right w:val="single" w:sz="4" w:space="0" w:color="000000"/>
            </w:tcBorders>
          </w:tcPr>
          <w:p>
            <w:pPr>
              <w:pStyle w:val="TableParagraph"/>
              <w:spacing w:before="7"/>
              <w:ind w:left="115" w:right="132"/>
              <w:rPr>
                <w:b/>
                <w:sz w:val="20"/>
              </w:rPr>
            </w:pPr>
            <w:r>
              <w:rPr>
                <w:b/>
                <w:sz w:val="20"/>
              </w:rPr>
              <w:t>Nº</w:t>
            </w:r>
          </w:p>
        </w:tc>
        <w:tc>
          <w:tcPr>
            <w:tcW w:w="876" w:type="dxa"/>
            <w:tcBorders>
              <w:top w:val="single" w:sz="4" w:space="0" w:color="000000"/>
              <w:left w:val="single" w:sz="4" w:space="0" w:color="000000"/>
            </w:tcBorders>
          </w:tcPr>
          <w:p>
            <w:pPr>
              <w:pStyle w:val="TableParagraph"/>
              <w:spacing w:before="7"/>
              <w:ind w:left="10"/>
              <w:rPr>
                <w:b/>
                <w:sz w:val="20"/>
              </w:rPr>
            </w:pPr>
            <w:r>
              <w:rPr>
                <w:b/>
                <w:w w:val="100"/>
                <w:sz w:val="20"/>
              </w:rPr>
              <w:t>%</w:t>
            </w:r>
          </w:p>
        </w:tc>
      </w:tr>
      <w:tr>
        <w:trPr>
          <w:trHeight w:val="257" w:hRule="exact"/>
        </w:trPr>
        <w:tc>
          <w:tcPr>
            <w:tcW w:w="2245" w:type="dxa"/>
            <w:tcBorders>
              <w:bottom w:val="single" w:sz="4" w:space="0" w:color="000000"/>
              <w:right w:val="single" w:sz="4" w:space="0" w:color="000000"/>
            </w:tcBorders>
          </w:tcPr>
          <w:p>
            <w:pPr>
              <w:pStyle w:val="TableParagraph"/>
              <w:spacing w:line="225" w:lineRule="exact"/>
              <w:ind w:left="28"/>
              <w:jc w:val="left"/>
              <w:rPr>
                <w:sz w:val="20"/>
              </w:rPr>
            </w:pPr>
            <w:r>
              <w:rPr>
                <w:sz w:val="20"/>
              </w:rPr>
              <w:t>Currículo Polivalente</w:t>
            </w:r>
          </w:p>
        </w:tc>
        <w:tc>
          <w:tcPr>
            <w:tcW w:w="1131" w:type="dxa"/>
            <w:tcBorders>
              <w:left w:val="single" w:sz="4" w:space="0" w:color="000000"/>
              <w:bottom w:val="single" w:sz="4" w:space="0" w:color="000000"/>
            </w:tcBorders>
          </w:tcPr>
          <w:p>
            <w:pPr>
              <w:pStyle w:val="TableParagraph"/>
              <w:spacing w:line="225" w:lineRule="exact"/>
              <w:ind w:left="130" w:right="121"/>
              <w:rPr>
                <w:sz w:val="20"/>
              </w:rPr>
            </w:pPr>
            <w:r>
              <w:rPr>
                <w:sz w:val="20"/>
              </w:rPr>
              <w:t>06</w:t>
            </w:r>
          </w:p>
        </w:tc>
        <w:tc>
          <w:tcPr>
            <w:tcW w:w="569" w:type="dxa"/>
            <w:tcBorders>
              <w:bottom w:val="single" w:sz="4" w:space="0" w:color="000000"/>
              <w:right w:val="single" w:sz="4" w:space="0" w:color="000000"/>
            </w:tcBorders>
          </w:tcPr>
          <w:p>
            <w:pPr>
              <w:pStyle w:val="TableParagraph"/>
              <w:spacing w:line="225" w:lineRule="exact"/>
              <w:ind w:left="112" w:right="134"/>
              <w:rPr>
                <w:sz w:val="20"/>
              </w:rPr>
            </w:pPr>
            <w:r>
              <w:rPr>
                <w:sz w:val="20"/>
              </w:rPr>
              <w:t>06</w:t>
            </w:r>
          </w:p>
        </w:tc>
        <w:tc>
          <w:tcPr>
            <w:tcW w:w="848" w:type="dxa"/>
            <w:tcBorders>
              <w:left w:val="single" w:sz="4" w:space="0" w:color="000000"/>
              <w:bottom w:val="single" w:sz="4" w:space="0" w:color="000000"/>
            </w:tcBorders>
          </w:tcPr>
          <w:p>
            <w:pPr>
              <w:pStyle w:val="TableParagraph"/>
              <w:spacing w:line="225" w:lineRule="exact"/>
              <w:ind w:right="207"/>
              <w:jc w:val="right"/>
              <w:rPr>
                <w:sz w:val="20"/>
              </w:rPr>
            </w:pPr>
            <w:r>
              <w:rPr>
                <w:sz w:val="20"/>
              </w:rPr>
              <w:t>2,78</w:t>
            </w:r>
          </w:p>
        </w:tc>
        <w:tc>
          <w:tcPr>
            <w:tcW w:w="569" w:type="dxa"/>
            <w:tcBorders>
              <w:bottom w:val="single" w:sz="4" w:space="0" w:color="000000"/>
              <w:right w:val="single" w:sz="4" w:space="0" w:color="000000"/>
            </w:tcBorders>
          </w:tcPr>
          <w:p>
            <w:pPr>
              <w:pStyle w:val="TableParagraph"/>
              <w:spacing w:line="225" w:lineRule="exact"/>
              <w:ind w:left="129" w:right="151"/>
              <w:rPr>
                <w:sz w:val="20"/>
              </w:rPr>
            </w:pPr>
            <w:r>
              <w:rPr>
                <w:sz w:val="20"/>
              </w:rPr>
              <w:t>06</w:t>
            </w:r>
          </w:p>
        </w:tc>
        <w:tc>
          <w:tcPr>
            <w:tcW w:w="852" w:type="dxa"/>
            <w:tcBorders>
              <w:left w:val="single" w:sz="4" w:space="0" w:color="000000"/>
              <w:bottom w:val="single" w:sz="4" w:space="0" w:color="000000"/>
            </w:tcBorders>
          </w:tcPr>
          <w:p>
            <w:pPr>
              <w:pStyle w:val="TableParagraph"/>
              <w:spacing w:line="225" w:lineRule="exact"/>
              <w:ind w:left="148" w:right="137"/>
              <w:rPr>
                <w:sz w:val="20"/>
              </w:rPr>
            </w:pPr>
            <w:r>
              <w:rPr>
                <w:sz w:val="20"/>
              </w:rPr>
              <w:t>47,22</w:t>
            </w:r>
          </w:p>
        </w:tc>
        <w:tc>
          <w:tcPr>
            <w:tcW w:w="569" w:type="dxa"/>
            <w:tcBorders>
              <w:bottom w:val="single" w:sz="4" w:space="0" w:color="000000"/>
              <w:right w:val="single" w:sz="4" w:space="0" w:color="000000"/>
            </w:tcBorders>
          </w:tcPr>
          <w:p>
            <w:pPr>
              <w:pStyle w:val="TableParagraph"/>
              <w:spacing w:line="225" w:lineRule="exact"/>
              <w:ind w:left="124" w:right="146"/>
              <w:rPr>
                <w:sz w:val="20"/>
              </w:rPr>
            </w:pPr>
            <w:r>
              <w:rPr>
                <w:sz w:val="20"/>
              </w:rPr>
              <w:t>06</w:t>
            </w:r>
          </w:p>
        </w:tc>
        <w:tc>
          <w:tcPr>
            <w:tcW w:w="848" w:type="dxa"/>
            <w:tcBorders>
              <w:left w:val="single" w:sz="4" w:space="0" w:color="000000"/>
              <w:bottom w:val="single" w:sz="4" w:space="0" w:color="000000"/>
            </w:tcBorders>
          </w:tcPr>
          <w:p>
            <w:pPr>
              <w:pStyle w:val="TableParagraph"/>
              <w:spacing w:line="225" w:lineRule="exact"/>
              <w:ind w:left="120" w:right="105"/>
              <w:rPr>
                <w:sz w:val="20"/>
              </w:rPr>
            </w:pPr>
            <w:r>
              <w:rPr>
                <w:sz w:val="20"/>
              </w:rPr>
              <w:t>30,56</w:t>
            </w:r>
          </w:p>
        </w:tc>
        <w:tc>
          <w:tcPr>
            <w:tcW w:w="569" w:type="dxa"/>
            <w:tcBorders>
              <w:bottom w:val="single" w:sz="4" w:space="0" w:color="000000"/>
              <w:right w:val="single" w:sz="4" w:space="0" w:color="000000"/>
            </w:tcBorders>
          </w:tcPr>
          <w:p>
            <w:pPr>
              <w:pStyle w:val="TableParagraph"/>
              <w:spacing w:line="225" w:lineRule="exact"/>
              <w:ind w:left="112" w:right="134"/>
              <w:rPr>
                <w:sz w:val="20"/>
              </w:rPr>
            </w:pPr>
            <w:r>
              <w:rPr>
                <w:sz w:val="20"/>
              </w:rPr>
              <w:t>06</w:t>
            </w:r>
          </w:p>
        </w:tc>
        <w:tc>
          <w:tcPr>
            <w:tcW w:w="876" w:type="dxa"/>
            <w:tcBorders>
              <w:left w:val="single" w:sz="4" w:space="0" w:color="000000"/>
              <w:bottom w:val="single" w:sz="4" w:space="0" w:color="000000"/>
            </w:tcBorders>
          </w:tcPr>
          <w:p>
            <w:pPr>
              <w:pStyle w:val="TableParagraph"/>
              <w:spacing w:line="225" w:lineRule="exact"/>
              <w:ind w:left="162" w:right="147"/>
              <w:rPr>
                <w:sz w:val="20"/>
              </w:rPr>
            </w:pPr>
            <w:r>
              <w:rPr>
                <w:sz w:val="20"/>
              </w:rPr>
              <w:t>19,45</w:t>
            </w:r>
          </w:p>
        </w:tc>
      </w:tr>
      <w:tr>
        <w:trPr>
          <w:trHeight w:val="634" w:hRule="exact"/>
        </w:trPr>
        <w:tc>
          <w:tcPr>
            <w:tcW w:w="2245" w:type="dxa"/>
            <w:tcBorders>
              <w:top w:val="single" w:sz="4" w:space="0" w:color="000000"/>
              <w:bottom w:val="single" w:sz="4" w:space="0" w:color="000000"/>
              <w:right w:val="single" w:sz="4" w:space="0" w:color="000000"/>
            </w:tcBorders>
          </w:tcPr>
          <w:p>
            <w:pPr>
              <w:pStyle w:val="TableParagraph"/>
              <w:tabs>
                <w:tab w:pos="2068" w:val="left" w:leader="none"/>
              </w:tabs>
              <w:spacing w:line="242" w:lineRule="auto"/>
              <w:ind w:left="28" w:right="46"/>
              <w:jc w:val="left"/>
              <w:rPr>
                <w:sz w:val="18"/>
              </w:rPr>
            </w:pPr>
            <w:r>
              <w:rPr>
                <w:sz w:val="18"/>
              </w:rPr>
              <w:t>Metodologia</w:t>
              <w:tab/>
              <w:t>e Estratégicas Diversificadas</w:t>
            </w:r>
          </w:p>
        </w:tc>
        <w:tc>
          <w:tcPr>
            <w:tcW w:w="1131" w:type="dxa"/>
            <w:tcBorders>
              <w:top w:val="single" w:sz="4" w:space="0" w:color="000000"/>
              <w:left w:val="single" w:sz="4" w:space="0" w:color="000000"/>
              <w:bottom w:val="single" w:sz="4" w:space="0" w:color="000000"/>
            </w:tcBorders>
          </w:tcPr>
          <w:p>
            <w:pPr>
              <w:pStyle w:val="TableParagraph"/>
              <w:spacing w:before="191"/>
              <w:ind w:left="130" w:right="121"/>
              <w:rPr>
                <w:sz w:val="20"/>
              </w:rPr>
            </w:pPr>
            <w:r>
              <w:rPr>
                <w:sz w:val="20"/>
              </w:rPr>
              <w:t>06</w:t>
            </w:r>
          </w:p>
        </w:tc>
        <w:tc>
          <w:tcPr>
            <w:tcW w:w="569" w:type="dxa"/>
            <w:tcBorders>
              <w:top w:val="single" w:sz="4" w:space="0" w:color="000000"/>
              <w:bottom w:val="single" w:sz="4" w:space="0" w:color="000000"/>
              <w:right w:val="single" w:sz="4" w:space="0" w:color="000000"/>
            </w:tcBorders>
          </w:tcPr>
          <w:p>
            <w:pPr>
              <w:pStyle w:val="TableParagraph"/>
              <w:spacing w:before="191"/>
              <w:ind w:left="112" w:right="134"/>
              <w:rPr>
                <w:sz w:val="20"/>
              </w:rPr>
            </w:pPr>
            <w:r>
              <w:rPr>
                <w:sz w:val="20"/>
              </w:rPr>
              <w:t>06</w:t>
            </w:r>
          </w:p>
        </w:tc>
        <w:tc>
          <w:tcPr>
            <w:tcW w:w="848" w:type="dxa"/>
            <w:tcBorders>
              <w:top w:val="single" w:sz="4" w:space="0" w:color="000000"/>
              <w:left w:val="single" w:sz="4" w:space="0" w:color="000000"/>
              <w:bottom w:val="single" w:sz="4" w:space="0" w:color="000000"/>
            </w:tcBorders>
          </w:tcPr>
          <w:p>
            <w:pPr>
              <w:pStyle w:val="TableParagraph"/>
              <w:spacing w:before="191"/>
              <w:ind w:right="260"/>
              <w:jc w:val="right"/>
              <w:rPr>
                <w:sz w:val="20"/>
              </w:rPr>
            </w:pPr>
            <w:r>
              <w:rPr>
                <w:sz w:val="20"/>
              </w:rPr>
              <w:t>0,0</w:t>
            </w:r>
          </w:p>
        </w:tc>
        <w:tc>
          <w:tcPr>
            <w:tcW w:w="569" w:type="dxa"/>
            <w:tcBorders>
              <w:top w:val="single" w:sz="4" w:space="0" w:color="000000"/>
              <w:bottom w:val="single" w:sz="4" w:space="0" w:color="000000"/>
              <w:right w:val="single" w:sz="4" w:space="0" w:color="000000"/>
            </w:tcBorders>
          </w:tcPr>
          <w:p>
            <w:pPr>
              <w:pStyle w:val="TableParagraph"/>
              <w:spacing w:before="191"/>
              <w:ind w:left="129" w:right="151"/>
              <w:rPr>
                <w:sz w:val="20"/>
              </w:rPr>
            </w:pPr>
            <w:r>
              <w:rPr>
                <w:sz w:val="20"/>
              </w:rPr>
              <w:t>06</w:t>
            </w:r>
          </w:p>
        </w:tc>
        <w:tc>
          <w:tcPr>
            <w:tcW w:w="852" w:type="dxa"/>
            <w:tcBorders>
              <w:top w:val="single" w:sz="4" w:space="0" w:color="000000"/>
              <w:left w:val="single" w:sz="4" w:space="0" w:color="000000"/>
              <w:bottom w:val="single" w:sz="4" w:space="0" w:color="000000"/>
            </w:tcBorders>
          </w:tcPr>
          <w:p>
            <w:pPr>
              <w:pStyle w:val="TableParagraph"/>
              <w:spacing w:before="191"/>
              <w:ind w:left="148" w:right="137"/>
              <w:rPr>
                <w:sz w:val="20"/>
              </w:rPr>
            </w:pPr>
            <w:r>
              <w:rPr>
                <w:sz w:val="20"/>
              </w:rPr>
              <w:t>22,22</w:t>
            </w:r>
          </w:p>
        </w:tc>
        <w:tc>
          <w:tcPr>
            <w:tcW w:w="569" w:type="dxa"/>
            <w:tcBorders>
              <w:top w:val="single" w:sz="4" w:space="0" w:color="000000"/>
              <w:bottom w:val="single" w:sz="4" w:space="0" w:color="000000"/>
              <w:right w:val="single" w:sz="4" w:space="0" w:color="000000"/>
            </w:tcBorders>
          </w:tcPr>
          <w:p>
            <w:pPr>
              <w:pStyle w:val="TableParagraph"/>
              <w:spacing w:before="191"/>
              <w:ind w:left="124" w:right="146"/>
              <w:rPr>
                <w:sz w:val="20"/>
              </w:rPr>
            </w:pPr>
            <w:r>
              <w:rPr>
                <w:sz w:val="20"/>
              </w:rPr>
              <w:t>06</w:t>
            </w:r>
          </w:p>
        </w:tc>
        <w:tc>
          <w:tcPr>
            <w:tcW w:w="848" w:type="dxa"/>
            <w:tcBorders>
              <w:top w:val="single" w:sz="4" w:space="0" w:color="000000"/>
              <w:left w:val="single" w:sz="4" w:space="0" w:color="000000"/>
              <w:bottom w:val="single" w:sz="4" w:space="0" w:color="000000"/>
            </w:tcBorders>
          </w:tcPr>
          <w:p>
            <w:pPr>
              <w:pStyle w:val="TableParagraph"/>
              <w:spacing w:before="191"/>
              <w:ind w:left="120" w:right="105"/>
              <w:rPr>
                <w:sz w:val="20"/>
              </w:rPr>
            </w:pPr>
            <w:r>
              <w:rPr>
                <w:sz w:val="20"/>
              </w:rPr>
              <w:t>61,11</w:t>
            </w:r>
          </w:p>
        </w:tc>
        <w:tc>
          <w:tcPr>
            <w:tcW w:w="569" w:type="dxa"/>
            <w:tcBorders>
              <w:top w:val="single" w:sz="4" w:space="0" w:color="000000"/>
              <w:bottom w:val="single" w:sz="4" w:space="0" w:color="000000"/>
              <w:right w:val="single" w:sz="4" w:space="0" w:color="000000"/>
            </w:tcBorders>
          </w:tcPr>
          <w:p>
            <w:pPr>
              <w:pStyle w:val="TableParagraph"/>
              <w:spacing w:before="191"/>
              <w:ind w:left="112" w:right="134"/>
              <w:rPr>
                <w:sz w:val="20"/>
              </w:rPr>
            </w:pPr>
            <w:r>
              <w:rPr>
                <w:sz w:val="20"/>
              </w:rPr>
              <w:t>06</w:t>
            </w:r>
          </w:p>
        </w:tc>
        <w:tc>
          <w:tcPr>
            <w:tcW w:w="876" w:type="dxa"/>
            <w:tcBorders>
              <w:top w:val="single" w:sz="4" w:space="0" w:color="000000"/>
              <w:left w:val="single" w:sz="4" w:space="0" w:color="000000"/>
              <w:bottom w:val="single" w:sz="4" w:space="0" w:color="000000"/>
            </w:tcBorders>
          </w:tcPr>
          <w:p>
            <w:pPr>
              <w:pStyle w:val="TableParagraph"/>
              <w:spacing w:before="191"/>
              <w:ind w:left="162" w:right="147"/>
              <w:rPr>
                <w:sz w:val="20"/>
              </w:rPr>
            </w:pPr>
            <w:r>
              <w:rPr>
                <w:sz w:val="20"/>
              </w:rPr>
              <w:t>16,67</w:t>
            </w:r>
          </w:p>
        </w:tc>
      </w:tr>
      <w:tr>
        <w:trPr>
          <w:trHeight w:val="487" w:hRule="exact"/>
        </w:trPr>
        <w:tc>
          <w:tcPr>
            <w:tcW w:w="2245" w:type="dxa"/>
            <w:tcBorders>
              <w:top w:val="single" w:sz="4" w:space="0" w:color="000000"/>
              <w:right w:val="single" w:sz="4" w:space="0" w:color="000000"/>
            </w:tcBorders>
          </w:tcPr>
          <w:p>
            <w:pPr>
              <w:pStyle w:val="TableParagraph"/>
              <w:ind w:left="28"/>
              <w:jc w:val="left"/>
              <w:rPr>
                <w:sz w:val="20"/>
              </w:rPr>
            </w:pPr>
            <w:r>
              <w:rPr>
                <w:sz w:val="20"/>
              </w:rPr>
              <w:t>Avaliação Formadora e Emergente</w:t>
            </w:r>
          </w:p>
        </w:tc>
        <w:tc>
          <w:tcPr>
            <w:tcW w:w="1131" w:type="dxa"/>
            <w:tcBorders>
              <w:top w:val="single" w:sz="4" w:space="0" w:color="000000"/>
              <w:left w:val="single" w:sz="4" w:space="0" w:color="000000"/>
            </w:tcBorders>
          </w:tcPr>
          <w:p>
            <w:pPr>
              <w:pStyle w:val="TableParagraph"/>
              <w:spacing w:before="110"/>
              <w:ind w:left="130" w:right="121"/>
              <w:rPr>
                <w:sz w:val="20"/>
              </w:rPr>
            </w:pPr>
            <w:r>
              <w:rPr>
                <w:sz w:val="20"/>
              </w:rPr>
              <w:t>06</w:t>
            </w:r>
          </w:p>
        </w:tc>
        <w:tc>
          <w:tcPr>
            <w:tcW w:w="569" w:type="dxa"/>
            <w:tcBorders>
              <w:top w:val="single" w:sz="4" w:space="0" w:color="000000"/>
              <w:right w:val="single" w:sz="4" w:space="0" w:color="000000"/>
            </w:tcBorders>
          </w:tcPr>
          <w:p>
            <w:pPr>
              <w:pStyle w:val="TableParagraph"/>
              <w:spacing w:before="110"/>
              <w:ind w:left="112" w:right="134"/>
              <w:rPr>
                <w:sz w:val="20"/>
              </w:rPr>
            </w:pPr>
            <w:r>
              <w:rPr>
                <w:sz w:val="20"/>
              </w:rPr>
              <w:t>06</w:t>
            </w:r>
          </w:p>
        </w:tc>
        <w:tc>
          <w:tcPr>
            <w:tcW w:w="848" w:type="dxa"/>
            <w:tcBorders>
              <w:top w:val="single" w:sz="4" w:space="0" w:color="000000"/>
              <w:left w:val="single" w:sz="4" w:space="0" w:color="000000"/>
            </w:tcBorders>
          </w:tcPr>
          <w:p>
            <w:pPr>
              <w:pStyle w:val="TableParagraph"/>
              <w:spacing w:before="110"/>
              <w:ind w:right="207"/>
              <w:jc w:val="right"/>
              <w:rPr>
                <w:sz w:val="20"/>
              </w:rPr>
            </w:pPr>
            <w:r>
              <w:rPr>
                <w:sz w:val="20"/>
              </w:rPr>
              <w:t>5,56</w:t>
            </w:r>
          </w:p>
        </w:tc>
        <w:tc>
          <w:tcPr>
            <w:tcW w:w="569" w:type="dxa"/>
            <w:tcBorders>
              <w:top w:val="single" w:sz="4" w:space="0" w:color="000000"/>
              <w:right w:val="single" w:sz="4" w:space="0" w:color="000000"/>
            </w:tcBorders>
          </w:tcPr>
          <w:p>
            <w:pPr>
              <w:pStyle w:val="TableParagraph"/>
              <w:spacing w:before="110"/>
              <w:ind w:left="129" w:right="151"/>
              <w:rPr>
                <w:sz w:val="20"/>
              </w:rPr>
            </w:pPr>
            <w:r>
              <w:rPr>
                <w:sz w:val="20"/>
              </w:rPr>
              <w:t>06</w:t>
            </w:r>
          </w:p>
        </w:tc>
        <w:tc>
          <w:tcPr>
            <w:tcW w:w="852" w:type="dxa"/>
            <w:tcBorders>
              <w:top w:val="single" w:sz="4" w:space="0" w:color="000000"/>
              <w:left w:val="single" w:sz="4" w:space="0" w:color="000000"/>
            </w:tcBorders>
          </w:tcPr>
          <w:p>
            <w:pPr>
              <w:pStyle w:val="TableParagraph"/>
              <w:spacing w:before="110"/>
              <w:ind w:left="148" w:right="137"/>
              <w:rPr>
                <w:sz w:val="20"/>
              </w:rPr>
            </w:pPr>
            <w:r>
              <w:rPr>
                <w:sz w:val="20"/>
              </w:rPr>
              <w:t>30,56</w:t>
            </w:r>
          </w:p>
        </w:tc>
        <w:tc>
          <w:tcPr>
            <w:tcW w:w="569" w:type="dxa"/>
            <w:tcBorders>
              <w:top w:val="single" w:sz="4" w:space="0" w:color="000000"/>
              <w:right w:val="single" w:sz="4" w:space="0" w:color="000000"/>
            </w:tcBorders>
          </w:tcPr>
          <w:p>
            <w:pPr>
              <w:pStyle w:val="TableParagraph"/>
              <w:spacing w:before="110"/>
              <w:ind w:left="124" w:right="146"/>
              <w:rPr>
                <w:sz w:val="20"/>
              </w:rPr>
            </w:pPr>
            <w:r>
              <w:rPr>
                <w:sz w:val="20"/>
              </w:rPr>
              <w:t>06</w:t>
            </w:r>
          </w:p>
        </w:tc>
        <w:tc>
          <w:tcPr>
            <w:tcW w:w="848" w:type="dxa"/>
            <w:tcBorders>
              <w:top w:val="single" w:sz="4" w:space="0" w:color="000000"/>
              <w:left w:val="single" w:sz="4" w:space="0" w:color="000000"/>
            </w:tcBorders>
          </w:tcPr>
          <w:p>
            <w:pPr>
              <w:pStyle w:val="TableParagraph"/>
              <w:spacing w:before="110"/>
              <w:ind w:left="120" w:right="105"/>
              <w:rPr>
                <w:sz w:val="20"/>
              </w:rPr>
            </w:pPr>
            <w:r>
              <w:rPr>
                <w:sz w:val="20"/>
              </w:rPr>
              <w:t>47,22</w:t>
            </w:r>
          </w:p>
        </w:tc>
        <w:tc>
          <w:tcPr>
            <w:tcW w:w="569" w:type="dxa"/>
            <w:tcBorders>
              <w:top w:val="single" w:sz="4" w:space="0" w:color="000000"/>
              <w:right w:val="single" w:sz="4" w:space="0" w:color="000000"/>
            </w:tcBorders>
          </w:tcPr>
          <w:p>
            <w:pPr>
              <w:pStyle w:val="TableParagraph"/>
              <w:spacing w:before="110"/>
              <w:ind w:left="112" w:right="134"/>
              <w:rPr>
                <w:sz w:val="20"/>
              </w:rPr>
            </w:pPr>
            <w:r>
              <w:rPr>
                <w:sz w:val="20"/>
              </w:rPr>
              <w:t>06</w:t>
            </w:r>
          </w:p>
        </w:tc>
        <w:tc>
          <w:tcPr>
            <w:tcW w:w="876" w:type="dxa"/>
            <w:tcBorders>
              <w:top w:val="single" w:sz="4" w:space="0" w:color="000000"/>
              <w:left w:val="single" w:sz="4" w:space="0" w:color="000000"/>
            </w:tcBorders>
          </w:tcPr>
          <w:p>
            <w:pPr>
              <w:pStyle w:val="TableParagraph"/>
              <w:spacing w:before="110"/>
              <w:ind w:left="162" w:right="147"/>
              <w:rPr>
                <w:sz w:val="20"/>
              </w:rPr>
            </w:pPr>
            <w:r>
              <w:rPr>
                <w:sz w:val="20"/>
              </w:rPr>
              <w:t>16,67</w:t>
            </w:r>
          </w:p>
        </w:tc>
      </w:tr>
    </w:tbl>
    <w:p>
      <w:pPr>
        <w:spacing w:before="0"/>
        <w:ind w:left="308" w:right="0" w:firstLine="0"/>
        <w:jc w:val="left"/>
        <w:rPr>
          <w:sz w:val="18"/>
        </w:rPr>
      </w:pPr>
      <w:r>
        <w:rPr>
          <w:sz w:val="20"/>
        </w:rPr>
        <w:t>Fonte: Dados da Pesquisa  – Mestrado – Pinho (2014)</w:t>
      </w:r>
      <w:r>
        <w:rPr>
          <w:sz w:val="18"/>
        </w:rPr>
        <w:t>.</w:t>
      </w:r>
    </w:p>
    <w:p>
      <w:pPr>
        <w:spacing w:after="0"/>
        <w:jc w:val="left"/>
        <w:rPr>
          <w:sz w:val="18"/>
        </w:rPr>
        <w:sectPr>
          <w:pgSz w:w="11910" w:h="16840"/>
          <w:pgMar w:header="1133" w:footer="0" w:top="1340" w:bottom="280" w:left="1680" w:right="680"/>
        </w:sectPr>
      </w:pPr>
    </w:p>
    <w:p>
      <w:pPr>
        <w:pStyle w:val="BodyText"/>
        <w:spacing w:before="6"/>
        <w:rPr>
          <w:sz w:val="20"/>
        </w:rPr>
      </w:pPr>
    </w:p>
    <w:p>
      <w:pPr>
        <w:spacing w:before="95" w:after="10"/>
        <w:ind w:left="706" w:right="0" w:firstLine="0"/>
        <w:jc w:val="left"/>
        <w:rPr>
          <w:b/>
          <w:sz w:val="20"/>
        </w:rPr>
      </w:pPr>
      <w:r>
        <w:rPr>
          <w:b/>
          <w:sz w:val="20"/>
        </w:rPr>
        <w:t>Quadro 11: Categoria III – Plano Estratégico e de Ação na percepção dos servidores</w:t>
      </w:r>
    </w:p>
    <w:tbl>
      <w:tblPr>
        <w:tblW w:w="0" w:type="auto"/>
        <w:jc w:val="left"/>
        <w:tblInd w:w="236"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990"/>
        <w:gridCol w:w="1083"/>
        <w:gridCol w:w="569"/>
        <w:gridCol w:w="848"/>
        <w:gridCol w:w="713"/>
        <w:gridCol w:w="848"/>
        <w:gridCol w:w="569"/>
        <w:gridCol w:w="847"/>
        <w:gridCol w:w="569"/>
        <w:gridCol w:w="848"/>
      </w:tblGrid>
      <w:tr>
        <w:trPr>
          <w:trHeight w:val="281" w:hRule="exact"/>
        </w:trPr>
        <w:tc>
          <w:tcPr>
            <w:tcW w:w="3073" w:type="dxa"/>
            <w:gridSpan w:val="2"/>
            <w:vMerge w:val="restart"/>
            <w:tcBorders>
              <w:top w:val="nil"/>
              <w:left w:val="nil"/>
            </w:tcBorders>
          </w:tcPr>
          <w:p>
            <w:pPr/>
          </w:p>
        </w:tc>
        <w:tc>
          <w:tcPr>
            <w:tcW w:w="5811" w:type="dxa"/>
            <w:gridSpan w:val="8"/>
            <w:tcBorders>
              <w:bottom w:val="single" w:sz="4" w:space="0" w:color="000000"/>
            </w:tcBorders>
          </w:tcPr>
          <w:p>
            <w:pPr>
              <w:pStyle w:val="TableParagraph"/>
              <w:spacing w:line="225" w:lineRule="exact"/>
              <w:ind w:left="2269" w:right="2269"/>
              <w:rPr>
                <w:b/>
                <w:sz w:val="20"/>
              </w:rPr>
            </w:pPr>
            <w:r>
              <w:rPr>
                <w:b/>
                <w:sz w:val="20"/>
              </w:rPr>
              <w:t>AVALIAÇÃO</w:t>
            </w:r>
          </w:p>
        </w:tc>
      </w:tr>
      <w:tr>
        <w:trPr>
          <w:trHeight w:val="1640" w:hRule="exact"/>
        </w:trPr>
        <w:tc>
          <w:tcPr>
            <w:tcW w:w="3073" w:type="dxa"/>
            <w:gridSpan w:val="2"/>
            <w:vMerge/>
            <w:tcBorders>
              <w:left w:val="nil"/>
            </w:tcBorders>
          </w:tcPr>
          <w:p>
            <w:pPr/>
          </w:p>
        </w:tc>
        <w:tc>
          <w:tcPr>
            <w:tcW w:w="1417" w:type="dxa"/>
            <w:gridSpan w:val="2"/>
            <w:tcBorders>
              <w:top w:val="single" w:sz="4" w:space="0" w:color="000000"/>
              <w:bottom w:val="single" w:sz="4" w:space="0" w:color="000000"/>
            </w:tcBorders>
          </w:tcPr>
          <w:p>
            <w:pPr>
              <w:pStyle w:val="TableParagraph"/>
              <w:jc w:val="left"/>
              <w:rPr>
                <w:b/>
                <w:sz w:val="22"/>
              </w:rPr>
            </w:pPr>
          </w:p>
          <w:p>
            <w:pPr>
              <w:pStyle w:val="TableParagraph"/>
              <w:spacing w:before="2"/>
              <w:jc w:val="left"/>
              <w:rPr>
                <w:b/>
                <w:sz w:val="17"/>
              </w:rPr>
            </w:pPr>
          </w:p>
          <w:p>
            <w:pPr>
              <w:pStyle w:val="TableParagraph"/>
              <w:spacing w:before="1"/>
              <w:ind w:left="72" w:right="74" w:firstLine="6"/>
              <w:rPr>
                <w:b/>
                <w:sz w:val="20"/>
              </w:rPr>
            </w:pPr>
            <w:r>
              <w:rPr>
                <w:b/>
                <w:sz w:val="20"/>
              </w:rPr>
              <w:t>Nunca ou quase nunca (1-2)</w:t>
            </w:r>
          </w:p>
        </w:tc>
        <w:tc>
          <w:tcPr>
            <w:tcW w:w="1561" w:type="dxa"/>
            <w:gridSpan w:val="2"/>
            <w:tcBorders>
              <w:top w:val="single" w:sz="4" w:space="0" w:color="000000"/>
              <w:bottom w:val="single" w:sz="4" w:space="0" w:color="000000"/>
            </w:tcBorders>
          </w:tcPr>
          <w:p>
            <w:pPr>
              <w:pStyle w:val="TableParagraph"/>
              <w:jc w:val="left"/>
              <w:rPr>
                <w:b/>
                <w:sz w:val="22"/>
              </w:rPr>
            </w:pPr>
          </w:p>
          <w:p>
            <w:pPr>
              <w:pStyle w:val="TableParagraph"/>
              <w:spacing w:before="2"/>
              <w:jc w:val="left"/>
              <w:rPr>
                <w:b/>
                <w:sz w:val="17"/>
              </w:rPr>
            </w:pPr>
          </w:p>
          <w:p>
            <w:pPr>
              <w:pStyle w:val="TableParagraph"/>
              <w:spacing w:before="1"/>
              <w:ind w:left="33" w:right="37"/>
              <w:rPr>
                <w:b/>
                <w:sz w:val="20"/>
              </w:rPr>
            </w:pPr>
            <w:r>
              <w:rPr>
                <w:b/>
                <w:sz w:val="20"/>
              </w:rPr>
              <w:t>Às vezes.</w:t>
            </w:r>
          </w:p>
          <w:p>
            <w:pPr>
              <w:pStyle w:val="TableParagraph"/>
              <w:ind w:left="38" w:right="37"/>
              <w:rPr>
                <w:b/>
                <w:sz w:val="20"/>
              </w:rPr>
            </w:pPr>
            <w:r>
              <w:rPr>
                <w:b/>
                <w:sz w:val="20"/>
              </w:rPr>
              <w:t>Ocasionalment e (3-4-5)</w:t>
            </w:r>
          </w:p>
        </w:tc>
        <w:tc>
          <w:tcPr>
            <w:tcW w:w="1416" w:type="dxa"/>
            <w:gridSpan w:val="2"/>
            <w:tcBorders>
              <w:top w:val="single" w:sz="4" w:space="0" w:color="000000"/>
              <w:bottom w:val="single" w:sz="4" w:space="0" w:color="000000"/>
            </w:tcBorders>
          </w:tcPr>
          <w:p>
            <w:pPr>
              <w:pStyle w:val="TableParagraph"/>
              <w:spacing w:before="105"/>
              <w:ind w:left="67" w:right="64"/>
              <w:rPr>
                <w:b/>
                <w:sz w:val="20"/>
              </w:rPr>
            </w:pPr>
            <w:r>
              <w:rPr>
                <w:b/>
                <w:sz w:val="20"/>
              </w:rPr>
              <w:t>Muitas vezes ou ocasiões.</w:t>
            </w:r>
          </w:p>
          <w:p>
            <w:pPr>
              <w:pStyle w:val="TableParagraph"/>
              <w:ind w:left="81" w:right="84" w:firstLine="5"/>
              <w:rPr>
                <w:b/>
                <w:sz w:val="20"/>
              </w:rPr>
            </w:pPr>
            <w:r>
              <w:rPr>
                <w:b/>
                <w:sz w:val="20"/>
              </w:rPr>
              <w:t>Existem evidências do indicador (6-7-8)</w:t>
            </w:r>
          </w:p>
        </w:tc>
        <w:tc>
          <w:tcPr>
            <w:tcW w:w="1417" w:type="dxa"/>
            <w:gridSpan w:val="2"/>
            <w:tcBorders>
              <w:top w:val="single" w:sz="4" w:space="0" w:color="000000"/>
              <w:bottom w:val="single" w:sz="4" w:space="0" w:color="000000"/>
            </w:tcBorders>
          </w:tcPr>
          <w:p>
            <w:pPr>
              <w:pStyle w:val="TableParagraph"/>
              <w:ind w:left="43" w:right="40" w:hanging="10"/>
              <w:rPr>
                <w:b/>
                <w:sz w:val="20"/>
              </w:rPr>
            </w:pPr>
            <w:r>
              <w:rPr>
                <w:b/>
                <w:sz w:val="20"/>
              </w:rPr>
              <w:t>De continuo. Evidências claras de aparição do indicador ou característica (9-10)</w:t>
            </w:r>
          </w:p>
        </w:tc>
      </w:tr>
      <w:tr>
        <w:trPr>
          <w:trHeight w:val="274" w:hRule="exact"/>
        </w:trPr>
        <w:tc>
          <w:tcPr>
            <w:tcW w:w="1990" w:type="dxa"/>
            <w:tcBorders>
              <w:right w:val="single" w:sz="4" w:space="0" w:color="000000"/>
            </w:tcBorders>
          </w:tcPr>
          <w:p>
            <w:pPr>
              <w:pStyle w:val="TableParagraph"/>
              <w:spacing w:line="220" w:lineRule="exact"/>
              <w:ind w:left="11" w:right="34"/>
              <w:rPr>
                <w:b/>
                <w:sz w:val="20"/>
              </w:rPr>
            </w:pPr>
            <w:r>
              <w:rPr>
                <w:b/>
                <w:sz w:val="20"/>
              </w:rPr>
              <w:t>Parâmetro</w:t>
            </w:r>
          </w:p>
        </w:tc>
        <w:tc>
          <w:tcPr>
            <w:tcW w:w="1083" w:type="dxa"/>
            <w:tcBorders>
              <w:left w:val="single" w:sz="4" w:space="0" w:color="000000"/>
            </w:tcBorders>
          </w:tcPr>
          <w:p>
            <w:pPr>
              <w:pStyle w:val="TableParagraph"/>
              <w:spacing w:line="220" w:lineRule="exact"/>
              <w:ind w:left="108" w:right="97"/>
              <w:rPr>
                <w:b/>
                <w:sz w:val="20"/>
              </w:rPr>
            </w:pPr>
            <w:r>
              <w:rPr>
                <w:b/>
                <w:sz w:val="20"/>
              </w:rPr>
              <w:t>Amostra</w:t>
            </w:r>
          </w:p>
        </w:tc>
        <w:tc>
          <w:tcPr>
            <w:tcW w:w="569" w:type="dxa"/>
            <w:tcBorders>
              <w:top w:val="single" w:sz="4" w:space="0" w:color="000000"/>
              <w:right w:val="single" w:sz="4" w:space="0" w:color="000000"/>
            </w:tcBorders>
          </w:tcPr>
          <w:p>
            <w:pPr>
              <w:pStyle w:val="TableParagraph"/>
              <w:spacing w:before="7"/>
              <w:ind w:left="129" w:right="145"/>
              <w:rPr>
                <w:b/>
                <w:sz w:val="20"/>
              </w:rPr>
            </w:pPr>
            <w:r>
              <w:rPr>
                <w:b/>
                <w:sz w:val="20"/>
              </w:rPr>
              <w:t>Nº</w:t>
            </w:r>
          </w:p>
        </w:tc>
        <w:tc>
          <w:tcPr>
            <w:tcW w:w="848" w:type="dxa"/>
            <w:tcBorders>
              <w:top w:val="single" w:sz="4" w:space="0" w:color="000000"/>
              <w:left w:val="single" w:sz="4" w:space="0" w:color="000000"/>
            </w:tcBorders>
          </w:tcPr>
          <w:p>
            <w:pPr>
              <w:pStyle w:val="TableParagraph"/>
              <w:spacing w:before="7"/>
              <w:ind w:left="10"/>
              <w:rPr>
                <w:b/>
                <w:sz w:val="20"/>
              </w:rPr>
            </w:pPr>
            <w:r>
              <w:rPr>
                <w:b/>
                <w:w w:val="100"/>
                <w:sz w:val="20"/>
              </w:rPr>
              <w:t>%</w:t>
            </w:r>
          </w:p>
        </w:tc>
        <w:tc>
          <w:tcPr>
            <w:tcW w:w="713" w:type="dxa"/>
            <w:tcBorders>
              <w:top w:val="single" w:sz="4" w:space="0" w:color="000000"/>
              <w:right w:val="single" w:sz="4" w:space="0" w:color="000000"/>
            </w:tcBorders>
          </w:tcPr>
          <w:p>
            <w:pPr>
              <w:pStyle w:val="TableParagraph"/>
              <w:spacing w:before="7"/>
              <w:ind w:left="180" w:right="206"/>
              <w:rPr>
                <w:b/>
                <w:sz w:val="20"/>
              </w:rPr>
            </w:pPr>
            <w:r>
              <w:rPr>
                <w:b/>
                <w:sz w:val="20"/>
              </w:rPr>
              <w:t>Nº</w:t>
            </w:r>
          </w:p>
        </w:tc>
        <w:tc>
          <w:tcPr>
            <w:tcW w:w="848" w:type="dxa"/>
            <w:tcBorders>
              <w:top w:val="single" w:sz="4" w:space="0" w:color="000000"/>
              <w:left w:val="single" w:sz="4" w:space="0" w:color="000000"/>
            </w:tcBorders>
          </w:tcPr>
          <w:p>
            <w:pPr>
              <w:pStyle w:val="TableParagraph"/>
              <w:spacing w:before="7"/>
              <w:ind w:left="11"/>
              <w:rPr>
                <w:b/>
                <w:sz w:val="20"/>
              </w:rPr>
            </w:pPr>
            <w:r>
              <w:rPr>
                <w:b/>
                <w:w w:val="100"/>
                <w:sz w:val="20"/>
              </w:rPr>
              <w:t>%</w:t>
            </w:r>
          </w:p>
        </w:tc>
        <w:tc>
          <w:tcPr>
            <w:tcW w:w="569" w:type="dxa"/>
            <w:tcBorders>
              <w:top w:val="single" w:sz="4" w:space="0" w:color="000000"/>
              <w:right w:val="single" w:sz="4" w:space="0" w:color="000000"/>
            </w:tcBorders>
          </w:tcPr>
          <w:p>
            <w:pPr>
              <w:pStyle w:val="TableParagraph"/>
              <w:spacing w:before="7"/>
              <w:ind w:left="129" w:right="146"/>
              <w:rPr>
                <w:b/>
                <w:sz w:val="20"/>
              </w:rPr>
            </w:pPr>
            <w:r>
              <w:rPr>
                <w:b/>
                <w:sz w:val="20"/>
              </w:rPr>
              <w:t>Nº</w:t>
            </w:r>
          </w:p>
        </w:tc>
        <w:tc>
          <w:tcPr>
            <w:tcW w:w="847" w:type="dxa"/>
            <w:tcBorders>
              <w:top w:val="single" w:sz="4" w:space="0" w:color="000000"/>
              <w:left w:val="single" w:sz="4" w:space="0" w:color="000000"/>
            </w:tcBorders>
          </w:tcPr>
          <w:p>
            <w:pPr>
              <w:pStyle w:val="TableParagraph"/>
              <w:spacing w:before="7"/>
              <w:ind w:left="11"/>
              <w:rPr>
                <w:b/>
                <w:sz w:val="20"/>
              </w:rPr>
            </w:pPr>
            <w:r>
              <w:rPr>
                <w:b/>
                <w:w w:val="100"/>
                <w:sz w:val="20"/>
              </w:rPr>
              <w:t>%</w:t>
            </w:r>
          </w:p>
        </w:tc>
        <w:tc>
          <w:tcPr>
            <w:tcW w:w="569" w:type="dxa"/>
            <w:tcBorders>
              <w:top w:val="single" w:sz="4" w:space="0" w:color="000000"/>
              <w:right w:val="single" w:sz="4" w:space="0" w:color="000000"/>
            </w:tcBorders>
          </w:tcPr>
          <w:p>
            <w:pPr>
              <w:pStyle w:val="TableParagraph"/>
              <w:spacing w:before="7"/>
              <w:ind w:left="154"/>
              <w:jc w:val="left"/>
              <w:rPr>
                <w:b/>
                <w:sz w:val="20"/>
              </w:rPr>
            </w:pPr>
            <w:r>
              <w:rPr>
                <w:b/>
                <w:sz w:val="20"/>
              </w:rPr>
              <w:t>Nº</w:t>
            </w:r>
          </w:p>
        </w:tc>
        <w:tc>
          <w:tcPr>
            <w:tcW w:w="848" w:type="dxa"/>
            <w:tcBorders>
              <w:top w:val="single" w:sz="4" w:space="0" w:color="000000"/>
              <w:left w:val="single" w:sz="4" w:space="0" w:color="000000"/>
            </w:tcBorders>
          </w:tcPr>
          <w:p>
            <w:pPr>
              <w:pStyle w:val="TableParagraph"/>
              <w:spacing w:before="7"/>
              <w:ind w:left="10"/>
              <w:rPr>
                <w:b/>
                <w:sz w:val="20"/>
              </w:rPr>
            </w:pPr>
            <w:r>
              <w:rPr>
                <w:b/>
                <w:w w:val="100"/>
                <w:sz w:val="20"/>
              </w:rPr>
              <w:t>%</w:t>
            </w:r>
          </w:p>
        </w:tc>
      </w:tr>
      <w:tr>
        <w:trPr>
          <w:trHeight w:val="257" w:hRule="exact"/>
        </w:trPr>
        <w:tc>
          <w:tcPr>
            <w:tcW w:w="1990" w:type="dxa"/>
            <w:tcBorders>
              <w:bottom w:val="single" w:sz="4" w:space="0" w:color="000000"/>
              <w:right w:val="single" w:sz="4" w:space="0" w:color="000000"/>
            </w:tcBorders>
          </w:tcPr>
          <w:p>
            <w:pPr>
              <w:pStyle w:val="TableParagraph"/>
              <w:ind w:left="11" w:right="66"/>
              <w:rPr>
                <w:sz w:val="20"/>
              </w:rPr>
            </w:pPr>
            <w:r>
              <w:rPr>
                <w:sz w:val="20"/>
              </w:rPr>
              <w:t>Currículo Polivalente</w:t>
            </w:r>
          </w:p>
        </w:tc>
        <w:tc>
          <w:tcPr>
            <w:tcW w:w="1083" w:type="dxa"/>
            <w:tcBorders>
              <w:left w:val="single" w:sz="4" w:space="0" w:color="000000"/>
              <w:bottom w:val="single" w:sz="4" w:space="0" w:color="000000"/>
            </w:tcBorders>
          </w:tcPr>
          <w:p>
            <w:pPr>
              <w:pStyle w:val="TableParagraph"/>
              <w:ind w:left="107" w:right="97"/>
              <w:rPr>
                <w:sz w:val="20"/>
              </w:rPr>
            </w:pPr>
            <w:r>
              <w:rPr>
                <w:sz w:val="20"/>
              </w:rPr>
              <w:t>05</w:t>
            </w:r>
          </w:p>
        </w:tc>
        <w:tc>
          <w:tcPr>
            <w:tcW w:w="569" w:type="dxa"/>
            <w:tcBorders>
              <w:bottom w:val="single" w:sz="4" w:space="0" w:color="000000"/>
              <w:right w:val="single" w:sz="4" w:space="0" w:color="000000"/>
            </w:tcBorders>
          </w:tcPr>
          <w:p>
            <w:pPr>
              <w:pStyle w:val="TableParagraph"/>
              <w:ind w:left="125" w:right="146"/>
              <w:rPr>
                <w:sz w:val="20"/>
              </w:rPr>
            </w:pPr>
            <w:r>
              <w:rPr>
                <w:sz w:val="20"/>
              </w:rPr>
              <w:t>06</w:t>
            </w:r>
          </w:p>
        </w:tc>
        <w:tc>
          <w:tcPr>
            <w:tcW w:w="848" w:type="dxa"/>
            <w:tcBorders>
              <w:left w:val="single" w:sz="4" w:space="0" w:color="000000"/>
              <w:bottom w:val="single" w:sz="4" w:space="0" w:color="000000"/>
            </w:tcBorders>
          </w:tcPr>
          <w:p>
            <w:pPr>
              <w:pStyle w:val="TableParagraph"/>
              <w:ind w:left="119" w:right="109"/>
              <w:rPr>
                <w:sz w:val="20"/>
              </w:rPr>
            </w:pPr>
            <w:r>
              <w:rPr>
                <w:sz w:val="20"/>
              </w:rPr>
              <w:t>3,33</w:t>
            </w:r>
          </w:p>
        </w:tc>
        <w:tc>
          <w:tcPr>
            <w:tcW w:w="713" w:type="dxa"/>
            <w:tcBorders>
              <w:bottom w:val="single" w:sz="4" w:space="0" w:color="000000"/>
              <w:right w:val="single" w:sz="4" w:space="0" w:color="000000"/>
            </w:tcBorders>
          </w:tcPr>
          <w:p>
            <w:pPr>
              <w:pStyle w:val="TableParagraph"/>
              <w:ind w:left="184" w:right="206"/>
              <w:rPr>
                <w:sz w:val="20"/>
              </w:rPr>
            </w:pPr>
            <w:r>
              <w:rPr>
                <w:sz w:val="20"/>
              </w:rPr>
              <w:t>06</w:t>
            </w:r>
          </w:p>
        </w:tc>
        <w:tc>
          <w:tcPr>
            <w:tcW w:w="848" w:type="dxa"/>
            <w:tcBorders>
              <w:left w:val="single" w:sz="4" w:space="0" w:color="000000"/>
              <w:bottom w:val="single" w:sz="4" w:space="0" w:color="000000"/>
            </w:tcBorders>
          </w:tcPr>
          <w:p>
            <w:pPr>
              <w:pStyle w:val="TableParagraph"/>
              <w:ind w:left="120" w:right="104"/>
              <w:rPr>
                <w:sz w:val="20"/>
              </w:rPr>
            </w:pPr>
            <w:r>
              <w:rPr>
                <w:sz w:val="20"/>
              </w:rPr>
              <w:t>33,33</w:t>
            </w:r>
          </w:p>
        </w:tc>
        <w:tc>
          <w:tcPr>
            <w:tcW w:w="569" w:type="dxa"/>
            <w:tcBorders>
              <w:bottom w:val="single" w:sz="4" w:space="0" w:color="000000"/>
              <w:right w:val="single" w:sz="4" w:space="0" w:color="000000"/>
            </w:tcBorders>
          </w:tcPr>
          <w:p>
            <w:pPr>
              <w:pStyle w:val="TableParagraph"/>
              <w:ind w:left="124" w:right="146"/>
              <w:rPr>
                <w:sz w:val="20"/>
              </w:rPr>
            </w:pPr>
            <w:r>
              <w:rPr>
                <w:sz w:val="20"/>
              </w:rPr>
              <w:t>06</w:t>
            </w:r>
          </w:p>
        </w:tc>
        <w:tc>
          <w:tcPr>
            <w:tcW w:w="847" w:type="dxa"/>
            <w:tcBorders>
              <w:left w:val="single" w:sz="4" w:space="0" w:color="000000"/>
              <w:bottom w:val="single" w:sz="4" w:space="0" w:color="000000"/>
            </w:tcBorders>
          </w:tcPr>
          <w:p>
            <w:pPr>
              <w:pStyle w:val="TableParagraph"/>
              <w:ind w:left="146" w:right="132"/>
              <w:rPr>
                <w:sz w:val="20"/>
              </w:rPr>
            </w:pPr>
            <w:r>
              <w:rPr>
                <w:sz w:val="20"/>
              </w:rPr>
              <w:t>30</w:t>
            </w:r>
          </w:p>
        </w:tc>
        <w:tc>
          <w:tcPr>
            <w:tcW w:w="569" w:type="dxa"/>
            <w:tcBorders>
              <w:bottom w:val="single" w:sz="4" w:space="0" w:color="000000"/>
              <w:right w:val="single" w:sz="4" w:space="0" w:color="000000"/>
            </w:tcBorders>
          </w:tcPr>
          <w:p>
            <w:pPr>
              <w:pStyle w:val="TableParagraph"/>
              <w:ind w:left="149"/>
              <w:jc w:val="left"/>
              <w:rPr>
                <w:sz w:val="20"/>
              </w:rPr>
            </w:pPr>
            <w:r>
              <w:rPr>
                <w:sz w:val="20"/>
              </w:rPr>
              <w:t>06</w:t>
            </w:r>
          </w:p>
        </w:tc>
        <w:tc>
          <w:tcPr>
            <w:tcW w:w="848" w:type="dxa"/>
            <w:tcBorders>
              <w:left w:val="single" w:sz="4" w:space="0" w:color="000000"/>
              <w:bottom w:val="single" w:sz="4" w:space="0" w:color="000000"/>
            </w:tcBorders>
          </w:tcPr>
          <w:p>
            <w:pPr>
              <w:pStyle w:val="TableParagraph"/>
              <w:ind w:left="120" w:right="105"/>
              <w:rPr>
                <w:sz w:val="20"/>
              </w:rPr>
            </w:pPr>
            <w:r>
              <w:rPr>
                <w:sz w:val="20"/>
              </w:rPr>
              <w:t>33,33</w:t>
            </w:r>
          </w:p>
        </w:tc>
      </w:tr>
      <w:tr>
        <w:trPr>
          <w:trHeight w:val="634" w:hRule="exact"/>
        </w:trPr>
        <w:tc>
          <w:tcPr>
            <w:tcW w:w="1990" w:type="dxa"/>
            <w:tcBorders>
              <w:top w:val="single" w:sz="4" w:space="0" w:color="000000"/>
              <w:bottom w:val="single" w:sz="4" w:space="0" w:color="000000"/>
              <w:right w:val="single" w:sz="4" w:space="0" w:color="000000"/>
            </w:tcBorders>
          </w:tcPr>
          <w:p>
            <w:pPr>
              <w:pStyle w:val="TableParagraph"/>
              <w:tabs>
                <w:tab w:pos="1814" w:val="left" w:leader="none"/>
              </w:tabs>
              <w:spacing w:line="242" w:lineRule="auto"/>
              <w:ind w:left="28" w:right="45"/>
              <w:jc w:val="left"/>
              <w:rPr>
                <w:sz w:val="18"/>
              </w:rPr>
            </w:pPr>
            <w:r>
              <w:rPr>
                <w:sz w:val="18"/>
              </w:rPr>
              <w:t>Metodologia</w:t>
              <w:tab/>
              <w:t>e Estratégicas Diversificadas</w:t>
            </w:r>
          </w:p>
        </w:tc>
        <w:tc>
          <w:tcPr>
            <w:tcW w:w="1083" w:type="dxa"/>
            <w:tcBorders>
              <w:top w:val="single" w:sz="4" w:space="0" w:color="000000"/>
              <w:left w:val="single" w:sz="4" w:space="0" w:color="000000"/>
              <w:bottom w:val="single" w:sz="4" w:space="0" w:color="000000"/>
            </w:tcBorders>
          </w:tcPr>
          <w:p>
            <w:pPr>
              <w:pStyle w:val="TableParagraph"/>
              <w:spacing w:before="191"/>
              <w:ind w:left="107" w:right="97"/>
              <w:rPr>
                <w:sz w:val="20"/>
              </w:rPr>
            </w:pPr>
            <w:r>
              <w:rPr>
                <w:sz w:val="20"/>
              </w:rPr>
              <w:t>05</w:t>
            </w:r>
          </w:p>
        </w:tc>
        <w:tc>
          <w:tcPr>
            <w:tcW w:w="569" w:type="dxa"/>
            <w:tcBorders>
              <w:top w:val="single" w:sz="4" w:space="0" w:color="000000"/>
              <w:bottom w:val="single" w:sz="4" w:space="0" w:color="000000"/>
              <w:right w:val="single" w:sz="4" w:space="0" w:color="000000"/>
            </w:tcBorders>
          </w:tcPr>
          <w:p>
            <w:pPr>
              <w:pStyle w:val="TableParagraph"/>
              <w:spacing w:before="191"/>
              <w:ind w:left="125" w:right="146"/>
              <w:rPr>
                <w:sz w:val="20"/>
              </w:rPr>
            </w:pPr>
            <w:r>
              <w:rPr>
                <w:sz w:val="20"/>
              </w:rPr>
              <w:t>06</w:t>
            </w:r>
          </w:p>
        </w:tc>
        <w:tc>
          <w:tcPr>
            <w:tcW w:w="848" w:type="dxa"/>
            <w:tcBorders>
              <w:top w:val="single" w:sz="4" w:space="0" w:color="000000"/>
              <w:left w:val="single" w:sz="4" w:space="0" w:color="000000"/>
              <w:bottom w:val="single" w:sz="4" w:space="0" w:color="000000"/>
            </w:tcBorders>
          </w:tcPr>
          <w:p>
            <w:pPr>
              <w:pStyle w:val="TableParagraph"/>
              <w:spacing w:before="191"/>
              <w:ind w:left="120" w:right="105"/>
              <w:rPr>
                <w:sz w:val="20"/>
              </w:rPr>
            </w:pPr>
            <w:r>
              <w:rPr>
                <w:sz w:val="20"/>
              </w:rPr>
              <w:t>0,0</w:t>
            </w:r>
          </w:p>
        </w:tc>
        <w:tc>
          <w:tcPr>
            <w:tcW w:w="713" w:type="dxa"/>
            <w:tcBorders>
              <w:top w:val="single" w:sz="4" w:space="0" w:color="000000"/>
              <w:bottom w:val="single" w:sz="4" w:space="0" w:color="000000"/>
              <w:right w:val="single" w:sz="4" w:space="0" w:color="000000"/>
            </w:tcBorders>
          </w:tcPr>
          <w:p>
            <w:pPr>
              <w:pStyle w:val="TableParagraph"/>
              <w:spacing w:before="191"/>
              <w:ind w:left="184" w:right="206"/>
              <w:rPr>
                <w:sz w:val="20"/>
              </w:rPr>
            </w:pPr>
            <w:r>
              <w:rPr>
                <w:sz w:val="20"/>
              </w:rPr>
              <w:t>06</w:t>
            </w:r>
          </w:p>
        </w:tc>
        <w:tc>
          <w:tcPr>
            <w:tcW w:w="848" w:type="dxa"/>
            <w:tcBorders>
              <w:top w:val="single" w:sz="4" w:space="0" w:color="000000"/>
              <w:left w:val="single" w:sz="4" w:space="0" w:color="000000"/>
              <w:bottom w:val="single" w:sz="4" w:space="0" w:color="000000"/>
            </w:tcBorders>
          </w:tcPr>
          <w:p>
            <w:pPr>
              <w:pStyle w:val="TableParagraph"/>
              <w:spacing w:before="191"/>
              <w:ind w:left="120" w:right="104"/>
              <w:rPr>
                <w:sz w:val="20"/>
              </w:rPr>
            </w:pPr>
            <w:r>
              <w:rPr>
                <w:sz w:val="20"/>
              </w:rPr>
              <w:t>26,67</w:t>
            </w:r>
          </w:p>
        </w:tc>
        <w:tc>
          <w:tcPr>
            <w:tcW w:w="569" w:type="dxa"/>
            <w:tcBorders>
              <w:top w:val="single" w:sz="4" w:space="0" w:color="000000"/>
              <w:bottom w:val="single" w:sz="4" w:space="0" w:color="000000"/>
              <w:right w:val="single" w:sz="4" w:space="0" w:color="000000"/>
            </w:tcBorders>
          </w:tcPr>
          <w:p>
            <w:pPr>
              <w:pStyle w:val="TableParagraph"/>
              <w:spacing w:before="191"/>
              <w:ind w:left="124" w:right="146"/>
              <w:rPr>
                <w:sz w:val="20"/>
              </w:rPr>
            </w:pPr>
            <w:r>
              <w:rPr>
                <w:sz w:val="20"/>
              </w:rPr>
              <w:t>06</w:t>
            </w:r>
          </w:p>
        </w:tc>
        <w:tc>
          <w:tcPr>
            <w:tcW w:w="847" w:type="dxa"/>
            <w:tcBorders>
              <w:top w:val="single" w:sz="4" w:space="0" w:color="000000"/>
              <w:left w:val="single" w:sz="4" w:space="0" w:color="000000"/>
              <w:bottom w:val="single" w:sz="4" w:space="0" w:color="000000"/>
            </w:tcBorders>
          </w:tcPr>
          <w:p>
            <w:pPr>
              <w:pStyle w:val="TableParagraph"/>
              <w:spacing w:before="191"/>
              <w:ind w:left="148" w:right="132"/>
              <w:rPr>
                <w:sz w:val="20"/>
              </w:rPr>
            </w:pPr>
            <w:r>
              <w:rPr>
                <w:sz w:val="20"/>
              </w:rPr>
              <w:t>33,33</w:t>
            </w:r>
          </w:p>
        </w:tc>
        <w:tc>
          <w:tcPr>
            <w:tcW w:w="569" w:type="dxa"/>
            <w:tcBorders>
              <w:top w:val="single" w:sz="4" w:space="0" w:color="000000"/>
              <w:bottom w:val="single" w:sz="4" w:space="0" w:color="000000"/>
              <w:right w:val="single" w:sz="4" w:space="0" w:color="000000"/>
            </w:tcBorders>
          </w:tcPr>
          <w:p>
            <w:pPr>
              <w:pStyle w:val="TableParagraph"/>
              <w:spacing w:before="191"/>
              <w:ind w:left="149"/>
              <w:jc w:val="left"/>
              <w:rPr>
                <w:sz w:val="20"/>
              </w:rPr>
            </w:pPr>
            <w:r>
              <w:rPr>
                <w:sz w:val="20"/>
              </w:rPr>
              <w:t>06</w:t>
            </w:r>
          </w:p>
        </w:tc>
        <w:tc>
          <w:tcPr>
            <w:tcW w:w="848" w:type="dxa"/>
            <w:tcBorders>
              <w:top w:val="single" w:sz="4" w:space="0" w:color="000000"/>
              <w:left w:val="single" w:sz="4" w:space="0" w:color="000000"/>
              <w:bottom w:val="single" w:sz="4" w:space="0" w:color="000000"/>
            </w:tcBorders>
          </w:tcPr>
          <w:p>
            <w:pPr>
              <w:pStyle w:val="TableParagraph"/>
              <w:spacing w:before="191"/>
              <w:ind w:left="120" w:right="107"/>
              <w:rPr>
                <w:sz w:val="20"/>
              </w:rPr>
            </w:pPr>
            <w:r>
              <w:rPr>
                <w:sz w:val="20"/>
              </w:rPr>
              <w:t>40</w:t>
            </w:r>
          </w:p>
        </w:tc>
      </w:tr>
      <w:tr>
        <w:trPr>
          <w:trHeight w:val="718" w:hRule="exact"/>
        </w:trPr>
        <w:tc>
          <w:tcPr>
            <w:tcW w:w="1990" w:type="dxa"/>
            <w:tcBorders>
              <w:top w:val="single" w:sz="4" w:space="0" w:color="000000"/>
              <w:right w:val="single" w:sz="4" w:space="0" w:color="000000"/>
            </w:tcBorders>
          </w:tcPr>
          <w:p>
            <w:pPr>
              <w:pStyle w:val="TableParagraph"/>
              <w:tabs>
                <w:tab w:pos="1800" w:val="left" w:leader="none"/>
              </w:tabs>
              <w:ind w:left="28" w:right="49"/>
              <w:jc w:val="left"/>
              <w:rPr>
                <w:sz w:val="20"/>
              </w:rPr>
            </w:pPr>
            <w:r>
              <w:rPr>
                <w:sz w:val="20"/>
              </w:rPr>
              <w:t>Avaliação Formadora</w:t>
              <w:tab/>
              <w:t>e Emergente</w:t>
            </w:r>
          </w:p>
        </w:tc>
        <w:tc>
          <w:tcPr>
            <w:tcW w:w="1083" w:type="dxa"/>
            <w:tcBorders>
              <w:top w:val="single" w:sz="4" w:space="0" w:color="000000"/>
              <w:left w:val="single" w:sz="4" w:space="0" w:color="000000"/>
            </w:tcBorders>
          </w:tcPr>
          <w:p>
            <w:pPr>
              <w:pStyle w:val="TableParagraph"/>
              <w:spacing w:before="6"/>
              <w:jc w:val="left"/>
              <w:rPr>
                <w:b/>
                <w:sz w:val="19"/>
              </w:rPr>
            </w:pPr>
          </w:p>
          <w:p>
            <w:pPr>
              <w:pStyle w:val="TableParagraph"/>
              <w:ind w:left="107" w:right="97"/>
              <w:rPr>
                <w:sz w:val="20"/>
              </w:rPr>
            </w:pPr>
            <w:r>
              <w:rPr>
                <w:sz w:val="20"/>
              </w:rPr>
              <w:t>05</w:t>
            </w:r>
          </w:p>
        </w:tc>
        <w:tc>
          <w:tcPr>
            <w:tcW w:w="569" w:type="dxa"/>
            <w:tcBorders>
              <w:top w:val="single" w:sz="4" w:space="0" w:color="000000"/>
              <w:right w:val="single" w:sz="4" w:space="0" w:color="000000"/>
            </w:tcBorders>
          </w:tcPr>
          <w:p>
            <w:pPr>
              <w:pStyle w:val="TableParagraph"/>
              <w:spacing w:before="6"/>
              <w:jc w:val="left"/>
              <w:rPr>
                <w:b/>
                <w:sz w:val="19"/>
              </w:rPr>
            </w:pPr>
          </w:p>
          <w:p>
            <w:pPr>
              <w:pStyle w:val="TableParagraph"/>
              <w:ind w:left="125" w:right="146"/>
              <w:rPr>
                <w:sz w:val="20"/>
              </w:rPr>
            </w:pPr>
            <w:r>
              <w:rPr>
                <w:sz w:val="20"/>
              </w:rPr>
              <w:t>06</w:t>
            </w:r>
          </w:p>
        </w:tc>
        <w:tc>
          <w:tcPr>
            <w:tcW w:w="848" w:type="dxa"/>
            <w:tcBorders>
              <w:top w:val="single" w:sz="4" w:space="0" w:color="000000"/>
              <w:left w:val="single" w:sz="4" w:space="0" w:color="000000"/>
            </w:tcBorders>
          </w:tcPr>
          <w:p>
            <w:pPr>
              <w:pStyle w:val="TableParagraph"/>
              <w:spacing w:before="6"/>
              <w:jc w:val="left"/>
              <w:rPr>
                <w:b/>
                <w:sz w:val="19"/>
              </w:rPr>
            </w:pPr>
          </w:p>
          <w:p>
            <w:pPr>
              <w:pStyle w:val="TableParagraph"/>
              <w:ind w:left="120" w:right="105"/>
              <w:rPr>
                <w:sz w:val="20"/>
              </w:rPr>
            </w:pPr>
            <w:r>
              <w:rPr>
                <w:sz w:val="20"/>
              </w:rPr>
              <w:t>0,0</w:t>
            </w:r>
          </w:p>
        </w:tc>
        <w:tc>
          <w:tcPr>
            <w:tcW w:w="713" w:type="dxa"/>
            <w:tcBorders>
              <w:top w:val="single" w:sz="4" w:space="0" w:color="000000"/>
              <w:right w:val="single" w:sz="4" w:space="0" w:color="000000"/>
            </w:tcBorders>
          </w:tcPr>
          <w:p>
            <w:pPr>
              <w:pStyle w:val="TableParagraph"/>
              <w:spacing w:before="6"/>
              <w:jc w:val="left"/>
              <w:rPr>
                <w:b/>
                <w:sz w:val="19"/>
              </w:rPr>
            </w:pPr>
          </w:p>
          <w:p>
            <w:pPr>
              <w:pStyle w:val="TableParagraph"/>
              <w:ind w:left="184" w:right="206"/>
              <w:rPr>
                <w:sz w:val="20"/>
              </w:rPr>
            </w:pPr>
            <w:r>
              <w:rPr>
                <w:sz w:val="20"/>
              </w:rPr>
              <w:t>06</w:t>
            </w:r>
          </w:p>
        </w:tc>
        <w:tc>
          <w:tcPr>
            <w:tcW w:w="848" w:type="dxa"/>
            <w:tcBorders>
              <w:top w:val="single" w:sz="4" w:space="0" w:color="000000"/>
              <w:left w:val="single" w:sz="4" w:space="0" w:color="000000"/>
            </w:tcBorders>
          </w:tcPr>
          <w:p>
            <w:pPr>
              <w:pStyle w:val="TableParagraph"/>
              <w:spacing w:before="6"/>
              <w:jc w:val="left"/>
              <w:rPr>
                <w:b/>
                <w:sz w:val="19"/>
              </w:rPr>
            </w:pPr>
          </w:p>
          <w:p>
            <w:pPr>
              <w:pStyle w:val="TableParagraph"/>
              <w:ind w:left="120" w:right="106"/>
              <w:rPr>
                <w:sz w:val="20"/>
              </w:rPr>
            </w:pPr>
            <w:r>
              <w:rPr>
                <w:sz w:val="20"/>
              </w:rPr>
              <w:t>40</w:t>
            </w:r>
          </w:p>
        </w:tc>
        <w:tc>
          <w:tcPr>
            <w:tcW w:w="569" w:type="dxa"/>
            <w:tcBorders>
              <w:top w:val="single" w:sz="4" w:space="0" w:color="000000"/>
              <w:right w:val="single" w:sz="4" w:space="0" w:color="000000"/>
            </w:tcBorders>
          </w:tcPr>
          <w:p>
            <w:pPr>
              <w:pStyle w:val="TableParagraph"/>
              <w:spacing w:before="6"/>
              <w:jc w:val="left"/>
              <w:rPr>
                <w:b/>
                <w:sz w:val="19"/>
              </w:rPr>
            </w:pPr>
          </w:p>
          <w:p>
            <w:pPr>
              <w:pStyle w:val="TableParagraph"/>
              <w:ind w:left="124" w:right="146"/>
              <w:rPr>
                <w:sz w:val="20"/>
              </w:rPr>
            </w:pPr>
            <w:r>
              <w:rPr>
                <w:sz w:val="20"/>
              </w:rPr>
              <w:t>06</w:t>
            </w:r>
          </w:p>
        </w:tc>
        <w:tc>
          <w:tcPr>
            <w:tcW w:w="847" w:type="dxa"/>
            <w:tcBorders>
              <w:top w:val="single" w:sz="4" w:space="0" w:color="000000"/>
              <w:left w:val="single" w:sz="4" w:space="0" w:color="000000"/>
            </w:tcBorders>
          </w:tcPr>
          <w:p>
            <w:pPr>
              <w:pStyle w:val="TableParagraph"/>
              <w:spacing w:before="6"/>
              <w:jc w:val="left"/>
              <w:rPr>
                <w:b/>
                <w:sz w:val="19"/>
              </w:rPr>
            </w:pPr>
          </w:p>
          <w:p>
            <w:pPr>
              <w:pStyle w:val="TableParagraph"/>
              <w:ind w:left="148" w:right="132"/>
              <w:rPr>
                <w:sz w:val="20"/>
              </w:rPr>
            </w:pPr>
            <w:r>
              <w:rPr>
                <w:sz w:val="20"/>
              </w:rPr>
              <w:t>26,67</w:t>
            </w:r>
          </w:p>
        </w:tc>
        <w:tc>
          <w:tcPr>
            <w:tcW w:w="569" w:type="dxa"/>
            <w:tcBorders>
              <w:top w:val="single" w:sz="4" w:space="0" w:color="000000"/>
              <w:right w:val="single" w:sz="4" w:space="0" w:color="000000"/>
            </w:tcBorders>
          </w:tcPr>
          <w:p>
            <w:pPr>
              <w:pStyle w:val="TableParagraph"/>
              <w:spacing w:before="6"/>
              <w:jc w:val="left"/>
              <w:rPr>
                <w:b/>
                <w:sz w:val="19"/>
              </w:rPr>
            </w:pPr>
          </w:p>
          <w:p>
            <w:pPr>
              <w:pStyle w:val="TableParagraph"/>
              <w:ind w:left="149"/>
              <w:jc w:val="left"/>
              <w:rPr>
                <w:sz w:val="20"/>
              </w:rPr>
            </w:pPr>
            <w:r>
              <w:rPr>
                <w:sz w:val="20"/>
              </w:rPr>
              <w:t>06</w:t>
            </w:r>
          </w:p>
        </w:tc>
        <w:tc>
          <w:tcPr>
            <w:tcW w:w="848" w:type="dxa"/>
            <w:tcBorders>
              <w:top w:val="single" w:sz="4" w:space="0" w:color="000000"/>
              <w:left w:val="single" w:sz="4" w:space="0" w:color="000000"/>
            </w:tcBorders>
          </w:tcPr>
          <w:p>
            <w:pPr>
              <w:pStyle w:val="TableParagraph"/>
              <w:spacing w:before="6"/>
              <w:jc w:val="left"/>
              <w:rPr>
                <w:b/>
                <w:sz w:val="19"/>
              </w:rPr>
            </w:pPr>
          </w:p>
          <w:p>
            <w:pPr>
              <w:pStyle w:val="TableParagraph"/>
              <w:ind w:left="120" w:right="105"/>
              <w:rPr>
                <w:sz w:val="20"/>
              </w:rPr>
            </w:pPr>
            <w:r>
              <w:rPr>
                <w:sz w:val="20"/>
              </w:rPr>
              <w:t>33,33</w:t>
            </w:r>
          </w:p>
        </w:tc>
      </w:tr>
    </w:tbl>
    <w:p>
      <w:pPr>
        <w:spacing w:before="0"/>
        <w:ind w:left="308" w:right="0" w:firstLine="0"/>
        <w:jc w:val="left"/>
        <w:rPr>
          <w:sz w:val="18"/>
        </w:rPr>
      </w:pPr>
      <w:r>
        <w:rPr>
          <w:sz w:val="20"/>
        </w:rPr>
        <w:t>Fonte: Dados da Pesquisa – Mestrado – Pinho (2014)</w:t>
      </w:r>
      <w:r>
        <w:rPr>
          <w:sz w:val="18"/>
        </w:rPr>
        <w:t>.</w:t>
      </w:r>
    </w:p>
    <w:p>
      <w:pPr>
        <w:pStyle w:val="BodyText"/>
        <w:rPr>
          <w:sz w:val="22"/>
        </w:rPr>
      </w:pPr>
    </w:p>
    <w:p>
      <w:pPr>
        <w:pStyle w:val="BodyText"/>
        <w:rPr>
          <w:sz w:val="22"/>
        </w:rPr>
      </w:pPr>
    </w:p>
    <w:p>
      <w:pPr>
        <w:pStyle w:val="BodyText"/>
        <w:rPr>
          <w:sz w:val="22"/>
        </w:rPr>
      </w:pPr>
    </w:p>
    <w:p>
      <w:pPr>
        <w:pStyle w:val="BodyText"/>
        <w:spacing w:before="7"/>
        <w:rPr>
          <w:sz w:val="29"/>
        </w:rPr>
      </w:pPr>
    </w:p>
    <w:p>
      <w:pPr>
        <w:spacing w:before="0" w:after="10"/>
        <w:ind w:left="1167" w:right="0" w:firstLine="0"/>
        <w:jc w:val="left"/>
        <w:rPr>
          <w:sz w:val="20"/>
        </w:rPr>
      </w:pPr>
      <w:r>
        <w:rPr>
          <w:b/>
          <w:sz w:val="20"/>
        </w:rPr>
        <w:t>Quadro 12: </w:t>
      </w:r>
      <w:r>
        <w:rPr>
          <w:sz w:val="20"/>
        </w:rPr>
        <w:t>Categoria III – Plano Estratégico e de Ação na percepção dos pais.</w:t>
      </w:r>
    </w:p>
    <w:tbl>
      <w:tblPr>
        <w:tblW w:w="0" w:type="auto"/>
        <w:jc w:val="left"/>
        <w:tblInd w:w="284"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389"/>
        <w:gridCol w:w="1131"/>
        <w:gridCol w:w="569"/>
        <w:gridCol w:w="593"/>
        <w:gridCol w:w="709"/>
        <w:gridCol w:w="708"/>
        <w:gridCol w:w="828"/>
        <w:gridCol w:w="588"/>
        <w:gridCol w:w="829"/>
        <w:gridCol w:w="593"/>
      </w:tblGrid>
      <w:tr>
        <w:trPr>
          <w:trHeight w:val="281" w:hRule="exact"/>
        </w:trPr>
        <w:tc>
          <w:tcPr>
            <w:tcW w:w="3520" w:type="dxa"/>
            <w:gridSpan w:val="2"/>
            <w:vMerge w:val="restart"/>
            <w:tcBorders>
              <w:top w:val="nil"/>
              <w:left w:val="nil"/>
            </w:tcBorders>
          </w:tcPr>
          <w:p>
            <w:pPr/>
          </w:p>
        </w:tc>
        <w:tc>
          <w:tcPr>
            <w:tcW w:w="5417" w:type="dxa"/>
            <w:gridSpan w:val="8"/>
            <w:tcBorders>
              <w:bottom w:val="single" w:sz="4" w:space="0" w:color="000000"/>
            </w:tcBorders>
          </w:tcPr>
          <w:p>
            <w:pPr>
              <w:pStyle w:val="TableParagraph"/>
              <w:spacing w:line="220" w:lineRule="exact"/>
              <w:ind w:left="2067" w:right="2077"/>
              <w:rPr>
                <w:b/>
                <w:sz w:val="20"/>
              </w:rPr>
            </w:pPr>
            <w:r>
              <w:rPr>
                <w:b/>
                <w:sz w:val="20"/>
              </w:rPr>
              <w:t>AVALIAÇÃO</w:t>
            </w:r>
          </w:p>
        </w:tc>
      </w:tr>
      <w:tr>
        <w:trPr>
          <w:trHeight w:val="1635" w:hRule="exact"/>
        </w:trPr>
        <w:tc>
          <w:tcPr>
            <w:tcW w:w="3520" w:type="dxa"/>
            <w:gridSpan w:val="2"/>
            <w:vMerge/>
            <w:tcBorders>
              <w:left w:val="nil"/>
            </w:tcBorders>
          </w:tcPr>
          <w:p>
            <w:pPr/>
          </w:p>
        </w:tc>
        <w:tc>
          <w:tcPr>
            <w:tcW w:w="1162" w:type="dxa"/>
            <w:gridSpan w:val="2"/>
            <w:tcBorders>
              <w:top w:val="single" w:sz="4" w:space="0" w:color="000000"/>
              <w:bottom w:val="single" w:sz="4" w:space="0" w:color="000000"/>
            </w:tcBorders>
          </w:tcPr>
          <w:p>
            <w:pPr>
              <w:pStyle w:val="TableParagraph"/>
              <w:spacing w:before="2"/>
              <w:jc w:val="left"/>
              <w:rPr>
                <w:sz w:val="29"/>
              </w:rPr>
            </w:pPr>
          </w:p>
          <w:p>
            <w:pPr>
              <w:pStyle w:val="TableParagraph"/>
              <w:ind w:left="263" w:right="101" w:hanging="164"/>
              <w:jc w:val="left"/>
              <w:rPr>
                <w:b/>
                <w:sz w:val="20"/>
              </w:rPr>
            </w:pPr>
            <w:r>
              <w:rPr>
                <w:b/>
                <w:sz w:val="20"/>
              </w:rPr>
              <w:t>Nunca ou quase nunca (1-2)</w:t>
            </w:r>
          </w:p>
        </w:tc>
        <w:tc>
          <w:tcPr>
            <w:tcW w:w="1417" w:type="dxa"/>
            <w:gridSpan w:val="2"/>
            <w:tcBorders>
              <w:top w:val="single" w:sz="4" w:space="0" w:color="000000"/>
              <w:bottom w:val="single" w:sz="4" w:space="0" w:color="000000"/>
            </w:tcBorders>
          </w:tcPr>
          <w:p>
            <w:pPr>
              <w:pStyle w:val="TableParagraph"/>
              <w:jc w:val="left"/>
              <w:rPr>
                <w:sz w:val="22"/>
              </w:rPr>
            </w:pPr>
          </w:p>
          <w:p>
            <w:pPr>
              <w:pStyle w:val="TableParagraph"/>
              <w:spacing w:before="198"/>
              <w:ind w:left="62" w:right="62" w:hanging="6"/>
              <w:rPr>
                <w:b/>
                <w:sz w:val="20"/>
              </w:rPr>
            </w:pPr>
            <w:r>
              <w:rPr>
                <w:b/>
                <w:sz w:val="20"/>
              </w:rPr>
              <w:t>Às vezes. Ocasional- mente (3-4-5)</w:t>
            </w:r>
          </w:p>
        </w:tc>
        <w:tc>
          <w:tcPr>
            <w:tcW w:w="1416" w:type="dxa"/>
            <w:gridSpan w:val="2"/>
            <w:tcBorders>
              <w:top w:val="single" w:sz="4" w:space="0" w:color="000000"/>
              <w:bottom w:val="single" w:sz="4" w:space="0" w:color="000000"/>
            </w:tcBorders>
          </w:tcPr>
          <w:p>
            <w:pPr>
              <w:pStyle w:val="TableParagraph"/>
              <w:spacing w:before="105"/>
              <w:ind w:left="67" w:right="64"/>
              <w:rPr>
                <w:b/>
                <w:sz w:val="20"/>
              </w:rPr>
            </w:pPr>
            <w:r>
              <w:rPr>
                <w:b/>
                <w:sz w:val="20"/>
              </w:rPr>
              <w:t>Muitas vezes ou ocasiões.</w:t>
            </w:r>
          </w:p>
          <w:p>
            <w:pPr>
              <w:pStyle w:val="TableParagraph"/>
              <w:ind w:left="81" w:right="84" w:firstLine="5"/>
              <w:rPr>
                <w:b/>
                <w:sz w:val="20"/>
              </w:rPr>
            </w:pPr>
            <w:r>
              <w:rPr>
                <w:b/>
                <w:sz w:val="20"/>
              </w:rPr>
              <w:t>Existem evidências do indicador (6-7-8)</w:t>
            </w:r>
          </w:p>
        </w:tc>
        <w:tc>
          <w:tcPr>
            <w:tcW w:w="1422" w:type="dxa"/>
            <w:gridSpan w:val="2"/>
            <w:tcBorders>
              <w:top w:val="single" w:sz="4" w:space="0" w:color="000000"/>
              <w:bottom w:val="single" w:sz="4" w:space="0" w:color="000000"/>
            </w:tcBorders>
          </w:tcPr>
          <w:p>
            <w:pPr>
              <w:pStyle w:val="TableParagraph"/>
              <w:ind w:left="43" w:right="44" w:hanging="10"/>
              <w:rPr>
                <w:b/>
                <w:sz w:val="20"/>
              </w:rPr>
            </w:pPr>
            <w:r>
              <w:rPr>
                <w:b/>
                <w:sz w:val="20"/>
              </w:rPr>
              <w:t>De continuo. Evidências claras de aparição do indicador ou característica (9-10)</w:t>
            </w:r>
          </w:p>
        </w:tc>
      </w:tr>
      <w:tr>
        <w:trPr>
          <w:trHeight w:val="279" w:hRule="exact"/>
        </w:trPr>
        <w:tc>
          <w:tcPr>
            <w:tcW w:w="2389" w:type="dxa"/>
            <w:tcBorders>
              <w:right w:val="single" w:sz="4" w:space="0" w:color="000000"/>
            </w:tcBorders>
          </w:tcPr>
          <w:p>
            <w:pPr>
              <w:pStyle w:val="TableParagraph"/>
              <w:spacing w:line="225" w:lineRule="exact"/>
              <w:ind w:left="676"/>
              <w:jc w:val="left"/>
              <w:rPr>
                <w:b/>
                <w:sz w:val="20"/>
              </w:rPr>
            </w:pPr>
            <w:r>
              <w:rPr>
                <w:b/>
                <w:sz w:val="20"/>
              </w:rPr>
              <w:t>Parâmetro</w:t>
            </w:r>
          </w:p>
        </w:tc>
        <w:tc>
          <w:tcPr>
            <w:tcW w:w="1131" w:type="dxa"/>
            <w:tcBorders>
              <w:left w:val="single" w:sz="4" w:space="0" w:color="000000"/>
            </w:tcBorders>
          </w:tcPr>
          <w:p>
            <w:pPr>
              <w:pStyle w:val="TableParagraph"/>
              <w:spacing w:line="225" w:lineRule="exact"/>
              <w:ind w:left="131" w:right="121"/>
              <w:rPr>
                <w:b/>
                <w:sz w:val="20"/>
              </w:rPr>
            </w:pPr>
            <w:r>
              <w:rPr>
                <w:b/>
                <w:sz w:val="20"/>
              </w:rPr>
              <w:t>Amostra</w:t>
            </w:r>
          </w:p>
        </w:tc>
        <w:tc>
          <w:tcPr>
            <w:tcW w:w="569" w:type="dxa"/>
            <w:tcBorders>
              <w:top w:val="single" w:sz="4" w:space="0" w:color="000000"/>
              <w:right w:val="single" w:sz="4" w:space="0" w:color="000000"/>
            </w:tcBorders>
          </w:tcPr>
          <w:p>
            <w:pPr>
              <w:pStyle w:val="TableParagraph"/>
              <w:spacing w:before="12"/>
              <w:ind w:left="115" w:right="132"/>
              <w:rPr>
                <w:b/>
                <w:sz w:val="20"/>
              </w:rPr>
            </w:pPr>
            <w:r>
              <w:rPr>
                <w:b/>
                <w:sz w:val="20"/>
              </w:rPr>
              <w:t>Nº</w:t>
            </w:r>
          </w:p>
        </w:tc>
        <w:tc>
          <w:tcPr>
            <w:tcW w:w="593" w:type="dxa"/>
            <w:tcBorders>
              <w:top w:val="single" w:sz="4" w:space="0" w:color="000000"/>
              <w:left w:val="single" w:sz="4" w:space="0" w:color="000000"/>
            </w:tcBorders>
          </w:tcPr>
          <w:p>
            <w:pPr>
              <w:pStyle w:val="TableParagraph"/>
              <w:spacing w:before="12"/>
              <w:ind w:left="6"/>
              <w:rPr>
                <w:b/>
                <w:sz w:val="20"/>
              </w:rPr>
            </w:pPr>
            <w:r>
              <w:rPr>
                <w:b/>
                <w:w w:val="100"/>
                <w:sz w:val="20"/>
              </w:rPr>
              <w:t>%</w:t>
            </w:r>
          </w:p>
        </w:tc>
        <w:tc>
          <w:tcPr>
            <w:tcW w:w="709" w:type="dxa"/>
            <w:tcBorders>
              <w:top w:val="single" w:sz="4" w:space="0" w:color="000000"/>
              <w:right w:val="single" w:sz="4" w:space="0" w:color="000000"/>
            </w:tcBorders>
          </w:tcPr>
          <w:p>
            <w:pPr>
              <w:pStyle w:val="TableParagraph"/>
              <w:spacing w:before="12"/>
              <w:ind w:left="53" w:right="65"/>
              <w:rPr>
                <w:b/>
                <w:sz w:val="20"/>
              </w:rPr>
            </w:pPr>
            <w:r>
              <w:rPr>
                <w:b/>
                <w:sz w:val="20"/>
              </w:rPr>
              <w:t>Nº</w:t>
            </w:r>
          </w:p>
        </w:tc>
        <w:tc>
          <w:tcPr>
            <w:tcW w:w="708" w:type="dxa"/>
            <w:tcBorders>
              <w:top w:val="single" w:sz="4" w:space="0" w:color="000000"/>
              <w:left w:val="single" w:sz="4" w:space="0" w:color="000000"/>
            </w:tcBorders>
          </w:tcPr>
          <w:p>
            <w:pPr>
              <w:pStyle w:val="TableParagraph"/>
              <w:spacing w:before="12"/>
              <w:ind w:left="16"/>
              <w:rPr>
                <w:b/>
                <w:sz w:val="20"/>
              </w:rPr>
            </w:pPr>
            <w:r>
              <w:rPr>
                <w:b/>
                <w:w w:val="100"/>
                <w:sz w:val="20"/>
              </w:rPr>
              <w:t>%</w:t>
            </w:r>
          </w:p>
        </w:tc>
        <w:tc>
          <w:tcPr>
            <w:tcW w:w="828" w:type="dxa"/>
            <w:tcBorders>
              <w:top w:val="single" w:sz="4" w:space="0" w:color="000000"/>
              <w:right w:val="single" w:sz="4" w:space="0" w:color="000000"/>
            </w:tcBorders>
          </w:tcPr>
          <w:p>
            <w:pPr>
              <w:pStyle w:val="TableParagraph"/>
              <w:spacing w:before="12"/>
              <w:ind w:right="300"/>
              <w:jc w:val="right"/>
              <w:rPr>
                <w:b/>
                <w:sz w:val="20"/>
              </w:rPr>
            </w:pPr>
            <w:r>
              <w:rPr>
                <w:b/>
                <w:sz w:val="20"/>
              </w:rPr>
              <w:t>Nº</w:t>
            </w:r>
          </w:p>
        </w:tc>
        <w:tc>
          <w:tcPr>
            <w:tcW w:w="588" w:type="dxa"/>
            <w:tcBorders>
              <w:top w:val="single" w:sz="4" w:space="0" w:color="000000"/>
              <w:left w:val="single" w:sz="4" w:space="0" w:color="000000"/>
            </w:tcBorders>
          </w:tcPr>
          <w:p>
            <w:pPr>
              <w:pStyle w:val="TableParagraph"/>
              <w:spacing w:before="12"/>
              <w:ind w:left="196"/>
              <w:jc w:val="left"/>
              <w:rPr>
                <w:b/>
                <w:sz w:val="20"/>
              </w:rPr>
            </w:pPr>
            <w:r>
              <w:rPr>
                <w:b/>
                <w:w w:val="100"/>
                <w:sz w:val="20"/>
              </w:rPr>
              <w:t>%</w:t>
            </w:r>
          </w:p>
        </w:tc>
        <w:tc>
          <w:tcPr>
            <w:tcW w:w="829" w:type="dxa"/>
            <w:tcBorders>
              <w:top w:val="single" w:sz="4" w:space="0" w:color="000000"/>
              <w:right w:val="single" w:sz="4" w:space="0" w:color="000000"/>
            </w:tcBorders>
          </w:tcPr>
          <w:p>
            <w:pPr>
              <w:pStyle w:val="TableParagraph"/>
              <w:spacing w:before="12"/>
              <w:ind w:left="259" w:right="275"/>
              <w:rPr>
                <w:b/>
                <w:sz w:val="20"/>
              </w:rPr>
            </w:pPr>
            <w:r>
              <w:rPr>
                <w:b/>
                <w:sz w:val="20"/>
              </w:rPr>
              <w:t>Nº</w:t>
            </w:r>
          </w:p>
        </w:tc>
        <w:tc>
          <w:tcPr>
            <w:tcW w:w="593" w:type="dxa"/>
            <w:tcBorders>
              <w:top w:val="single" w:sz="4" w:space="0" w:color="000000"/>
              <w:left w:val="single" w:sz="4" w:space="0" w:color="000000"/>
            </w:tcBorders>
          </w:tcPr>
          <w:p>
            <w:pPr>
              <w:pStyle w:val="TableParagraph"/>
              <w:spacing w:before="12"/>
              <w:ind w:left="15"/>
              <w:rPr>
                <w:b/>
                <w:sz w:val="20"/>
              </w:rPr>
            </w:pPr>
            <w:r>
              <w:rPr>
                <w:b/>
                <w:w w:val="100"/>
                <w:sz w:val="20"/>
              </w:rPr>
              <w:t>%</w:t>
            </w:r>
          </w:p>
        </w:tc>
      </w:tr>
      <w:tr>
        <w:trPr>
          <w:trHeight w:val="487" w:hRule="exact"/>
        </w:trPr>
        <w:tc>
          <w:tcPr>
            <w:tcW w:w="2389" w:type="dxa"/>
            <w:tcBorders>
              <w:bottom w:val="single" w:sz="4" w:space="0" w:color="000000"/>
              <w:right w:val="single" w:sz="4" w:space="0" w:color="000000"/>
            </w:tcBorders>
          </w:tcPr>
          <w:p>
            <w:pPr>
              <w:pStyle w:val="TableParagraph"/>
              <w:spacing w:before="110"/>
              <w:ind w:left="28"/>
              <w:jc w:val="left"/>
              <w:rPr>
                <w:sz w:val="20"/>
              </w:rPr>
            </w:pPr>
            <w:r>
              <w:rPr>
                <w:sz w:val="20"/>
              </w:rPr>
              <w:t>Currículo Polivalente</w:t>
            </w:r>
          </w:p>
        </w:tc>
        <w:tc>
          <w:tcPr>
            <w:tcW w:w="1131" w:type="dxa"/>
            <w:tcBorders>
              <w:left w:val="single" w:sz="4" w:space="0" w:color="000000"/>
              <w:bottom w:val="single" w:sz="4" w:space="0" w:color="000000"/>
            </w:tcBorders>
          </w:tcPr>
          <w:p>
            <w:pPr>
              <w:pStyle w:val="TableParagraph"/>
              <w:spacing w:before="110"/>
              <w:ind w:left="130" w:right="121"/>
              <w:rPr>
                <w:sz w:val="20"/>
              </w:rPr>
            </w:pPr>
            <w:r>
              <w:rPr>
                <w:sz w:val="20"/>
              </w:rPr>
              <w:t>28</w:t>
            </w:r>
          </w:p>
        </w:tc>
        <w:tc>
          <w:tcPr>
            <w:tcW w:w="569" w:type="dxa"/>
            <w:tcBorders>
              <w:bottom w:val="single" w:sz="4" w:space="0" w:color="000000"/>
              <w:right w:val="single" w:sz="4" w:space="0" w:color="000000"/>
            </w:tcBorders>
          </w:tcPr>
          <w:p>
            <w:pPr>
              <w:pStyle w:val="TableParagraph"/>
              <w:spacing w:before="110"/>
              <w:ind w:left="112" w:right="134"/>
              <w:rPr>
                <w:sz w:val="20"/>
              </w:rPr>
            </w:pPr>
            <w:r>
              <w:rPr>
                <w:sz w:val="20"/>
              </w:rPr>
              <w:t>06</w:t>
            </w:r>
          </w:p>
        </w:tc>
        <w:tc>
          <w:tcPr>
            <w:tcW w:w="593" w:type="dxa"/>
            <w:tcBorders>
              <w:left w:val="single" w:sz="4" w:space="0" w:color="000000"/>
              <w:bottom w:val="single" w:sz="4" w:space="0" w:color="000000"/>
            </w:tcBorders>
          </w:tcPr>
          <w:p>
            <w:pPr>
              <w:pStyle w:val="TableParagraph"/>
              <w:spacing w:line="225" w:lineRule="exact"/>
              <w:ind w:left="67" w:right="61"/>
              <w:rPr>
                <w:sz w:val="20"/>
              </w:rPr>
            </w:pPr>
            <w:r>
              <w:rPr>
                <w:sz w:val="20"/>
              </w:rPr>
              <w:t>17,2</w:t>
            </w:r>
          </w:p>
          <w:p>
            <w:pPr>
              <w:pStyle w:val="TableParagraph"/>
              <w:ind w:left="6"/>
              <w:rPr>
                <w:sz w:val="20"/>
              </w:rPr>
            </w:pPr>
            <w:r>
              <w:rPr>
                <w:w w:val="100"/>
                <w:sz w:val="20"/>
              </w:rPr>
              <w:t>7</w:t>
            </w:r>
          </w:p>
        </w:tc>
        <w:tc>
          <w:tcPr>
            <w:tcW w:w="709" w:type="dxa"/>
            <w:tcBorders>
              <w:bottom w:val="single" w:sz="4" w:space="0" w:color="000000"/>
              <w:right w:val="single" w:sz="4" w:space="0" w:color="000000"/>
            </w:tcBorders>
          </w:tcPr>
          <w:p>
            <w:pPr>
              <w:pStyle w:val="TableParagraph"/>
              <w:spacing w:before="110"/>
              <w:ind w:left="48" w:right="65"/>
              <w:rPr>
                <w:sz w:val="20"/>
              </w:rPr>
            </w:pPr>
            <w:r>
              <w:rPr>
                <w:sz w:val="20"/>
              </w:rPr>
              <w:t>06</w:t>
            </w:r>
          </w:p>
        </w:tc>
        <w:tc>
          <w:tcPr>
            <w:tcW w:w="708" w:type="dxa"/>
            <w:tcBorders>
              <w:left w:val="single" w:sz="4" w:space="0" w:color="000000"/>
              <w:bottom w:val="single" w:sz="4" w:space="0" w:color="000000"/>
            </w:tcBorders>
          </w:tcPr>
          <w:p>
            <w:pPr>
              <w:pStyle w:val="TableParagraph"/>
              <w:spacing w:before="110"/>
              <w:ind w:left="76" w:right="65"/>
              <w:rPr>
                <w:sz w:val="20"/>
              </w:rPr>
            </w:pPr>
            <w:r>
              <w:rPr>
                <w:sz w:val="20"/>
              </w:rPr>
              <w:t>36,31</w:t>
            </w:r>
          </w:p>
        </w:tc>
        <w:tc>
          <w:tcPr>
            <w:tcW w:w="828" w:type="dxa"/>
            <w:tcBorders>
              <w:bottom w:val="single" w:sz="4" w:space="0" w:color="000000"/>
              <w:right w:val="single" w:sz="4" w:space="0" w:color="000000"/>
            </w:tcBorders>
          </w:tcPr>
          <w:p>
            <w:pPr>
              <w:pStyle w:val="TableParagraph"/>
              <w:spacing w:before="110"/>
              <w:ind w:right="300"/>
              <w:jc w:val="right"/>
              <w:rPr>
                <w:sz w:val="20"/>
              </w:rPr>
            </w:pPr>
            <w:r>
              <w:rPr>
                <w:sz w:val="20"/>
              </w:rPr>
              <w:t>06</w:t>
            </w:r>
          </w:p>
        </w:tc>
        <w:tc>
          <w:tcPr>
            <w:tcW w:w="588" w:type="dxa"/>
            <w:tcBorders>
              <w:left w:val="single" w:sz="4" w:space="0" w:color="000000"/>
              <w:bottom w:val="single" w:sz="4" w:space="0" w:color="000000"/>
            </w:tcBorders>
          </w:tcPr>
          <w:p>
            <w:pPr>
              <w:pStyle w:val="TableParagraph"/>
              <w:spacing w:line="225" w:lineRule="exact"/>
              <w:ind w:left="71" w:right="60"/>
              <w:rPr>
                <w:sz w:val="20"/>
              </w:rPr>
            </w:pPr>
            <w:r>
              <w:rPr>
                <w:sz w:val="20"/>
              </w:rPr>
              <w:t>32,1</w:t>
            </w:r>
          </w:p>
          <w:p>
            <w:pPr>
              <w:pStyle w:val="TableParagraph"/>
              <w:ind w:left="11"/>
              <w:rPr>
                <w:sz w:val="20"/>
              </w:rPr>
            </w:pPr>
            <w:r>
              <w:rPr>
                <w:w w:val="100"/>
                <w:sz w:val="20"/>
              </w:rPr>
              <w:t>4</w:t>
            </w:r>
          </w:p>
        </w:tc>
        <w:tc>
          <w:tcPr>
            <w:tcW w:w="829" w:type="dxa"/>
            <w:tcBorders>
              <w:bottom w:val="single" w:sz="4" w:space="0" w:color="000000"/>
              <w:right w:val="single" w:sz="4" w:space="0" w:color="000000"/>
            </w:tcBorders>
          </w:tcPr>
          <w:p>
            <w:pPr>
              <w:pStyle w:val="TableParagraph"/>
              <w:spacing w:before="110"/>
              <w:ind w:left="259" w:right="280"/>
              <w:rPr>
                <w:sz w:val="20"/>
              </w:rPr>
            </w:pPr>
            <w:r>
              <w:rPr>
                <w:sz w:val="20"/>
              </w:rPr>
              <w:t>06</w:t>
            </w:r>
          </w:p>
        </w:tc>
        <w:tc>
          <w:tcPr>
            <w:tcW w:w="593" w:type="dxa"/>
            <w:tcBorders>
              <w:left w:val="single" w:sz="4" w:space="0" w:color="000000"/>
              <w:bottom w:val="single" w:sz="4" w:space="0" w:color="000000"/>
            </w:tcBorders>
          </w:tcPr>
          <w:p>
            <w:pPr>
              <w:pStyle w:val="TableParagraph"/>
              <w:spacing w:line="225" w:lineRule="exact"/>
              <w:ind w:left="71" w:right="56"/>
              <w:rPr>
                <w:sz w:val="20"/>
              </w:rPr>
            </w:pPr>
            <w:r>
              <w:rPr>
                <w:sz w:val="20"/>
              </w:rPr>
              <w:t>14,2</w:t>
            </w:r>
          </w:p>
          <w:p>
            <w:pPr>
              <w:pStyle w:val="TableParagraph"/>
              <w:ind w:left="15"/>
              <w:rPr>
                <w:sz w:val="20"/>
              </w:rPr>
            </w:pPr>
            <w:r>
              <w:rPr>
                <w:w w:val="100"/>
                <w:sz w:val="20"/>
              </w:rPr>
              <w:t>9</w:t>
            </w:r>
          </w:p>
        </w:tc>
      </w:tr>
      <w:tr>
        <w:trPr>
          <w:trHeight w:val="470" w:hRule="exact"/>
        </w:trPr>
        <w:tc>
          <w:tcPr>
            <w:tcW w:w="2389" w:type="dxa"/>
            <w:tcBorders>
              <w:top w:val="single" w:sz="4" w:space="0" w:color="000000"/>
              <w:bottom w:val="single" w:sz="4" w:space="0" w:color="000000"/>
              <w:right w:val="single" w:sz="4" w:space="0" w:color="000000"/>
            </w:tcBorders>
          </w:tcPr>
          <w:p>
            <w:pPr>
              <w:pStyle w:val="TableParagraph"/>
              <w:spacing w:before="18"/>
              <w:ind w:left="28"/>
              <w:jc w:val="left"/>
              <w:rPr>
                <w:sz w:val="18"/>
              </w:rPr>
            </w:pPr>
            <w:r>
              <w:rPr>
                <w:sz w:val="18"/>
              </w:rPr>
              <w:t>Metodologia e Estratégicas Diversificadas</w:t>
            </w:r>
          </w:p>
        </w:tc>
        <w:tc>
          <w:tcPr>
            <w:tcW w:w="1131" w:type="dxa"/>
            <w:tcBorders>
              <w:top w:val="single" w:sz="4" w:space="0" w:color="000000"/>
              <w:left w:val="single" w:sz="4" w:space="0" w:color="000000"/>
              <w:bottom w:val="single" w:sz="4" w:space="0" w:color="000000"/>
            </w:tcBorders>
          </w:tcPr>
          <w:p>
            <w:pPr>
              <w:pStyle w:val="TableParagraph"/>
              <w:spacing w:before="110"/>
              <w:ind w:left="130" w:right="121"/>
              <w:rPr>
                <w:sz w:val="20"/>
              </w:rPr>
            </w:pPr>
            <w:r>
              <w:rPr>
                <w:sz w:val="20"/>
              </w:rPr>
              <w:t>28</w:t>
            </w:r>
          </w:p>
        </w:tc>
        <w:tc>
          <w:tcPr>
            <w:tcW w:w="569" w:type="dxa"/>
            <w:tcBorders>
              <w:top w:val="single" w:sz="4" w:space="0" w:color="000000"/>
              <w:bottom w:val="single" w:sz="4" w:space="0" w:color="000000"/>
              <w:right w:val="single" w:sz="4" w:space="0" w:color="000000"/>
            </w:tcBorders>
          </w:tcPr>
          <w:p>
            <w:pPr>
              <w:pStyle w:val="TableParagraph"/>
              <w:spacing w:before="110"/>
              <w:ind w:left="112" w:right="134"/>
              <w:rPr>
                <w:sz w:val="20"/>
              </w:rPr>
            </w:pPr>
            <w:r>
              <w:rPr>
                <w:sz w:val="20"/>
              </w:rPr>
              <w:t>06</w:t>
            </w:r>
          </w:p>
        </w:tc>
        <w:tc>
          <w:tcPr>
            <w:tcW w:w="593" w:type="dxa"/>
            <w:tcBorders>
              <w:top w:val="single" w:sz="4" w:space="0" w:color="000000"/>
              <w:left w:val="single" w:sz="4" w:space="0" w:color="000000"/>
              <w:bottom w:val="single" w:sz="4" w:space="0" w:color="000000"/>
            </w:tcBorders>
          </w:tcPr>
          <w:p>
            <w:pPr>
              <w:pStyle w:val="TableParagraph"/>
              <w:spacing w:line="225" w:lineRule="exact"/>
              <w:ind w:left="67" w:right="61"/>
              <w:rPr>
                <w:sz w:val="20"/>
              </w:rPr>
            </w:pPr>
            <w:r>
              <w:rPr>
                <w:sz w:val="20"/>
              </w:rPr>
              <w:t>11,9</w:t>
            </w:r>
          </w:p>
          <w:p>
            <w:pPr>
              <w:pStyle w:val="TableParagraph"/>
              <w:ind w:left="6"/>
              <w:rPr>
                <w:sz w:val="20"/>
              </w:rPr>
            </w:pPr>
            <w:r>
              <w:rPr>
                <w:w w:val="100"/>
                <w:sz w:val="20"/>
              </w:rPr>
              <w:t>1</w:t>
            </w:r>
          </w:p>
        </w:tc>
        <w:tc>
          <w:tcPr>
            <w:tcW w:w="709" w:type="dxa"/>
            <w:tcBorders>
              <w:top w:val="single" w:sz="4" w:space="0" w:color="000000"/>
              <w:bottom w:val="single" w:sz="4" w:space="0" w:color="000000"/>
              <w:right w:val="single" w:sz="4" w:space="0" w:color="000000"/>
            </w:tcBorders>
          </w:tcPr>
          <w:p>
            <w:pPr>
              <w:pStyle w:val="TableParagraph"/>
              <w:spacing w:before="110"/>
              <w:ind w:left="48" w:right="65"/>
              <w:rPr>
                <w:sz w:val="20"/>
              </w:rPr>
            </w:pPr>
            <w:r>
              <w:rPr>
                <w:sz w:val="20"/>
              </w:rPr>
              <w:t>06</w:t>
            </w:r>
          </w:p>
        </w:tc>
        <w:tc>
          <w:tcPr>
            <w:tcW w:w="708" w:type="dxa"/>
            <w:tcBorders>
              <w:top w:val="single" w:sz="4" w:space="0" w:color="000000"/>
              <w:left w:val="single" w:sz="4" w:space="0" w:color="000000"/>
              <w:bottom w:val="single" w:sz="4" w:space="0" w:color="000000"/>
            </w:tcBorders>
          </w:tcPr>
          <w:p>
            <w:pPr>
              <w:pStyle w:val="TableParagraph"/>
              <w:spacing w:before="110"/>
              <w:ind w:left="76" w:right="65"/>
              <w:rPr>
                <w:sz w:val="20"/>
              </w:rPr>
            </w:pPr>
            <w:r>
              <w:rPr>
                <w:sz w:val="20"/>
              </w:rPr>
              <w:t>29,17</w:t>
            </w:r>
          </w:p>
        </w:tc>
        <w:tc>
          <w:tcPr>
            <w:tcW w:w="828" w:type="dxa"/>
            <w:tcBorders>
              <w:top w:val="single" w:sz="4" w:space="0" w:color="000000"/>
              <w:bottom w:val="single" w:sz="4" w:space="0" w:color="000000"/>
              <w:right w:val="single" w:sz="4" w:space="0" w:color="000000"/>
            </w:tcBorders>
          </w:tcPr>
          <w:p>
            <w:pPr>
              <w:pStyle w:val="TableParagraph"/>
              <w:spacing w:before="110"/>
              <w:ind w:right="300"/>
              <w:jc w:val="right"/>
              <w:rPr>
                <w:sz w:val="20"/>
              </w:rPr>
            </w:pPr>
            <w:r>
              <w:rPr>
                <w:sz w:val="20"/>
              </w:rPr>
              <w:t>06</w:t>
            </w:r>
          </w:p>
        </w:tc>
        <w:tc>
          <w:tcPr>
            <w:tcW w:w="588" w:type="dxa"/>
            <w:tcBorders>
              <w:top w:val="single" w:sz="4" w:space="0" w:color="000000"/>
              <w:left w:val="single" w:sz="4" w:space="0" w:color="000000"/>
              <w:bottom w:val="single" w:sz="4" w:space="0" w:color="000000"/>
            </w:tcBorders>
          </w:tcPr>
          <w:p>
            <w:pPr>
              <w:pStyle w:val="TableParagraph"/>
              <w:spacing w:line="225" w:lineRule="exact"/>
              <w:ind w:left="71" w:right="60"/>
              <w:rPr>
                <w:sz w:val="20"/>
              </w:rPr>
            </w:pPr>
            <w:r>
              <w:rPr>
                <w:sz w:val="20"/>
              </w:rPr>
              <w:t>20,8</w:t>
            </w:r>
          </w:p>
          <w:p>
            <w:pPr>
              <w:pStyle w:val="TableParagraph"/>
              <w:ind w:left="11"/>
              <w:rPr>
                <w:sz w:val="20"/>
              </w:rPr>
            </w:pPr>
            <w:r>
              <w:rPr>
                <w:w w:val="100"/>
                <w:sz w:val="20"/>
              </w:rPr>
              <w:t>4</w:t>
            </w:r>
          </w:p>
        </w:tc>
        <w:tc>
          <w:tcPr>
            <w:tcW w:w="829" w:type="dxa"/>
            <w:tcBorders>
              <w:top w:val="single" w:sz="4" w:space="0" w:color="000000"/>
              <w:bottom w:val="single" w:sz="4" w:space="0" w:color="000000"/>
              <w:right w:val="single" w:sz="4" w:space="0" w:color="000000"/>
            </w:tcBorders>
          </w:tcPr>
          <w:p>
            <w:pPr>
              <w:pStyle w:val="TableParagraph"/>
              <w:spacing w:before="110"/>
              <w:ind w:left="259" w:right="280"/>
              <w:rPr>
                <w:sz w:val="20"/>
              </w:rPr>
            </w:pPr>
            <w:r>
              <w:rPr>
                <w:sz w:val="20"/>
              </w:rPr>
              <w:t>06</w:t>
            </w:r>
          </w:p>
        </w:tc>
        <w:tc>
          <w:tcPr>
            <w:tcW w:w="593" w:type="dxa"/>
            <w:tcBorders>
              <w:top w:val="single" w:sz="4" w:space="0" w:color="000000"/>
              <w:left w:val="single" w:sz="4" w:space="0" w:color="000000"/>
              <w:bottom w:val="single" w:sz="4" w:space="0" w:color="000000"/>
            </w:tcBorders>
          </w:tcPr>
          <w:p>
            <w:pPr>
              <w:pStyle w:val="TableParagraph"/>
              <w:spacing w:before="110"/>
              <w:ind w:left="71" w:right="56"/>
              <w:rPr>
                <w:sz w:val="20"/>
              </w:rPr>
            </w:pPr>
            <w:r>
              <w:rPr>
                <w:sz w:val="20"/>
              </w:rPr>
              <w:t>37,5</w:t>
            </w:r>
          </w:p>
        </w:tc>
      </w:tr>
      <w:tr>
        <w:trPr>
          <w:trHeight w:val="487" w:hRule="exact"/>
        </w:trPr>
        <w:tc>
          <w:tcPr>
            <w:tcW w:w="2389" w:type="dxa"/>
            <w:tcBorders>
              <w:top w:val="single" w:sz="4" w:space="0" w:color="000000"/>
              <w:right w:val="single" w:sz="4" w:space="0" w:color="000000"/>
            </w:tcBorders>
          </w:tcPr>
          <w:p>
            <w:pPr>
              <w:pStyle w:val="TableParagraph"/>
              <w:ind w:left="28"/>
              <w:jc w:val="left"/>
              <w:rPr>
                <w:sz w:val="20"/>
              </w:rPr>
            </w:pPr>
            <w:r>
              <w:rPr>
                <w:sz w:val="20"/>
              </w:rPr>
              <w:t>Avaliação Formadora e Emergente</w:t>
            </w:r>
          </w:p>
        </w:tc>
        <w:tc>
          <w:tcPr>
            <w:tcW w:w="1131" w:type="dxa"/>
            <w:tcBorders>
              <w:top w:val="single" w:sz="4" w:space="0" w:color="000000"/>
              <w:left w:val="single" w:sz="4" w:space="0" w:color="000000"/>
            </w:tcBorders>
          </w:tcPr>
          <w:p>
            <w:pPr>
              <w:pStyle w:val="TableParagraph"/>
              <w:spacing w:before="110"/>
              <w:ind w:left="130" w:right="121"/>
              <w:rPr>
                <w:sz w:val="20"/>
              </w:rPr>
            </w:pPr>
            <w:r>
              <w:rPr>
                <w:sz w:val="20"/>
              </w:rPr>
              <w:t>28</w:t>
            </w:r>
          </w:p>
        </w:tc>
        <w:tc>
          <w:tcPr>
            <w:tcW w:w="569" w:type="dxa"/>
            <w:tcBorders>
              <w:top w:val="single" w:sz="4" w:space="0" w:color="000000"/>
              <w:right w:val="single" w:sz="4" w:space="0" w:color="000000"/>
            </w:tcBorders>
          </w:tcPr>
          <w:p>
            <w:pPr>
              <w:pStyle w:val="TableParagraph"/>
              <w:spacing w:before="110"/>
              <w:ind w:left="112" w:right="134"/>
              <w:rPr>
                <w:sz w:val="20"/>
              </w:rPr>
            </w:pPr>
            <w:r>
              <w:rPr>
                <w:sz w:val="20"/>
              </w:rPr>
              <w:t>06</w:t>
            </w:r>
          </w:p>
        </w:tc>
        <w:tc>
          <w:tcPr>
            <w:tcW w:w="593" w:type="dxa"/>
            <w:tcBorders>
              <w:top w:val="single" w:sz="4" w:space="0" w:color="000000"/>
              <w:left w:val="single" w:sz="4" w:space="0" w:color="000000"/>
            </w:tcBorders>
          </w:tcPr>
          <w:p>
            <w:pPr>
              <w:pStyle w:val="TableParagraph"/>
              <w:spacing w:line="225" w:lineRule="exact"/>
              <w:ind w:left="67" w:right="61"/>
              <w:rPr>
                <w:sz w:val="20"/>
              </w:rPr>
            </w:pPr>
            <w:r>
              <w:rPr>
                <w:sz w:val="20"/>
              </w:rPr>
              <w:t>17,8</w:t>
            </w:r>
          </w:p>
          <w:p>
            <w:pPr>
              <w:pStyle w:val="TableParagraph"/>
              <w:ind w:left="6"/>
              <w:rPr>
                <w:sz w:val="20"/>
              </w:rPr>
            </w:pPr>
            <w:r>
              <w:rPr>
                <w:w w:val="100"/>
                <w:sz w:val="20"/>
              </w:rPr>
              <w:t>6</w:t>
            </w:r>
          </w:p>
        </w:tc>
        <w:tc>
          <w:tcPr>
            <w:tcW w:w="709" w:type="dxa"/>
            <w:tcBorders>
              <w:top w:val="single" w:sz="4" w:space="0" w:color="000000"/>
              <w:right w:val="single" w:sz="4" w:space="0" w:color="000000"/>
            </w:tcBorders>
          </w:tcPr>
          <w:p>
            <w:pPr>
              <w:pStyle w:val="TableParagraph"/>
              <w:spacing w:before="110"/>
              <w:ind w:left="48" w:right="65"/>
              <w:rPr>
                <w:sz w:val="20"/>
              </w:rPr>
            </w:pPr>
            <w:r>
              <w:rPr>
                <w:sz w:val="20"/>
              </w:rPr>
              <w:t>06</w:t>
            </w:r>
          </w:p>
        </w:tc>
        <w:tc>
          <w:tcPr>
            <w:tcW w:w="708" w:type="dxa"/>
            <w:tcBorders>
              <w:top w:val="single" w:sz="4" w:space="0" w:color="000000"/>
              <w:left w:val="single" w:sz="4" w:space="0" w:color="000000"/>
            </w:tcBorders>
          </w:tcPr>
          <w:p>
            <w:pPr>
              <w:pStyle w:val="TableParagraph"/>
              <w:spacing w:before="110"/>
              <w:ind w:left="76" w:right="65"/>
              <w:rPr>
                <w:sz w:val="20"/>
              </w:rPr>
            </w:pPr>
            <w:r>
              <w:rPr>
                <w:sz w:val="20"/>
              </w:rPr>
              <w:t>45,83</w:t>
            </w:r>
          </w:p>
        </w:tc>
        <w:tc>
          <w:tcPr>
            <w:tcW w:w="828" w:type="dxa"/>
            <w:tcBorders>
              <w:top w:val="single" w:sz="4" w:space="0" w:color="000000"/>
              <w:right w:val="single" w:sz="4" w:space="0" w:color="000000"/>
            </w:tcBorders>
          </w:tcPr>
          <w:p>
            <w:pPr>
              <w:pStyle w:val="TableParagraph"/>
              <w:spacing w:before="110"/>
              <w:ind w:right="300"/>
              <w:jc w:val="right"/>
              <w:rPr>
                <w:sz w:val="20"/>
              </w:rPr>
            </w:pPr>
            <w:r>
              <w:rPr>
                <w:sz w:val="20"/>
              </w:rPr>
              <w:t>06</w:t>
            </w:r>
          </w:p>
        </w:tc>
        <w:tc>
          <w:tcPr>
            <w:tcW w:w="588" w:type="dxa"/>
            <w:tcBorders>
              <w:top w:val="single" w:sz="4" w:space="0" w:color="000000"/>
              <w:left w:val="single" w:sz="4" w:space="0" w:color="000000"/>
            </w:tcBorders>
          </w:tcPr>
          <w:p>
            <w:pPr>
              <w:pStyle w:val="TableParagraph"/>
              <w:spacing w:line="225" w:lineRule="exact"/>
              <w:ind w:left="71" w:right="60"/>
              <w:rPr>
                <w:sz w:val="20"/>
              </w:rPr>
            </w:pPr>
            <w:r>
              <w:rPr>
                <w:sz w:val="20"/>
              </w:rPr>
              <w:t>29,7</w:t>
            </w:r>
          </w:p>
          <w:p>
            <w:pPr>
              <w:pStyle w:val="TableParagraph"/>
              <w:ind w:left="11"/>
              <w:rPr>
                <w:sz w:val="20"/>
              </w:rPr>
            </w:pPr>
            <w:r>
              <w:rPr>
                <w:w w:val="100"/>
                <w:sz w:val="20"/>
              </w:rPr>
              <w:t>6</w:t>
            </w:r>
          </w:p>
        </w:tc>
        <w:tc>
          <w:tcPr>
            <w:tcW w:w="829" w:type="dxa"/>
            <w:tcBorders>
              <w:top w:val="single" w:sz="4" w:space="0" w:color="000000"/>
              <w:right w:val="single" w:sz="4" w:space="0" w:color="000000"/>
            </w:tcBorders>
          </w:tcPr>
          <w:p>
            <w:pPr>
              <w:pStyle w:val="TableParagraph"/>
              <w:spacing w:before="110"/>
              <w:ind w:left="259" w:right="280"/>
              <w:rPr>
                <w:sz w:val="20"/>
              </w:rPr>
            </w:pPr>
            <w:r>
              <w:rPr>
                <w:sz w:val="20"/>
              </w:rPr>
              <w:t>06</w:t>
            </w:r>
          </w:p>
        </w:tc>
        <w:tc>
          <w:tcPr>
            <w:tcW w:w="593" w:type="dxa"/>
            <w:tcBorders>
              <w:top w:val="single" w:sz="4" w:space="0" w:color="000000"/>
              <w:left w:val="single" w:sz="4" w:space="0" w:color="000000"/>
            </w:tcBorders>
          </w:tcPr>
          <w:p>
            <w:pPr>
              <w:pStyle w:val="TableParagraph"/>
              <w:spacing w:before="110"/>
              <w:ind w:left="71" w:right="56"/>
              <w:rPr>
                <w:sz w:val="20"/>
              </w:rPr>
            </w:pPr>
            <w:r>
              <w:rPr>
                <w:sz w:val="20"/>
              </w:rPr>
              <w:t>6,55</w:t>
            </w:r>
          </w:p>
        </w:tc>
      </w:tr>
    </w:tbl>
    <w:p>
      <w:pPr>
        <w:spacing w:before="0"/>
        <w:ind w:left="308" w:right="0" w:firstLine="0"/>
        <w:jc w:val="left"/>
        <w:rPr>
          <w:sz w:val="18"/>
        </w:rPr>
      </w:pPr>
      <w:r>
        <w:rPr>
          <w:sz w:val="20"/>
        </w:rPr>
        <w:t>Fonte: Dados da Pesquisa – Mestrado – Pinho (2014)</w:t>
      </w:r>
      <w:r>
        <w:rPr>
          <w:sz w:val="18"/>
        </w:rPr>
        <w:t>.</w:t>
      </w:r>
    </w:p>
    <w:p>
      <w:pPr>
        <w:spacing w:after="0"/>
        <w:jc w:val="left"/>
        <w:rPr>
          <w:sz w:val="18"/>
        </w:rPr>
        <w:sectPr>
          <w:pgSz w:w="11910" w:h="16840"/>
          <w:pgMar w:header="1133" w:footer="0" w:top="1340" w:bottom="280" w:left="1680" w:right="820"/>
        </w:sectPr>
      </w:pPr>
    </w:p>
    <w:p>
      <w:pPr>
        <w:pStyle w:val="BodyText"/>
        <w:spacing w:before="10"/>
        <w:rPr>
          <w:sz w:val="20"/>
        </w:rPr>
      </w:pPr>
    </w:p>
    <w:p>
      <w:pPr>
        <w:pStyle w:val="Heading3"/>
        <w:ind w:left="386" w:right="190"/>
        <w:jc w:val="center"/>
      </w:pPr>
      <w:r>
        <w:rPr/>
        <w:t>APÊNDICE F</w:t>
      </w:r>
    </w:p>
    <w:p>
      <w:pPr>
        <w:pStyle w:val="BodyText"/>
        <w:spacing w:before="6"/>
        <w:rPr>
          <w:b/>
          <w:sz w:val="31"/>
        </w:rPr>
      </w:pPr>
    </w:p>
    <w:p>
      <w:pPr>
        <w:spacing w:before="0"/>
        <w:ind w:left="391" w:right="190" w:firstLine="0"/>
        <w:jc w:val="center"/>
        <w:rPr>
          <w:b/>
          <w:sz w:val="24"/>
        </w:rPr>
      </w:pPr>
      <w:r>
        <w:rPr>
          <w:b/>
          <w:sz w:val="24"/>
        </w:rPr>
        <w:t>EVIDÊNCIAS DE CRIATIVIDADE - DADOS GLOBAIS - CATEGORIAS I, II E III</w:t>
      </w:r>
    </w:p>
    <w:p>
      <w:pPr>
        <w:pStyle w:val="BodyText"/>
        <w:rPr>
          <w:b/>
          <w:sz w:val="26"/>
        </w:rPr>
      </w:pPr>
    </w:p>
    <w:p>
      <w:pPr>
        <w:pStyle w:val="BodyText"/>
        <w:spacing w:before="6"/>
        <w:rPr>
          <w:b/>
          <w:sz w:val="32"/>
        </w:rPr>
      </w:pPr>
    </w:p>
    <w:p>
      <w:pPr>
        <w:spacing w:before="0" w:after="10"/>
        <w:ind w:left="391" w:right="188" w:firstLine="0"/>
        <w:jc w:val="center"/>
        <w:rPr>
          <w:b/>
          <w:sz w:val="20"/>
        </w:rPr>
      </w:pPr>
      <w:r>
        <w:rPr>
          <w:b/>
          <w:sz w:val="20"/>
        </w:rPr>
        <w:t>Quadro 13: Categoria I – Nível de Consciência Criativa / visão, missão, cultura e valor na percepção dos gestores, professores, servidores, e pais ou responsáveis</w:t>
      </w:r>
    </w:p>
    <w:tbl>
      <w:tblPr>
        <w:tblW w:w="0" w:type="auto"/>
        <w:jc w:val="left"/>
        <w:tblInd w:w="28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22"/>
        <w:gridCol w:w="1100"/>
        <w:gridCol w:w="522"/>
        <w:gridCol w:w="611"/>
        <w:gridCol w:w="527"/>
        <w:gridCol w:w="750"/>
        <w:gridCol w:w="664"/>
        <w:gridCol w:w="897"/>
        <w:gridCol w:w="738"/>
        <w:gridCol w:w="817"/>
      </w:tblGrid>
      <w:tr>
        <w:trPr>
          <w:trHeight w:val="281" w:hRule="exact"/>
        </w:trPr>
        <w:tc>
          <w:tcPr>
            <w:tcW w:w="3121" w:type="dxa"/>
            <w:gridSpan w:val="2"/>
            <w:vMerge w:val="restart"/>
            <w:tcBorders>
              <w:right w:val="single" w:sz="17" w:space="0" w:color="000000"/>
            </w:tcBorders>
          </w:tcPr>
          <w:p>
            <w:pPr/>
          </w:p>
        </w:tc>
        <w:tc>
          <w:tcPr>
            <w:tcW w:w="5527" w:type="dxa"/>
            <w:gridSpan w:val="8"/>
            <w:tcBorders>
              <w:top w:val="single" w:sz="17" w:space="0" w:color="000000"/>
              <w:left w:val="single" w:sz="17" w:space="0" w:color="000000"/>
              <w:bottom w:val="single" w:sz="4" w:space="0" w:color="000000"/>
              <w:right w:val="single" w:sz="17" w:space="0" w:color="000000"/>
            </w:tcBorders>
          </w:tcPr>
          <w:p>
            <w:pPr>
              <w:pStyle w:val="TableParagraph"/>
              <w:spacing w:line="248" w:lineRule="exact"/>
              <w:ind w:left="2098" w:right="2097"/>
              <w:rPr>
                <w:sz w:val="22"/>
              </w:rPr>
            </w:pPr>
            <w:r>
              <w:rPr>
                <w:sz w:val="22"/>
              </w:rPr>
              <w:t>AVALIAÇÃO</w:t>
            </w:r>
          </w:p>
        </w:tc>
      </w:tr>
      <w:tr>
        <w:trPr>
          <w:trHeight w:val="1798" w:hRule="exact"/>
        </w:trPr>
        <w:tc>
          <w:tcPr>
            <w:tcW w:w="3121" w:type="dxa"/>
            <w:gridSpan w:val="2"/>
            <w:vMerge/>
            <w:tcBorders>
              <w:bottom w:val="single" w:sz="17" w:space="0" w:color="000000"/>
              <w:right w:val="single" w:sz="17" w:space="0" w:color="000000"/>
            </w:tcBorders>
          </w:tcPr>
          <w:p>
            <w:pPr/>
          </w:p>
        </w:tc>
        <w:tc>
          <w:tcPr>
            <w:tcW w:w="1133" w:type="dxa"/>
            <w:gridSpan w:val="2"/>
            <w:vMerge w:val="restart"/>
            <w:tcBorders>
              <w:top w:val="single" w:sz="4" w:space="0" w:color="000000"/>
              <w:left w:val="single" w:sz="17" w:space="0" w:color="000000"/>
              <w:right w:val="single" w:sz="17" w:space="0" w:color="000000"/>
            </w:tcBorders>
          </w:tcPr>
          <w:p>
            <w:pPr>
              <w:pStyle w:val="TableParagraph"/>
              <w:spacing w:before="6"/>
              <w:jc w:val="left"/>
              <w:rPr>
                <w:b/>
                <w:sz w:val="32"/>
              </w:rPr>
            </w:pPr>
          </w:p>
          <w:p>
            <w:pPr>
              <w:pStyle w:val="TableParagraph"/>
              <w:spacing w:before="1"/>
              <w:ind w:left="240" w:right="73" w:hanging="168"/>
              <w:jc w:val="left"/>
              <w:rPr>
                <w:sz w:val="22"/>
              </w:rPr>
            </w:pPr>
            <w:r>
              <w:rPr>
                <w:sz w:val="22"/>
              </w:rPr>
              <w:t>Nunca ou quase nunca (1-2)</w:t>
            </w:r>
          </w:p>
          <w:p>
            <w:pPr>
              <w:pStyle w:val="TableParagraph"/>
              <w:jc w:val="left"/>
              <w:rPr>
                <w:b/>
                <w:sz w:val="24"/>
              </w:rPr>
            </w:pPr>
          </w:p>
          <w:p>
            <w:pPr>
              <w:pStyle w:val="TableParagraph"/>
              <w:tabs>
                <w:tab w:pos="729" w:val="left" w:leader="none"/>
              </w:tabs>
              <w:spacing w:before="148"/>
              <w:ind w:left="139"/>
              <w:jc w:val="left"/>
              <w:rPr>
                <w:sz w:val="22"/>
              </w:rPr>
            </w:pPr>
            <w:r>
              <w:rPr>
                <w:sz w:val="22"/>
              </w:rPr>
              <w:t>Nº</w:t>
              <w:tab/>
              <w:t>%</w:t>
            </w:r>
          </w:p>
        </w:tc>
        <w:tc>
          <w:tcPr>
            <w:tcW w:w="1277" w:type="dxa"/>
            <w:gridSpan w:val="2"/>
            <w:vMerge w:val="restart"/>
            <w:tcBorders>
              <w:top w:val="single" w:sz="4" w:space="0" w:color="000000"/>
              <w:left w:val="single" w:sz="17" w:space="0" w:color="000000"/>
              <w:right w:val="single" w:sz="17" w:space="0" w:color="000000"/>
            </w:tcBorders>
          </w:tcPr>
          <w:p>
            <w:pPr>
              <w:pStyle w:val="TableParagraph"/>
              <w:spacing w:before="6"/>
              <w:jc w:val="left"/>
              <w:rPr>
                <w:b/>
                <w:sz w:val="32"/>
              </w:rPr>
            </w:pPr>
          </w:p>
          <w:p>
            <w:pPr>
              <w:pStyle w:val="TableParagraph"/>
              <w:spacing w:before="1"/>
              <w:ind w:left="91" w:right="82" w:hanging="5"/>
              <w:rPr>
                <w:sz w:val="22"/>
              </w:rPr>
            </w:pPr>
            <w:r>
              <w:rPr>
                <w:sz w:val="22"/>
              </w:rPr>
              <w:t>Às vezes. Ocasional- mente</w:t>
            </w:r>
          </w:p>
          <w:p>
            <w:pPr>
              <w:pStyle w:val="TableParagraph"/>
              <w:spacing w:before="1"/>
              <w:ind w:right="1"/>
              <w:rPr>
                <w:sz w:val="22"/>
              </w:rPr>
            </w:pPr>
            <w:r>
              <w:rPr>
                <w:sz w:val="22"/>
              </w:rPr>
              <w:t>(3-4-5)</w:t>
            </w:r>
          </w:p>
          <w:p>
            <w:pPr>
              <w:pStyle w:val="TableParagraph"/>
              <w:jc w:val="left"/>
              <w:rPr>
                <w:b/>
                <w:sz w:val="24"/>
              </w:rPr>
            </w:pPr>
          </w:p>
          <w:p>
            <w:pPr>
              <w:pStyle w:val="TableParagraph"/>
              <w:tabs>
                <w:tab w:pos="662" w:val="left" w:leader="none"/>
              </w:tabs>
              <w:spacing w:before="148"/>
              <w:ind w:right="95"/>
              <w:rPr>
                <w:sz w:val="22"/>
              </w:rPr>
            </w:pPr>
            <w:r>
              <w:rPr>
                <w:sz w:val="22"/>
              </w:rPr>
              <w:t>Nº</w:t>
              <w:tab/>
              <w:t>%</w:t>
            </w:r>
          </w:p>
        </w:tc>
        <w:tc>
          <w:tcPr>
            <w:tcW w:w="1560" w:type="dxa"/>
            <w:gridSpan w:val="2"/>
            <w:vMerge w:val="restart"/>
            <w:tcBorders>
              <w:top w:val="single" w:sz="4" w:space="0" w:color="000000"/>
              <w:left w:val="single" w:sz="17" w:space="0" w:color="000000"/>
              <w:right w:val="single" w:sz="17" w:space="0" w:color="000000"/>
            </w:tcBorders>
          </w:tcPr>
          <w:p>
            <w:pPr>
              <w:pStyle w:val="TableParagraph"/>
              <w:spacing w:before="120"/>
              <w:ind w:left="79" w:right="78"/>
              <w:rPr>
                <w:sz w:val="22"/>
              </w:rPr>
            </w:pPr>
            <w:r>
              <w:rPr>
                <w:sz w:val="22"/>
              </w:rPr>
              <w:t>Muitas vezes ou ocasiões.</w:t>
            </w:r>
          </w:p>
          <w:p>
            <w:pPr>
              <w:pStyle w:val="TableParagraph"/>
              <w:spacing w:before="1"/>
              <w:ind w:left="81" w:right="88" w:firstLine="9"/>
              <w:rPr>
                <w:sz w:val="22"/>
              </w:rPr>
            </w:pPr>
            <w:r>
              <w:rPr>
                <w:sz w:val="22"/>
              </w:rPr>
              <w:t>Existem evidências do indicador</w:t>
            </w:r>
          </w:p>
          <w:p>
            <w:pPr>
              <w:pStyle w:val="TableParagraph"/>
              <w:spacing w:before="1"/>
              <w:ind w:left="81" w:right="78"/>
              <w:rPr>
                <w:sz w:val="22"/>
              </w:rPr>
            </w:pPr>
            <w:r>
              <w:rPr>
                <w:sz w:val="22"/>
              </w:rPr>
              <w:t>(6-7-8)</w:t>
            </w:r>
          </w:p>
          <w:p>
            <w:pPr>
              <w:pStyle w:val="TableParagraph"/>
              <w:tabs>
                <w:tab w:pos="797" w:val="left" w:leader="none"/>
              </w:tabs>
              <w:spacing w:before="169"/>
              <w:ind w:right="99"/>
              <w:rPr>
                <w:sz w:val="22"/>
              </w:rPr>
            </w:pPr>
            <w:r>
              <w:rPr>
                <w:sz w:val="22"/>
              </w:rPr>
              <w:t>Nº</w:t>
              <w:tab/>
              <w:t>%</w:t>
            </w:r>
          </w:p>
        </w:tc>
        <w:tc>
          <w:tcPr>
            <w:tcW w:w="1556" w:type="dxa"/>
            <w:gridSpan w:val="2"/>
            <w:vMerge w:val="restart"/>
            <w:tcBorders>
              <w:top w:val="single" w:sz="4" w:space="0" w:color="000000"/>
              <w:left w:val="single" w:sz="17" w:space="0" w:color="000000"/>
              <w:right w:val="single" w:sz="17" w:space="0" w:color="000000"/>
            </w:tcBorders>
          </w:tcPr>
          <w:p>
            <w:pPr>
              <w:pStyle w:val="TableParagraph"/>
              <w:ind w:left="100" w:right="102" w:firstLine="5"/>
              <w:rPr>
                <w:sz w:val="22"/>
              </w:rPr>
            </w:pPr>
            <w:r>
              <w:rPr>
                <w:sz w:val="22"/>
              </w:rPr>
              <w:t>De continuo. Evidências claras de aparição do indicador ou característica (9-10)</w:t>
            </w:r>
          </w:p>
          <w:p>
            <w:pPr>
              <w:pStyle w:val="TableParagraph"/>
              <w:tabs>
                <w:tab w:pos="854" w:val="left" w:leader="none"/>
              </w:tabs>
              <w:spacing w:before="49"/>
              <w:ind w:left="52"/>
              <w:rPr>
                <w:sz w:val="22"/>
              </w:rPr>
            </w:pPr>
            <w:r>
              <w:rPr>
                <w:sz w:val="22"/>
              </w:rPr>
              <w:t>Nº</w:t>
              <w:tab/>
              <w:t>%</w:t>
            </w:r>
          </w:p>
        </w:tc>
      </w:tr>
      <w:tr>
        <w:trPr>
          <w:trHeight w:val="298" w:hRule="exact"/>
        </w:trPr>
        <w:tc>
          <w:tcPr>
            <w:tcW w:w="2022" w:type="dxa"/>
            <w:tcBorders>
              <w:top w:val="single" w:sz="17" w:space="0" w:color="000000"/>
              <w:left w:val="single" w:sz="17" w:space="0" w:color="000000"/>
              <w:bottom w:val="single" w:sz="17" w:space="0" w:color="000000"/>
            </w:tcBorders>
          </w:tcPr>
          <w:p>
            <w:pPr>
              <w:pStyle w:val="TableParagraph"/>
              <w:spacing w:line="249" w:lineRule="exact"/>
              <w:ind w:left="456"/>
              <w:jc w:val="left"/>
              <w:rPr>
                <w:sz w:val="22"/>
              </w:rPr>
            </w:pPr>
            <w:r>
              <w:rPr>
                <w:sz w:val="22"/>
              </w:rPr>
              <w:t>Parâmetro</w:t>
            </w:r>
          </w:p>
        </w:tc>
        <w:tc>
          <w:tcPr>
            <w:tcW w:w="1100" w:type="dxa"/>
            <w:tcBorders>
              <w:top w:val="single" w:sz="17" w:space="0" w:color="000000"/>
              <w:bottom w:val="single" w:sz="17" w:space="0" w:color="000000"/>
              <w:right w:val="single" w:sz="17" w:space="0" w:color="000000"/>
            </w:tcBorders>
          </w:tcPr>
          <w:p>
            <w:pPr>
              <w:pStyle w:val="TableParagraph"/>
              <w:spacing w:line="249" w:lineRule="exact"/>
              <w:ind w:left="105" w:right="113"/>
              <w:rPr>
                <w:sz w:val="22"/>
              </w:rPr>
            </w:pPr>
            <w:r>
              <w:rPr>
                <w:sz w:val="22"/>
              </w:rPr>
              <w:t>Amostra</w:t>
            </w:r>
          </w:p>
        </w:tc>
        <w:tc>
          <w:tcPr>
            <w:tcW w:w="1133" w:type="dxa"/>
            <w:gridSpan w:val="2"/>
            <w:vMerge/>
            <w:tcBorders>
              <w:left w:val="single" w:sz="17" w:space="0" w:color="000000"/>
              <w:bottom w:val="single" w:sz="17" w:space="0" w:color="000000"/>
              <w:right w:val="single" w:sz="17" w:space="0" w:color="000000"/>
            </w:tcBorders>
          </w:tcPr>
          <w:p>
            <w:pPr/>
          </w:p>
        </w:tc>
        <w:tc>
          <w:tcPr>
            <w:tcW w:w="1277" w:type="dxa"/>
            <w:gridSpan w:val="2"/>
            <w:vMerge/>
            <w:tcBorders>
              <w:left w:val="single" w:sz="17" w:space="0" w:color="000000"/>
              <w:bottom w:val="single" w:sz="17" w:space="0" w:color="000000"/>
              <w:right w:val="single" w:sz="17" w:space="0" w:color="000000"/>
            </w:tcBorders>
          </w:tcPr>
          <w:p>
            <w:pPr/>
          </w:p>
        </w:tc>
        <w:tc>
          <w:tcPr>
            <w:tcW w:w="1560" w:type="dxa"/>
            <w:gridSpan w:val="2"/>
            <w:vMerge/>
            <w:tcBorders>
              <w:left w:val="single" w:sz="17" w:space="0" w:color="000000"/>
              <w:bottom w:val="single" w:sz="17" w:space="0" w:color="000000"/>
              <w:right w:val="single" w:sz="17" w:space="0" w:color="000000"/>
            </w:tcBorders>
          </w:tcPr>
          <w:p>
            <w:pPr/>
          </w:p>
        </w:tc>
        <w:tc>
          <w:tcPr>
            <w:tcW w:w="1556" w:type="dxa"/>
            <w:gridSpan w:val="2"/>
            <w:vMerge/>
            <w:tcBorders>
              <w:left w:val="single" w:sz="17" w:space="0" w:color="000000"/>
              <w:bottom w:val="single" w:sz="17" w:space="0" w:color="000000"/>
              <w:right w:val="single" w:sz="17" w:space="0" w:color="000000"/>
            </w:tcBorders>
          </w:tcPr>
          <w:p>
            <w:pPr/>
          </w:p>
        </w:tc>
      </w:tr>
      <w:tr>
        <w:trPr>
          <w:trHeight w:val="274" w:hRule="exact"/>
        </w:trPr>
        <w:tc>
          <w:tcPr>
            <w:tcW w:w="2022" w:type="dxa"/>
            <w:tcBorders>
              <w:top w:val="single" w:sz="17" w:space="0" w:color="000000"/>
              <w:left w:val="single" w:sz="17" w:space="0" w:color="000000"/>
            </w:tcBorders>
          </w:tcPr>
          <w:p>
            <w:pPr>
              <w:pStyle w:val="TableParagraph"/>
              <w:spacing w:line="248" w:lineRule="exact"/>
              <w:ind w:left="28"/>
              <w:jc w:val="left"/>
              <w:rPr>
                <w:sz w:val="22"/>
              </w:rPr>
            </w:pPr>
            <w:r>
              <w:rPr>
                <w:sz w:val="22"/>
              </w:rPr>
              <w:t>Cultura Inovadora</w:t>
            </w:r>
          </w:p>
        </w:tc>
        <w:tc>
          <w:tcPr>
            <w:tcW w:w="1100" w:type="dxa"/>
            <w:tcBorders>
              <w:top w:val="single" w:sz="17" w:space="0" w:color="000000"/>
              <w:right w:val="single" w:sz="17" w:space="0" w:color="000000"/>
            </w:tcBorders>
          </w:tcPr>
          <w:p>
            <w:pPr>
              <w:pStyle w:val="TableParagraph"/>
              <w:spacing w:line="248" w:lineRule="exact"/>
              <w:ind w:left="105" w:right="110"/>
              <w:rPr>
                <w:sz w:val="22"/>
              </w:rPr>
            </w:pPr>
            <w:r>
              <w:rPr>
                <w:sz w:val="22"/>
              </w:rPr>
              <w:t>43</w:t>
            </w:r>
          </w:p>
        </w:tc>
        <w:tc>
          <w:tcPr>
            <w:tcW w:w="522" w:type="dxa"/>
            <w:tcBorders>
              <w:top w:val="single" w:sz="17" w:space="0" w:color="000000"/>
              <w:left w:val="single" w:sz="17" w:space="0" w:color="000000"/>
            </w:tcBorders>
          </w:tcPr>
          <w:p>
            <w:pPr>
              <w:pStyle w:val="TableParagraph"/>
              <w:spacing w:line="248" w:lineRule="exact"/>
              <w:ind w:right="109"/>
              <w:jc w:val="right"/>
              <w:rPr>
                <w:sz w:val="22"/>
              </w:rPr>
            </w:pPr>
            <w:r>
              <w:rPr>
                <w:sz w:val="22"/>
              </w:rPr>
              <w:t>24</w:t>
            </w:r>
          </w:p>
        </w:tc>
        <w:tc>
          <w:tcPr>
            <w:tcW w:w="611" w:type="dxa"/>
            <w:tcBorders>
              <w:top w:val="single" w:sz="17" w:space="0" w:color="000000"/>
              <w:right w:val="single" w:sz="17" w:space="0" w:color="000000"/>
            </w:tcBorders>
          </w:tcPr>
          <w:p>
            <w:pPr>
              <w:pStyle w:val="TableParagraph"/>
              <w:spacing w:line="248" w:lineRule="exact"/>
              <w:ind w:right="44"/>
              <w:jc w:val="right"/>
              <w:rPr>
                <w:sz w:val="22"/>
              </w:rPr>
            </w:pPr>
            <w:r>
              <w:rPr>
                <w:sz w:val="22"/>
              </w:rPr>
              <w:t>7,69</w:t>
            </w:r>
          </w:p>
        </w:tc>
        <w:tc>
          <w:tcPr>
            <w:tcW w:w="527" w:type="dxa"/>
            <w:tcBorders>
              <w:top w:val="single" w:sz="17" w:space="0" w:color="000000"/>
              <w:left w:val="single" w:sz="17" w:space="0" w:color="000000"/>
            </w:tcBorders>
          </w:tcPr>
          <w:p>
            <w:pPr>
              <w:pStyle w:val="TableParagraph"/>
              <w:spacing w:line="248" w:lineRule="exact"/>
              <w:ind w:left="121" w:right="99"/>
              <w:rPr>
                <w:sz w:val="22"/>
              </w:rPr>
            </w:pPr>
            <w:r>
              <w:rPr>
                <w:sz w:val="22"/>
              </w:rPr>
              <w:t>24</w:t>
            </w:r>
          </w:p>
        </w:tc>
        <w:tc>
          <w:tcPr>
            <w:tcW w:w="750" w:type="dxa"/>
            <w:tcBorders>
              <w:top w:val="single" w:sz="17" w:space="0" w:color="000000"/>
              <w:right w:val="single" w:sz="17" w:space="0" w:color="000000"/>
            </w:tcBorders>
          </w:tcPr>
          <w:p>
            <w:pPr>
              <w:pStyle w:val="TableParagraph"/>
              <w:spacing w:line="248" w:lineRule="exact"/>
              <w:ind w:left="100" w:right="38"/>
              <w:rPr>
                <w:sz w:val="22"/>
              </w:rPr>
            </w:pPr>
            <w:r>
              <w:rPr>
                <w:sz w:val="22"/>
              </w:rPr>
              <w:t>19,86</w:t>
            </w:r>
          </w:p>
        </w:tc>
        <w:tc>
          <w:tcPr>
            <w:tcW w:w="664" w:type="dxa"/>
            <w:tcBorders>
              <w:top w:val="single" w:sz="17" w:space="0" w:color="000000"/>
              <w:left w:val="single" w:sz="17" w:space="0" w:color="000000"/>
            </w:tcBorders>
          </w:tcPr>
          <w:p>
            <w:pPr>
              <w:pStyle w:val="TableParagraph"/>
              <w:spacing w:line="248" w:lineRule="exact"/>
              <w:ind w:right="184"/>
              <w:jc w:val="right"/>
              <w:rPr>
                <w:sz w:val="22"/>
              </w:rPr>
            </w:pPr>
            <w:r>
              <w:rPr>
                <w:sz w:val="22"/>
              </w:rPr>
              <w:t>24</w:t>
            </w:r>
          </w:p>
        </w:tc>
        <w:tc>
          <w:tcPr>
            <w:tcW w:w="897" w:type="dxa"/>
            <w:tcBorders>
              <w:top w:val="single" w:sz="17" w:space="0" w:color="000000"/>
              <w:right w:val="single" w:sz="17" w:space="0" w:color="000000"/>
            </w:tcBorders>
          </w:tcPr>
          <w:p>
            <w:pPr>
              <w:pStyle w:val="TableParagraph"/>
              <w:spacing w:line="248" w:lineRule="exact"/>
              <w:ind w:right="130"/>
              <w:jc w:val="right"/>
              <w:rPr>
                <w:sz w:val="22"/>
              </w:rPr>
            </w:pPr>
            <w:r>
              <w:rPr>
                <w:sz w:val="22"/>
              </w:rPr>
              <w:t>30,21</w:t>
            </w:r>
          </w:p>
        </w:tc>
        <w:tc>
          <w:tcPr>
            <w:tcW w:w="738" w:type="dxa"/>
            <w:tcBorders>
              <w:top w:val="single" w:sz="17" w:space="0" w:color="000000"/>
              <w:left w:val="single" w:sz="17" w:space="0" w:color="000000"/>
            </w:tcBorders>
          </w:tcPr>
          <w:p>
            <w:pPr>
              <w:pStyle w:val="TableParagraph"/>
              <w:spacing w:line="248" w:lineRule="exact"/>
              <w:ind w:right="186"/>
              <w:jc w:val="right"/>
              <w:rPr>
                <w:sz w:val="22"/>
              </w:rPr>
            </w:pPr>
            <w:r>
              <w:rPr>
                <w:sz w:val="22"/>
              </w:rPr>
              <w:t>24</w:t>
            </w:r>
          </w:p>
        </w:tc>
        <w:tc>
          <w:tcPr>
            <w:tcW w:w="817" w:type="dxa"/>
            <w:tcBorders>
              <w:top w:val="single" w:sz="17" w:space="0" w:color="000000"/>
              <w:right w:val="single" w:sz="17" w:space="0" w:color="000000"/>
            </w:tcBorders>
          </w:tcPr>
          <w:p>
            <w:pPr>
              <w:pStyle w:val="TableParagraph"/>
              <w:spacing w:line="248" w:lineRule="exact"/>
              <w:ind w:right="48"/>
              <w:jc w:val="right"/>
              <w:rPr>
                <w:sz w:val="22"/>
              </w:rPr>
            </w:pPr>
            <w:r>
              <w:rPr>
                <w:sz w:val="22"/>
              </w:rPr>
              <w:t>41,76</w:t>
            </w:r>
          </w:p>
        </w:tc>
      </w:tr>
      <w:tr>
        <w:trPr>
          <w:trHeight w:val="506" w:hRule="exact"/>
        </w:trPr>
        <w:tc>
          <w:tcPr>
            <w:tcW w:w="2022" w:type="dxa"/>
            <w:tcBorders>
              <w:left w:val="single" w:sz="17" w:space="0" w:color="000000"/>
            </w:tcBorders>
          </w:tcPr>
          <w:p>
            <w:pPr>
              <w:pStyle w:val="TableParagraph"/>
              <w:spacing w:line="242" w:lineRule="auto"/>
              <w:ind w:left="28" w:right="191"/>
              <w:jc w:val="left"/>
              <w:rPr>
                <w:sz w:val="22"/>
              </w:rPr>
            </w:pPr>
            <w:r>
              <w:rPr>
                <w:sz w:val="22"/>
              </w:rPr>
              <w:t>Criatividade como Valor</w:t>
            </w:r>
          </w:p>
        </w:tc>
        <w:tc>
          <w:tcPr>
            <w:tcW w:w="1100" w:type="dxa"/>
            <w:tcBorders>
              <w:right w:val="single" w:sz="17" w:space="0" w:color="000000"/>
            </w:tcBorders>
          </w:tcPr>
          <w:p>
            <w:pPr>
              <w:pStyle w:val="TableParagraph"/>
              <w:spacing w:before="122"/>
              <w:ind w:left="105" w:right="110"/>
              <w:rPr>
                <w:sz w:val="22"/>
              </w:rPr>
            </w:pPr>
            <w:r>
              <w:rPr>
                <w:sz w:val="22"/>
              </w:rPr>
              <w:t>43</w:t>
            </w:r>
          </w:p>
        </w:tc>
        <w:tc>
          <w:tcPr>
            <w:tcW w:w="522" w:type="dxa"/>
            <w:tcBorders>
              <w:left w:val="single" w:sz="17" w:space="0" w:color="000000"/>
            </w:tcBorders>
          </w:tcPr>
          <w:p>
            <w:pPr>
              <w:pStyle w:val="TableParagraph"/>
              <w:spacing w:before="122"/>
              <w:ind w:right="109"/>
              <w:jc w:val="right"/>
              <w:rPr>
                <w:sz w:val="22"/>
              </w:rPr>
            </w:pPr>
            <w:r>
              <w:rPr>
                <w:sz w:val="22"/>
              </w:rPr>
              <w:t>24</w:t>
            </w:r>
          </w:p>
        </w:tc>
        <w:tc>
          <w:tcPr>
            <w:tcW w:w="611" w:type="dxa"/>
            <w:tcBorders>
              <w:right w:val="single" w:sz="17" w:space="0" w:color="000000"/>
            </w:tcBorders>
          </w:tcPr>
          <w:p>
            <w:pPr>
              <w:pStyle w:val="TableParagraph"/>
              <w:spacing w:before="122"/>
              <w:ind w:right="44"/>
              <w:jc w:val="right"/>
              <w:rPr>
                <w:sz w:val="22"/>
              </w:rPr>
            </w:pPr>
            <w:r>
              <w:rPr>
                <w:sz w:val="22"/>
              </w:rPr>
              <w:t>6,49</w:t>
            </w:r>
          </w:p>
        </w:tc>
        <w:tc>
          <w:tcPr>
            <w:tcW w:w="527" w:type="dxa"/>
            <w:tcBorders>
              <w:left w:val="single" w:sz="17" w:space="0" w:color="000000"/>
            </w:tcBorders>
          </w:tcPr>
          <w:p>
            <w:pPr>
              <w:pStyle w:val="TableParagraph"/>
              <w:spacing w:before="122"/>
              <w:ind w:left="121" w:right="99"/>
              <w:rPr>
                <w:sz w:val="22"/>
              </w:rPr>
            </w:pPr>
            <w:r>
              <w:rPr>
                <w:sz w:val="22"/>
              </w:rPr>
              <w:t>24</w:t>
            </w:r>
          </w:p>
        </w:tc>
        <w:tc>
          <w:tcPr>
            <w:tcW w:w="750" w:type="dxa"/>
            <w:tcBorders>
              <w:right w:val="single" w:sz="17" w:space="0" w:color="000000"/>
            </w:tcBorders>
          </w:tcPr>
          <w:p>
            <w:pPr>
              <w:pStyle w:val="TableParagraph"/>
              <w:spacing w:before="122"/>
              <w:ind w:left="100" w:right="38"/>
              <w:rPr>
                <w:sz w:val="22"/>
              </w:rPr>
            </w:pPr>
            <w:r>
              <w:rPr>
                <w:sz w:val="22"/>
              </w:rPr>
              <w:t>18,41</w:t>
            </w:r>
          </w:p>
        </w:tc>
        <w:tc>
          <w:tcPr>
            <w:tcW w:w="664" w:type="dxa"/>
            <w:tcBorders>
              <w:left w:val="single" w:sz="17" w:space="0" w:color="000000"/>
            </w:tcBorders>
          </w:tcPr>
          <w:p>
            <w:pPr>
              <w:pStyle w:val="TableParagraph"/>
              <w:spacing w:before="122"/>
              <w:ind w:right="184"/>
              <w:jc w:val="right"/>
              <w:rPr>
                <w:sz w:val="22"/>
              </w:rPr>
            </w:pPr>
            <w:r>
              <w:rPr>
                <w:sz w:val="22"/>
              </w:rPr>
              <w:t>24</w:t>
            </w:r>
          </w:p>
        </w:tc>
        <w:tc>
          <w:tcPr>
            <w:tcW w:w="897" w:type="dxa"/>
            <w:tcBorders>
              <w:right w:val="single" w:sz="17" w:space="0" w:color="000000"/>
            </w:tcBorders>
          </w:tcPr>
          <w:p>
            <w:pPr>
              <w:pStyle w:val="TableParagraph"/>
              <w:spacing w:before="122"/>
              <w:ind w:right="130"/>
              <w:jc w:val="right"/>
              <w:rPr>
                <w:sz w:val="22"/>
              </w:rPr>
            </w:pPr>
            <w:r>
              <w:rPr>
                <w:sz w:val="22"/>
              </w:rPr>
              <w:t>36,85</w:t>
            </w:r>
          </w:p>
        </w:tc>
        <w:tc>
          <w:tcPr>
            <w:tcW w:w="738" w:type="dxa"/>
            <w:tcBorders>
              <w:left w:val="single" w:sz="17" w:space="0" w:color="000000"/>
            </w:tcBorders>
          </w:tcPr>
          <w:p>
            <w:pPr>
              <w:pStyle w:val="TableParagraph"/>
              <w:spacing w:before="122"/>
              <w:ind w:right="186"/>
              <w:jc w:val="right"/>
              <w:rPr>
                <w:sz w:val="22"/>
              </w:rPr>
            </w:pPr>
            <w:r>
              <w:rPr>
                <w:sz w:val="22"/>
              </w:rPr>
              <w:t>24</w:t>
            </w:r>
          </w:p>
        </w:tc>
        <w:tc>
          <w:tcPr>
            <w:tcW w:w="817" w:type="dxa"/>
            <w:tcBorders>
              <w:right w:val="single" w:sz="17" w:space="0" w:color="000000"/>
            </w:tcBorders>
          </w:tcPr>
          <w:p>
            <w:pPr>
              <w:pStyle w:val="TableParagraph"/>
              <w:spacing w:before="122"/>
              <w:ind w:right="48"/>
              <w:jc w:val="right"/>
              <w:rPr>
                <w:sz w:val="22"/>
              </w:rPr>
            </w:pPr>
            <w:r>
              <w:rPr>
                <w:sz w:val="22"/>
              </w:rPr>
              <w:t>38,25</w:t>
            </w:r>
          </w:p>
        </w:tc>
      </w:tr>
      <w:tr>
        <w:trPr>
          <w:trHeight w:val="252" w:hRule="exact"/>
        </w:trPr>
        <w:tc>
          <w:tcPr>
            <w:tcW w:w="2022" w:type="dxa"/>
            <w:tcBorders>
              <w:left w:val="single" w:sz="17" w:space="0" w:color="000000"/>
            </w:tcBorders>
          </w:tcPr>
          <w:p>
            <w:pPr>
              <w:pStyle w:val="TableParagraph"/>
              <w:spacing w:line="248" w:lineRule="exact"/>
              <w:ind w:left="28"/>
              <w:jc w:val="left"/>
              <w:rPr>
                <w:sz w:val="22"/>
              </w:rPr>
            </w:pPr>
            <w:r>
              <w:rPr>
                <w:sz w:val="22"/>
              </w:rPr>
              <w:t>Visão</w:t>
            </w:r>
          </w:p>
        </w:tc>
        <w:tc>
          <w:tcPr>
            <w:tcW w:w="1100" w:type="dxa"/>
            <w:tcBorders>
              <w:right w:val="single" w:sz="17" w:space="0" w:color="000000"/>
            </w:tcBorders>
          </w:tcPr>
          <w:p>
            <w:pPr/>
          </w:p>
        </w:tc>
        <w:tc>
          <w:tcPr>
            <w:tcW w:w="522" w:type="dxa"/>
            <w:tcBorders>
              <w:left w:val="single" w:sz="17" w:space="0" w:color="000000"/>
            </w:tcBorders>
          </w:tcPr>
          <w:p>
            <w:pPr/>
          </w:p>
        </w:tc>
        <w:tc>
          <w:tcPr>
            <w:tcW w:w="611" w:type="dxa"/>
            <w:tcBorders>
              <w:right w:val="single" w:sz="17" w:space="0" w:color="000000"/>
            </w:tcBorders>
          </w:tcPr>
          <w:p>
            <w:pPr/>
          </w:p>
        </w:tc>
        <w:tc>
          <w:tcPr>
            <w:tcW w:w="527" w:type="dxa"/>
            <w:tcBorders>
              <w:left w:val="single" w:sz="17" w:space="0" w:color="000000"/>
            </w:tcBorders>
          </w:tcPr>
          <w:p>
            <w:pPr/>
          </w:p>
        </w:tc>
        <w:tc>
          <w:tcPr>
            <w:tcW w:w="750" w:type="dxa"/>
            <w:tcBorders>
              <w:right w:val="single" w:sz="17" w:space="0" w:color="000000"/>
            </w:tcBorders>
          </w:tcPr>
          <w:p>
            <w:pPr/>
          </w:p>
        </w:tc>
        <w:tc>
          <w:tcPr>
            <w:tcW w:w="664" w:type="dxa"/>
            <w:tcBorders>
              <w:left w:val="single" w:sz="17" w:space="0" w:color="000000"/>
            </w:tcBorders>
          </w:tcPr>
          <w:p>
            <w:pPr/>
          </w:p>
        </w:tc>
        <w:tc>
          <w:tcPr>
            <w:tcW w:w="897" w:type="dxa"/>
            <w:tcBorders>
              <w:right w:val="single" w:sz="17" w:space="0" w:color="000000"/>
            </w:tcBorders>
          </w:tcPr>
          <w:p>
            <w:pPr/>
          </w:p>
        </w:tc>
        <w:tc>
          <w:tcPr>
            <w:tcW w:w="738" w:type="dxa"/>
            <w:tcBorders>
              <w:left w:val="single" w:sz="17" w:space="0" w:color="000000"/>
            </w:tcBorders>
          </w:tcPr>
          <w:p>
            <w:pPr/>
          </w:p>
        </w:tc>
        <w:tc>
          <w:tcPr>
            <w:tcW w:w="817" w:type="dxa"/>
            <w:tcBorders>
              <w:right w:val="single" w:sz="17" w:space="0" w:color="000000"/>
            </w:tcBorders>
          </w:tcPr>
          <w:p>
            <w:pPr/>
          </w:p>
        </w:tc>
      </w:tr>
      <w:tr>
        <w:trPr>
          <w:trHeight w:val="254" w:hRule="exact"/>
        </w:trPr>
        <w:tc>
          <w:tcPr>
            <w:tcW w:w="2022" w:type="dxa"/>
            <w:tcBorders>
              <w:left w:val="single" w:sz="17" w:space="0" w:color="000000"/>
            </w:tcBorders>
          </w:tcPr>
          <w:p>
            <w:pPr>
              <w:pStyle w:val="TableParagraph"/>
              <w:spacing w:line="250" w:lineRule="exact"/>
              <w:ind w:left="28"/>
              <w:jc w:val="left"/>
              <w:rPr>
                <w:sz w:val="22"/>
              </w:rPr>
            </w:pPr>
            <w:r>
              <w:rPr>
                <w:sz w:val="22"/>
              </w:rPr>
              <w:t>Transdisciplinar no</w:t>
            </w:r>
          </w:p>
        </w:tc>
        <w:tc>
          <w:tcPr>
            <w:tcW w:w="1100" w:type="dxa"/>
            <w:tcBorders>
              <w:right w:val="single" w:sz="17" w:space="0" w:color="000000"/>
            </w:tcBorders>
          </w:tcPr>
          <w:p>
            <w:pPr>
              <w:pStyle w:val="TableParagraph"/>
              <w:spacing w:line="250" w:lineRule="exact"/>
              <w:ind w:left="105" w:right="110"/>
              <w:rPr>
                <w:sz w:val="22"/>
              </w:rPr>
            </w:pPr>
            <w:r>
              <w:rPr>
                <w:sz w:val="22"/>
              </w:rPr>
              <w:t>43</w:t>
            </w:r>
          </w:p>
        </w:tc>
        <w:tc>
          <w:tcPr>
            <w:tcW w:w="522" w:type="dxa"/>
            <w:tcBorders>
              <w:left w:val="single" w:sz="17" w:space="0" w:color="000000"/>
            </w:tcBorders>
          </w:tcPr>
          <w:p>
            <w:pPr>
              <w:pStyle w:val="TableParagraph"/>
              <w:spacing w:line="250" w:lineRule="exact"/>
              <w:ind w:right="109"/>
              <w:jc w:val="right"/>
              <w:rPr>
                <w:sz w:val="22"/>
              </w:rPr>
            </w:pPr>
            <w:r>
              <w:rPr>
                <w:sz w:val="22"/>
              </w:rPr>
              <w:t>24</w:t>
            </w:r>
          </w:p>
        </w:tc>
        <w:tc>
          <w:tcPr>
            <w:tcW w:w="611" w:type="dxa"/>
            <w:tcBorders>
              <w:right w:val="single" w:sz="17" w:space="0" w:color="000000"/>
            </w:tcBorders>
          </w:tcPr>
          <w:p>
            <w:pPr>
              <w:pStyle w:val="TableParagraph"/>
              <w:spacing w:line="250" w:lineRule="exact"/>
              <w:ind w:right="44"/>
              <w:jc w:val="right"/>
              <w:rPr>
                <w:sz w:val="22"/>
              </w:rPr>
            </w:pPr>
            <w:r>
              <w:rPr>
                <w:sz w:val="22"/>
              </w:rPr>
              <w:t>8,80</w:t>
            </w:r>
          </w:p>
        </w:tc>
        <w:tc>
          <w:tcPr>
            <w:tcW w:w="527" w:type="dxa"/>
            <w:tcBorders>
              <w:left w:val="single" w:sz="17" w:space="0" w:color="000000"/>
            </w:tcBorders>
          </w:tcPr>
          <w:p>
            <w:pPr>
              <w:pStyle w:val="TableParagraph"/>
              <w:spacing w:line="250" w:lineRule="exact"/>
              <w:ind w:left="121" w:right="99"/>
              <w:rPr>
                <w:sz w:val="22"/>
              </w:rPr>
            </w:pPr>
            <w:r>
              <w:rPr>
                <w:sz w:val="22"/>
              </w:rPr>
              <w:t>24</w:t>
            </w:r>
          </w:p>
        </w:tc>
        <w:tc>
          <w:tcPr>
            <w:tcW w:w="750" w:type="dxa"/>
            <w:tcBorders>
              <w:right w:val="single" w:sz="17" w:space="0" w:color="000000"/>
            </w:tcBorders>
          </w:tcPr>
          <w:p>
            <w:pPr>
              <w:pStyle w:val="TableParagraph"/>
              <w:spacing w:line="250" w:lineRule="exact"/>
              <w:ind w:left="100" w:right="38"/>
              <w:rPr>
                <w:sz w:val="22"/>
              </w:rPr>
            </w:pPr>
            <w:r>
              <w:rPr>
                <w:sz w:val="22"/>
              </w:rPr>
              <w:t>23,88</w:t>
            </w:r>
          </w:p>
        </w:tc>
        <w:tc>
          <w:tcPr>
            <w:tcW w:w="664" w:type="dxa"/>
            <w:tcBorders>
              <w:left w:val="single" w:sz="17" w:space="0" w:color="000000"/>
            </w:tcBorders>
          </w:tcPr>
          <w:p>
            <w:pPr>
              <w:pStyle w:val="TableParagraph"/>
              <w:spacing w:line="250" w:lineRule="exact"/>
              <w:ind w:right="184"/>
              <w:jc w:val="right"/>
              <w:rPr>
                <w:sz w:val="22"/>
              </w:rPr>
            </w:pPr>
            <w:r>
              <w:rPr>
                <w:sz w:val="22"/>
              </w:rPr>
              <w:t>24</w:t>
            </w:r>
          </w:p>
        </w:tc>
        <w:tc>
          <w:tcPr>
            <w:tcW w:w="897" w:type="dxa"/>
            <w:tcBorders>
              <w:right w:val="single" w:sz="17" w:space="0" w:color="000000"/>
            </w:tcBorders>
          </w:tcPr>
          <w:p>
            <w:pPr>
              <w:pStyle w:val="TableParagraph"/>
              <w:spacing w:line="250" w:lineRule="exact"/>
              <w:ind w:right="130"/>
              <w:jc w:val="right"/>
              <w:rPr>
                <w:sz w:val="22"/>
              </w:rPr>
            </w:pPr>
            <w:r>
              <w:rPr>
                <w:sz w:val="22"/>
              </w:rPr>
              <w:t>39,90</w:t>
            </w:r>
          </w:p>
        </w:tc>
        <w:tc>
          <w:tcPr>
            <w:tcW w:w="738" w:type="dxa"/>
            <w:tcBorders>
              <w:left w:val="single" w:sz="17" w:space="0" w:color="000000"/>
            </w:tcBorders>
          </w:tcPr>
          <w:p>
            <w:pPr>
              <w:pStyle w:val="TableParagraph"/>
              <w:spacing w:line="250" w:lineRule="exact"/>
              <w:ind w:right="186"/>
              <w:jc w:val="right"/>
              <w:rPr>
                <w:sz w:val="22"/>
              </w:rPr>
            </w:pPr>
            <w:r>
              <w:rPr>
                <w:sz w:val="22"/>
              </w:rPr>
              <w:t>24</w:t>
            </w:r>
          </w:p>
        </w:tc>
        <w:tc>
          <w:tcPr>
            <w:tcW w:w="817" w:type="dxa"/>
            <w:tcBorders>
              <w:right w:val="single" w:sz="17" w:space="0" w:color="000000"/>
            </w:tcBorders>
          </w:tcPr>
          <w:p>
            <w:pPr>
              <w:pStyle w:val="TableParagraph"/>
              <w:spacing w:line="250" w:lineRule="exact"/>
              <w:ind w:right="48"/>
              <w:jc w:val="right"/>
              <w:rPr>
                <w:sz w:val="22"/>
              </w:rPr>
            </w:pPr>
            <w:r>
              <w:rPr>
                <w:sz w:val="22"/>
              </w:rPr>
              <w:t>27,42</w:t>
            </w:r>
          </w:p>
        </w:tc>
      </w:tr>
      <w:tr>
        <w:trPr>
          <w:trHeight w:val="255" w:hRule="exact"/>
        </w:trPr>
        <w:tc>
          <w:tcPr>
            <w:tcW w:w="2022" w:type="dxa"/>
            <w:tcBorders>
              <w:left w:val="single" w:sz="17" w:space="0" w:color="000000"/>
            </w:tcBorders>
          </w:tcPr>
          <w:p>
            <w:pPr>
              <w:pStyle w:val="TableParagraph"/>
              <w:spacing w:line="250" w:lineRule="exact"/>
              <w:ind w:left="28"/>
              <w:jc w:val="left"/>
              <w:rPr>
                <w:sz w:val="22"/>
              </w:rPr>
            </w:pPr>
            <w:r>
              <w:rPr>
                <w:sz w:val="22"/>
              </w:rPr>
              <w:t>Projeto Educativo</w:t>
            </w:r>
          </w:p>
        </w:tc>
        <w:tc>
          <w:tcPr>
            <w:tcW w:w="1100" w:type="dxa"/>
            <w:tcBorders>
              <w:right w:val="single" w:sz="17" w:space="0" w:color="000000"/>
            </w:tcBorders>
          </w:tcPr>
          <w:p>
            <w:pPr/>
          </w:p>
        </w:tc>
        <w:tc>
          <w:tcPr>
            <w:tcW w:w="522" w:type="dxa"/>
            <w:tcBorders>
              <w:left w:val="single" w:sz="17" w:space="0" w:color="000000"/>
            </w:tcBorders>
          </w:tcPr>
          <w:p>
            <w:pPr/>
          </w:p>
        </w:tc>
        <w:tc>
          <w:tcPr>
            <w:tcW w:w="611" w:type="dxa"/>
            <w:tcBorders>
              <w:right w:val="single" w:sz="17" w:space="0" w:color="000000"/>
            </w:tcBorders>
          </w:tcPr>
          <w:p>
            <w:pPr/>
          </w:p>
        </w:tc>
        <w:tc>
          <w:tcPr>
            <w:tcW w:w="527" w:type="dxa"/>
            <w:tcBorders>
              <w:left w:val="single" w:sz="17" w:space="0" w:color="000000"/>
            </w:tcBorders>
          </w:tcPr>
          <w:p>
            <w:pPr/>
          </w:p>
        </w:tc>
        <w:tc>
          <w:tcPr>
            <w:tcW w:w="750" w:type="dxa"/>
            <w:tcBorders>
              <w:right w:val="single" w:sz="17" w:space="0" w:color="000000"/>
            </w:tcBorders>
          </w:tcPr>
          <w:p>
            <w:pPr/>
          </w:p>
        </w:tc>
        <w:tc>
          <w:tcPr>
            <w:tcW w:w="664" w:type="dxa"/>
            <w:tcBorders>
              <w:left w:val="single" w:sz="17" w:space="0" w:color="000000"/>
            </w:tcBorders>
          </w:tcPr>
          <w:p>
            <w:pPr/>
          </w:p>
        </w:tc>
        <w:tc>
          <w:tcPr>
            <w:tcW w:w="897" w:type="dxa"/>
            <w:tcBorders>
              <w:right w:val="single" w:sz="17" w:space="0" w:color="000000"/>
            </w:tcBorders>
          </w:tcPr>
          <w:p>
            <w:pPr/>
          </w:p>
        </w:tc>
        <w:tc>
          <w:tcPr>
            <w:tcW w:w="738" w:type="dxa"/>
            <w:tcBorders>
              <w:left w:val="single" w:sz="17" w:space="0" w:color="000000"/>
            </w:tcBorders>
          </w:tcPr>
          <w:p>
            <w:pPr/>
          </w:p>
        </w:tc>
        <w:tc>
          <w:tcPr>
            <w:tcW w:w="817" w:type="dxa"/>
            <w:tcBorders>
              <w:right w:val="single" w:sz="17" w:space="0" w:color="000000"/>
            </w:tcBorders>
          </w:tcPr>
          <w:p>
            <w:pPr/>
          </w:p>
        </w:tc>
      </w:tr>
      <w:tr>
        <w:trPr>
          <w:trHeight w:val="252" w:hRule="exact"/>
        </w:trPr>
        <w:tc>
          <w:tcPr>
            <w:tcW w:w="2022" w:type="dxa"/>
            <w:tcBorders>
              <w:left w:val="single" w:sz="17" w:space="0" w:color="000000"/>
            </w:tcBorders>
          </w:tcPr>
          <w:p>
            <w:pPr>
              <w:pStyle w:val="TableParagraph"/>
              <w:spacing w:line="251" w:lineRule="exact"/>
              <w:ind w:left="28"/>
              <w:jc w:val="left"/>
              <w:rPr>
                <w:sz w:val="22"/>
              </w:rPr>
            </w:pPr>
            <w:r>
              <w:rPr>
                <w:sz w:val="22"/>
              </w:rPr>
              <w:t>Valores Humanos,</w:t>
            </w:r>
          </w:p>
        </w:tc>
        <w:tc>
          <w:tcPr>
            <w:tcW w:w="1100" w:type="dxa"/>
            <w:tcBorders>
              <w:right w:val="single" w:sz="17" w:space="0" w:color="000000"/>
            </w:tcBorders>
          </w:tcPr>
          <w:p>
            <w:pPr/>
          </w:p>
        </w:tc>
        <w:tc>
          <w:tcPr>
            <w:tcW w:w="522" w:type="dxa"/>
            <w:tcBorders>
              <w:left w:val="single" w:sz="17" w:space="0" w:color="000000"/>
            </w:tcBorders>
          </w:tcPr>
          <w:p>
            <w:pPr/>
          </w:p>
        </w:tc>
        <w:tc>
          <w:tcPr>
            <w:tcW w:w="611" w:type="dxa"/>
            <w:tcBorders>
              <w:right w:val="single" w:sz="17" w:space="0" w:color="000000"/>
            </w:tcBorders>
          </w:tcPr>
          <w:p>
            <w:pPr/>
          </w:p>
        </w:tc>
        <w:tc>
          <w:tcPr>
            <w:tcW w:w="527" w:type="dxa"/>
            <w:tcBorders>
              <w:left w:val="single" w:sz="17" w:space="0" w:color="000000"/>
            </w:tcBorders>
          </w:tcPr>
          <w:p>
            <w:pPr/>
          </w:p>
        </w:tc>
        <w:tc>
          <w:tcPr>
            <w:tcW w:w="750" w:type="dxa"/>
            <w:tcBorders>
              <w:right w:val="single" w:sz="17" w:space="0" w:color="000000"/>
            </w:tcBorders>
          </w:tcPr>
          <w:p>
            <w:pPr/>
          </w:p>
        </w:tc>
        <w:tc>
          <w:tcPr>
            <w:tcW w:w="664" w:type="dxa"/>
            <w:tcBorders>
              <w:left w:val="single" w:sz="17" w:space="0" w:color="000000"/>
            </w:tcBorders>
          </w:tcPr>
          <w:p>
            <w:pPr/>
          </w:p>
        </w:tc>
        <w:tc>
          <w:tcPr>
            <w:tcW w:w="897" w:type="dxa"/>
            <w:tcBorders>
              <w:right w:val="single" w:sz="17" w:space="0" w:color="000000"/>
            </w:tcBorders>
          </w:tcPr>
          <w:p>
            <w:pPr/>
          </w:p>
        </w:tc>
        <w:tc>
          <w:tcPr>
            <w:tcW w:w="738" w:type="dxa"/>
            <w:tcBorders>
              <w:left w:val="single" w:sz="17" w:space="0" w:color="000000"/>
            </w:tcBorders>
          </w:tcPr>
          <w:p>
            <w:pPr/>
          </w:p>
        </w:tc>
        <w:tc>
          <w:tcPr>
            <w:tcW w:w="817" w:type="dxa"/>
            <w:tcBorders>
              <w:right w:val="single" w:sz="17" w:space="0" w:color="000000"/>
            </w:tcBorders>
          </w:tcPr>
          <w:p>
            <w:pPr/>
          </w:p>
        </w:tc>
      </w:tr>
      <w:tr>
        <w:trPr>
          <w:trHeight w:val="252" w:hRule="exact"/>
        </w:trPr>
        <w:tc>
          <w:tcPr>
            <w:tcW w:w="2022" w:type="dxa"/>
            <w:tcBorders>
              <w:left w:val="single" w:sz="17" w:space="0" w:color="000000"/>
            </w:tcBorders>
          </w:tcPr>
          <w:p>
            <w:pPr>
              <w:pStyle w:val="TableParagraph"/>
              <w:spacing w:line="248" w:lineRule="exact"/>
              <w:ind w:left="28"/>
              <w:jc w:val="left"/>
              <w:rPr>
                <w:sz w:val="22"/>
              </w:rPr>
            </w:pPr>
            <w:r>
              <w:rPr>
                <w:sz w:val="22"/>
              </w:rPr>
              <w:t>Sociais, Meio</w:t>
            </w:r>
          </w:p>
        </w:tc>
        <w:tc>
          <w:tcPr>
            <w:tcW w:w="1100" w:type="dxa"/>
            <w:tcBorders>
              <w:right w:val="single" w:sz="17" w:space="0" w:color="000000"/>
            </w:tcBorders>
          </w:tcPr>
          <w:p>
            <w:pPr>
              <w:pStyle w:val="TableParagraph"/>
              <w:spacing w:line="248" w:lineRule="exact"/>
              <w:ind w:left="105" w:right="110"/>
              <w:rPr>
                <w:sz w:val="22"/>
              </w:rPr>
            </w:pPr>
            <w:r>
              <w:rPr>
                <w:sz w:val="22"/>
              </w:rPr>
              <w:t>43</w:t>
            </w:r>
          </w:p>
        </w:tc>
        <w:tc>
          <w:tcPr>
            <w:tcW w:w="522" w:type="dxa"/>
            <w:tcBorders>
              <w:left w:val="single" w:sz="17" w:space="0" w:color="000000"/>
            </w:tcBorders>
          </w:tcPr>
          <w:p>
            <w:pPr>
              <w:pStyle w:val="TableParagraph"/>
              <w:spacing w:line="248" w:lineRule="exact"/>
              <w:ind w:right="109"/>
              <w:jc w:val="right"/>
              <w:rPr>
                <w:sz w:val="22"/>
              </w:rPr>
            </w:pPr>
            <w:r>
              <w:rPr>
                <w:sz w:val="22"/>
              </w:rPr>
              <w:t>24</w:t>
            </w:r>
          </w:p>
        </w:tc>
        <w:tc>
          <w:tcPr>
            <w:tcW w:w="611" w:type="dxa"/>
            <w:tcBorders>
              <w:right w:val="single" w:sz="17" w:space="0" w:color="000000"/>
            </w:tcBorders>
          </w:tcPr>
          <w:p>
            <w:pPr>
              <w:pStyle w:val="TableParagraph"/>
              <w:spacing w:line="248" w:lineRule="exact"/>
              <w:ind w:right="44"/>
              <w:jc w:val="right"/>
              <w:rPr>
                <w:sz w:val="22"/>
              </w:rPr>
            </w:pPr>
            <w:r>
              <w:rPr>
                <w:sz w:val="22"/>
              </w:rPr>
              <w:t>4,76</w:t>
            </w:r>
          </w:p>
        </w:tc>
        <w:tc>
          <w:tcPr>
            <w:tcW w:w="527" w:type="dxa"/>
            <w:tcBorders>
              <w:left w:val="single" w:sz="17" w:space="0" w:color="000000"/>
            </w:tcBorders>
          </w:tcPr>
          <w:p>
            <w:pPr>
              <w:pStyle w:val="TableParagraph"/>
              <w:spacing w:line="248" w:lineRule="exact"/>
              <w:ind w:left="121" w:right="99"/>
              <w:rPr>
                <w:sz w:val="22"/>
              </w:rPr>
            </w:pPr>
            <w:r>
              <w:rPr>
                <w:sz w:val="22"/>
              </w:rPr>
              <w:t>24</w:t>
            </w:r>
          </w:p>
        </w:tc>
        <w:tc>
          <w:tcPr>
            <w:tcW w:w="750" w:type="dxa"/>
            <w:tcBorders>
              <w:right w:val="single" w:sz="17" w:space="0" w:color="000000"/>
            </w:tcBorders>
          </w:tcPr>
          <w:p>
            <w:pPr>
              <w:pStyle w:val="TableParagraph"/>
              <w:spacing w:line="248" w:lineRule="exact"/>
              <w:ind w:left="100" w:right="38"/>
              <w:rPr>
                <w:sz w:val="22"/>
              </w:rPr>
            </w:pPr>
            <w:r>
              <w:rPr>
                <w:sz w:val="22"/>
              </w:rPr>
              <w:t>16,93</w:t>
            </w:r>
          </w:p>
        </w:tc>
        <w:tc>
          <w:tcPr>
            <w:tcW w:w="664" w:type="dxa"/>
            <w:tcBorders>
              <w:left w:val="single" w:sz="17" w:space="0" w:color="000000"/>
            </w:tcBorders>
          </w:tcPr>
          <w:p>
            <w:pPr>
              <w:pStyle w:val="TableParagraph"/>
              <w:spacing w:line="248" w:lineRule="exact"/>
              <w:ind w:right="184"/>
              <w:jc w:val="right"/>
              <w:rPr>
                <w:sz w:val="22"/>
              </w:rPr>
            </w:pPr>
            <w:r>
              <w:rPr>
                <w:sz w:val="22"/>
              </w:rPr>
              <w:t>24</w:t>
            </w:r>
          </w:p>
        </w:tc>
        <w:tc>
          <w:tcPr>
            <w:tcW w:w="897" w:type="dxa"/>
            <w:tcBorders>
              <w:right w:val="single" w:sz="17" w:space="0" w:color="000000"/>
            </w:tcBorders>
          </w:tcPr>
          <w:p>
            <w:pPr>
              <w:pStyle w:val="TableParagraph"/>
              <w:spacing w:line="248" w:lineRule="exact"/>
              <w:ind w:right="130"/>
              <w:jc w:val="right"/>
              <w:rPr>
                <w:sz w:val="22"/>
              </w:rPr>
            </w:pPr>
            <w:r>
              <w:rPr>
                <w:sz w:val="22"/>
              </w:rPr>
              <w:t>39,90</w:t>
            </w:r>
          </w:p>
        </w:tc>
        <w:tc>
          <w:tcPr>
            <w:tcW w:w="738" w:type="dxa"/>
            <w:tcBorders>
              <w:left w:val="single" w:sz="17" w:space="0" w:color="000000"/>
            </w:tcBorders>
          </w:tcPr>
          <w:p>
            <w:pPr>
              <w:pStyle w:val="TableParagraph"/>
              <w:spacing w:line="248" w:lineRule="exact"/>
              <w:ind w:right="186"/>
              <w:jc w:val="right"/>
              <w:rPr>
                <w:sz w:val="22"/>
              </w:rPr>
            </w:pPr>
            <w:r>
              <w:rPr>
                <w:sz w:val="22"/>
              </w:rPr>
              <w:t>24</w:t>
            </w:r>
          </w:p>
        </w:tc>
        <w:tc>
          <w:tcPr>
            <w:tcW w:w="817" w:type="dxa"/>
            <w:tcBorders>
              <w:right w:val="single" w:sz="17" w:space="0" w:color="000000"/>
            </w:tcBorders>
          </w:tcPr>
          <w:p>
            <w:pPr>
              <w:pStyle w:val="TableParagraph"/>
              <w:spacing w:line="248" w:lineRule="exact"/>
              <w:ind w:right="48"/>
              <w:jc w:val="right"/>
              <w:rPr>
                <w:sz w:val="22"/>
              </w:rPr>
            </w:pPr>
            <w:r>
              <w:rPr>
                <w:sz w:val="22"/>
              </w:rPr>
              <w:t>38,41</w:t>
            </w:r>
          </w:p>
        </w:tc>
      </w:tr>
      <w:tr>
        <w:trPr>
          <w:trHeight w:val="278" w:hRule="exact"/>
        </w:trPr>
        <w:tc>
          <w:tcPr>
            <w:tcW w:w="2022" w:type="dxa"/>
            <w:tcBorders>
              <w:left w:val="single" w:sz="17" w:space="0" w:color="000000"/>
              <w:bottom w:val="single" w:sz="17" w:space="0" w:color="000000"/>
            </w:tcBorders>
          </w:tcPr>
          <w:p>
            <w:pPr>
              <w:pStyle w:val="TableParagraph"/>
              <w:spacing w:line="250" w:lineRule="exact"/>
              <w:ind w:left="28"/>
              <w:jc w:val="left"/>
              <w:rPr>
                <w:sz w:val="22"/>
              </w:rPr>
            </w:pPr>
            <w:r>
              <w:rPr>
                <w:sz w:val="22"/>
              </w:rPr>
              <w:t>ambientais</w:t>
            </w:r>
          </w:p>
        </w:tc>
        <w:tc>
          <w:tcPr>
            <w:tcW w:w="1100" w:type="dxa"/>
            <w:tcBorders>
              <w:bottom w:val="single" w:sz="17" w:space="0" w:color="000000"/>
              <w:right w:val="single" w:sz="17" w:space="0" w:color="000000"/>
            </w:tcBorders>
          </w:tcPr>
          <w:p>
            <w:pPr/>
          </w:p>
        </w:tc>
        <w:tc>
          <w:tcPr>
            <w:tcW w:w="522" w:type="dxa"/>
            <w:tcBorders>
              <w:left w:val="single" w:sz="17" w:space="0" w:color="000000"/>
              <w:bottom w:val="single" w:sz="17" w:space="0" w:color="000000"/>
            </w:tcBorders>
          </w:tcPr>
          <w:p>
            <w:pPr/>
          </w:p>
        </w:tc>
        <w:tc>
          <w:tcPr>
            <w:tcW w:w="611" w:type="dxa"/>
            <w:tcBorders>
              <w:bottom w:val="single" w:sz="17" w:space="0" w:color="000000"/>
              <w:right w:val="single" w:sz="17" w:space="0" w:color="000000"/>
            </w:tcBorders>
          </w:tcPr>
          <w:p>
            <w:pPr/>
          </w:p>
        </w:tc>
        <w:tc>
          <w:tcPr>
            <w:tcW w:w="527" w:type="dxa"/>
            <w:tcBorders>
              <w:left w:val="single" w:sz="17" w:space="0" w:color="000000"/>
              <w:bottom w:val="single" w:sz="17" w:space="0" w:color="000000"/>
            </w:tcBorders>
          </w:tcPr>
          <w:p>
            <w:pPr/>
          </w:p>
        </w:tc>
        <w:tc>
          <w:tcPr>
            <w:tcW w:w="750" w:type="dxa"/>
            <w:tcBorders>
              <w:bottom w:val="single" w:sz="17" w:space="0" w:color="000000"/>
              <w:right w:val="single" w:sz="17" w:space="0" w:color="000000"/>
            </w:tcBorders>
          </w:tcPr>
          <w:p>
            <w:pPr/>
          </w:p>
        </w:tc>
        <w:tc>
          <w:tcPr>
            <w:tcW w:w="664" w:type="dxa"/>
            <w:tcBorders>
              <w:left w:val="single" w:sz="17" w:space="0" w:color="000000"/>
              <w:bottom w:val="single" w:sz="17" w:space="0" w:color="000000"/>
            </w:tcBorders>
          </w:tcPr>
          <w:p>
            <w:pPr/>
          </w:p>
        </w:tc>
        <w:tc>
          <w:tcPr>
            <w:tcW w:w="897" w:type="dxa"/>
            <w:tcBorders>
              <w:bottom w:val="single" w:sz="17" w:space="0" w:color="000000"/>
              <w:right w:val="single" w:sz="17" w:space="0" w:color="000000"/>
            </w:tcBorders>
          </w:tcPr>
          <w:p>
            <w:pPr/>
          </w:p>
        </w:tc>
        <w:tc>
          <w:tcPr>
            <w:tcW w:w="738" w:type="dxa"/>
            <w:tcBorders>
              <w:left w:val="single" w:sz="17" w:space="0" w:color="000000"/>
              <w:bottom w:val="single" w:sz="17" w:space="0" w:color="000000"/>
            </w:tcBorders>
          </w:tcPr>
          <w:p>
            <w:pPr/>
          </w:p>
        </w:tc>
        <w:tc>
          <w:tcPr>
            <w:tcW w:w="817" w:type="dxa"/>
            <w:tcBorders>
              <w:bottom w:val="single" w:sz="17" w:space="0" w:color="000000"/>
              <w:right w:val="single" w:sz="17" w:space="0" w:color="000000"/>
            </w:tcBorders>
          </w:tcPr>
          <w:p>
            <w:pPr/>
          </w:p>
        </w:tc>
      </w:tr>
    </w:tbl>
    <w:p>
      <w:pPr>
        <w:spacing w:before="0"/>
        <w:ind w:left="308" w:right="0" w:firstLine="0"/>
        <w:jc w:val="left"/>
        <w:rPr>
          <w:sz w:val="18"/>
        </w:rPr>
      </w:pPr>
      <w:r>
        <w:rPr>
          <w:sz w:val="20"/>
        </w:rPr>
        <w:t>Fonte: Dados da Pesquisa – Mestrado – Pinho (2014)</w:t>
      </w:r>
      <w:r>
        <w:rPr>
          <w:sz w:val="18"/>
        </w:rPr>
        <w:t>.</w:t>
      </w:r>
    </w:p>
    <w:p>
      <w:pPr>
        <w:pStyle w:val="BodyText"/>
        <w:rPr>
          <w:sz w:val="22"/>
        </w:rPr>
      </w:pPr>
    </w:p>
    <w:p>
      <w:pPr>
        <w:pStyle w:val="BodyText"/>
        <w:rPr>
          <w:sz w:val="22"/>
        </w:rPr>
      </w:pPr>
    </w:p>
    <w:p>
      <w:pPr>
        <w:pStyle w:val="BodyText"/>
        <w:spacing w:before="7"/>
        <w:rPr>
          <w:sz w:val="31"/>
        </w:rPr>
      </w:pPr>
    </w:p>
    <w:p>
      <w:pPr>
        <w:spacing w:before="0" w:after="10"/>
        <w:ind w:left="391" w:right="190" w:firstLine="0"/>
        <w:jc w:val="center"/>
        <w:rPr>
          <w:b/>
          <w:sz w:val="20"/>
        </w:rPr>
      </w:pPr>
      <w:r>
        <w:rPr>
          <w:b/>
          <w:sz w:val="20"/>
        </w:rPr>
        <w:t>Quadro 14: Categoria II – Potencial e Recursos Humanos na percepção dos gestores, professores, servidores, e pais ou responsáveis</w:t>
      </w:r>
    </w:p>
    <w:tbl>
      <w:tblPr>
        <w:tblW w:w="0" w:type="auto"/>
        <w:jc w:val="left"/>
        <w:tblInd w:w="284"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280"/>
        <w:gridCol w:w="1131"/>
        <w:gridCol w:w="569"/>
        <w:gridCol w:w="564"/>
        <w:gridCol w:w="713"/>
        <w:gridCol w:w="631"/>
        <w:gridCol w:w="929"/>
        <w:gridCol w:w="848"/>
        <w:gridCol w:w="997"/>
        <w:gridCol w:w="986"/>
      </w:tblGrid>
      <w:tr>
        <w:trPr>
          <w:trHeight w:val="281" w:hRule="exact"/>
        </w:trPr>
        <w:tc>
          <w:tcPr>
            <w:tcW w:w="2411" w:type="dxa"/>
            <w:gridSpan w:val="2"/>
            <w:vMerge w:val="restart"/>
            <w:tcBorders>
              <w:top w:val="nil"/>
              <w:left w:val="nil"/>
            </w:tcBorders>
          </w:tcPr>
          <w:p>
            <w:pPr/>
          </w:p>
        </w:tc>
        <w:tc>
          <w:tcPr>
            <w:tcW w:w="6238" w:type="dxa"/>
            <w:gridSpan w:val="8"/>
            <w:tcBorders>
              <w:bottom w:val="single" w:sz="4" w:space="0" w:color="000000"/>
            </w:tcBorders>
          </w:tcPr>
          <w:p>
            <w:pPr>
              <w:pStyle w:val="TableParagraph"/>
              <w:spacing w:line="225" w:lineRule="exact"/>
              <w:ind w:left="2479" w:right="2485"/>
              <w:rPr>
                <w:b/>
                <w:sz w:val="20"/>
              </w:rPr>
            </w:pPr>
            <w:r>
              <w:rPr>
                <w:b/>
                <w:sz w:val="20"/>
              </w:rPr>
              <w:t>AVALIAÇÃO</w:t>
            </w:r>
          </w:p>
        </w:tc>
      </w:tr>
      <w:tr>
        <w:trPr>
          <w:trHeight w:val="1179" w:hRule="exact"/>
        </w:trPr>
        <w:tc>
          <w:tcPr>
            <w:tcW w:w="2411" w:type="dxa"/>
            <w:gridSpan w:val="2"/>
            <w:vMerge/>
            <w:tcBorders>
              <w:left w:val="nil"/>
            </w:tcBorders>
          </w:tcPr>
          <w:p>
            <w:pPr/>
          </w:p>
        </w:tc>
        <w:tc>
          <w:tcPr>
            <w:tcW w:w="1133" w:type="dxa"/>
            <w:gridSpan w:val="2"/>
            <w:tcBorders>
              <w:top w:val="single" w:sz="4" w:space="0" w:color="000000"/>
              <w:bottom w:val="single" w:sz="4" w:space="0" w:color="000000"/>
            </w:tcBorders>
          </w:tcPr>
          <w:p>
            <w:pPr>
              <w:pStyle w:val="TableParagraph"/>
              <w:spacing w:before="105"/>
              <w:ind w:left="249" w:right="86" w:hanging="164"/>
              <w:jc w:val="left"/>
              <w:rPr>
                <w:b/>
                <w:sz w:val="20"/>
              </w:rPr>
            </w:pPr>
            <w:r>
              <w:rPr>
                <w:b/>
                <w:sz w:val="20"/>
              </w:rPr>
              <w:t>Nunca ou quase nunca (1-2)</w:t>
            </w:r>
          </w:p>
        </w:tc>
        <w:tc>
          <w:tcPr>
            <w:tcW w:w="1344" w:type="dxa"/>
            <w:gridSpan w:val="2"/>
            <w:tcBorders>
              <w:top w:val="single" w:sz="4" w:space="0" w:color="000000"/>
              <w:bottom w:val="single" w:sz="4" w:space="0" w:color="000000"/>
            </w:tcBorders>
          </w:tcPr>
          <w:p>
            <w:pPr>
              <w:pStyle w:val="TableParagraph"/>
              <w:spacing w:before="105"/>
              <w:ind w:left="105" w:right="166" w:hanging="7"/>
              <w:rPr>
                <w:b/>
                <w:sz w:val="20"/>
              </w:rPr>
            </w:pPr>
            <w:r>
              <w:rPr>
                <w:b/>
                <w:sz w:val="20"/>
              </w:rPr>
              <w:t>Às vezes. Ocasional- mente</w:t>
            </w:r>
          </w:p>
          <w:p>
            <w:pPr>
              <w:pStyle w:val="TableParagraph"/>
              <w:ind w:left="297" w:right="363"/>
              <w:rPr>
                <w:b/>
                <w:sz w:val="20"/>
              </w:rPr>
            </w:pPr>
            <w:r>
              <w:rPr>
                <w:b/>
                <w:sz w:val="20"/>
              </w:rPr>
              <w:t>(3-4-5)</w:t>
            </w:r>
          </w:p>
        </w:tc>
        <w:tc>
          <w:tcPr>
            <w:tcW w:w="1777" w:type="dxa"/>
            <w:gridSpan w:val="2"/>
            <w:tcBorders>
              <w:top w:val="single" w:sz="4" w:space="0" w:color="000000"/>
              <w:bottom w:val="single" w:sz="4" w:space="0" w:color="000000"/>
            </w:tcBorders>
          </w:tcPr>
          <w:p>
            <w:pPr>
              <w:pStyle w:val="TableParagraph"/>
              <w:ind w:left="-39" w:right="31" w:hanging="4"/>
              <w:rPr>
                <w:b/>
                <w:sz w:val="20"/>
              </w:rPr>
            </w:pPr>
            <w:r>
              <w:rPr>
                <w:b/>
                <w:sz w:val="20"/>
              </w:rPr>
              <w:t>Muitas vezes ou ocasiões. Existem evidências do indicador</w:t>
            </w:r>
          </w:p>
          <w:p>
            <w:pPr>
              <w:pStyle w:val="TableParagraph"/>
              <w:spacing w:before="10"/>
              <w:ind w:left="513" w:right="579"/>
              <w:rPr>
                <w:b/>
                <w:sz w:val="20"/>
              </w:rPr>
            </w:pPr>
            <w:r>
              <w:rPr>
                <w:b/>
                <w:sz w:val="20"/>
              </w:rPr>
              <w:t>(6-7-8)</w:t>
            </w:r>
          </w:p>
        </w:tc>
        <w:tc>
          <w:tcPr>
            <w:tcW w:w="1983" w:type="dxa"/>
            <w:gridSpan w:val="2"/>
            <w:tcBorders>
              <w:top w:val="single" w:sz="4" w:space="0" w:color="000000"/>
              <w:bottom w:val="single" w:sz="4" w:space="0" w:color="000000"/>
            </w:tcBorders>
          </w:tcPr>
          <w:p>
            <w:pPr>
              <w:pStyle w:val="TableParagraph"/>
              <w:spacing w:line="220" w:lineRule="exact"/>
              <w:ind w:left="341" w:right="346"/>
              <w:rPr>
                <w:b/>
                <w:sz w:val="20"/>
              </w:rPr>
            </w:pPr>
            <w:r>
              <w:rPr>
                <w:b/>
                <w:sz w:val="20"/>
              </w:rPr>
              <w:t>De continuo.</w:t>
            </w:r>
          </w:p>
          <w:p>
            <w:pPr>
              <w:pStyle w:val="TableParagraph"/>
              <w:ind w:left="28" w:right="33" w:firstLine="7"/>
              <w:rPr>
                <w:b/>
                <w:sz w:val="20"/>
              </w:rPr>
            </w:pPr>
            <w:r>
              <w:rPr>
                <w:b/>
                <w:sz w:val="20"/>
              </w:rPr>
              <w:t>Evidências claras de aparição do indicador ou característica</w:t>
            </w:r>
            <w:r>
              <w:rPr>
                <w:b/>
                <w:spacing w:val="-10"/>
                <w:sz w:val="20"/>
              </w:rPr>
              <w:t> </w:t>
            </w:r>
            <w:r>
              <w:rPr>
                <w:b/>
                <w:sz w:val="20"/>
              </w:rPr>
              <w:t>(9-10)</w:t>
            </w:r>
          </w:p>
        </w:tc>
      </w:tr>
      <w:tr>
        <w:trPr>
          <w:trHeight w:val="274" w:hRule="exact"/>
        </w:trPr>
        <w:tc>
          <w:tcPr>
            <w:tcW w:w="1280" w:type="dxa"/>
            <w:tcBorders>
              <w:right w:val="single" w:sz="4" w:space="0" w:color="000000"/>
            </w:tcBorders>
          </w:tcPr>
          <w:p>
            <w:pPr>
              <w:pStyle w:val="TableParagraph"/>
              <w:spacing w:line="220" w:lineRule="exact"/>
              <w:ind w:left="120"/>
              <w:jc w:val="left"/>
              <w:rPr>
                <w:b/>
                <w:sz w:val="20"/>
              </w:rPr>
            </w:pPr>
            <w:r>
              <w:rPr>
                <w:b/>
                <w:sz w:val="20"/>
              </w:rPr>
              <w:t>Parâmetro</w:t>
            </w:r>
          </w:p>
        </w:tc>
        <w:tc>
          <w:tcPr>
            <w:tcW w:w="1131" w:type="dxa"/>
            <w:tcBorders>
              <w:left w:val="single" w:sz="4" w:space="0" w:color="000000"/>
            </w:tcBorders>
          </w:tcPr>
          <w:p>
            <w:pPr>
              <w:pStyle w:val="TableParagraph"/>
              <w:spacing w:line="220" w:lineRule="exact"/>
              <w:ind w:left="89" w:right="79"/>
              <w:rPr>
                <w:b/>
                <w:sz w:val="20"/>
              </w:rPr>
            </w:pPr>
            <w:r>
              <w:rPr>
                <w:b/>
                <w:sz w:val="20"/>
              </w:rPr>
              <w:t>Amostra</w:t>
            </w:r>
          </w:p>
        </w:tc>
        <w:tc>
          <w:tcPr>
            <w:tcW w:w="569" w:type="dxa"/>
            <w:tcBorders>
              <w:top w:val="single" w:sz="4" w:space="0" w:color="000000"/>
              <w:right w:val="single" w:sz="4" w:space="0" w:color="000000"/>
            </w:tcBorders>
          </w:tcPr>
          <w:p>
            <w:pPr>
              <w:pStyle w:val="TableParagraph"/>
              <w:spacing w:before="7"/>
              <w:ind w:left="115" w:right="132"/>
              <w:rPr>
                <w:b/>
                <w:sz w:val="20"/>
              </w:rPr>
            </w:pPr>
            <w:r>
              <w:rPr>
                <w:b/>
                <w:sz w:val="20"/>
              </w:rPr>
              <w:t>Nº</w:t>
            </w:r>
          </w:p>
        </w:tc>
        <w:tc>
          <w:tcPr>
            <w:tcW w:w="564" w:type="dxa"/>
            <w:tcBorders>
              <w:top w:val="single" w:sz="4" w:space="0" w:color="000000"/>
              <w:left w:val="single" w:sz="4" w:space="0" w:color="000000"/>
            </w:tcBorders>
          </w:tcPr>
          <w:p>
            <w:pPr>
              <w:pStyle w:val="TableParagraph"/>
              <w:spacing w:before="7"/>
              <w:ind w:left="16"/>
              <w:rPr>
                <w:b/>
                <w:sz w:val="20"/>
              </w:rPr>
            </w:pPr>
            <w:r>
              <w:rPr>
                <w:b/>
                <w:w w:val="100"/>
                <w:sz w:val="20"/>
              </w:rPr>
              <w:t>%</w:t>
            </w:r>
          </w:p>
        </w:tc>
        <w:tc>
          <w:tcPr>
            <w:tcW w:w="713" w:type="dxa"/>
            <w:tcBorders>
              <w:top w:val="single" w:sz="4" w:space="0" w:color="000000"/>
              <w:right w:val="single" w:sz="4" w:space="0" w:color="000000"/>
            </w:tcBorders>
          </w:tcPr>
          <w:p>
            <w:pPr>
              <w:pStyle w:val="TableParagraph"/>
              <w:spacing w:before="7"/>
              <w:ind w:left="201" w:right="218"/>
              <w:rPr>
                <w:b/>
                <w:sz w:val="20"/>
              </w:rPr>
            </w:pPr>
            <w:r>
              <w:rPr>
                <w:b/>
                <w:sz w:val="20"/>
              </w:rPr>
              <w:t>Nº</w:t>
            </w:r>
          </w:p>
        </w:tc>
        <w:tc>
          <w:tcPr>
            <w:tcW w:w="631" w:type="dxa"/>
            <w:tcBorders>
              <w:top w:val="single" w:sz="4" w:space="0" w:color="000000"/>
              <w:left w:val="single" w:sz="4" w:space="0" w:color="000000"/>
            </w:tcBorders>
          </w:tcPr>
          <w:p>
            <w:pPr>
              <w:pStyle w:val="TableParagraph"/>
              <w:spacing w:before="7"/>
              <w:ind w:left="16"/>
              <w:rPr>
                <w:b/>
                <w:sz w:val="20"/>
              </w:rPr>
            </w:pPr>
            <w:r>
              <w:rPr>
                <w:b/>
                <w:w w:val="100"/>
                <w:sz w:val="20"/>
              </w:rPr>
              <w:t>%</w:t>
            </w:r>
          </w:p>
        </w:tc>
        <w:tc>
          <w:tcPr>
            <w:tcW w:w="929" w:type="dxa"/>
            <w:tcBorders>
              <w:top w:val="single" w:sz="4" w:space="0" w:color="000000"/>
              <w:right w:val="single" w:sz="4" w:space="0" w:color="000000"/>
            </w:tcBorders>
          </w:tcPr>
          <w:p>
            <w:pPr>
              <w:pStyle w:val="TableParagraph"/>
              <w:spacing w:before="7"/>
              <w:ind w:left="331"/>
              <w:jc w:val="left"/>
              <w:rPr>
                <w:b/>
                <w:sz w:val="20"/>
              </w:rPr>
            </w:pPr>
            <w:r>
              <w:rPr>
                <w:b/>
                <w:sz w:val="20"/>
              </w:rPr>
              <w:t>Nº</w:t>
            </w:r>
          </w:p>
        </w:tc>
        <w:tc>
          <w:tcPr>
            <w:tcW w:w="848" w:type="dxa"/>
            <w:tcBorders>
              <w:top w:val="single" w:sz="4" w:space="0" w:color="000000"/>
              <w:left w:val="single" w:sz="4" w:space="0" w:color="000000"/>
            </w:tcBorders>
          </w:tcPr>
          <w:p>
            <w:pPr>
              <w:pStyle w:val="TableParagraph"/>
              <w:spacing w:before="7"/>
              <w:ind w:left="10"/>
              <w:rPr>
                <w:b/>
                <w:sz w:val="20"/>
              </w:rPr>
            </w:pPr>
            <w:r>
              <w:rPr>
                <w:b/>
                <w:w w:val="100"/>
                <w:sz w:val="20"/>
              </w:rPr>
              <w:t>%</w:t>
            </w:r>
          </w:p>
        </w:tc>
        <w:tc>
          <w:tcPr>
            <w:tcW w:w="997" w:type="dxa"/>
            <w:tcBorders>
              <w:top w:val="single" w:sz="4" w:space="0" w:color="000000"/>
              <w:right w:val="single" w:sz="4" w:space="0" w:color="000000"/>
            </w:tcBorders>
          </w:tcPr>
          <w:p>
            <w:pPr>
              <w:pStyle w:val="TableParagraph"/>
              <w:spacing w:before="7"/>
              <w:ind w:left="340" w:right="362"/>
              <w:rPr>
                <w:b/>
                <w:sz w:val="20"/>
              </w:rPr>
            </w:pPr>
            <w:r>
              <w:rPr>
                <w:b/>
                <w:sz w:val="20"/>
              </w:rPr>
              <w:t>Nº</w:t>
            </w:r>
          </w:p>
        </w:tc>
        <w:tc>
          <w:tcPr>
            <w:tcW w:w="986" w:type="dxa"/>
            <w:tcBorders>
              <w:top w:val="single" w:sz="4" w:space="0" w:color="000000"/>
              <w:left w:val="single" w:sz="4" w:space="0" w:color="000000"/>
            </w:tcBorders>
          </w:tcPr>
          <w:p>
            <w:pPr>
              <w:pStyle w:val="TableParagraph"/>
              <w:spacing w:before="7"/>
              <w:ind w:left="16"/>
              <w:rPr>
                <w:b/>
                <w:sz w:val="20"/>
              </w:rPr>
            </w:pPr>
            <w:r>
              <w:rPr>
                <w:b/>
                <w:w w:val="100"/>
                <w:sz w:val="20"/>
              </w:rPr>
              <w:t>%</w:t>
            </w:r>
          </w:p>
        </w:tc>
      </w:tr>
      <w:tr>
        <w:trPr>
          <w:trHeight w:val="492" w:hRule="exact"/>
        </w:trPr>
        <w:tc>
          <w:tcPr>
            <w:tcW w:w="1280" w:type="dxa"/>
            <w:tcBorders>
              <w:bottom w:val="single" w:sz="4" w:space="0" w:color="000000"/>
              <w:right w:val="single" w:sz="4" w:space="0" w:color="000000"/>
            </w:tcBorders>
          </w:tcPr>
          <w:p>
            <w:pPr>
              <w:pStyle w:val="TableParagraph"/>
              <w:ind w:left="28" w:right="160"/>
              <w:jc w:val="left"/>
              <w:rPr>
                <w:sz w:val="20"/>
              </w:rPr>
            </w:pPr>
            <w:r>
              <w:rPr>
                <w:sz w:val="20"/>
              </w:rPr>
              <w:t>Liderança Estimulante</w:t>
            </w:r>
          </w:p>
        </w:tc>
        <w:tc>
          <w:tcPr>
            <w:tcW w:w="1131" w:type="dxa"/>
            <w:tcBorders>
              <w:left w:val="single" w:sz="4" w:space="0" w:color="000000"/>
              <w:bottom w:val="single" w:sz="4" w:space="0" w:color="000000"/>
            </w:tcBorders>
          </w:tcPr>
          <w:p>
            <w:pPr>
              <w:pStyle w:val="TableParagraph"/>
              <w:spacing w:before="115"/>
              <w:ind w:left="89" w:right="81"/>
              <w:rPr>
                <w:sz w:val="20"/>
              </w:rPr>
            </w:pPr>
            <w:r>
              <w:rPr>
                <w:sz w:val="20"/>
              </w:rPr>
              <w:t>43</w:t>
            </w:r>
          </w:p>
        </w:tc>
        <w:tc>
          <w:tcPr>
            <w:tcW w:w="569" w:type="dxa"/>
            <w:tcBorders>
              <w:bottom w:val="single" w:sz="4" w:space="0" w:color="000000"/>
              <w:right w:val="single" w:sz="4" w:space="0" w:color="000000"/>
            </w:tcBorders>
          </w:tcPr>
          <w:p>
            <w:pPr>
              <w:pStyle w:val="TableParagraph"/>
              <w:spacing w:before="115"/>
              <w:ind w:left="112" w:right="134"/>
              <w:rPr>
                <w:sz w:val="20"/>
              </w:rPr>
            </w:pPr>
            <w:r>
              <w:rPr>
                <w:sz w:val="20"/>
              </w:rPr>
              <w:t>24</w:t>
            </w:r>
          </w:p>
        </w:tc>
        <w:tc>
          <w:tcPr>
            <w:tcW w:w="564" w:type="dxa"/>
            <w:tcBorders>
              <w:left w:val="single" w:sz="4" w:space="0" w:color="000000"/>
              <w:bottom w:val="single" w:sz="4" w:space="0" w:color="000000"/>
            </w:tcBorders>
          </w:tcPr>
          <w:p>
            <w:pPr>
              <w:pStyle w:val="TableParagraph"/>
              <w:spacing w:before="115"/>
              <w:ind w:left="61" w:right="46"/>
              <w:rPr>
                <w:sz w:val="20"/>
              </w:rPr>
            </w:pPr>
            <w:r>
              <w:rPr>
                <w:sz w:val="20"/>
              </w:rPr>
              <w:t>5,95</w:t>
            </w:r>
          </w:p>
        </w:tc>
        <w:tc>
          <w:tcPr>
            <w:tcW w:w="713" w:type="dxa"/>
            <w:tcBorders>
              <w:bottom w:val="single" w:sz="4" w:space="0" w:color="000000"/>
              <w:right w:val="single" w:sz="4" w:space="0" w:color="000000"/>
            </w:tcBorders>
          </w:tcPr>
          <w:p>
            <w:pPr>
              <w:pStyle w:val="TableParagraph"/>
              <w:spacing w:before="115"/>
              <w:ind w:left="196" w:right="218"/>
              <w:rPr>
                <w:sz w:val="20"/>
              </w:rPr>
            </w:pPr>
            <w:r>
              <w:rPr>
                <w:sz w:val="20"/>
              </w:rPr>
              <w:t>24</w:t>
            </w:r>
          </w:p>
        </w:tc>
        <w:tc>
          <w:tcPr>
            <w:tcW w:w="631" w:type="dxa"/>
            <w:tcBorders>
              <w:left w:val="single" w:sz="4" w:space="0" w:color="000000"/>
              <w:bottom w:val="single" w:sz="4" w:space="0" w:color="000000"/>
            </w:tcBorders>
          </w:tcPr>
          <w:p>
            <w:pPr>
              <w:pStyle w:val="TableParagraph"/>
              <w:spacing w:before="115"/>
              <w:ind w:left="37" w:right="21"/>
              <w:rPr>
                <w:sz w:val="20"/>
              </w:rPr>
            </w:pPr>
            <w:r>
              <w:rPr>
                <w:sz w:val="20"/>
              </w:rPr>
              <w:t>8,19</w:t>
            </w:r>
          </w:p>
        </w:tc>
        <w:tc>
          <w:tcPr>
            <w:tcW w:w="929" w:type="dxa"/>
            <w:tcBorders>
              <w:bottom w:val="single" w:sz="4" w:space="0" w:color="000000"/>
              <w:right w:val="single" w:sz="4" w:space="0" w:color="000000"/>
            </w:tcBorders>
          </w:tcPr>
          <w:p>
            <w:pPr>
              <w:pStyle w:val="TableParagraph"/>
              <w:spacing w:before="115"/>
              <w:ind w:left="331"/>
              <w:jc w:val="left"/>
              <w:rPr>
                <w:sz w:val="20"/>
              </w:rPr>
            </w:pPr>
            <w:r>
              <w:rPr>
                <w:sz w:val="20"/>
              </w:rPr>
              <w:t>24</w:t>
            </w:r>
          </w:p>
        </w:tc>
        <w:tc>
          <w:tcPr>
            <w:tcW w:w="848" w:type="dxa"/>
            <w:tcBorders>
              <w:left w:val="single" w:sz="4" w:space="0" w:color="000000"/>
              <w:bottom w:val="single" w:sz="4" w:space="0" w:color="000000"/>
            </w:tcBorders>
          </w:tcPr>
          <w:p>
            <w:pPr>
              <w:pStyle w:val="TableParagraph"/>
              <w:spacing w:before="115"/>
              <w:ind w:left="120" w:right="105"/>
              <w:rPr>
                <w:sz w:val="20"/>
              </w:rPr>
            </w:pPr>
            <w:r>
              <w:rPr>
                <w:sz w:val="20"/>
              </w:rPr>
              <w:t>42,89</w:t>
            </w:r>
          </w:p>
        </w:tc>
        <w:tc>
          <w:tcPr>
            <w:tcW w:w="997" w:type="dxa"/>
            <w:tcBorders>
              <w:bottom w:val="single" w:sz="4" w:space="0" w:color="000000"/>
              <w:right w:val="single" w:sz="4" w:space="0" w:color="000000"/>
            </w:tcBorders>
          </w:tcPr>
          <w:p>
            <w:pPr>
              <w:pStyle w:val="TableParagraph"/>
              <w:spacing w:before="115"/>
              <w:ind w:left="345" w:right="362"/>
              <w:rPr>
                <w:sz w:val="20"/>
              </w:rPr>
            </w:pPr>
            <w:r>
              <w:rPr>
                <w:sz w:val="20"/>
              </w:rPr>
              <w:t>24</w:t>
            </w:r>
          </w:p>
        </w:tc>
        <w:tc>
          <w:tcPr>
            <w:tcW w:w="986" w:type="dxa"/>
            <w:tcBorders>
              <w:left w:val="single" w:sz="4" w:space="0" w:color="000000"/>
              <w:bottom w:val="single" w:sz="4" w:space="0" w:color="000000"/>
            </w:tcBorders>
          </w:tcPr>
          <w:p>
            <w:pPr>
              <w:pStyle w:val="TableParagraph"/>
              <w:spacing w:before="115"/>
              <w:ind w:left="219" w:right="199"/>
              <w:rPr>
                <w:sz w:val="20"/>
              </w:rPr>
            </w:pPr>
            <w:r>
              <w:rPr>
                <w:sz w:val="20"/>
              </w:rPr>
              <w:t>42,97</w:t>
            </w:r>
          </w:p>
        </w:tc>
      </w:tr>
      <w:tr>
        <w:trPr>
          <w:trHeight w:val="466" w:hRule="exact"/>
        </w:trPr>
        <w:tc>
          <w:tcPr>
            <w:tcW w:w="1280" w:type="dxa"/>
            <w:tcBorders>
              <w:top w:val="single" w:sz="4" w:space="0" w:color="000000"/>
              <w:bottom w:val="single" w:sz="4" w:space="0" w:color="000000"/>
              <w:right w:val="single" w:sz="4" w:space="0" w:color="000000"/>
            </w:tcBorders>
          </w:tcPr>
          <w:p>
            <w:pPr>
              <w:pStyle w:val="TableParagraph"/>
              <w:ind w:left="28" w:right="138"/>
              <w:jc w:val="left"/>
              <w:rPr>
                <w:sz w:val="20"/>
              </w:rPr>
            </w:pPr>
            <w:r>
              <w:rPr>
                <w:sz w:val="20"/>
              </w:rPr>
              <w:t>Professores Criativos</w:t>
            </w:r>
          </w:p>
        </w:tc>
        <w:tc>
          <w:tcPr>
            <w:tcW w:w="1131" w:type="dxa"/>
            <w:tcBorders>
              <w:top w:val="single" w:sz="4" w:space="0" w:color="000000"/>
              <w:left w:val="single" w:sz="4" w:space="0" w:color="000000"/>
              <w:bottom w:val="single" w:sz="4" w:space="0" w:color="000000"/>
            </w:tcBorders>
          </w:tcPr>
          <w:p>
            <w:pPr>
              <w:pStyle w:val="TableParagraph"/>
              <w:spacing w:before="110"/>
              <w:ind w:left="89" w:right="81"/>
              <w:rPr>
                <w:sz w:val="20"/>
              </w:rPr>
            </w:pPr>
            <w:r>
              <w:rPr>
                <w:sz w:val="20"/>
              </w:rPr>
              <w:t>43</w:t>
            </w:r>
          </w:p>
        </w:tc>
        <w:tc>
          <w:tcPr>
            <w:tcW w:w="569" w:type="dxa"/>
            <w:tcBorders>
              <w:top w:val="single" w:sz="4" w:space="0" w:color="000000"/>
              <w:bottom w:val="single" w:sz="4" w:space="0" w:color="000000"/>
              <w:right w:val="single" w:sz="4" w:space="0" w:color="000000"/>
            </w:tcBorders>
          </w:tcPr>
          <w:p>
            <w:pPr>
              <w:pStyle w:val="TableParagraph"/>
              <w:spacing w:before="110"/>
              <w:ind w:left="112" w:right="134"/>
              <w:rPr>
                <w:sz w:val="20"/>
              </w:rPr>
            </w:pPr>
            <w:r>
              <w:rPr>
                <w:sz w:val="20"/>
              </w:rPr>
              <w:t>24</w:t>
            </w:r>
          </w:p>
        </w:tc>
        <w:tc>
          <w:tcPr>
            <w:tcW w:w="564" w:type="dxa"/>
            <w:tcBorders>
              <w:top w:val="single" w:sz="4" w:space="0" w:color="000000"/>
              <w:left w:val="single" w:sz="4" w:space="0" w:color="000000"/>
              <w:bottom w:val="single" w:sz="4" w:space="0" w:color="000000"/>
            </w:tcBorders>
          </w:tcPr>
          <w:p>
            <w:pPr>
              <w:pStyle w:val="TableParagraph"/>
              <w:spacing w:before="110"/>
              <w:ind w:left="61" w:right="46"/>
              <w:rPr>
                <w:sz w:val="20"/>
              </w:rPr>
            </w:pPr>
            <w:r>
              <w:rPr>
                <w:sz w:val="20"/>
              </w:rPr>
              <w:t>8,52</w:t>
            </w:r>
          </w:p>
        </w:tc>
        <w:tc>
          <w:tcPr>
            <w:tcW w:w="713" w:type="dxa"/>
            <w:tcBorders>
              <w:top w:val="single" w:sz="4" w:space="0" w:color="000000"/>
              <w:bottom w:val="single" w:sz="4" w:space="0" w:color="000000"/>
              <w:right w:val="single" w:sz="4" w:space="0" w:color="000000"/>
            </w:tcBorders>
          </w:tcPr>
          <w:p>
            <w:pPr>
              <w:pStyle w:val="TableParagraph"/>
              <w:spacing w:before="110"/>
              <w:ind w:left="196" w:right="218"/>
              <w:rPr>
                <w:sz w:val="20"/>
              </w:rPr>
            </w:pPr>
            <w:r>
              <w:rPr>
                <w:sz w:val="20"/>
              </w:rPr>
              <w:t>24</w:t>
            </w:r>
          </w:p>
        </w:tc>
        <w:tc>
          <w:tcPr>
            <w:tcW w:w="631" w:type="dxa"/>
            <w:tcBorders>
              <w:top w:val="single" w:sz="4" w:space="0" w:color="000000"/>
              <w:left w:val="single" w:sz="4" w:space="0" w:color="000000"/>
              <w:bottom w:val="single" w:sz="4" w:space="0" w:color="000000"/>
            </w:tcBorders>
          </w:tcPr>
          <w:p>
            <w:pPr>
              <w:pStyle w:val="TableParagraph"/>
              <w:spacing w:before="110"/>
              <w:ind w:left="37" w:right="26"/>
              <w:rPr>
                <w:sz w:val="20"/>
              </w:rPr>
            </w:pPr>
            <w:r>
              <w:rPr>
                <w:sz w:val="20"/>
              </w:rPr>
              <w:t>23,79</w:t>
            </w:r>
          </w:p>
        </w:tc>
        <w:tc>
          <w:tcPr>
            <w:tcW w:w="929" w:type="dxa"/>
            <w:tcBorders>
              <w:top w:val="single" w:sz="4" w:space="0" w:color="000000"/>
              <w:bottom w:val="single" w:sz="4" w:space="0" w:color="000000"/>
              <w:right w:val="single" w:sz="4" w:space="0" w:color="000000"/>
            </w:tcBorders>
          </w:tcPr>
          <w:p>
            <w:pPr>
              <w:pStyle w:val="TableParagraph"/>
              <w:spacing w:before="110"/>
              <w:ind w:left="331"/>
              <w:jc w:val="left"/>
              <w:rPr>
                <w:sz w:val="20"/>
              </w:rPr>
            </w:pPr>
            <w:r>
              <w:rPr>
                <w:sz w:val="20"/>
              </w:rPr>
              <w:t>24</w:t>
            </w:r>
          </w:p>
        </w:tc>
        <w:tc>
          <w:tcPr>
            <w:tcW w:w="848" w:type="dxa"/>
            <w:tcBorders>
              <w:top w:val="single" w:sz="4" w:space="0" w:color="000000"/>
              <w:left w:val="single" w:sz="4" w:space="0" w:color="000000"/>
              <w:bottom w:val="single" w:sz="4" w:space="0" w:color="000000"/>
            </w:tcBorders>
          </w:tcPr>
          <w:p>
            <w:pPr>
              <w:pStyle w:val="TableParagraph"/>
              <w:spacing w:before="110"/>
              <w:ind w:left="120" w:right="105"/>
              <w:rPr>
                <w:sz w:val="20"/>
              </w:rPr>
            </w:pPr>
            <w:r>
              <w:rPr>
                <w:sz w:val="20"/>
              </w:rPr>
              <w:t>36,62</w:t>
            </w:r>
          </w:p>
        </w:tc>
        <w:tc>
          <w:tcPr>
            <w:tcW w:w="997" w:type="dxa"/>
            <w:tcBorders>
              <w:top w:val="single" w:sz="4" w:space="0" w:color="000000"/>
              <w:bottom w:val="single" w:sz="4" w:space="0" w:color="000000"/>
              <w:right w:val="single" w:sz="4" w:space="0" w:color="000000"/>
            </w:tcBorders>
          </w:tcPr>
          <w:p>
            <w:pPr>
              <w:pStyle w:val="TableParagraph"/>
              <w:spacing w:before="110"/>
              <w:ind w:left="345" w:right="362"/>
              <w:rPr>
                <w:sz w:val="20"/>
              </w:rPr>
            </w:pPr>
            <w:r>
              <w:rPr>
                <w:sz w:val="20"/>
              </w:rPr>
              <w:t>24</w:t>
            </w:r>
          </w:p>
        </w:tc>
        <w:tc>
          <w:tcPr>
            <w:tcW w:w="986" w:type="dxa"/>
            <w:tcBorders>
              <w:top w:val="single" w:sz="4" w:space="0" w:color="000000"/>
              <w:left w:val="single" w:sz="4" w:space="0" w:color="000000"/>
              <w:bottom w:val="single" w:sz="4" w:space="0" w:color="000000"/>
            </w:tcBorders>
          </w:tcPr>
          <w:p>
            <w:pPr>
              <w:pStyle w:val="TableParagraph"/>
              <w:spacing w:before="110"/>
              <w:ind w:left="219" w:right="199"/>
              <w:rPr>
                <w:sz w:val="20"/>
              </w:rPr>
            </w:pPr>
            <w:r>
              <w:rPr>
                <w:sz w:val="20"/>
              </w:rPr>
              <w:t>31,07</w:t>
            </w:r>
          </w:p>
        </w:tc>
      </w:tr>
      <w:tr>
        <w:trPr>
          <w:trHeight w:val="722" w:hRule="exact"/>
        </w:trPr>
        <w:tc>
          <w:tcPr>
            <w:tcW w:w="1280" w:type="dxa"/>
            <w:tcBorders>
              <w:top w:val="single" w:sz="4" w:space="0" w:color="000000"/>
              <w:right w:val="single" w:sz="4" w:space="0" w:color="000000"/>
            </w:tcBorders>
          </w:tcPr>
          <w:p>
            <w:pPr>
              <w:pStyle w:val="TableParagraph"/>
              <w:ind w:left="28" w:right="60"/>
              <w:jc w:val="left"/>
              <w:rPr>
                <w:sz w:val="20"/>
              </w:rPr>
            </w:pPr>
            <w:r>
              <w:rPr>
                <w:sz w:val="20"/>
              </w:rPr>
              <w:t>Espírito Empreended or</w:t>
            </w:r>
          </w:p>
        </w:tc>
        <w:tc>
          <w:tcPr>
            <w:tcW w:w="1131" w:type="dxa"/>
            <w:tcBorders>
              <w:top w:val="single" w:sz="4" w:space="0" w:color="000000"/>
              <w:left w:val="single" w:sz="4" w:space="0" w:color="000000"/>
            </w:tcBorders>
          </w:tcPr>
          <w:p>
            <w:pPr>
              <w:pStyle w:val="TableParagraph"/>
              <w:spacing w:before="6"/>
              <w:jc w:val="left"/>
              <w:rPr>
                <w:b/>
                <w:sz w:val="19"/>
              </w:rPr>
            </w:pPr>
          </w:p>
          <w:p>
            <w:pPr>
              <w:pStyle w:val="TableParagraph"/>
              <w:ind w:left="89" w:right="81"/>
              <w:rPr>
                <w:sz w:val="20"/>
              </w:rPr>
            </w:pPr>
            <w:r>
              <w:rPr>
                <w:sz w:val="20"/>
              </w:rPr>
              <w:t>43</w:t>
            </w:r>
          </w:p>
        </w:tc>
        <w:tc>
          <w:tcPr>
            <w:tcW w:w="569" w:type="dxa"/>
            <w:tcBorders>
              <w:top w:val="single" w:sz="4" w:space="0" w:color="000000"/>
              <w:right w:val="single" w:sz="4" w:space="0" w:color="000000"/>
            </w:tcBorders>
          </w:tcPr>
          <w:p>
            <w:pPr>
              <w:pStyle w:val="TableParagraph"/>
              <w:spacing w:before="6"/>
              <w:jc w:val="left"/>
              <w:rPr>
                <w:b/>
                <w:sz w:val="19"/>
              </w:rPr>
            </w:pPr>
          </w:p>
          <w:p>
            <w:pPr>
              <w:pStyle w:val="TableParagraph"/>
              <w:ind w:left="112" w:right="134"/>
              <w:rPr>
                <w:sz w:val="20"/>
              </w:rPr>
            </w:pPr>
            <w:r>
              <w:rPr>
                <w:sz w:val="20"/>
              </w:rPr>
              <w:t>24</w:t>
            </w:r>
          </w:p>
        </w:tc>
        <w:tc>
          <w:tcPr>
            <w:tcW w:w="564" w:type="dxa"/>
            <w:tcBorders>
              <w:top w:val="single" w:sz="4" w:space="0" w:color="000000"/>
              <w:left w:val="single" w:sz="4" w:space="0" w:color="000000"/>
            </w:tcBorders>
          </w:tcPr>
          <w:p>
            <w:pPr>
              <w:pStyle w:val="TableParagraph"/>
              <w:spacing w:before="6"/>
              <w:jc w:val="left"/>
              <w:rPr>
                <w:b/>
                <w:sz w:val="19"/>
              </w:rPr>
            </w:pPr>
          </w:p>
          <w:p>
            <w:pPr>
              <w:pStyle w:val="TableParagraph"/>
              <w:ind w:left="61" w:right="46"/>
              <w:rPr>
                <w:sz w:val="20"/>
              </w:rPr>
            </w:pPr>
            <w:r>
              <w:rPr>
                <w:sz w:val="20"/>
              </w:rPr>
              <w:t>4,91</w:t>
            </w:r>
          </w:p>
        </w:tc>
        <w:tc>
          <w:tcPr>
            <w:tcW w:w="713" w:type="dxa"/>
            <w:tcBorders>
              <w:top w:val="single" w:sz="4" w:space="0" w:color="000000"/>
              <w:right w:val="single" w:sz="4" w:space="0" w:color="000000"/>
            </w:tcBorders>
          </w:tcPr>
          <w:p>
            <w:pPr>
              <w:pStyle w:val="TableParagraph"/>
              <w:spacing w:before="6"/>
              <w:jc w:val="left"/>
              <w:rPr>
                <w:b/>
                <w:sz w:val="19"/>
              </w:rPr>
            </w:pPr>
          </w:p>
          <w:p>
            <w:pPr>
              <w:pStyle w:val="TableParagraph"/>
              <w:ind w:left="196" w:right="218"/>
              <w:rPr>
                <w:sz w:val="20"/>
              </w:rPr>
            </w:pPr>
            <w:r>
              <w:rPr>
                <w:sz w:val="20"/>
              </w:rPr>
              <w:t>24</w:t>
            </w:r>
          </w:p>
        </w:tc>
        <w:tc>
          <w:tcPr>
            <w:tcW w:w="631" w:type="dxa"/>
            <w:tcBorders>
              <w:top w:val="single" w:sz="4" w:space="0" w:color="000000"/>
              <w:left w:val="single" w:sz="4" w:space="0" w:color="000000"/>
            </w:tcBorders>
          </w:tcPr>
          <w:p>
            <w:pPr>
              <w:pStyle w:val="TableParagraph"/>
              <w:spacing w:before="6"/>
              <w:jc w:val="left"/>
              <w:rPr>
                <w:b/>
                <w:sz w:val="19"/>
              </w:rPr>
            </w:pPr>
          </w:p>
          <w:p>
            <w:pPr>
              <w:pStyle w:val="TableParagraph"/>
              <w:ind w:left="37" w:right="26"/>
              <w:rPr>
                <w:sz w:val="20"/>
              </w:rPr>
            </w:pPr>
            <w:r>
              <w:rPr>
                <w:sz w:val="20"/>
              </w:rPr>
              <w:t>17,15</w:t>
            </w:r>
          </w:p>
        </w:tc>
        <w:tc>
          <w:tcPr>
            <w:tcW w:w="929" w:type="dxa"/>
            <w:tcBorders>
              <w:top w:val="single" w:sz="4" w:space="0" w:color="000000"/>
              <w:right w:val="single" w:sz="4" w:space="0" w:color="000000"/>
            </w:tcBorders>
          </w:tcPr>
          <w:p>
            <w:pPr>
              <w:pStyle w:val="TableParagraph"/>
              <w:spacing w:before="6"/>
              <w:jc w:val="left"/>
              <w:rPr>
                <w:b/>
                <w:sz w:val="19"/>
              </w:rPr>
            </w:pPr>
          </w:p>
          <w:p>
            <w:pPr>
              <w:pStyle w:val="TableParagraph"/>
              <w:ind w:left="331"/>
              <w:jc w:val="left"/>
              <w:rPr>
                <w:sz w:val="20"/>
              </w:rPr>
            </w:pPr>
            <w:r>
              <w:rPr>
                <w:sz w:val="20"/>
              </w:rPr>
              <w:t>24</w:t>
            </w:r>
          </w:p>
        </w:tc>
        <w:tc>
          <w:tcPr>
            <w:tcW w:w="848" w:type="dxa"/>
            <w:tcBorders>
              <w:top w:val="single" w:sz="4" w:space="0" w:color="000000"/>
              <w:left w:val="single" w:sz="4" w:space="0" w:color="000000"/>
            </w:tcBorders>
          </w:tcPr>
          <w:p>
            <w:pPr>
              <w:pStyle w:val="TableParagraph"/>
              <w:spacing w:before="6"/>
              <w:jc w:val="left"/>
              <w:rPr>
                <w:b/>
                <w:sz w:val="19"/>
              </w:rPr>
            </w:pPr>
          </w:p>
          <w:p>
            <w:pPr>
              <w:pStyle w:val="TableParagraph"/>
              <w:ind w:left="120" w:right="105"/>
              <w:rPr>
                <w:sz w:val="20"/>
              </w:rPr>
            </w:pPr>
            <w:r>
              <w:rPr>
                <w:sz w:val="20"/>
              </w:rPr>
              <w:t>42,46</w:t>
            </w:r>
          </w:p>
        </w:tc>
        <w:tc>
          <w:tcPr>
            <w:tcW w:w="997" w:type="dxa"/>
            <w:tcBorders>
              <w:top w:val="single" w:sz="4" w:space="0" w:color="000000"/>
              <w:right w:val="single" w:sz="4" w:space="0" w:color="000000"/>
            </w:tcBorders>
          </w:tcPr>
          <w:p>
            <w:pPr>
              <w:pStyle w:val="TableParagraph"/>
              <w:spacing w:before="6"/>
              <w:jc w:val="left"/>
              <w:rPr>
                <w:b/>
                <w:sz w:val="19"/>
              </w:rPr>
            </w:pPr>
          </w:p>
          <w:p>
            <w:pPr>
              <w:pStyle w:val="TableParagraph"/>
              <w:ind w:left="345" w:right="362"/>
              <w:rPr>
                <w:sz w:val="20"/>
              </w:rPr>
            </w:pPr>
            <w:r>
              <w:rPr>
                <w:sz w:val="20"/>
              </w:rPr>
              <w:t>24</w:t>
            </w:r>
          </w:p>
        </w:tc>
        <w:tc>
          <w:tcPr>
            <w:tcW w:w="986" w:type="dxa"/>
            <w:tcBorders>
              <w:top w:val="single" w:sz="4" w:space="0" w:color="000000"/>
              <w:left w:val="single" w:sz="4" w:space="0" w:color="000000"/>
            </w:tcBorders>
          </w:tcPr>
          <w:p>
            <w:pPr>
              <w:pStyle w:val="TableParagraph"/>
              <w:spacing w:before="6"/>
              <w:jc w:val="left"/>
              <w:rPr>
                <w:b/>
                <w:sz w:val="19"/>
              </w:rPr>
            </w:pPr>
          </w:p>
          <w:p>
            <w:pPr>
              <w:pStyle w:val="TableParagraph"/>
              <w:ind w:left="219" w:right="199"/>
              <w:rPr>
                <w:sz w:val="20"/>
              </w:rPr>
            </w:pPr>
            <w:r>
              <w:rPr>
                <w:sz w:val="20"/>
              </w:rPr>
              <w:t>37,97</w:t>
            </w:r>
          </w:p>
        </w:tc>
      </w:tr>
    </w:tbl>
    <w:p>
      <w:pPr>
        <w:spacing w:before="0"/>
        <w:ind w:left="308" w:right="0" w:firstLine="0"/>
        <w:jc w:val="left"/>
        <w:rPr>
          <w:sz w:val="18"/>
        </w:rPr>
      </w:pPr>
      <w:r>
        <w:rPr>
          <w:sz w:val="20"/>
        </w:rPr>
        <w:t>Fonte: Dados da Pesquisa – Mestrado – Pinho (2014)</w:t>
      </w:r>
      <w:r>
        <w:rPr>
          <w:sz w:val="18"/>
        </w:rPr>
        <w:t>.</w:t>
      </w:r>
    </w:p>
    <w:p>
      <w:pPr>
        <w:spacing w:after="0"/>
        <w:jc w:val="left"/>
        <w:rPr>
          <w:sz w:val="18"/>
        </w:rPr>
        <w:sectPr>
          <w:pgSz w:w="11910" w:h="16840"/>
          <w:pgMar w:header="1133" w:footer="0" w:top="1340" w:bottom="280" w:left="1680" w:right="1020"/>
        </w:sectPr>
      </w:pPr>
    </w:p>
    <w:p>
      <w:pPr>
        <w:pStyle w:val="BodyText"/>
        <w:spacing w:before="6"/>
        <w:rPr>
          <w:sz w:val="20"/>
        </w:rPr>
      </w:pPr>
    </w:p>
    <w:p>
      <w:pPr>
        <w:spacing w:before="95" w:after="10"/>
        <w:ind w:left="2411" w:right="877" w:hanging="1648"/>
        <w:jc w:val="left"/>
        <w:rPr>
          <w:b/>
          <w:sz w:val="20"/>
        </w:rPr>
      </w:pPr>
      <w:r>
        <w:rPr>
          <w:b/>
          <w:sz w:val="20"/>
        </w:rPr>
        <w:t>Quadro 15: Categoria III – Plano Estratégico e de Ação na percepção dos gestores, professores, servidores, e pais ou responsáveis</w:t>
      </w:r>
    </w:p>
    <w:tbl>
      <w:tblPr>
        <w:tblW w:w="0" w:type="auto"/>
        <w:jc w:val="left"/>
        <w:tblInd w:w="284"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130"/>
        <w:gridCol w:w="992"/>
        <w:gridCol w:w="713"/>
        <w:gridCol w:w="564"/>
        <w:gridCol w:w="708"/>
        <w:gridCol w:w="709"/>
        <w:gridCol w:w="713"/>
        <w:gridCol w:w="847"/>
        <w:gridCol w:w="853"/>
        <w:gridCol w:w="828"/>
      </w:tblGrid>
      <w:tr>
        <w:trPr>
          <w:trHeight w:val="281" w:hRule="exact"/>
        </w:trPr>
        <w:tc>
          <w:tcPr>
            <w:tcW w:w="3121" w:type="dxa"/>
            <w:gridSpan w:val="2"/>
            <w:vMerge w:val="restart"/>
            <w:tcBorders>
              <w:top w:val="nil"/>
              <w:left w:val="nil"/>
            </w:tcBorders>
          </w:tcPr>
          <w:p>
            <w:pPr/>
          </w:p>
        </w:tc>
        <w:tc>
          <w:tcPr>
            <w:tcW w:w="5935" w:type="dxa"/>
            <w:gridSpan w:val="8"/>
            <w:tcBorders>
              <w:bottom w:val="single" w:sz="4" w:space="0" w:color="000000"/>
            </w:tcBorders>
          </w:tcPr>
          <w:p>
            <w:pPr>
              <w:pStyle w:val="TableParagraph"/>
              <w:spacing w:line="225" w:lineRule="exact"/>
              <w:ind w:left="1952" w:right="1955"/>
              <w:rPr>
                <w:b/>
                <w:sz w:val="20"/>
              </w:rPr>
            </w:pPr>
            <w:r>
              <w:rPr>
                <w:b/>
                <w:sz w:val="20"/>
              </w:rPr>
              <w:t>AVALIAÇÃO GERAL</w:t>
            </w:r>
          </w:p>
        </w:tc>
      </w:tr>
      <w:tr>
        <w:trPr>
          <w:trHeight w:val="1640" w:hRule="exact"/>
        </w:trPr>
        <w:tc>
          <w:tcPr>
            <w:tcW w:w="3121" w:type="dxa"/>
            <w:gridSpan w:val="2"/>
            <w:vMerge/>
            <w:tcBorders>
              <w:left w:val="nil"/>
            </w:tcBorders>
          </w:tcPr>
          <w:p>
            <w:pPr/>
          </w:p>
        </w:tc>
        <w:tc>
          <w:tcPr>
            <w:tcW w:w="1277" w:type="dxa"/>
            <w:gridSpan w:val="2"/>
            <w:tcBorders>
              <w:top w:val="single" w:sz="4" w:space="0" w:color="000000"/>
              <w:bottom w:val="single" w:sz="4" w:space="0" w:color="000000"/>
            </w:tcBorders>
          </w:tcPr>
          <w:p>
            <w:pPr>
              <w:pStyle w:val="TableParagraph"/>
              <w:spacing w:before="2"/>
              <w:jc w:val="left"/>
              <w:rPr>
                <w:b/>
                <w:sz w:val="29"/>
              </w:rPr>
            </w:pPr>
          </w:p>
          <w:p>
            <w:pPr>
              <w:pStyle w:val="TableParagraph"/>
              <w:ind w:left="321" w:right="158" w:hanging="164"/>
              <w:jc w:val="left"/>
              <w:rPr>
                <w:b/>
                <w:sz w:val="20"/>
              </w:rPr>
            </w:pPr>
            <w:r>
              <w:rPr>
                <w:b/>
                <w:sz w:val="20"/>
              </w:rPr>
              <w:t>Nunca ou quase nunca (1-2)</w:t>
            </w:r>
          </w:p>
        </w:tc>
        <w:tc>
          <w:tcPr>
            <w:tcW w:w="1417" w:type="dxa"/>
            <w:gridSpan w:val="2"/>
            <w:tcBorders>
              <w:top w:val="single" w:sz="4" w:space="0" w:color="000000"/>
              <w:bottom w:val="single" w:sz="4" w:space="0" w:color="000000"/>
            </w:tcBorders>
          </w:tcPr>
          <w:p>
            <w:pPr>
              <w:pStyle w:val="TableParagraph"/>
              <w:spacing w:before="2"/>
              <w:jc w:val="left"/>
              <w:rPr>
                <w:b/>
                <w:sz w:val="29"/>
              </w:rPr>
            </w:pPr>
          </w:p>
          <w:p>
            <w:pPr>
              <w:pStyle w:val="TableParagraph"/>
              <w:ind w:left="172" w:right="170" w:hanging="7"/>
              <w:rPr>
                <w:b/>
                <w:sz w:val="20"/>
              </w:rPr>
            </w:pPr>
            <w:r>
              <w:rPr>
                <w:b/>
                <w:sz w:val="20"/>
              </w:rPr>
              <w:t>Às vezes. Ocasional- mente</w:t>
            </w:r>
          </w:p>
          <w:p>
            <w:pPr>
              <w:pStyle w:val="TableParagraph"/>
              <w:ind w:left="35" w:right="40"/>
              <w:rPr>
                <w:b/>
                <w:sz w:val="20"/>
              </w:rPr>
            </w:pPr>
            <w:r>
              <w:rPr>
                <w:b/>
                <w:sz w:val="20"/>
              </w:rPr>
              <w:t>(3-4-5)</w:t>
            </w:r>
          </w:p>
        </w:tc>
        <w:tc>
          <w:tcPr>
            <w:tcW w:w="1560" w:type="dxa"/>
            <w:gridSpan w:val="2"/>
            <w:tcBorders>
              <w:top w:val="single" w:sz="4" w:space="0" w:color="000000"/>
              <w:bottom w:val="single" w:sz="4" w:space="0" w:color="000000"/>
            </w:tcBorders>
          </w:tcPr>
          <w:p>
            <w:pPr>
              <w:pStyle w:val="TableParagraph"/>
              <w:spacing w:before="106"/>
              <w:ind w:left="81" w:right="78"/>
              <w:rPr>
                <w:b/>
                <w:sz w:val="20"/>
              </w:rPr>
            </w:pPr>
            <w:r>
              <w:rPr>
                <w:b/>
                <w:sz w:val="20"/>
              </w:rPr>
              <w:t>Muitas vezes ou ocasiões.</w:t>
            </w:r>
          </w:p>
          <w:p>
            <w:pPr>
              <w:pStyle w:val="TableParagraph"/>
              <w:ind w:left="95" w:right="91" w:hanging="2"/>
              <w:rPr>
                <w:b/>
                <w:sz w:val="20"/>
              </w:rPr>
            </w:pPr>
            <w:r>
              <w:rPr>
                <w:b/>
                <w:sz w:val="20"/>
              </w:rPr>
              <w:t>Existem evidências do indicador</w:t>
            </w:r>
          </w:p>
          <w:p>
            <w:pPr>
              <w:pStyle w:val="TableParagraph"/>
              <w:ind w:left="74" w:right="78"/>
              <w:rPr>
                <w:b/>
                <w:sz w:val="20"/>
              </w:rPr>
            </w:pPr>
            <w:r>
              <w:rPr>
                <w:b/>
                <w:sz w:val="20"/>
              </w:rPr>
              <w:t>(6-7-8)</w:t>
            </w:r>
          </w:p>
        </w:tc>
        <w:tc>
          <w:tcPr>
            <w:tcW w:w="1681" w:type="dxa"/>
            <w:gridSpan w:val="2"/>
            <w:tcBorders>
              <w:top w:val="single" w:sz="4" w:space="0" w:color="000000"/>
              <w:bottom w:val="single" w:sz="4" w:space="0" w:color="000000"/>
            </w:tcBorders>
          </w:tcPr>
          <w:p>
            <w:pPr>
              <w:pStyle w:val="TableParagraph"/>
              <w:ind w:left="172" w:right="174" w:firstLine="1"/>
              <w:rPr>
                <w:b/>
                <w:sz w:val="20"/>
              </w:rPr>
            </w:pPr>
            <w:r>
              <w:rPr>
                <w:b/>
                <w:sz w:val="20"/>
              </w:rPr>
              <w:t>De continuo. Evidências claras de aparição do indicador ou característica (9-10)</w:t>
            </w:r>
          </w:p>
        </w:tc>
      </w:tr>
      <w:tr>
        <w:trPr>
          <w:trHeight w:val="274" w:hRule="exact"/>
        </w:trPr>
        <w:tc>
          <w:tcPr>
            <w:tcW w:w="2130" w:type="dxa"/>
            <w:tcBorders>
              <w:right w:val="single" w:sz="4" w:space="0" w:color="000000"/>
            </w:tcBorders>
          </w:tcPr>
          <w:p>
            <w:pPr>
              <w:pStyle w:val="TableParagraph"/>
              <w:spacing w:line="220" w:lineRule="exact"/>
              <w:ind w:left="547"/>
              <w:jc w:val="left"/>
              <w:rPr>
                <w:b/>
                <w:sz w:val="20"/>
              </w:rPr>
            </w:pPr>
            <w:r>
              <w:rPr>
                <w:b/>
                <w:sz w:val="20"/>
              </w:rPr>
              <w:t>Parâmetro</w:t>
            </w:r>
          </w:p>
        </w:tc>
        <w:tc>
          <w:tcPr>
            <w:tcW w:w="992" w:type="dxa"/>
            <w:tcBorders>
              <w:left w:val="single" w:sz="4" w:space="0" w:color="000000"/>
            </w:tcBorders>
          </w:tcPr>
          <w:p>
            <w:pPr>
              <w:pStyle w:val="TableParagraph"/>
              <w:spacing w:line="220" w:lineRule="exact"/>
              <w:ind w:left="59" w:right="54"/>
              <w:rPr>
                <w:b/>
                <w:sz w:val="20"/>
              </w:rPr>
            </w:pPr>
            <w:r>
              <w:rPr>
                <w:b/>
                <w:sz w:val="20"/>
              </w:rPr>
              <w:t>Amostra</w:t>
            </w:r>
          </w:p>
        </w:tc>
        <w:tc>
          <w:tcPr>
            <w:tcW w:w="713" w:type="dxa"/>
            <w:tcBorders>
              <w:top w:val="single" w:sz="4" w:space="0" w:color="000000"/>
              <w:right w:val="single" w:sz="4" w:space="0" w:color="000000"/>
            </w:tcBorders>
          </w:tcPr>
          <w:p>
            <w:pPr>
              <w:pStyle w:val="TableParagraph"/>
              <w:spacing w:before="7"/>
              <w:ind w:left="187" w:right="204"/>
              <w:rPr>
                <w:b/>
                <w:sz w:val="20"/>
              </w:rPr>
            </w:pPr>
            <w:r>
              <w:rPr>
                <w:b/>
                <w:sz w:val="20"/>
              </w:rPr>
              <w:t>Nº</w:t>
            </w:r>
          </w:p>
        </w:tc>
        <w:tc>
          <w:tcPr>
            <w:tcW w:w="564" w:type="dxa"/>
            <w:tcBorders>
              <w:top w:val="single" w:sz="4" w:space="0" w:color="000000"/>
              <w:left w:val="single" w:sz="4" w:space="0" w:color="000000"/>
            </w:tcBorders>
          </w:tcPr>
          <w:p>
            <w:pPr>
              <w:pStyle w:val="TableParagraph"/>
              <w:spacing w:before="7"/>
              <w:ind w:left="15"/>
              <w:rPr>
                <w:b/>
                <w:sz w:val="20"/>
              </w:rPr>
            </w:pPr>
            <w:r>
              <w:rPr>
                <w:b/>
                <w:w w:val="100"/>
                <w:sz w:val="20"/>
              </w:rPr>
              <w:t>%</w:t>
            </w:r>
          </w:p>
        </w:tc>
        <w:tc>
          <w:tcPr>
            <w:tcW w:w="708" w:type="dxa"/>
            <w:tcBorders>
              <w:top w:val="single" w:sz="4" w:space="0" w:color="000000"/>
              <w:right w:val="single" w:sz="4" w:space="0" w:color="000000"/>
            </w:tcBorders>
          </w:tcPr>
          <w:p>
            <w:pPr>
              <w:pStyle w:val="TableParagraph"/>
              <w:spacing w:before="7"/>
              <w:ind w:left="44" w:right="65"/>
              <w:rPr>
                <w:b/>
                <w:sz w:val="20"/>
              </w:rPr>
            </w:pPr>
            <w:r>
              <w:rPr>
                <w:b/>
                <w:sz w:val="20"/>
              </w:rPr>
              <w:t>Nº</w:t>
            </w:r>
          </w:p>
        </w:tc>
        <w:tc>
          <w:tcPr>
            <w:tcW w:w="709" w:type="dxa"/>
            <w:tcBorders>
              <w:top w:val="single" w:sz="4" w:space="0" w:color="000000"/>
              <w:left w:val="single" w:sz="4" w:space="0" w:color="000000"/>
            </w:tcBorders>
          </w:tcPr>
          <w:p>
            <w:pPr>
              <w:pStyle w:val="TableParagraph"/>
              <w:spacing w:before="7"/>
              <w:ind w:left="16"/>
              <w:rPr>
                <w:b/>
                <w:sz w:val="20"/>
              </w:rPr>
            </w:pPr>
            <w:r>
              <w:rPr>
                <w:b/>
                <w:w w:val="100"/>
                <w:sz w:val="20"/>
              </w:rPr>
              <w:t>%</w:t>
            </w:r>
          </w:p>
        </w:tc>
        <w:tc>
          <w:tcPr>
            <w:tcW w:w="713" w:type="dxa"/>
            <w:tcBorders>
              <w:top w:val="single" w:sz="4" w:space="0" w:color="000000"/>
              <w:right w:val="single" w:sz="4" w:space="0" w:color="000000"/>
            </w:tcBorders>
          </w:tcPr>
          <w:p>
            <w:pPr>
              <w:pStyle w:val="TableParagraph"/>
              <w:spacing w:before="7"/>
              <w:ind w:left="201" w:right="218"/>
              <w:rPr>
                <w:b/>
                <w:sz w:val="20"/>
              </w:rPr>
            </w:pPr>
            <w:r>
              <w:rPr>
                <w:b/>
                <w:sz w:val="20"/>
              </w:rPr>
              <w:t>Nº</w:t>
            </w:r>
          </w:p>
        </w:tc>
        <w:tc>
          <w:tcPr>
            <w:tcW w:w="847" w:type="dxa"/>
            <w:tcBorders>
              <w:top w:val="single" w:sz="4" w:space="0" w:color="000000"/>
              <w:left w:val="single" w:sz="4" w:space="0" w:color="000000"/>
            </w:tcBorders>
          </w:tcPr>
          <w:p>
            <w:pPr>
              <w:pStyle w:val="TableParagraph"/>
              <w:spacing w:before="7"/>
              <w:ind w:left="11"/>
              <w:rPr>
                <w:b/>
                <w:sz w:val="20"/>
              </w:rPr>
            </w:pPr>
            <w:r>
              <w:rPr>
                <w:b/>
                <w:w w:val="100"/>
                <w:sz w:val="20"/>
              </w:rPr>
              <w:t>%</w:t>
            </w:r>
          </w:p>
        </w:tc>
        <w:tc>
          <w:tcPr>
            <w:tcW w:w="853" w:type="dxa"/>
            <w:tcBorders>
              <w:top w:val="single" w:sz="4" w:space="0" w:color="000000"/>
              <w:right w:val="single" w:sz="4" w:space="0" w:color="000000"/>
            </w:tcBorders>
          </w:tcPr>
          <w:p>
            <w:pPr>
              <w:pStyle w:val="TableParagraph"/>
              <w:spacing w:before="7"/>
              <w:ind w:left="268" w:right="289"/>
              <w:rPr>
                <w:b/>
                <w:sz w:val="20"/>
              </w:rPr>
            </w:pPr>
            <w:r>
              <w:rPr>
                <w:b/>
                <w:sz w:val="20"/>
              </w:rPr>
              <w:t>Nº</w:t>
            </w:r>
          </w:p>
        </w:tc>
        <w:tc>
          <w:tcPr>
            <w:tcW w:w="828" w:type="dxa"/>
            <w:tcBorders>
              <w:top w:val="single" w:sz="4" w:space="0" w:color="000000"/>
              <w:left w:val="single" w:sz="4" w:space="0" w:color="000000"/>
            </w:tcBorders>
          </w:tcPr>
          <w:p>
            <w:pPr>
              <w:pStyle w:val="TableParagraph"/>
              <w:spacing w:before="7"/>
              <w:ind w:left="10"/>
              <w:rPr>
                <w:b/>
                <w:sz w:val="20"/>
              </w:rPr>
            </w:pPr>
            <w:r>
              <w:rPr>
                <w:b/>
                <w:w w:val="100"/>
                <w:sz w:val="20"/>
              </w:rPr>
              <w:t>%</w:t>
            </w:r>
          </w:p>
        </w:tc>
      </w:tr>
      <w:tr>
        <w:trPr>
          <w:trHeight w:val="257" w:hRule="exact"/>
        </w:trPr>
        <w:tc>
          <w:tcPr>
            <w:tcW w:w="2130" w:type="dxa"/>
            <w:tcBorders>
              <w:bottom w:val="single" w:sz="4" w:space="0" w:color="000000"/>
              <w:right w:val="single" w:sz="4" w:space="0" w:color="000000"/>
            </w:tcBorders>
          </w:tcPr>
          <w:p>
            <w:pPr>
              <w:pStyle w:val="TableParagraph"/>
              <w:spacing w:line="225" w:lineRule="exact"/>
              <w:ind w:left="28"/>
              <w:jc w:val="left"/>
              <w:rPr>
                <w:sz w:val="20"/>
              </w:rPr>
            </w:pPr>
            <w:r>
              <w:rPr>
                <w:sz w:val="20"/>
              </w:rPr>
              <w:t>Currículo Polivalente</w:t>
            </w:r>
          </w:p>
        </w:tc>
        <w:tc>
          <w:tcPr>
            <w:tcW w:w="992" w:type="dxa"/>
            <w:tcBorders>
              <w:left w:val="single" w:sz="4" w:space="0" w:color="000000"/>
              <w:bottom w:val="single" w:sz="4" w:space="0" w:color="000000"/>
            </w:tcBorders>
          </w:tcPr>
          <w:p>
            <w:pPr>
              <w:pStyle w:val="TableParagraph"/>
              <w:spacing w:line="225" w:lineRule="exact"/>
              <w:ind w:left="59" w:right="46"/>
              <w:rPr>
                <w:sz w:val="20"/>
              </w:rPr>
            </w:pPr>
            <w:r>
              <w:rPr>
                <w:sz w:val="20"/>
              </w:rPr>
              <w:t>43</w:t>
            </w:r>
          </w:p>
        </w:tc>
        <w:tc>
          <w:tcPr>
            <w:tcW w:w="713" w:type="dxa"/>
            <w:tcBorders>
              <w:bottom w:val="single" w:sz="4" w:space="0" w:color="000000"/>
              <w:right w:val="single" w:sz="4" w:space="0" w:color="000000"/>
            </w:tcBorders>
          </w:tcPr>
          <w:p>
            <w:pPr>
              <w:pStyle w:val="TableParagraph"/>
              <w:spacing w:line="225" w:lineRule="exact"/>
              <w:ind w:left="184" w:right="206"/>
              <w:rPr>
                <w:sz w:val="20"/>
              </w:rPr>
            </w:pPr>
            <w:r>
              <w:rPr>
                <w:sz w:val="20"/>
              </w:rPr>
              <w:t>24</w:t>
            </w:r>
          </w:p>
        </w:tc>
        <w:tc>
          <w:tcPr>
            <w:tcW w:w="564" w:type="dxa"/>
            <w:tcBorders>
              <w:left w:val="single" w:sz="4" w:space="0" w:color="000000"/>
              <w:bottom w:val="single" w:sz="4" w:space="0" w:color="000000"/>
            </w:tcBorders>
          </w:tcPr>
          <w:p>
            <w:pPr>
              <w:pStyle w:val="TableParagraph"/>
              <w:spacing w:line="225" w:lineRule="exact"/>
              <w:ind w:left="61" w:right="46"/>
              <w:rPr>
                <w:sz w:val="20"/>
              </w:rPr>
            </w:pPr>
            <w:r>
              <w:rPr>
                <w:sz w:val="20"/>
              </w:rPr>
              <w:t>5,85</w:t>
            </w:r>
          </w:p>
        </w:tc>
        <w:tc>
          <w:tcPr>
            <w:tcW w:w="708" w:type="dxa"/>
            <w:tcBorders>
              <w:bottom w:val="single" w:sz="4" w:space="0" w:color="000000"/>
              <w:right w:val="single" w:sz="4" w:space="0" w:color="000000"/>
            </w:tcBorders>
          </w:tcPr>
          <w:p>
            <w:pPr>
              <w:pStyle w:val="TableParagraph"/>
              <w:spacing w:line="225" w:lineRule="exact"/>
              <w:ind w:left="48" w:right="65"/>
              <w:rPr>
                <w:sz w:val="20"/>
              </w:rPr>
            </w:pPr>
            <w:r>
              <w:rPr>
                <w:sz w:val="20"/>
              </w:rPr>
              <w:t>24</w:t>
            </w:r>
          </w:p>
        </w:tc>
        <w:tc>
          <w:tcPr>
            <w:tcW w:w="709" w:type="dxa"/>
            <w:tcBorders>
              <w:left w:val="single" w:sz="4" w:space="0" w:color="000000"/>
              <w:bottom w:val="single" w:sz="4" w:space="0" w:color="000000"/>
            </w:tcBorders>
          </w:tcPr>
          <w:p>
            <w:pPr>
              <w:pStyle w:val="TableParagraph"/>
              <w:spacing w:line="225" w:lineRule="exact"/>
              <w:ind w:left="75" w:right="65"/>
              <w:rPr>
                <w:sz w:val="20"/>
              </w:rPr>
            </w:pPr>
            <w:r>
              <w:rPr>
                <w:sz w:val="20"/>
              </w:rPr>
              <w:t>32,34</w:t>
            </w:r>
          </w:p>
        </w:tc>
        <w:tc>
          <w:tcPr>
            <w:tcW w:w="713" w:type="dxa"/>
            <w:tcBorders>
              <w:bottom w:val="single" w:sz="4" w:space="0" w:color="000000"/>
              <w:right w:val="single" w:sz="4" w:space="0" w:color="000000"/>
            </w:tcBorders>
          </w:tcPr>
          <w:p>
            <w:pPr>
              <w:pStyle w:val="TableParagraph"/>
              <w:spacing w:line="225" w:lineRule="exact"/>
              <w:ind w:left="196" w:right="218"/>
              <w:rPr>
                <w:sz w:val="20"/>
              </w:rPr>
            </w:pPr>
            <w:r>
              <w:rPr>
                <w:sz w:val="20"/>
              </w:rPr>
              <w:t>24</w:t>
            </w:r>
          </w:p>
        </w:tc>
        <w:tc>
          <w:tcPr>
            <w:tcW w:w="847" w:type="dxa"/>
            <w:tcBorders>
              <w:left w:val="single" w:sz="4" w:space="0" w:color="000000"/>
              <w:bottom w:val="single" w:sz="4" w:space="0" w:color="000000"/>
            </w:tcBorders>
          </w:tcPr>
          <w:p>
            <w:pPr>
              <w:pStyle w:val="TableParagraph"/>
              <w:spacing w:line="225" w:lineRule="exact"/>
              <w:ind w:left="148" w:right="132"/>
              <w:rPr>
                <w:sz w:val="20"/>
              </w:rPr>
            </w:pPr>
            <w:r>
              <w:rPr>
                <w:sz w:val="20"/>
              </w:rPr>
              <w:t>36,72</w:t>
            </w:r>
          </w:p>
        </w:tc>
        <w:tc>
          <w:tcPr>
            <w:tcW w:w="853" w:type="dxa"/>
            <w:tcBorders>
              <w:bottom w:val="single" w:sz="4" w:space="0" w:color="000000"/>
              <w:right w:val="single" w:sz="4" w:space="0" w:color="000000"/>
            </w:tcBorders>
          </w:tcPr>
          <w:p>
            <w:pPr>
              <w:pStyle w:val="TableParagraph"/>
              <w:spacing w:line="225" w:lineRule="exact"/>
              <w:ind w:left="273" w:right="289"/>
              <w:rPr>
                <w:sz w:val="20"/>
              </w:rPr>
            </w:pPr>
            <w:r>
              <w:rPr>
                <w:sz w:val="20"/>
              </w:rPr>
              <w:t>24</w:t>
            </w:r>
          </w:p>
        </w:tc>
        <w:tc>
          <w:tcPr>
            <w:tcW w:w="828" w:type="dxa"/>
            <w:tcBorders>
              <w:left w:val="single" w:sz="4" w:space="0" w:color="000000"/>
              <w:bottom w:val="single" w:sz="4" w:space="0" w:color="000000"/>
            </w:tcBorders>
          </w:tcPr>
          <w:p>
            <w:pPr>
              <w:pStyle w:val="TableParagraph"/>
              <w:spacing w:line="225" w:lineRule="exact"/>
              <w:ind w:left="138" w:right="123"/>
              <w:rPr>
                <w:sz w:val="20"/>
              </w:rPr>
            </w:pPr>
            <w:r>
              <w:rPr>
                <w:sz w:val="20"/>
              </w:rPr>
              <w:t>25,10</w:t>
            </w:r>
          </w:p>
        </w:tc>
      </w:tr>
      <w:tr>
        <w:trPr>
          <w:trHeight w:val="634" w:hRule="exact"/>
        </w:trPr>
        <w:tc>
          <w:tcPr>
            <w:tcW w:w="2130" w:type="dxa"/>
            <w:tcBorders>
              <w:top w:val="single" w:sz="4" w:space="0" w:color="000000"/>
              <w:bottom w:val="single" w:sz="4" w:space="0" w:color="000000"/>
              <w:right w:val="single" w:sz="4" w:space="0" w:color="000000"/>
            </w:tcBorders>
          </w:tcPr>
          <w:p>
            <w:pPr>
              <w:pStyle w:val="TableParagraph"/>
              <w:tabs>
                <w:tab w:pos="1958" w:val="left" w:leader="none"/>
              </w:tabs>
              <w:spacing w:line="242" w:lineRule="auto"/>
              <w:ind w:left="28" w:right="41"/>
              <w:jc w:val="left"/>
              <w:rPr>
                <w:sz w:val="18"/>
              </w:rPr>
            </w:pPr>
            <w:r>
              <w:rPr>
                <w:sz w:val="18"/>
              </w:rPr>
              <w:t>Metodologia</w:t>
              <w:tab/>
              <w:t>e Estratégicas Diversificadas</w:t>
            </w:r>
          </w:p>
        </w:tc>
        <w:tc>
          <w:tcPr>
            <w:tcW w:w="992" w:type="dxa"/>
            <w:tcBorders>
              <w:top w:val="single" w:sz="4" w:space="0" w:color="000000"/>
              <w:left w:val="single" w:sz="4" w:space="0" w:color="000000"/>
              <w:bottom w:val="single" w:sz="4" w:space="0" w:color="000000"/>
            </w:tcBorders>
          </w:tcPr>
          <w:p>
            <w:pPr>
              <w:pStyle w:val="TableParagraph"/>
              <w:spacing w:before="191"/>
              <w:ind w:left="59" w:right="46"/>
              <w:rPr>
                <w:sz w:val="20"/>
              </w:rPr>
            </w:pPr>
            <w:r>
              <w:rPr>
                <w:sz w:val="20"/>
              </w:rPr>
              <w:t>43</w:t>
            </w:r>
          </w:p>
        </w:tc>
        <w:tc>
          <w:tcPr>
            <w:tcW w:w="713" w:type="dxa"/>
            <w:tcBorders>
              <w:top w:val="single" w:sz="4" w:space="0" w:color="000000"/>
              <w:bottom w:val="single" w:sz="4" w:space="0" w:color="000000"/>
              <w:right w:val="single" w:sz="4" w:space="0" w:color="000000"/>
            </w:tcBorders>
          </w:tcPr>
          <w:p>
            <w:pPr>
              <w:pStyle w:val="TableParagraph"/>
              <w:spacing w:before="191"/>
              <w:ind w:left="184" w:right="206"/>
              <w:rPr>
                <w:sz w:val="20"/>
              </w:rPr>
            </w:pPr>
            <w:r>
              <w:rPr>
                <w:sz w:val="20"/>
              </w:rPr>
              <w:t>24</w:t>
            </w:r>
          </w:p>
        </w:tc>
        <w:tc>
          <w:tcPr>
            <w:tcW w:w="564" w:type="dxa"/>
            <w:tcBorders>
              <w:top w:val="single" w:sz="4" w:space="0" w:color="000000"/>
              <w:left w:val="single" w:sz="4" w:space="0" w:color="000000"/>
              <w:bottom w:val="single" w:sz="4" w:space="0" w:color="000000"/>
            </w:tcBorders>
          </w:tcPr>
          <w:p>
            <w:pPr>
              <w:pStyle w:val="TableParagraph"/>
              <w:spacing w:before="191"/>
              <w:ind w:left="61" w:right="46"/>
              <w:rPr>
                <w:sz w:val="20"/>
              </w:rPr>
            </w:pPr>
            <w:r>
              <w:rPr>
                <w:sz w:val="20"/>
              </w:rPr>
              <w:t>2,98</w:t>
            </w:r>
          </w:p>
        </w:tc>
        <w:tc>
          <w:tcPr>
            <w:tcW w:w="708" w:type="dxa"/>
            <w:tcBorders>
              <w:top w:val="single" w:sz="4" w:space="0" w:color="000000"/>
              <w:bottom w:val="single" w:sz="4" w:space="0" w:color="000000"/>
              <w:right w:val="single" w:sz="4" w:space="0" w:color="000000"/>
            </w:tcBorders>
          </w:tcPr>
          <w:p>
            <w:pPr>
              <w:pStyle w:val="TableParagraph"/>
              <w:spacing w:before="191"/>
              <w:ind w:left="48" w:right="65"/>
              <w:rPr>
                <w:sz w:val="20"/>
              </w:rPr>
            </w:pPr>
            <w:r>
              <w:rPr>
                <w:sz w:val="20"/>
              </w:rPr>
              <w:t>24</w:t>
            </w:r>
          </w:p>
        </w:tc>
        <w:tc>
          <w:tcPr>
            <w:tcW w:w="709" w:type="dxa"/>
            <w:tcBorders>
              <w:top w:val="single" w:sz="4" w:space="0" w:color="000000"/>
              <w:left w:val="single" w:sz="4" w:space="0" w:color="000000"/>
              <w:bottom w:val="single" w:sz="4" w:space="0" w:color="000000"/>
            </w:tcBorders>
          </w:tcPr>
          <w:p>
            <w:pPr>
              <w:pStyle w:val="TableParagraph"/>
              <w:spacing w:before="191"/>
              <w:ind w:left="75" w:right="65"/>
              <w:rPr>
                <w:sz w:val="20"/>
              </w:rPr>
            </w:pPr>
            <w:r>
              <w:rPr>
                <w:sz w:val="20"/>
              </w:rPr>
              <w:t>19,52</w:t>
            </w:r>
          </w:p>
        </w:tc>
        <w:tc>
          <w:tcPr>
            <w:tcW w:w="713" w:type="dxa"/>
            <w:tcBorders>
              <w:top w:val="single" w:sz="4" w:space="0" w:color="000000"/>
              <w:bottom w:val="single" w:sz="4" w:space="0" w:color="000000"/>
              <w:right w:val="single" w:sz="4" w:space="0" w:color="000000"/>
            </w:tcBorders>
          </w:tcPr>
          <w:p>
            <w:pPr>
              <w:pStyle w:val="TableParagraph"/>
              <w:spacing w:before="191"/>
              <w:ind w:left="196" w:right="218"/>
              <w:rPr>
                <w:sz w:val="20"/>
              </w:rPr>
            </w:pPr>
            <w:r>
              <w:rPr>
                <w:sz w:val="20"/>
              </w:rPr>
              <w:t>24</w:t>
            </w:r>
          </w:p>
        </w:tc>
        <w:tc>
          <w:tcPr>
            <w:tcW w:w="847" w:type="dxa"/>
            <w:tcBorders>
              <w:top w:val="single" w:sz="4" w:space="0" w:color="000000"/>
              <w:left w:val="single" w:sz="4" w:space="0" w:color="000000"/>
              <w:bottom w:val="single" w:sz="4" w:space="0" w:color="000000"/>
            </w:tcBorders>
          </w:tcPr>
          <w:p>
            <w:pPr>
              <w:pStyle w:val="TableParagraph"/>
              <w:spacing w:before="191"/>
              <w:ind w:left="148" w:right="132"/>
              <w:rPr>
                <w:sz w:val="20"/>
              </w:rPr>
            </w:pPr>
            <w:r>
              <w:rPr>
                <w:sz w:val="20"/>
              </w:rPr>
              <w:t>36,24</w:t>
            </w:r>
          </w:p>
        </w:tc>
        <w:tc>
          <w:tcPr>
            <w:tcW w:w="853" w:type="dxa"/>
            <w:tcBorders>
              <w:top w:val="single" w:sz="4" w:space="0" w:color="000000"/>
              <w:bottom w:val="single" w:sz="4" w:space="0" w:color="000000"/>
              <w:right w:val="single" w:sz="4" w:space="0" w:color="000000"/>
            </w:tcBorders>
          </w:tcPr>
          <w:p>
            <w:pPr>
              <w:pStyle w:val="TableParagraph"/>
              <w:spacing w:before="191"/>
              <w:ind w:left="273" w:right="289"/>
              <w:rPr>
                <w:sz w:val="20"/>
              </w:rPr>
            </w:pPr>
            <w:r>
              <w:rPr>
                <w:sz w:val="20"/>
              </w:rPr>
              <w:t>24</w:t>
            </w:r>
          </w:p>
        </w:tc>
        <w:tc>
          <w:tcPr>
            <w:tcW w:w="828" w:type="dxa"/>
            <w:tcBorders>
              <w:top w:val="single" w:sz="4" w:space="0" w:color="000000"/>
              <w:left w:val="single" w:sz="4" w:space="0" w:color="000000"/>
              <w:bottom w:val="single" w:sz="4" w:space="0" w:color="000000"/>
            </w:tcBorders>
          </w:tcPr>
          <w:p>
            <w:pPr>
              <w:pStyle w:val="TableParagraph"/>
              <w:spacing w:before="191"/>
              <w:ind w:left="138" w:right="123"/>
              <w:rPr>
                <w:sz w:val="20"/>
              </w:rPr>
            </w:pPr>
            <w:r>
              <w:rPr>
                <w:sz w:val="20"/>
              </w:rPr>
              <w:t>38,13</w:t>
            </w:r>
          </w:p>
        </w:tc>
      </w:tr>
      <w:tr>
        <w:trPr>
          <w:trHeight w:val="487" w:hRule="exact"/>
        </w:trPr>
        <w:tc>
          <w:tcPr>
            <w:tcW w:w="2130" w:type="dxa"/>
            <w:tcBorders>
              <w:top w:val="single" w:sz="4" w:space="0" w:color="000000"/>
              <w:right w:val="single" w:sz="4" w:space="0" w:color="000000"/>
            </w:tcBorders>
          </w:tcPr>
          <w:p>
            <w:pPr>
              <w:pStyle w:val="TableParagraph"/>
              <w:ind w:left="28" w:right="41"/>
              <w:jc w:val="left"/>
              <w:rPr>
                <w:sz w:val="20"/>
              </w:rPr>
            </w:pPr>
            <w:r>
              <w:rPr>
                <w:sz w:val="20"/>
              </w:rPr>
              <w:t>Avaliação  Formadora e Emergente</w:t>
            </w:r>
          </w:p>
        </w:tc>
        <w:tc>
          <w:tcPr>
            <w:tcW w:w="992" w:type="dxa"/>
            <w:tcBorders>
              <w:top w:val="single" w:sz="4" w:space="0" w:color="000000"/>
              <w:left w:val="single" w:sz="4" w:space="0" w:color="000000"/>
            </w:tcBorders>
          </w:tcPr>
          <w:p>
            <w:pPr>
              <w:pStyle w:val="TableParagraph"/>
              <w:spacing w:before="110"/>
              <w:ind w:left="59" w:right="46"/>
              <w:rPr>
                <w:sz w:val="20"/>
              </w:rPr>
            </w:pPr>
            <w:r>
              <w:rPr>
                <w:sz w:val="20"/>
              </w:rPr>
              <w:t>43</w:t>
            </w:r>
          </w:p>
        </w:tc>
        <w:tc>
          <w:tcPr>
            <w:tcW w:w="713" w:type="dxa"/>
            <w:tcBorders>
              <w:top w:val="single" w:sz="4" w:space="0" w:color="000000"/>
              <w:right w:val="single" w:sz="4" w:space="0" w:color="000000"/>
            </w:tcBorders>
          </w:tcPr>
          <w:p>
            <w:pPr>
              <w:pStyle w:val="TableParagraph"/>
              <w:spacing w:before="110"/>
              <w:ind w:left="184" w:right="206"/>
              <w:rPr>
                <w:sz w:val="20"/>
              </w:rPr>
            </w:pPr>
            <w:r>
              <w:rPr>
                <w:sz w:val="20"/>
              </w:rPr>
              <w:t>24</w:t>
            </w:r>
          </w:p>
        </w:tc>
        <w:tc>
          <w:tcPr>
            <w:tcW w:w="564" w:type="dxa"/>
            <w:tcBorders>
              <w:top w:val="single" w:sz="4" w:space="0" w:color="000000"/>
              <w:left w:val="single" w:sz="4" w:space="0" w:color="000000"/>
            </w:tcBorders>
          </w:tcPr>
          <w:p>
            <w:pPr>
              <w:pStyle w:val="TableParagraph"/>
              <w:spacing w:before="110"/>
              <w:ind w:left="61" w:right="46"/>
              <w:rPr>
                <w:sz w:val="20"/>
              </w:rPr>
            </w:pPr>
            <w:r>
              <w:rPr>
                <w:sz w:val="20"/>
              </w:rPr>
              <w:t>5,86</w:t>
            </w:r>
          </w:p>
        </w:tc>
        <w:tc>
          <w:tcPr>
            <w:tcW w:w="708" w:type="dxa"/>
            <w:tcBorders>
              <w:top w:val="single" w:sz="4" w:space="0" w:color="000000"/>
              <w:right w:val="single" w:sz="4" w:space="0" w:color="000000"/>
            </w:tcBorders>
          </w:tcPr>
          <w:p>
            <w:pPr>
              <w:pStyle w:val="TableParagraph"/>
              <w:spacing w:before="110"/>
              <w:ind w:left="48" w:right="65"/>
              <w:rPr>
                <w:sz w:val="20"/>
              </w:rPr>
            </w:pPr>
            <w:r>
              <w:rPr>
                <w:sz w:val="20"/>
              </w:rPr>
              <w:t>24</w:t>
            </w:r>
          </w:p>
        </w:tc>
        <w:tc>
          <w:tcPr>
            <w:tcW w:w="709" w:type="dxa"/>
            <w:tcBorders>
              <w:top w:val="single" w:sz="4" w:space="0" w:color="000000"/>
              <w:left w:val="single" w:sz="4" w:space="0" w:color="000000"/>
            </w:tcBorders>
          </w:tcPr>
          <w:p>
            <w:pPr>
              <w:pStyle w:val="TableParagraph"/>
              <w:spacing w:before="110"/>
              <w:ind w:left="75" w:right="65"/>
              <w:rPr>
                <w:sz w:val="20"/>
              </w:rPr>
            </w:pPr>
            <w:r>
              <w:rPr>
                <w:sz w:val="20"/>
              </w:rPr>
              <w:t>31,18</w:t>
            </w:r>
          </w:p>
        </w:tc>
        <w:tc>
          <w:tcPr>
            <w:tcW w:w="713" w:type="dxa"/>
            <w:tcBorders>
              <w:top w:val="single" w:sz="4" w:space="0" w:color="000000"/>
              <w:right w:val="single" w:sz="4" w:space="0" w:color="000000"/>
            </w:tcBorders>
          </w:tcPr>
          <w:p>
            <w:pPr>
              <w:pStyle w:val="TableParagraph"/>
              <w:spacing w:before="110"/>
              <w:ind w:left="196" w:right="218"/>
              <w:rPr>
                <w:sz w:val="20"/>
              </w:rPr>
            </w:pPr>
            <w:r>
              <w:rPr>
                <w:sz w:val="20"/>
              </w:rPr>
              <w:t>24</w:t>
            </w:r>
          </w:p>
        </w:tc>
        <w:tc>
          <w:tcPr>
            <w:tcW w:w="847" w:type="dxa"/>
            <w:tcBorders>
              <w:top w:val="single" w:sz="4" w:space="0" w:color="000000"/>
              <w:left w:val="single" w:sz="4" w:space="0" w:color="000000"/>
            </w:tcBorders>
          </w:tcPr>
          <w:p>
            <w:pPr>
              <w:pStyle w:val="TableParagraph"/>
              <w:spacing w:before="110"/>
              <w:ind w:left="148" w:right="132"/>
              <w:rPr>
                <w:sz w:val="20"/>
              </w:rPr>
            </w:pPr>
            <w:r>
              <w:rPr>
                <w:sz w:val="20"/>
              </w:rPr>
              <w:t>37,37</w:t>
            </w:r>
          </w:p>
        </w:tc>
        <w:tc>
          <w:tcPr>
            <w:tcW w:w="853" w:type="dxa"/>
            <w:tcBorders>
              <w:top w:val="single" w:sz="4" w:space="0" w:color="000000"/>
              <w:right w:val="single" w:sz="4" w:space="0" w:color="000000"/>
            </w:tcBorders>
          </w:tcPr>
          <w:p>
            <w:pPr>
              <w:pStyle w:val="TableParagraph"/>
              <w:spacing w:before="110"/>
              <w:ind w:left="273" w:right="289"/>
              <w:rPr>
                <w:sz w:val="20"/>
              </w:rPr>
            </w:pPr>
            <w:r>
              <w:rPr>
                <w:sz w:val="20"/>
              </w:rPr>
              <w:t>24</w:t>
            </w:r>
          </w:p>
        </w:tc>
        <w:tc>
          <w:tcPr>
            <w:tcW w:w="828" w:type="dxa"/>
            <w:tcBorders>
              <w:top w:val="single" w:sz="4" w:space="0" w:color="000000"/>
              <w:left w:val="single" w:sz="4" w:space="0" w:color="000000"/>
            </w:tcBorders>
          </w:tcPr>
          <w:p>
            <w:pPr>
              <w:pStyle w:val="TableParagraph"/>
              <w:spacing w:before="110"/>
              <w:ind w:left="138" w:right="123"/>
              <w:rPr>
                <w:sz w:val="20"/>
              </w:rPr>
            </w:pPr>
            <w:r>
              <w:rPr>
                <w:sz w:val="20"/>
              </w:rPr>
              <w:t>25,60</w:t>
            </w:r>
          </w:p>
        </w:tc>
      </w:tr>
    </w:tbl>
    <w:p>
      <w:pPr>
        <w:spacing w:before="0"/>
        <w:ind w:left="308" w:right="0" w:firstLine="0"/>
        <w:jc w:val="left"/>
        <w:rPr>
          <w:sz w:val="20"/>
        </w:rPr>
      </w:pPr>
      <w:r>
        <w:rPr>
          <w:sz w:val="20"/>
        </w:rPr>
        <w:t>Fonte: Dados da Pesquisa – Mestrado – Pinho (2014)</w:t>
      </w:r>
    </w:p>
    <w:p>
      <w:pPr>
        <w:spacing w:after="0"/>
        <w:jc w:val="left"/>
        <w:rPr>
          <w:sz w:val="20"/>
        </w:rPr>
        <w:sectPr>
          <w:pgSz w:w="11910" w:h="16840"/>
          <w:pgMar w:header="1133" w:footer="0" w:top="1340" w:bottom="280" w:left="1680" w:right="700"/>
        </w:sectPr>
      </w:pPr>
    </w:p>
    <w:p>
      <w:pPr>
        <w:pStyle w:val="BodyText"/>
        <w:spacing w:before="10"/>
        <w:rPr>
          <w:sz w:val="20"/>
        </w:rPr>
      </w:pPr>
    </w:p>
    <w:p>
      <w:pPr>
        <w:pStyle w:val="Heading3"/>
        <w:ind w:left="533" w:right="436"/>
        <w:jc w:val="center"/>
      </w:pPr>
      <w:r>
        <w:rPr/>
        <w:t>APÊNDICE G</w:t>
      </w:r>
    </w:p>
    <w:p>
      <w:pPr>
        <w:pStyle w:val="BodyText"/>
        <w:spacing w:before="6"/>
        <w:rPr>
          <w:b/>
          <w:sz w:val="31"/>
        </w:rPr>
      </w:pPr>
    </w:p>
    <w:p>
      <w:pPr>
        <w:spacing w:line="276" w:lineRule="auto" w:before="0"/>
        <w:ind w:left="533" w:right="436" w:firstLine="0"/>
        <w:jc w:val="center"/>
        <w:rPr>
          <w:b/>
          <w:sz w:val="24"/>
        </w:rPr>
      </w:pPr>
      <w:r>
        <w:rPr>
          <w:b/>
          <w:sz w:val="24"/>
        </w:rPr>
        <w:t>EVIDÊNCIAS DE CRIATIVIDADE NOS INDICADORES DOS PARÂMETROS LIDERANÇA ESTIMULANTE E ESPIRÍTO EMPREENDEDOR</w:t>
      </w:r>
    </w:p>
    <w:p>
      <w:pPr>
        <w:pStyle w:val="BodyText"/>
        <w:rPr>
          <w:b/>
          <w:sz w:val="26"/>
        </w:rPr>
      </w:pPr>
    </w:p>
    <w:p>
      <w:pPr>
        <w:pStyle w:val="BodyText"/>
        <w:rPr>
          <w:b/>
          <w:sz w:val="29"/>
        </w:rPr>
      </w:pPr>
    </w:p>
    <w:p>
      <w:pPr>
        <w:spacing w:before="0" w:after="10"/>
        <w:ind w:left="600" w:right="492" w:hanging="6"/>
        <w:jc w:val="center"/>
        <w:rPr>
          <w:b/>
          <w:sz w:val="20"/>
        </w:rPr>
      </w:pPr>
      <w:r>
        <w:rPr>
          <w:b/>
          <w:sz w:val="20"/>
        </w:rPr>
        <w:t>Quadro 16: Categoria II – Potencial e Recursos Humanos: indicadores do parâmetro Liderança Estimulante: na percepção dos gestores, professores, servidores, e pais ou responsáveis</w:t>
      </w:r>
    </w:p>
    <w:tbl>
      <w:tblPr>
        <w:tblW w:w="0" w:type="auto"/>
        <w:jc w:val="left"/>
        <w:tblInd w:w="236"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880"/>
        <w:gridCol w:w="1117"/>
        <w:gridCol w:w="660"/>
        <w:gridCol w:w="708"/>
        <w:gridCol w:w="737"/>
        <w:gridCol w:w="838"/>
        <w:gridCol w:w="699"/>
        <w:gridCol w:w="703"/>
        <w:gridCol w:w="853"/>
        <w:gridCol w:w="689"/>
      </w:tblGrid>
      <w:tr>
        <w:trPr>
          <w:trHeight w:val="281" w:hRule="exact"/>
        </w:trPr>
        <w:tc>
          <w:tcPr>
            <w:tcW w:w="2996" w:type="dxa"/>
            <w:gridSpan w:val="2"/>
            <w:vMerge w:val="restart"/>
            <w:tcBorders>
              <w:top w:val="nil"/>
              <w:left w:val="nil"/>
            </w:tcBorders>
          </w:tcPr>
          <w:p>
            <w:pPr/>
          </w:p>
        </w:tc>
        <w:tc>
          <w:tcPr>
            <w:tcW w:w="5888" w:type="dxa"/>
            <w:gridSpan w:val="8"/>
            <w:tcBorders>
              <w:bottom w:val="single" w:sz="4" w:space="0" w:color="000000"/>
            </w:tcBorders>
          </w:tcPr>
          <w:p>
            <w:pPr>
              <w:pStyle w:val="TableParagraph"/>
              <w:spacing w:line="220" w:lineRule="exact"/>
              <w:ind w:left="2302" w:right="2313"/>
              <w:rPr>
                <w:b/>
                <w:sz w:val="20"/>
              </w:rPr>
            </w:pPr>
            <w:r>
              <w:rPr>
                <w:b/>
                <w:sz w:val="20"/>
              </w:rPr>
              <w:t>AVALIAÇÃO</w:t>
            </w:r>
          </w:p>
        </w:tc>
      </w:tr>
      <w:tr>
        <w:trPr>
          <w:trHeight w:val="1640" w:hRule="exact"/>
        </w:trPr>
        <w:tc>
          <w:tcPr>
            <w:tcW w:w="2996" w:type="dxa"/>
            <w:gridSpan w:val="2"/>
            <w:vMerge/>
            <w:tcBorders>
              <w:left w:val="nil"/>
            </w:tcBorders>
          </w:tcPr>
          <w:p>
            <w:pPr/>
          </w:p>
        </w:tc>
        <w:tc>
          <w:tcPr>
            <w:tcW w:w="1369" w:type="dxa"/>
            <w:gridSpan w:val="2"/>
            <w:tcBorders>
              <w:top w:val="single" w:sz="4" w:space="0" w:color="000000"/>
              <w:bottom w:val="single" w:sz="4" w:space="0" w:color="000000"/>
            </w:tcBorders>
          </w:tcPr>
          <w:p>
            <w:pPr>
              <w:pStyle w:val="TableParagraph"/>
              <w:jc w:val="left"/>
              <w:rPr>
                <w:b/>
                <w:sz w:val="22"/>
              </w:rPr>
            </w:pPr>
          </w:p>
          <w:p>
            <w:pPr>
              <w:pStyle w:val="TableParagraph"/>
              <w:spacing w:before="198"/>
              <w:ind w:left="48" w:right="50" w:firstLine="7"/>
              <w:rPr>
                <w:b/>
                <w:sz w:val="20"/>
              </w:rPr>
            </w:pPr>
            <w:r>
              <w:rPr>
                <w:b/>
                <w:sz w:val="20"/>
              </w:rPr>
              <w:t>Nunca ou quase nunca (1-2)</w:t>
            </w:r>
          </w:p>
        </w:tc>
        <w:tc>
          <w:tcPr>
            <w:tcW w:w="1575" w:type="dxa"/>
            <w:gridSpan w:val="2"/>
            <w:tcBorders>
              <w:top w:val="single" w:sz="4" w:space="0" w:color="000000"/>
              <w:bottom w:val="single" w:sz="4" w:space="0" w:color="000000"/>
            </w:tcBorders>
          </w:tcPr>
          <w:p>
            <w:pPr>
              <w:pStyle w:val="TableParagraph"/>
              <w:jc w:val="left"/>
              <w:rPr>
                <w:b/>
                <w:sz w:val="22"/>
              </w:rPr>
            </w:pPr>
          </w:p>
          <w:p>
            <w:pPr>
              <w:pStyle w:val="TableParagraph"/>
              <w:spacing w:before="198"/>
              <w:ind w:left="42" w:right="42"/>
              <w:rPr>
                <w:b/>
                <w:sz w:val="20"/>
              </w:rPr>
            </w:pPr>
            <w:r>
              <w:rPr>
                <w:b/>
                <w:sz w:val="20"/>
              </w:rPr>
              <w:t>Às vezes.</w:t>
            </w:r>
          </w:p>
          <w:p>
            <w:pPr>
              <w:pStyle w:val="TableParagraph"/>
              <w:ind w:left="47" w:right="42"/>
              <w:rPr>
                <w:b/>
                <w:sz w:val="20"/>
              </w:rPr>
            </w:pPr>
            <w:r>
              <w:rPr>
                <w:b/>
                <w:sz w:val="20"/>
              </w:rPr>
              <w:t>Ocasionalment e (3-4-5)</w:t>
            </w:r>
          </w:p>
        </w:tc>
        <w:tc>
          <w:tcPr>
            <w:tcW w:w="1402" w:type="dxa"/>
            <w:gridSpan w:val="2"/>
            <w:tcBorders>
              <w:top w:val="single" w:sz="4" w:space="0" w:color="000000"/>
              <w:bottom w:val="single" w:sz="4" w:space="0" w:color="000000"/>
            </w:tcBorders>
          </w:tcPr>
          <w:p>
            <w:pPr>
              <w:pStyle w:val="TableParagraph"/>
              <w:spacing w:before="105"/>
              <w:ind w:left="57" w:right="59"/>
              <w:rPr>
                <w:b/>
                <w:sz w:val="20"/>
              </w:rPr>
            </w:pPr>
            <w:r>
              <w:rPr>
                <w:b/>
                <w:sz w:val="20"/>
              </w:rPr>
              <w:t>Muitas vezes ou ocasiões.</w:t>
            </w:r>
          </w:p>
          <w:p>
            <w:pPr>
              <w:pStyle w:val="TableParagraph"/>
              <w:ind w:left="76" w:right="74" w:hanging="4"/>
              <w:rPr>
                <w:b/>
                <w:sz w:val="20"/>
              </w:rPr>
            </w:pPr>
            <w:r>
              <w:rPr>
                <w:b/>
                <w:sz w:val="20"/>
              </w:rPr>
              <w:t>Existem evidências do indicador (6-7-8)</w:t>
            </w:r>
          </w:p>
        </w:tc>
        <w:tc>
          <w:tcPr>
            <w:tcW w:w="1542" w:type="dxa"/>
            <w:gridSpan w:val="2"/>
            <w:tcBorders>
              <w:top w:val="single" w:sz="4" w:space="0" w:color="000000"/>
              <w:bottom w:val="single" w:sz="4" w:space="0" w:color="000000"/>
            </w:tcBorders>
          </w:tcPr>
          <w:p>
            <w:pPr>
              <w:pStyle w:val="TableParagraph"/>
              <w:ind w:left="105" w:right="102" w:hanging="10"/>
              <w:rPr>
                <w:b/>
                <w:sz w:val="20"/>
              </w:rPr>
            </w:pPr>
            <w:r>
              <w:rPr>
                <w:b/>
                <w:sz w:val="20"/>
              </w:rPr>
              <w:t>De continuo. Evidências claras de aparição do indicador ou característica (9-10)</w:t>
            </w:r>
          </w:p>
        </w:tc>
      </w:tr>
      <w:tr>
        <w:trPr>
          <w:trHeight w:val="274" w:hRule="exact"/>
        </w:trPr>
        <w:tc>
          <w:tcPr>
            <w:tcW w:w="1880" w:type="dxa"/>
            <w:tcBorders>
              <w:right w:val="single" w:sz="4" w:space="0" w:color="000000"/>
            </w:tcBorders>
          </w:tcPr>
          <w:p>
            <w:pPr>
              <w:pStyle w:val="TableParagraph"/>
              <w:spacing w:line="220" w:lineRule="exact"/>
              <w:ind w:left="670" w:right="676"/>
              <w:rPr>
                <w:b/>
                <w:sz w:val="20"/>
              </w:rPr>
            </w:pPr>
            <w:r>
              <w:rPr>
                <w:b/>
                <w:sz w:val="20"/>
              </w:rPr>
              <w:t>Itens</w:t>
            </w:r>
          </w:p>
        </w:tc>
        <w:tc>
          <w:tcPr>
            <w:tcW w:w="1117" w:type="dxa"/>
            <w:tcBorders>
              <w:left w:val="single" w:sz="4" w:space="0" w:color="000000"/>
            </w:tcBorders>
          </w:tcPr>
          <w:p>
            <w:pPr>
              <w:pStyle w:val="TableParagraph"/>
              <w:spacing w:line="220" w:lineRule="exact"/>
              <w:ind w:left="122" w:right="116"/>
              <w:rPr>
                <w:b/>
                <w:sz w:val="20"/>
              </w:rPr>
            </w:pPr>
            <w:r>
              <w:rPr>
                <w:b/>
                <w:sz w:val="20"/>
              </w:rPr>
              <w:t>Amostra</w:t>
            </w:r>
          </w:p>
        </w:tc>
        <w:tc>
          <w:tcPr>
            <w:tcW w:w="660" w:type="dxa"/>
            <w:tcBorders>
              <w:top w:val="single" w:sz="4" w:space="0" w:color="000000"/>
              <w:right w:val="single" w:sz="4" w:space="0" w:color="000000"/>
            </w:tcBorders>
          </w:tcPr>
          <w:p>
            <w:pPr>
              <w:pStyle w:val="TableParagraph"/>
              <w:spacing w:before="7"/>
              <w:ind w:left="197"/>
              <w:jc w:val="left"/>
              <w:rPr>
                <w:b/>
                <w:sz w:val="20"/>
              </w:rPr>
            </w:pPr>
            <w:r>
              <w:rPr>
                <w:b/>
                <w:sz w:val="20"/>
              </w:rPr>
              <w:t>Nº</w:t>
            </w:r>
          </w:p>
        </w:tc>
        <w:tc>
          <w:tcPr>
            <w:tcW w:w="708" w:type="dxa"/>
            <w:tcBorders>
              <w:top w:val="single" w:sz="4" w:space="0" w:color="000000"/>
              <w:left w:val="single" w:sz="4" w:space="0" w:color="000000"/>
            </w:tcBorders>
          </w:tcPr>
          <w:p>
            <w:pPr>
              <w:pStyle w:val="TableParagraph"/>
              <w:spacing w:before="7"/>
              <w:ind w:left="15"/>
              <w:rPr>
                <w:b/>
                <w:sz w:val="20"/>
              </w:rPr>
            </w:pPr>
            <w:r>
              <w:rPr>
                <w:b/>
                <w:w w:val="100"/>
                <w:sz w:val="20"/>
              </w:rPr>
              <w:t>%</w:t>
            </w:r>
          </w:p>
        </w:tc>
        <w:tc>
          <w:tcPr>
            <w:tcW w:w="737" w:type="dxa"/>
            <w:tcBorders>
              <w:top w:val="single" w:sz="4" w:space="0" w:color="000000"/>
              <w:right w:val="single" w:sz="4" w:space="0" w:color="000000"/>
            </w:tcBorders>
          </w:tcPr>
          <w:p>
            <w:pPr>
              <w:pStyle w:val="TableParagraph"/>
              <w:spacing w:before="7"/>
              <w:ind w:left="211" w:right="232"/>
              <w:rPr>
                <w:b/>
                <w:sz w:val="20"/>
              </w:rPr>
            </w:pPr>
            <w:r>
              <w:rPr>
                <w:b/>
                <w:sz w:val="20"/>
              </w:rPr>
              <w:t>Nº</w:t>
            </w:r>
          </w:p>
        </w:tc>
        <w:tc>
          <w:tcPr>
            <w:tcW w:w="838" w:type="dxa"/>
            <w:tcBorders>
              <w:top w:val="single" w:sz="4" w:space="0" w:color="000000"/>
              <w:left w:val="single" w:sz="4" w:space="0" w:color="000000"/>
            </w:tcBorders>
          </w:tcPr>
          <w:p>
            <w:pPr>
              <w:pStyle w:val="TableParagraph"/>
              <w:spacing w:before="7"/>
              <w:ind w:left="11"/>
              <w:rPr>
                <w:b/>
                <w:sz w:val="20"/>
              </w:rPr>
            </w:pPr>
            <w:r>
              <w:rPr>
                <w:b/>
                <w:w w:val="100"/>
                <w:sz w:val="20"/>
              </w:rPr>
              <w:t>%</w:t>
            </w:r>
          </w:p>
        </w:tc>
        <w:tc>
          <w:tcPr>
            <w:tcW w:w="699" w:type="dxa"/>
            <w:tcBorders>
              <w:top w:val="single" w:sz="4" w:space="0" w:color="000000"/>
              <w:right w:val="single" w:sz="4" w:space="0" w:color="000000"/>
            </w:tcBorders>
          </w:tcPr>
          <w:p>
            <w:pPr>
              <w:pStyle w:val="TableParagraph"/>
              <w:spacing w:before="7"/>
              <w:ind w:left="191" w:right="213"/>
              <w:rPr>
                <w:b/>
                <w:sz w:val="20"/>
              </w:rPr>
            </w:pPr>
            <w:r>
              <w:rPr>
                <w:b/>
                <w:sz w:val="20"/>
              </w:rPr>
              <w:t>Nº</w:t>
            </w:r>
          </w:p>
        </w:tc>
        <w:tc>
          <w:tcPr>
            <w:tcW w:w="703" w:type="dxa"/>
            <w:tcBorders>
              <w:top w:val="single" w:sz="4" w:space="0" w:color="000000"/>
              <w:left w:val="single" w:sz="4" w:space="0" w:color="000000"/>
            </w:tcBorders>
          </w:tcPr>
          <w:p>
            <w:pPr>
              <w:pStyle w:val="TableParagraph"/>
              <w:spacing w:before="7"/>
              <w:ind w:left="11"/>
              <w:rPr>
                <w:b/>
                <w:sz w:val="20"/>
              </w:rPr>
            </w:pPr>
            <w:r>
              <w:rPr>
                <w:b/>
                <w:w w:val="100"/>
                <w:sz w:val="20"/>
              </w:rPr>
              <w:t>%</w:t>
            </w:r>
          </w:p>
        </w:tc>
        <w:tc>
          <w:tcPr>
            <w:tcW w:w="853" w:type="dxa"/>
            <w:tcBorders>
              <w:top w:val="single" w:sz="4" w:space="0" w:color="000000"/>
              <w:right w:val="single" w:sz="4" w:space="0" w:color="000000"/>
            </w:tcBorders>
          </w:tcPr>
          <w:p>
            <w:pPr>
              <w:pStyle w:val="TableParagraph"/>
              <w:spacing w:before="7"/>
              <w:ind w:left="268" w:right="289"/>
              <w:rPr>
                <w:b/>
                <w:sz w:val="20"/>
              </w:rPr>
            </w:pPr>
            <w:r>
              <w:rPr>
                <w:b/>
                <w:sz w:val="20"/>
              </w:rPr>
              <w:t>Nº</w:t>
            </w:r>
          </w:p>
        </w:tc>
        <w:tc>
          <w:tcPr>
            <w:tcW w:w="689" w:type="dxa"/>
            <w:tcBorders>
              <w:top w:val="single" w:sz="4" w:space="0" w:color="000000"/>
              <w:left w:val="single" w:sz="4" w:space="0" w:color="000000"/>
            </w:tcBorders>
          </w:tcPr>
          <w:p>
            <w:pPr>
              <w:pStyle w:val="TableParagraph"/>
              <w:spacing w:before="7"/>
              <w:ind w:left="6"/>
              <w:rPr>
                <w:b/>
                <w:sz w:val="20"/>
              </w:rPr>
            </w:pPr>
            <w:r>
              <w:rPr>
                <w:b/>
                <w:w w:val="100"/>
                <w:sz w:val="20"/>
              </w:rPr>
              <w:t>%</w:t>
            </w:r>
          </w:p>
        </w:tc>
      </w:tr>
      <w:tr>
        <w:trPr>
          <w:trHeight w:val="1179" w:hRule="exact"/>
        </w:trPr>
        <w:tc>
          <w:tcPr>
            <w:tcW w:w="1880" w:type="dxa"/>
            <w:tcBorders>
              <w:bottom w:val="single" w:sz="4" w:space="0" w:color="000000"/>
              <w:right w:val="single" w:sz="4" w:space="0" w:color="000000"/>
            </w:tcBorders>
          </w:tcPr>
          <w:p>
            <w:pPr>
              <w:pStyle w:val="TableParagraph"/>
              <w:tabs>
                <w:tab w:pos="1689" w:val="left" w:leader="none"/>
              </w:tabs>
              <w:ind w:left="33" w:right="49"/>
              <w:jc w:val="both"/>
              <w:rPr>
                <w:sz w:val="20"/>
              </w:rPr>
            </w:pPr>
            <w:r>
              <w:rPr>
                <w:sz w:val="20"/>
              </w:rPr>
              <w:t>Os objetivos da instituição </w:t>
            </w:r>
            <w:r>
              <w:rPr>
                <w:spacing w:val="-3"/>
                <w:sz w:val="20"/>
              </w:rPr>
              <w:t>são </w:t>
            </w:r>
            <w:r>
              <w:rPr>
                <w:sz w:val="20"/>
              </w:rPr>
              <w:t>claros</w:t>
              <w:tab/>
              <w:t>e</w:t>
            </w:r>
          </w:p>
          <w:p>
            <w:pPr>
              <w:pStyle w:val="TableParagraph"/>
              <w:spacing w:before="5"/>
              <w:ind w:left="33" w:right="51"/>
              <w:jc w:val="both"/>
              <w:rPr>
                <w:sz w:val="20"/>
              </w:rPr>
            </w:pPr>
            <w:r>
              <w:rPr>
                <w:sz w:val="20"/>
              </w:rPr>
              <w:t>compartilhados por todos.</w:t>
            </w:r>
          </w:p>
        </w:tc>
        <w:tc>
          <w:tcPr>
            <w:tcW w:w="1117" w:type="dxa"/>
            <w:tcBorders>
              <w:left w:val="single" w:sz="4" w:space="0" w:color="000000"/>
              <w:bottom w:val="single" w:sz="4" w:space="0" w:color="000000"/>
            </w:tcBorders>
          </w:tcPr>
          <w:p>
            <w:pPr>
              <w:pStyle w:val="TableParagraph"/>
              <w:jc w:val="left"/>
              <w:rPr>
                <w:b/>
                <w:sz w:val="22"/>
              </w:rPr>
            </w:pPr>
          </w:p>
          <w:p>
            <w:pPr>
              <w:pStyle w:val="TableParagraph"/>
              <w:spacing w:before="7"/>
              <w:jc w:val="left"/>
              <w:rPr>
                <w:b/>
                <w:sz w:val="17"/>
              </w:rPr>
            </w:pPr>
          </w:p>
          <w:p>
            <w:pPr>
              <w:pStyle w:val="TableParagraph"/>
              <w:ind w:left="122" w:right="108"/>
              <w:rPr>
                <w:sz w:val="20"/>
              </w:rPr>
            </w:pPr>
            <w:r>
              <w:rPr>
                <w:sz w:val="20"/>
              </w:rPr>
              <w:t>43</w:t>
            </w:r>
          </w:p>
        </w:tc>
        <w:tc>
          <w:tcPr>
            <w:tcW w:w="660" w:type="dxa"/>
            <w:tcBorders>
              <w:bottom w:val="single" w:sz="4" w:space="0" w:color="000000"/>
              <w:right w:val="single" w:sz="4" w:space="0" w:color="000000"/>
            </w:tcBorders>
          </w:tcPr>
          <w:p>
            <w:pPr>
              <w:pStyle w:val="TableParagraph"/>
              <w:jc w:val="left"/>
              <w:rPr>
                <w:b/>
                <w:sz w:val="22"/>
              </w:rPr>
            </w:pPr>
          </w:p>
          <w:p>
            <w:pPr>
              <w:pStyle w:val="TableParagraph"/>
              <w:spacing w:before="7"/>
              <w:jc w:val="left"/>
              <w:rPr>
                <w:b/>
                <w:sz w:val="17"/>
              </w:rPr>
            </w:pPr>
          </w:p>
          <w:p>
            <w:pPr>
              <w:pStyle w:val="TableParagraph"/>
              <w:ind w:left="197"/>
              <w:jc w:val="left"/>
              <w:rPr>
                <w:sz w:val="20"/>
              </w:rPr>
            </w:pPr>
            <w:r>
              <w:rPr>
                <w:sz w:val="20"/>
              </w:rPr>
              <w:t>24</w:t>
            </w:r>
          </w:p>
        </w:tc>
        <w:tc>
          <w:tcPr>
            <w:tcW w:w="708" w:type="dxa"/>
            <w:tcBorders>
              <w:left w:val="single" w:sz="4" w:space="0" w:color="000000"/>
              <w:bottom w:val="single" w:sz="4" w:space="0" w:color="000000"/>
            </w:tcBorders>
          </w:tcPr>
          <w:p>
            <w:pPr>
              <w:pStyle w:val="TableParagraph"/>
              <w:jc w:val="left"/>
              <w:rPr>
                <w:b/>
                <w:sz w:val="22"/>
              </w:rPr>
            </w:pPr>
          </w:p>
          <w:p>
            <w:pPr>
              <w:pStyle w:val="TableParagraph"/>
              <w:spacing w:before="7"/>
              <w:jc w:val="left"/>
              <w:rPr>
                <w:b/>
                <w:sz w:val="17"/>
              </w:rPr>
            </w:pPr>
          </w:p>
          <w:p>
            <w:pPr>
              <w:pStyle w:val="TableParagraph"/>
              <w:ind w:left="75" w:right="60"/>
              <w:rPr>
                <w:sz w:val="20"/>
              </w:rPr>
            </w:pPr>
            <w:r>
              <w:rPr>
                <w:sz w:val="20"/>
              </w:rPr>
              <w:t>4,17</w:t>
            </w:r>
          </w:p>
        </w:tc>
        <w:tc>
          <w:tcPr>
            <w:tcW w:w="737" w:type="dxa"/>
            <w:tcBorders>
              <w:bottom w:val="single" w:sz="4" w:space="0" w:color="000000"/>
              <w:right w:val="single" w:sz="4" w:space="0" w:color="000000"/>
            </w:tcBorders>
          </w:tcPr>
          <w:p>
            <w:pPr>
              <w:pStyle w:val="TableParagraph"/>
              <w:jc w:val="left"/>
              <w:rPr>
                <w:b/>
                <w:sz w:val="22"/>
              </w:rPr>
            </w:pPr>
          </w:p>
          <w:p>
            <w:pPr>
              <w:pStyle w:val="TableParagraph"/>
              <w:spacing w:before="7"/>
              <w:jc w:val="left"/>
              <w:rPr>
                <w:b/>
                <w:sz w:val="17"/>
              </w:rPr>
            </w:pPr>
          </w:p>
          <w:p>
            <w:pPr>
              <w:pStyle w:val="TableParagraph"/>
              <w:ind w:left="215" w:right="232"/>
              <w:rPr>
                <w:sz w:val="20"/>
              </w:rPr>
            </w:pPr>
            <w:r>
              <w:rPr>
                <w:sz w:val="20"/>
              </w:rPr>
              <w:t>24</w:t>
            </w:r>
          </w:p>
        </w:tc>
        <w:tc>
          <w:tcPr>
            <w:tcW w:w="838" w:type="dxa"/>
            <w:tcBorders>
              <w:left w:val="single" w:sz="4" w:space="0" w:color="000000"/>
              <w:bottom w:val="single" w:sz="4" w:space="0" w:color="000000"/>
            </w:tcBorders>
          </w:tcPr>
          <w:p>
            <w:pPr>
              <w:pStyle w:val="TableParagraph"/>
              <w:jc w:val="left"/>
              <w:rPr>
                <w:b/>
                <w:sz w:val="22"/>
              </w:rPr>
            </w:pPr>
          </w:p>
          <w:p>
            <w:pPr>
              <w:pStyle w:val="TableParagraph"/>
              <w:spacing w:before="7"/>
              <w:jc w:val="left"/>
              <w:rPr>
                <w:b/>
                <w:sz w:val="17"/>
              </w:rPr>
            </w:pPr>
          </w:p>
          <w:p>
            <w:pPr>
              <w:pStyle w:val="TableParagraph"/>
              <w:ind w:left="196" w:right="186"/>
              <w:rPr>
                <w:sz w:val="20"/>
              </w:rPr>
            </w:pPr>
            <w:r>
              <w:rPr>
                <w:sz w:val="20"/>
              </w:rPr>
              <w:t>8,53</w:t>
            </w:r>
          </w:p>
        </w:tc>
        <w:tc>
          <w:tcPr>
            <w:tcW w:w="699" w:type="dxa"/>
            <w:tcBorders>
              <w:bottom w:val="single" w:sz="4" w:space="0" w:color="000000"/>
              <w:right w:val="single" w:sz="4" w:space="0" w:color="000000"/>
            </w:tcBorders>
          </w:tcPr>
          <w:p>
            <w:pPr>
              <w:pStyle w:val="TableParagraph"/>
              <w:jc w:val="left"/>
              <w:rPr>
                <w:b/>
                <w:sz w:val="22"/>
              </w:rPr>
            </w:pPr>
          </w:p>
          <w:p>
            <w:pPr>
              <w:pStyle w:val="TableParagraph"/>
              <w:spacing w:before="7"/>
              <w:jc w:val="left"/>
              <w:rPr>
                <w:b/>
                <w:sz w:val="17"/>
              </w:rPr>
            </w:pPr>
          </w:p>
          <w:p>
            <w:pPr>
              <w:pStyle w:val="TableParagraph"/>
              <w:ind w:left="191" w:right="218"/>
              <w:rPr>
                <w:sz w:val="20"/>
              </w:rPr>
            </w:pPr>
            <w:r>
              <w:rPr>
                <w:sz w:val="20"/>
              </w:rPr>
              <w:t>24</w:t>
            </w:r>
          </w:p>
        </w:tc>
        <w:tc>
          <w:tcPr>
            <w:tcW w:w="703" w:type="dxa"/>
            <w:tcBorders>
              <w:left w:val="single" w:sz="4" w:space="0" w:color="000000"/>
              <w:bottom w:val="single" w:sz="4" w:space="0" w:color="000000"/>
            </w:tcBorders>
          </w:tcPr>
          <w:p>
            <w:pPr>
              <w:pStyle w:val="TableParagraph"/>
              <w:jc w:val="left"/>
              <w:rPr>
                <w:b/>
                <w:sz w:val="22"/>
              </w:rPr>
            </w:pPr>
          </w:p>
          <w:p>
            <w:pPr>
              <w:pStyle w:val="TableParagraph"/>
              <w:spacing w:before="7"/>
              <w:jc w:val="left"/>
              <w:rPr>
                <w:b/>
                <w:sz w:val="17"/>
              </w:rPr>
            </w:pPr>
          </w:p>
          <w:p>
            <w:pPr>
              <w:pStyle w:val="TableParagraph"/>
              <w:ind w:left="76" w:right="60"/>
              <w:rPr>
                <w:sz w:val="20"/>
              </w:rPr>
            </w:pPr>
            <w:r>
              <w:rPr>
                <w:sz w:val="20"/>
              </w:rPr>
              <w:t>35,36</w:t>
            </w:r>
          </w:p>
        </w:tc>
        <w:tc>
          <w:tcPr>
            <w:tcW w:w="853" w:type="dxa"/>
            <w:tcBorders>
              <w:bottom w:val="single" w:sz="4" w:space="0" w:color="000000"/>
              <w:right w:val="single" w:sz="4" w:space="0" w:color="000000"/>
            </w:tcBorders>
          </w:tcPr>
          <w:p>
            <w:pPr>
              <w:pStyle w:val="TableParagraph"/>
              <w:jc w:val="left"/>
              <w:rPr>
                <w:b/>
                <w:sz w:val="22"/>
              </w:rPr>
            </w:pPr>
          </w:p>
          <w:p>
            <w:pPr>
              <w:pStyle w:val="TableParagraph"/>
              <w:spacing w:before="7"/>
              <w:jc w:val="left"/>
              <w:rPr>
                <w:b/>
                <w:sz w:val="17"/>
              </w:rPr>
            </w:pPr>
          </w:p>
          <w:p>
            <w:pPr>
              <w:pStyle w:val="TableParagraph"/>
              <w:ind w:left="273" w:right="289"/>
              <w:rPr>
                <w:sz w:val="20"/>
              </w:rPr>
            </w:pPr>
            <w:r>
              <w:rPr>
                <w:sz w:val="20"/>
              </w:rPr>
              <w:t>24</w:t>
            </w:r>
          </w:p>
        </w:tc>
        <w:tc>
          <w:tcPr>
            <w:tcW w:w="689" w:type="dxa"/>
            <w:tcBorders>
              <w:left w:val="single" w:sz="4" w:space="0" w:color="000000"/>
              <w:bottom w:val="single" w:sz="4" w:space="0" w:color="000000"/>
            </w:tcBorders>
          </w:tcPr>
          <w:p>
            <w:pPr>
              <w:pStyle w:val="TableParagraph"/>
              <w:jc w:val="left"/>
              <w:rPr>
                <w:b/>
                <w:sz w:val="22"/>
              </w:rPr>
            </w:pPr>
          </w:p>
          <w:p>
            <w:pPr>
              <w:pStyle w:val="TableParagraph"/>
              <w:spacing w:before="7"/>
              <w:jc w:val="left"/>
              <w:rPr>
                <w:b/>
                <w:sz w:val="17"/>
              </w:rPr>
            </w:pPr>
          </w:p>
          <w:p>
            <w:pPr>
              <w:pStyle w:val="TableParagraph"/>
              <w:ind w:left="66" w:right="56"/>
              <w:rPr>
                <w:sz w:val="20"/>
              </w:rPr>
            </w:pPr>
            <w:r>
              <w:rPr>
                <w:sz w:val="20"/>
              </w:rPr>
              <w:t>18,61</w:t>
            </w:r>
          </w:p>
        </w:tc>
      </w:tr>
      <w:tr>
        <w:trPr>
          <w:trHeight w:val="1618" w:hRule="exact"/>
        </w:trPr>
        <w:tc>
          <w:tcPr>
            <w:tcW w:w="1880" w:type="dxa"/>
            <w:tcBorders>
              <w:top w:val="single" w:sz="4" w:space="0" w:color="000000"/>
              <w:bottom w:val="single" w:sz="4" w:space="0" w:color="000000"/>
              <w:right w:val="single" w:sz="4" w:space="0" w:color="000000"/>
            </w:tcBorders>
          </w:tcPr>
          <w:p>
            <w:pPr>
              <w:pStyle w:val="TableParagraph"/>
              <w:tabs>
                <w:tab w:pos="916" w:val="left" w:leader="none"/>
                <w:tab w:pos="1382" w:val="left" w:leader="none"/>
              </w:tabs>
              <w:ind w:left="33" w:right="44"/>
              <w:jc w:val="left"/>
              <w:rPr>
                <w:sz w:val="20"/>
              </w:rPr>
            </w:pPr>
            <w:r>
              <w:rPr>
                <w:sz w:val="20"/>
              </w:rPr>
              <w:t>A</w:t>
              <w:tab/>
            </w:r>
            <w:r>
              <w:rPr>
                <w:spacing w:val="-1"/>
                <w:sz w:val="20"/>
              </w:rPr>
              <w:t>instituição </w:t>
            </w:r>
            <w:r>
              <w:rPr>
                <w:sz w:val="20"/>
              </w:rPr>
              <w:t>reconhece</w:t>
              <w:tab/>
            </w:r>
            <w:r>
              <w:rPr>
                <w:spacing w:val="-1"/>
                <w:sz w:val="20"/>
              </w:rPr>
              <w:t>suas</w:t>
            </w:r>
          </w:p>
          <w:p>
            <w:pPr>
              <w:pStyle w:val="TableParagraph"/>
              <w:tabs>
                <w:tab w:pos="1689" w:val="left" w:leader="none"/>
              </w:tabs>
              <w:spacing w:before="5"/>
              <w:ind w:left="33" w:right="46"/>
              <w:jc w:val="left"/>
              <w:rPr>
                <w:sz w:val="20"/>
              </w:rPr>
            </w:pPr>
            <w:r>
              <w:rPr>
                <w:sz w:val="20"/>
              </w:rPr>
              <w:t>debilidades</w:t>
              <w:tab/>
              <w:t>e procura meios de superá-las, aprendendo com os erros.</w:t>
            </w:r>
          </w:p>
        </w:tc>
        <w:tc>
          <w:tcPr>
            <w:tcW w:w="1117"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jc w:val="left"/>
              <w:rPr>
                <w:b/>
                <w:sz w:val="22"/>
              </w:rPr>
            </w:pPr>
          </w:p>
          <w:p>
            <w:pPr>
              <w:pStyle w:val="TableParagraph"/>
              <w:spacing w:before="180"/>
              <w:ind w:left="122" w:right="108"/>
              <w:rPr>
                <w:sz w:val="20"/>
              </w:rPr>
            </w:pPr>
            <w:r>
              <w:rPr>
                <w:sz w:val="20"/>
              </w:rPr>
              <w:t>43</w:t>
            </w:r>
          </w:p>
        </w:tc>
        <w:tc>
          <w:tcPr>
            <w:tcW w:w="660"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jc w:val="left"/>
              <w:rPr>
                <w:b/>
                <w:sz w:val="22"/>
              </w:rPr>
            </w:pPr>
          </w:p>
          <w:p>
            <w:pPr>
              <w:pStyle w:val="TableParagraph"/>
              <w:spacing w:before="180"/>
              <w:ind w:left="197"/>
              <w:jc w:val="left"/>
              <w:rPr>
                <w:sz w:val="20"/>
              </w:rPr>
            </w:pPr>
            <w:r>
              <w:rPr>
                <w:sz w:val="20"/>
              </w:rPr>
              <w:t>24</w:t>
            </w:r>
          </w:p>
        </w:tc>
        <w:tc>
          <w:tcPr>
            <w:tcW w:w="708"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jc w:val="left"/>
              <w:rPr>
                <w:b/>
                <w:sz w:val="22"/>
              </w:rPr>
            </w:pPr>
          </w:p>
          <w:p>
            <w:pPr>
              <w:pStyle w:val="TableParagraph"/>
              <w:spacing w:before="180"/>
              <w:ind w:left="75" w:right="60"/>
              <w:rPr>
                <w:sz w:val="20"/>
              </w:rPr>
            </w:pPr>
            <w:r>
              <w:rPr>
                <w:sz w:val="20"/>
              </w:rPr>
              <w:t>1,19</w:t>
            </w:r>
          </w:p>
        </w:tc>
        <w:tc>
          <w:tcPr>
            <w:tcW w:w="737"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jc w:val="left"/>
              <w:rPr>
                <w:b/>
                <w:sz w:val="22"/>
              </w:rPr>
            </w:pPr>
          </w:p>
          <w:p>
            <w:pPr>
              <w:pStyle w:val="TableParagraph"/>
              <w:spacing w:before="180"/>
              <w:ind w:left="215" w:right="232"/>
              <w:rPr>
                <w:sz w:val="20"/>
              </w:rPr>
            </w:pPr>
            <w:r>
              <w:rPr>
                <w:sz w:val="20"/>
              </w:rPr>
              <w:t>24</w:t>
            </w:r>
          </w:p>
        </w:tc>
        <w:tc>
          <w:tcPr>
            <w:tcW w:w="838"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jc w:val="left"/>
              <w:rPr>
                <w:b/>
                <w:sz w:val="22"/>
              </w:rPr>
            </w:pPr>
          </w:p>
          <w:p>
            <w:pPr>
              <w:pStyle w:val="TableParagraph"/>
              <w:spacing w:before="180"/>
              <w:ind w:left="196" w:right="186"/>
              <w:rPr>
                <w:sz w:val="20"/>
              </w:rPr>
            </w:pPr>
            <w:r>
              <w:rPr>
                <w:sz w:val="20"/>
              </w:rPr>
              <w:t>1,19</w:t>
            </w:r>
          </w:p>
        </w:tc>
        <w:tc>
          <w:tcPr>
            <w:tcW w:w="699"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jc w:val="left"/>
              <w:rPr>
                <w:b/>
                <w:sz w:val="22"/>
              </w:rPr>
            </w:pPr>
          </w:p>
          <w:p>
            <w:pPr>
              <w:pStyle w:val="TableParagraph"/>
              <w:spacing w:before="180"/>
              <w:ind w:left="191" w:right="218"/>
              <w:rPr>
                <w:sz w:val="20"/>
              </w:rPr>
            </w:pPr>
            <w:r>
              <w:rPr>
                <w:sz w:val="20"/>
              </w:rPr>
              <w:t>24</w:t>
            </w:r>
          </w:p>
        </w:tc>
        <w:tc>
          <w:tcPr>
            <w:tcW w:w="703"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jc w:val="left"/>
              <w:rPr>
                <w:b/>
                <w:sz w:val="22"/>
              </w:rPr>
            </w:pPr>
          </w:p>
          <w:p>
            <w:pPr>
              <w:pStyle w:val="TableParagraph"/>
              <w:spacing w:before="180"/>
              <w:ind w:left="76" w:right="60"/>
              <w:rPr>
                <w:sz w:val="20"/>
              </w:rPr>
            </w:pPr>
            <w:r>
              <w:rPr>
                <w:sz w:val="20"/>
              </w:rPr>
              <w:t>21,19</w:t>
            </w:r>
          </w:p>
        </w:tc>
        <w:tc>
          <w:tcPr>
            <w:tcW w:w="853"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jc w:val="left"/>
              <w:rPr>
                <w:b/>
                <w:sz w:val="22"/>
              </w:rPr>
            </w:pPr>
          </w:p>
          <w:p>
            <w:pPr>
              <w:pStyle w:val="TableParagraph"/>
              <w:spacing w:before="180"/>
              <w:ind w:left="273" w:right="289"/>
              <w:rPr>
                <w:sz w:val="20"/>
              </w:rPr>
            </w:pPr>
            <w:r>
              <w:rPr>
                <w:sz w:val="20"/>
              </w:rPr>
              <w:t>24</w:t>
            </w:r>
          </w:p>
        </w:tc>
        <w:tc>
          <w:tcPr>
            <w:tcW w:w="689"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jc w:val="left"/>
              <w:rPr>
                <w:b/>
                <w:sz w:val="22"/>
              </w:rPr>
            </w:pPr>
          </w:p>
          <w:p>
            <w:pPr>
              <w:pStyle w:val="TableParagraph"/>
              <w:spacing w:before="180"/>
              <w:ind w:left="66" w:right="56"/>
              <w:rPr>
                <w:sz w:val="20"/>
              </w:rPr>
            </w:pPr>
            <w:r>
              <w:rPr>
                <w:sz w:val="20"/>
              </w:rPr>
              <w:t>43,10</w:t>
            </w:r>
          </w:p>
        </w:tc>
      </w:tr>
      <w:tr>
        <w:trPr>
          <w:trHeight w:val="1162" w:hRule="exact"/>
        </w:trPr>
        <w:tc>
          <w:tcPr>
            <w:tcW w:w="1880" w:type="dxa"/>
            <w:tcBorders>
              <w:top w:val="single" w:sz="4" w:space="0" w:color="000000"/>
              <w:bottom w:val="single" w:sz="4" w:space="0" w:color="000000"/>
              <w:right w:val="single" w:sz="4" w:space="0" w:color="000000"/>
            </w:tcBorders>
          </w:tcPr>
          <w:p>
            <w:pPr>
              <w:pStyle w:val="TableParagraph"/>
              <w:tabs>
                <w:tab w:pos="1593" w:val="left" w:leader="none"/>
              </w:tabs>
              <w:ind w:left="33" w:right="45"/>
              <w:jc w:val="both"/>
              <w:rPr>
                <w:sz w:val="20"/>
              </w:rPr>
            </w:pPr>
            <w:r>
              <w:rPr>
                <w:sz w:val="20"/>
              </w:rPr>
              <w:t>A escola valoriza e aproveita</w:t>
              <w:tab/>
              <w:t>as potencialidades das pessoas que nela trabalham.</w:t>
            </w:r>
          </w:p>
        </w:tc>
        <w:tc>
          <w:tcPr>
            <w:tcW w:w="1117"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17"/>
              </w:rPr>
            </w:pPr>
          </w:p>
          <w:p>
            <w:pPr>
              <w:pStyle w:val="TableParagraph"/>
              <w:ind w:left="122" w:right="108"/>
              <w:rPr>
                <w:sz w:val="20"/>
              </w:rPr>
            </w:pPr>
            <w:r>
              <w:rPr>
                <w:sz w:val="20"/>
              </w:rPr>
              <w:t>43</w:t>
            </w:r>
          </w:p>
        </w:tc>
        <w:tc>
          <w:tcPr>
            <w:tcW w:w="660"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spacing w:before="7"/>
              <w:jc w:val="left"/>
              <w:rPr>
                <w:b/>
                <w:sz w:val="17"/>
              </w:rPr>
            </w:pPr>
          </w:p>
          <w:p>
            <w:pPr>
              <w:pStyle w:val="TableParagraph"/>
              <w:ind w:left="197"/>
              <w:jc w:val="left"/>
              <w:rPr>
                <w:sz w:val="20"/>
              </w:rPr>
            </w:pPr>
            <w:r>
              <w:rPr>
                <w:sz w:val="20"/>
              </w:rPr>
              <w:t>24</w:t>
            </w:r>
          </w:p>
        </w:tc>
        <w:tc>
          <w:tcPr>
            <w:tcW w:w="708"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17"/>
              </w:rPr>
            </w:pPr>
          </w:p>
          <w:p>
            <w:pPr>
              <w:pStyle w:val="TableParagraph"/>
              <w:ind w:left="75" w:right="60"/>
              <w:rPr>
                <w:sz w:val="20"/>
              </w:rPr>
            </w:pPr>
            <w:r>
              <w:rPr>
                <w:sz w:val="20"/>
              </w:rPr>
              <w:t>3,57</w:t>
            </w:r>
          </w:p>
        </w:tc>
        <w:tc>
          <w:tcPr>
            <w:tcW w:w="737"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spacing w:before="7"/>
              <w:jc w:val="left"/>
              <w:rPr>
                <w:b/>
                <w:sz w:val="17"/>
              </w:rPr>
            </w:pPr>
          </w:p>
          <w:p>
            <w:pPr>
              <w:pStyle w:val="TableParagraph"/>
              <w:ind w:left="215" w:right="232"/>
              <w:rPr>
                <w:sz w:val="20"/>
              </w:rPr>
            </w:pPr>
            <w:r>
              <w:rPr>
                <w:sz w:val="20"/>
              </w:rPr>
              <w:t>24</w:t>
            </w:r>
          </w:p>
        </w:tc>
        <w:tc>
          <w:tcPr>
            <w:tcW w:w="838"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17"/>
              </w:rPr>
            </w:pPr>
          </w:p>
          <w:p>
            <w:pPr>
              <w:pStyle w:val="TableParagraph"/>
              <w:ind w:left="196" w:right="186"/>
              <w:rPr>
                <w:sz w:val="20"/>
              </w:rPr>
            </w:pPr>
            <w:r>
              <w:rPr>
                <w:sz w:val="20"/>
              </w:rPr>
              <w:t>6,35</w:t>
            </w:r>
          </w:p>
        </w:tc>
        <w:tc>
          <w:tcPr>
            <w:tcW w:w="699"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spacing w:before="7"/>
              <w:jc w:val="left"/>
              <w:rPr>
                <w:b/>
                <w:sz w:val="17"/>
              </w:rPr>
            </w:pPr>
          </w:p>
          <w:p>
            <w:pPr>
              <w:pStyle w:val="TableParagraph"/>
              <w:ind w:left="191" w:right="218"/>
              <w:rPr>
                <w:sz w:val="20"/>
              </w:rPr>
            </w:pPr>
            <w:r>
              <w:rPr>
                <w:sz w:val="20"/>
              </w:rPr>
              <w:t>24</w:t>
            </w:r>
          </w:p>
        </w:tc>
        <w:tc>
          <w:tcPr>
            <w:tcW w:w="703"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17"/>
              </w:rPr>
            </w:pPr>
          </w:p>
          <w:p>
            <w:pPr>
              <w:pStyle w:val="TableParagraph"/>
              <w:ind w:left="76" w:right="60"/>
              <w:rPr>
                <w:sz w:val="20"/>
              </w:rPr>
            </w:pPr>
            <w:r>
              <w:rPr>
                <w:sz w:val="20"/>
              </w:rPr>
              <w:t>32,02</w:t>
            </w:r>
          </w:p>
        </w:tc>
        <w:tc>
          <w:tcPr>
            <w:tcW w:w="853"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spacing w:before="7"/>
              <w:jc w:val="left"/>
              <w:rPr>
                <w:b/>
                <w:sz w:val="17"/>
              </w:rPr>
            </w:pPr>
          </w:p>
          <w:p>
            <w:pPr>
              <w:pStyle w:val="TableParagraph"/>
              <w:ind w:left="273" w:right="289"/>
              <w:rPr>
                <w:sz w:val="20"/>
              </w:rPr>
            </w:pPr>
            <w:r>
              <w:rPr>
                <w:sz w:val="20"/>
              </w:rPr>
              <w:t>24</w:t>
            </w:r>
          </w:p>
        </w:tc>
        <w:tc>
          <w:tcPr>
            <w:tcW w:w="689"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17"/>
              </w:rPr>
            </w:pPr>
          </w:p>
          <w:p>
            <w:pPr>
              <w:pStyle w:val="TableParagraph"/>
              <w:ind w:left="66" w:right="56"/>
              <w:rPr>
                <w:sz w:val="20"/>
              </w:rPr>
            </w:pPr>
            <w:r>
              <w:rPr>
                <w:sz w:val="20"/>
              </w:rPr>
              <w:t>24,72</w:t>
            </w:r>
          </w:p>
        </w:tc>
      </w:tr>
      <w:tr>
        <w:trPr>
          <w:trHeight w:val="932" w:hRule="exact"/>
        </w:trPr>
        <w:tc>
          <w:tcPr>
            <w:tcW w:w="1880" w:type="dxa"/>
            <w:tcBorders>
              <w:top w:val="single" w:sz="4" w:space="0" w:color="000000"/>
              <w:bottom w:val="single" w:sz="4" w:space="0" w:color="000000"/>
              <w:right w:val="single" w:sz="4" w:space="0" w:color="000000"/>
            </w:tcBorders>
          </w:tcPr>
          <w:p>
            <w:pPr>
              <w:pStyle w:val="TableParagraph"/>
              <w:ind w:left="33" w:right="32"/>
              <w:jc w:val="left"/>
              <w:rPr>
                <w:sz w:val="20"/>
              </w:rPr>
            </w:pPr>
            <w:r>
              <w:rPr>
                <w:sz w:val="20"/>
              </w:rPr>
              <w:t>A escola promove a formação continuada do seu pessoal.</w:t>
            </w:r>
          </w:p>
        </w:tc>
        <w:tc>
          <w:tcPr>
            <w:tcW w:w="1117" w:type="dxa"/>
            <w:tcBorders>
              <w:top w:val="single" w:sz="4" w:space="0" w:color="000000"/>
              <w:left w:val="single" w:sz="4" w:space="0" w:color="000000"/>
              <w:bottom w:val="single" w:sz="4" w:space="0" w:color="000000"/>
            </w:tcBorders>
          </w:tcPr>
          <w:p>
            <w:pPr>
              <w:pStyle w:val="TableParagraph"/>
              <w:spacing w:before="6"/>
              <w:jc w:val="left"/>
              <w:rPr>
                <w:b/>
                <w:sz w:val="29"/>
              </w:rPr>
            </w:pPr>
          </w:p>
          <w:p>
            <w:pPr>
              <w:pStyle w:val="TableParagraph"/>
              <w:spacing w:before="1"/>
              <w:ind w:left="122" w:right="108"/>
              <w:rPr>
                <w:sz w:val="20"/>
              </w:rPr>
            </w:pPr>
            <w:r>
              <w:rPr>
                <w:sz w:val="20"/>
              </w:rPr>
              <w:t>43</w:t>
            </w:r>
          </w:p>
        </w:tc>
        <w:tc>
          <w:tcPr>
            <w:tcW w:w="660" w:type="dxa"/>
            <w:tcBorders>
              <w:top w:val="single" w:sz="4" w:space="0" w:color="000000"/>
              <w:bottom w:val="single" w:sz="4" w:space="0" w:color="000000"/>
              <w:right w:val="single" w:sz="4" w:space="0" w:color="000000"/>
            </w:tcBorders>
          </w:tcPr>
          <w:p>
            <w:pPr>
              <w:pStyle w:val="TableParagraph"/>
              <w:spacing w:before="6"/>
              <w:jc w:val="left"/>
              <w:rPr>
                <w:b/>
                <w:sz w:val="29"/>
              </w:rPr>
            </w:pPr>
          </w:p>
          <w:p>
            <w:pPr>
              <w:pStyle w:val="TableParagraph"/>
              <w:spacing w:before="1"/>
              <w:ind w:left="197"/>
              <w:jc w:val="left"/>
              <w:rPr>
                <w:sz w:val="20"/>
              </w:rPr>
            </w:pPr>
            <w:r>
              <w:rPr>
                <w:sz w:val="20"/>
              </w:rPr>
              <w:t>24</w:t>
            </w:r>
          </w:p>
        </w:tc>
        <w:tc>
          <w:tcPr>
            <w:tcW w:w="708" w:type="dxa"/>
            <w:tcBorders>
              <w:top w:val="single" w:sz="4" w:space="0" w:color="000000"/>
              <w:left w:val="single" w:sz="4" w:space="0" w:color="000000"/>
              <w:bottom w:val="single" w:sz="4" w:space="0" w:color="000000"/>
            </w:tcBorders>
          </w:tcPr>
          <w:p>
            <w:pPr>
              <w:pStyle w:val="TableParagraph"/>
              <w:spacing w:before="6"/>
              <w:jc w:val="left"/>
              <w:rPr>
                <w:b/>
                <w:sz w:val="29"/>
              </w:rPr>
            </w:pPr>
          </w:p>
          <w:p>
            <w:pPr>
              <w:pStyle w:val="TableParagraph"/>
              <w:spacing w:before="1"/>
              <w:ind w:left="75" w:right="60"/>
              <w:rPr>
                <w:sz w:val="20"/>
              </w:rPr>
            </w:pPr>
            <w:r>
              <w:rPr>
                <w:sz w:val="20"/>
              </w:rPr>
              <w:t>6,35</w:t>
            </w:r>
          </w:p>
        </w:tc>
        <w:tc>
          <w:tcPr>
            <w:tcW w:w="737" w:type="dxa"/>
            <w:tcBorders>
              <w:top w:val="single" w:sz="4" w:space="0" w:color="000000"/>
              <w:bottom w:val="single" w:sz="4" w:space="0" w:color="000000"/>
              <w:right w:val="single" w:sz="4" w:space="0" w:color="000000"/>
            </w:tcBorders>
          </w:tcPr>
          <w:p>
            <w:pPr>
              <w:pStyle w:val="TableParagraph"/>
              <w:spacing w:before="6"/>
              <w:jc w:val="left"/>
              <w:rPr>
                <w:b/>
                <w:sz w:val="29"/>
              </w:rPr>
            </w:pPr>
          </w:p>
          <w:p>
            <w:pPr>
              <w:pStyle w:val="TableParagraph"/>
              <w:spacing w:before="1"/>
              <w:ind w:left="215" w:right="232"/>
              <w:rPr>
                <w:sz w:val="20"/>
              </w:rPr>
            </w:pPr>
            <w:r>
              <w:rPr>
                <w:sz w:val="20"/>
              </w:rPr>
              <w:t>24</w:t>
            </w:r>
          </w:p>
        </w:tc>
        <w:tc>
          <w:tcPr>
            <w:tcW w:w="838" w:type="dxa"/>
            <w:tcBorders>
              <w:top w:val="single" w:sz="4" w:space="0" w:color="000000"/>
              <w:left w:val="single" w:sz="4" w:space="0" w:color="000000"/>
              <w:bottom w:val="single" w:sz="4" w:space="0" w:color="000000"/>
            </w:tcBorders>
          </w:tcPr>
          <w:p>
            <w:pPr>
              <w:pStyle w:val="TableParagraph"/>
              <w:spacing w:before="6"/>
              <w:jc w:val="left"/>
              <w:rPr>
                <w:b/>
                <w:sz w:val="29"/>
              </w:rPr>
            </w:pPr>
          </w:p>
          <w:p>
            <w:pPr>
              <w:pStyle w:val="TableParagraph"/>
              <w:spacing w:before="1"/>
              <w:ind w:left="196" w:right="186"/>
              <w:rPr>
                <w:sz w:val="20"/>
              </w:rPr>
            </w:pPr>
            <w:r>
              <w:rPr>
                <w:sz w:val="20"/>
              </w:rPr>
              <w:t>5,16</w:t>
            </w:r>
          </w:p>
        </w:tc>
        <w:tc>
          <w:tcPr>
            <w:tcW w:w="699" w:type="dxa"/>
            <w:tcBorders>
              <w:top w:val="single" w:sz="4" w:space="0" w:color="000000"/>
              <w:bottom w:val="single" w:sz="4" w:space="0" w:color="000000"/>
              <w:right w:val="single" w:sz="4" w:space="0" w:color="000000"/>
            </w:tcBorders>
          </w:tcPr>
          <w:p>
            <w:pPr>
              <w:pStyle w:val="TableParagraph"/>
              <w:spacing w:before="6"/>
              <w:jc w:val="left"/>
              <w:rPr>
                <w:b/>
                <w:sz w:val="29"/>
              </w:rPr>
            </w:pPr>
          </w:p>
          <w:p>
            <w:pPr>
              <w:pStyle w:val="TableParagraph"/>
              <w:spacing w:before="1"/>
              <w:ind w:left="191" w:right="218"/>
              <w:rPr>
                <w:sz w:val="20"/>
              </w:rPr>
            </w:pPr>
            <w:r>
              <w:rPr>
                <w:sz w:val="20"/>
              </w:rPr>
              <w:t>24</w:t>
            </w:r>
          </w:p>
        </w:tc>
        <w:tc>
          <w:tcPr>
            <w:tcW w:w="703" w:type="dxa"/>
            <w:tcBorders>
              <w:top w:val="single" w:sz="4" w:space="0" w:color="000000"/>
              <w:left w:val="single" w:sz="4" w:space="0" w:color="000000"/>
              <w:bottom w:val="single" w:sz="4" w:space="0" w:color="000000"/>
            </w:tcBorders>
          </w:tcPr>
          <w:p>
            <w:pPr>
              <w:pStyle w:val="TableParagraph"/>
              <w:spacing w:before="6"/>
              <w:jc w:val="left"/>
              <w:rPr>
                <w:b/>
                <w:sz w:val="29"/>
              </w:rPr>
            </w:pPr>
          </w:p>
          <w:p>
            <w:pPr>
              <w:pStyle w:val="TableParagraph"/>
              <w:spacing w:before="1"/>
              <w:ind w:left="76" w:right="60"/>
              <w:rPr>
                <w:sz w:val="20"/>
              </w:rPr>
            </w:pPr>
            <w:r>
              <w:rPr>
                <w:sz w:val="20"/>
              </w:rPr>
              <w:t>23,29</w:t>
            </w:r>
          </w:p>
        </w:tc>
        <w:tc>
          <w:tcPr>
            <w:tcW w:w="853" w:type="dxa"/>
            <w:tcBorders>
              <w:top w:val="single" w:sz="4" w:space="0" w:color="000000"/>
              <w:bottom w:val="single" w:sz="4" w:space="0" w:color="000000"/>
              <w:right w:val="single" w:sz="4" w:space="0" w:color="000000"/>
            </w:tcBorders>
          </w:tcPr>
          <w:p>
            <w:pPr>
              <w:pStyle w:val="TableParagraph"/>
              <w:spacing w:before="6"/>
              <w:jc w:val="left"/>
              <w:rPr>
                <w:b/>
                <w:sz w:val="29"/>
              </w:rPr>
            </w:pPr>
          </w:p>
          <w:p>
            <w:pPr>
              <w:pStyle w:val="TableParagraph"/>
              <w:spacing w:before="1"/>
              <w:ind w:left="273" w:right="289"/>
              <w:rPr>
                <w:sz w:val="20"/>
              </w:rPr>
            </w:pPr>
            <w:r>
              <w:rPr>
                <w:sz w:val="20"/>
              </w:rPr>
              <w:t>24</w:t>
            </w:r>
          </w:p>
        </w:tc>
        <w:tc>
          <w:tcPr>
            <w:tcW w:w="689" w:type="dxa"/>
            <w:tcBorders>
              <w:top w:val="single" w:sz="4" w:space="0" w:color="000000"/>
              <w:left w:val="single" w:sz="4" w:space="0" w:color="000000"/>
              <w:bottom w:val="single" w:sz="4" w:space="0" w:color="000000"/>
            </w:tcBorders>
          </w:tcPr>
          <w:p>
            <w:pPr>
              <w:pStyle w:val="TableParagraph"/>
              <w:spacing w:before="6"/>
              <w:jc w:val="left"/>
              <w:rPr>
                <w:b/>
                <w:sz w:val="29"/>
              </w:rPr>
            </w:pPr>
          </w:p>
          <w:p>
            <w:pPr>
              <w:pStyle w:val="TableParagraph"/>
              <w:spacing w:before="1"/>
              <w:ind w:left="66" w:right="56"/>
              <w:rPr>
                <w:sz w:val="20"/>
              </w:rPr>
            </w:pPr>
            <w:r>
              <w:rPr>
                <w:sz w:val="20"/>
              </w:rPr>
              <w:t>31,87</w:t>
            </w:r>
          </w:p>
        </w:tc>
      </w:tr>
      <w:tr>
        <w:trPr>
          <w:trHeight w:val="1388" w:hRule="exact"/>
        </w:trPr>
        <w:tc>
          <w:tcPr>
            <w:tcW w:w="1880" w:type="dxa"/>
            <w:tcBorders>
              <w:top w:val="single" w:sz="4" w:space="0" w:color="000000"/>
              <w:bottom w:val="single" w:sz="4" w:space="0" w:color="000000"/>
              <w:right w:val="single" w:sz="4" w:space="0" w:color="000000"/>
            </w:tcBorders>
          </w:tcPr>
          <w:p>
            <w:pPr>
              <w:pStyle w:val="TableParagraph"/>
              <w:tabs>
                <w:tab w:pos="441" w:val="left" w:leader="none"/>
                <w:tab w:pos="1209" w:val="left" w:leader="none"/>
                <w:tab w:pos="1693" w:val="left" w:leader="none"/>
              </w:tabs>
              <w:ind w:left="33" w:right="40"/>
              <w:jc w:val="left"/>
              <w:rPr>
                <w:sz w:val="20"/>
              </w:rPr>
            </w:pPr>
            <w:r>
              <w:rPr>
                <w:sz w:val="20"/>
              </w:rPr>
              <w:t>A direção  acredita e</w:t>
              <w:tab/>
              <w:t>impulsiona</w:t>
              <w:tab/>
              <w:t>a inovação</w:t>
              <w:tab/>
              <w:t>e</w:t>
              <w:tab/>
              <w:t>o trabalho cooperativo dentro da</w:t>
            </w:r>
            <w:r>
              <w:rPr>
                <w:spacing w:val="-2"/>
                <w:sz w:val="20"/>
              </w:rPr>
              <w:t> </w:t>
            </w:r>
            <w:r>
              <w:rPr>
                <w:sz w:val="20"/>
              </w:rPr>
              <w:t>escola</w:t>
            </w:r>
          </w:p>
        </w:tc>
        <w:tc>
          <w:tcPr>
            <w:tcW w:w="1117"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27"/>
              </w:rPr>
            </w:pPr>
          </w:p>
          <w:p>
            <w:pPr>
              <w:pStyle w:val="TableParagraph"/>
              <w:ind w:left="122" w:right="108"/>
              <w:rPr>
                <w:sz w:val="20"/>
              </w:rPr>
            </w:pPr>
            <w:r>
              <w:rPr>
                <w:sz w:val="20"/>
              </w:rPr>
              <w:t>43</w:t>
            </w:r>
          </w:p>
        </w:tc>
        <w:tc>
          <w:tcPr>
            <w:tcW w:w="660"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spacing w:before="7"/>
              <w:jc w:val="left"/>
              <w:rPr>
                <w:b/>
                <w:sz w:val="27"/>
              </w:rPr>
            </w:pPr>
          </w:p>
          <w:p>
            <w:pPr>
              <w:pStyle w:val="TableParagraph"/>
              <w:ind w:left="197"/>
              <w:jc w:val="left"/>
              <w:rPr>
                <w:sz w:val="20"/>
              </w:rPr>
            </w:pPr>
            <w:r>
              <w:rPr>
                <w:sz w:val="20"/>
              </w:rPr>
              <w:t>24</w:t>
            </w:r>
          </w:p>
        </w:tc>
        <w:tc>
          <w:tcPr>
            <w:tcW w:w="708"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27"/>
              </w:rPr>
            </w:pPr>
          </w:p>
          <w:p>
            <w:pPr>
              <w:pStyle w:val="TableParagraph"/>
              <w:ind w:left="75" w:right="60"/>
              <w:rPr>
                <w:sz w:val="20"/>
              </w:rPr>
            </w:pPr>
            <w:r>
              <w:rPr>
                <w:sz w:val="20"/>
              </w:rPr>
              <w:t>3,97</w:t>
            </w:r>
          </w:p>
        </w:tc>
        <w:tc>
          <w:tcPr>
            <w:tcW w:w="737"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spacing w:before="7"/>
              <w:jc w:val="left"/>
              <w:rPr>
                <w:b/>
                <w:sz w:val="27"/>
              </w:rPr>
            </w:pPr>
          </w:p>
          <w:p>
            <w:pPr>
              <w:pStyle w:val="TableParagraph"/>
              <w:ind w:left="215" w:right="232"/>
              <w:rPr>
                <w:sz w:val="20"/>
              </w:rPr>
            </w:pPr>
            <w:r>
              <w:rPr>
                <w:sz w:val="20"/>
              </w:rPr>
              <w:t>24</w:t>
            </w:r>
          </w:p>
        </w:tc>
        <w:tc>
          <w:tcPr>
            <w:tcW w:w="838"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27"/>
              </w:rPr>
            </w:pPr>
          </w:p>
          <w:p>
            <w:pPr>
              <w:pStyle w:val="TableParagraph"/>
              <w:ind w:left="196" w:right="186"/>
              <w:rPr>
                <w:sz w:val="20"/>
              </w:rPr>
            </w:pPr>
            <w:r>
              <w:rPr>
                <w:sz w:val="20"/>
              </w:rPr>
              <w:t>5,76</w:t>
            </w:r>
          </w:p>
        </w:tc>
        <w:tc>
          <w:tcPr>
            <w:tcW w:w="699"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spacing w:before="7"/>
              <w:jc w:val="left"/>
              <w:rPr>
                <w:b/>
                <w:sz w:val="27"/>
              </w:rPr>
            </w:pPr>
          </w:p>
          <w:p>
            <w:pPr>
              <w:pStyle w:val="TableParagraph"/>
              <w:ind w:left="191" w:right="218"/>
              <w:rPr>
                <w:sz w:val="20"/>
              </w:rPr>
            </w:pPr>
            <w:r>
              <w:rPr>
                <w:sz w:val="20"/>
              </w:rPr>
              <w:t>24</w:t>
            </w:r>
          </w:p>
        </w:tc>
        <w:tc>
          <w:tcPr>
            <w:tcW w:w="703"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27"/>
              </w:rPr>
            </w:pPr>
          </w:p>
          <w:p>
            <w:pPr>
              <w:pStyle w:val="TableParagraph"/>
              <w:ind w:left="76" w:right="60"/>
              <w:rPr>
                <w:sz w:val="20"/>
              </w:rPr>
            </w:pPr>
            <w:r>
              <w:rPr>
                <w:sz w:val="20"/>
              </w:rPr>
              <w:t>25,68</w:t>
            </w:r>
          </w:p>
        </w:tc>
        <w:tc>
          <w:tcPr>
            <w:tcW w:w="853"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spacing w:before="7"/>
              <w:jc w:val="left"/>
              <w:rPr>
                <w:b/>
                <w:sz w:val="27"/>
              </w:rPr>
            </w:pPr>
          </w:p>
          <w:p>
            <w:pPr>
              <w:pStyle w:val="TableParagraph"/>
              <w:ind w:left="273" w:right="289"/>
              <w:rPr>
                <w:sz w:val="20"/>
              </w:rPr>
            </w:pPr>
            <w:r>
              <w:rPr>
                <w:sz w:val="20"/>
              </w:rPr>
              <w:t>24</w:t>
            </w:r>
          </w:p>
        </w:tc>
        <w:tc>
          <w:tcPr>
            <w:tcW w:w="689"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27"/>
              </w:rPr>
            </w:pPr>
          </w:p>
          <w:p>
            <w:pPr>
              <w:pStyle w:val="TableParagraph"/>
              <w:ind w:left="66" w:right="56"/>
              <w:rPr>
                <w:sz w:val="20"/>
              </w:rPr>
            </w:pPr>
            <w:r>
              <w:rPr>
                <w:sz w:val="20"/>
              </w:rPr>
              <w:t>31,27</w:t>
            </w:r>
          </w:p>
        </w:tc>
      </w:tr>
      <w:tr>
        <w:trPr>
          <w:trHeight w:val="948" w:hRule="exact"/>
        </w:trPr>
        <w:tc>
          <w:tcPr>
            <w:tcW w:w="1880" w:type="dxa"/>
            <w:tcBorders>
              <w:top w:val="single" w:sz="4" w:space="0" w:color="000000"/>
              <w:right w:val="single" w:sz="4" w:space="0" w:color="000000"/>
            </w:tcBorders>
          </w:tcPr>
          <w:p>
            <w:pPr>
              <w:pStyle w:val="TableParagraph"/>
              <w:tabs>
                <w:tab w:pos="1258" w:val="left" w:leader="none"/>
              </w:tabs>
              <w:ind w:left="33" w:right="41"/>
              <w:jc w:val="both"/>
              <w:rPr>
                <w:sz w:val="20"/>
              </w:rPr>
            </w:pPr>
            <w:r>
              <w:rPr>
                <w:sz w:val="20"/>
              </w:rPr>
              <w:t>A avaliação é vista como oportunidade para</w:t>
              <w:tab/>
              <w:t>atingir melhoras.</w:t>
            </w:r>
          </w:p>
        </w:tc>
        <w:tc>
          <w:tcPr>
            <w:tcW w:w="1117" w:type="dxa"/>
            <w:tcBorders>
              <w:top w:val="single" w:sz="4" w:space="0" w:color="000000"/>
              <w:left w:val="single" w:sz="4" w:space="0" w:color="000000"/>
            </w:tcBorders>
          </w:tcPr>
          <w:p>
            <w:pPr>
              <w:pStyle w:val="TableParagraph"/>
              <w:spacing w:before="6"/>
              <w:jc w:val="left"/>
              <w:rPr>
                <w:b/>
                <w:sz w:val="29"/>
              </w:rPr>
            </w:pPr>
          </w:p>
          <w:p>
            <w:pPr>
              <w:pStyle w:val="TableParagraph"/>
              <w:spacing w:before="1"/>
              <w:ind w:left="122" w:right="108"/>
              <w:rPr>
                <w:sz w:val="20"/>
              </w:rPr>
            </w:pPr>
            <w:r>
              <w:rPr>
                <w:sz w:val="20"/>
              </w:rPr>
              <w:t>43</w:t>
            </w:r>
          </w:p>
        </w:tc>
        <w:tc>
          <w:tcPr>
            <w:tcW w:w="660" w:type="dxa"/>
            <w:tcBorders>
              <w:top w:val="single" w:sz="4" w:space="0" w:color="000000"/>
              <w:right w:val="single" w:sz="4" w:space="0" w:color="000000"/>
            </w:tcBorders>
          </w:tcPr>
          <w:p>
            <w:pPr>
              <w:pStyle w:val="TableParagraph"/>
              <w:spacing w:before="6"/>
              <w:jc w:val="left"/>
              <w:rPr>
                <w:b/>
                <w:sz w:val="29"/>
              </w:rPr>
            </w:pPr>
          </w:p>
          <w:p>
            <w:pPr>
              <w:pStyle w:val="TableParagraph"/>
              <w:spacing w:before="1"/>
              <w:ind w:left="197"/>
              <w:jc w:val="left"/>
              <w:rPr>
                <w:sz w:val="20"/>
              </w:rPr>
            </w:pPr>
            <w:r>
              <w:rPr>
                <w:sz w:val="20"/>
              </w:rPr>
              <w:t>24</w:t>
            </w:r>
          </w:p>
        </w:tc>
        <w:tc>
          <w:tcPr>
            <w:tcW w:w="708" w:type="dxa"/>
            <w:tcBorders>
              <w:top w:val="single" w:sz="4" w:space="0" w:color="000000"/>
              <w:left w:val="single" w:sz="4" w:space="0" w:color="000000"/>
            </w:tcBorders>
          </w:tcPr>
          <w:p>
            <w:pPr>
              <w:pStyle w:val="TableParagraph"/>
              <w:spacing w:before="6"/>
              <w:jc w:val="left"/>
              <w:rPr>
                <w:b/>
                <w:sz w:val="29"/>
              </w:rPr>
            </w:pPr>
          </w:p>
          <w:p>
            <w:pPr>
              <w:pStyle w:val="TableParagraph"/>
              <w:spacing w:before="1"/>
              <w:ind w:left="75" w:right="60"/>
              <w:rPr>
                <w:sz w:val="20"/>
              </w:rPr>
            </w:pPr>
            <w:r>
              <w:rPr>
                <w:sz w:val="20"/>
              </w:rPr>
              <w:t>4,57</w:t>
            </w:r>
          </w:p>
        </w:tc>
        <w:tc>
          <w:tcPr>
            <w:tcW w:w="737" w:type="dxa"/>
            <w:tcBorders>
              <w:top w:val="single" w:sz="4" w:space="0" w:color="000000"/>
              <w:right w:val="single" w:sz="4" w:space="0" w:color="000000"/>
            </w:tcBorders>
          </w:tcPr>
          <w:p>
            <w:pPr>
              <w:pStyle w:val="TableParagraph"/>
              <w:spacing w:before="6"/>
              <w:jc w:val="left"/>
              <w:rPr>
                <w:b/>
                <w:sz w:val="29"/>
              </w:rPr>
            </w:pPr>
          </w:p>
          <w:p>
            <w:pPr>
              <w:pStyle w:val="TableParagraph"/>
              <w:spacing w:before="1"/>
              <w:ind w:left="215" w:right="232"/>
              <w:rPr>
                <w:sz w:val="20"/>
              </w:rPr>
            </w:pPr>
            <w:r>
              <w:rPr>
                <w:sz w:val="20"/>
              </w:rPr>
              <w:t>24</w:t>
            </w:r>
          </w:p>
        </w:tc>
        <w:tc>
          <w:tcPr>
            <w:tcW w:w="838" w:type="dxa"/>
            <w:tcBorders>
              <w:top w:val="single" w:sz="4" w:space="0" w:color="000000"/>
              <w:left w:val="single" w:sz="4" w:space="0" w:color="000000"/>
            </w:tcBorders>
          </w:tcPr>
          <w:p>
            <w:pPr>
              <w:pStyle w:val="TableParagraph"/>
              <w:spacing w:before="6"/>
              <w:jc w:val="left"/>
              <w:rPr>
                <w:b/>
                <w:sz w:val="29"/>
              </w:rPr>
            </w:pPr>
          </w:p>
          <w:p>
            <w:pPr>
              <w:pStyle w:val="TableParagraph"/>
              <w:spacing w:before="1"/>
              <w:ind w:left="196" w:right="186"/>
              <w:rPr>
                <w:sz w:val="20"/>
              </w:rPr>
            </w:pPr>
            <w:r>
              <w:rPr>
                <w:sz w:val="20"/>
              </w:rPr>
              <w:t>0,96</w:t>
            </w:r>
          </w:p>
        </w:tc>
        <w:tc>
          <w:tcPr>
            <w:tcW w:w="699" w:type="dxa"/>
            <w:tcBorders>
              <w:top w:val="single" w:sz="4" w:space="0" w:color="000000"/>
              <w:right w:val="single" w:sz="4" w:space="0" w:color="000000"/>
            </w:tcBorders>
          </w:tcPr>
          <w:p>
            <w:pPr>
              <w:pStyle w:val="TableParagraph"/>
              <w:spacing w:before="6"/>
              <w:jc w:val="left"/>
              <w:rPr>
                <w:b/>
                <w:sz w:val="29"/>
              </w:rPr>
            </w:pPr>
          </w:p>
          <w:p>
            <w:pPr>
              <w:pStyle w:val="TableParagraph"/>
              <w:spacing w:before="1"/>
              <w:ind w:left="191" w:right="218"/>
              <w:rPr>
                <w:sz w:val="20"/>
              </w:rPr>
            </w:pPr>
            <w:r>
              <w:rPr>
                <w:sz w:val="20"/>
              </w:rPr>
              <w:t>24</w:t>
            </w:r>
          </w:p>
        </w:tc>
        <w:tc>
          <w:tcPr>
            <w:tcW w:w="703" w:type="dxa"/>
            <w:tcBorders>
              <w:top w:val="single" w:sz="4" w:space="0" w:color="000000"/>
              <w:left w:val="single" w:sz="4" w:space="0" w:color="000000"/>
            </w:tcBorders>
          </w:tcPr>
          <w:p>
            <w:pPr>
              <w:pStyle w:val="TableParagraph"/>
              <w:spacing w:before="6"/>
              <w:jc w:val="left"/>
              <w:rPr>
                <w:b/>
                <w:sz w:val="29"/>
              </w:rPr>
            </w:pPr>
          </w:p>
          <w:p>
            <w:pPr>
              <w:pStyle w:val="TableParagraph"/>
              <w:spacing w:before="1"/>
              <w:ind w:left="76" w:right="60"/>
              <w:rPr>
                <w:sz w:val="20"/>
              </w:rPr>
            </w:pPr>
            <w:r>
              <w:rPr>
                <w:sz w:val="20"/>
              </w:rPr>
              <w:t>34,01</w:t>
            </w:r>
          </w:p>
        </w:tc>
        <w:tc>
          <w:tcPr>
            <w:tcW w:w="853" w:type="dxa"/>
            <w:tcBorders>
              <w:top w:val="single" w:sz="4" w:space="0" w:color="000000"/>
              <w:right w:val="single" w:sz="4" w:space="0" w:color="000000"/>
            </w:tcBorders>
          </w:tcPr>
          <w:p>
            <w:pPr>
              <w:pStyle w:val="TableParagraph"/>
              <w:spacing w:before="6"/>
              <w:jc w:val="left"/>
              <w:rPr>
                <w:b/>
                <w:sz w:val="29"/>
              </w:rPr>
            </w:pPr>
          </w:p>
          <w:p>
            <w:pPr>
              <w:pStyle w:val="TableParagraph"/>
              <w:spacing w:before="1"/>
              <w:ind w:left="273" w:right="289"/>
              <w:rPr>
                <w:sz w:val="20"/>
              </w:rPr>
            </w:pPr>
            <w:r>
              <w:rPr>
                <w:sz w:val="20"/>
              </w:rPr>
              <w:t>24</w:t>
            </w:r>
          </w:p>
        </w:tc>
        <w:tc>
          <w:tcPr>
            <w:tcW w:w="689" w:type="dxa"/>
            <w:tcBorders>
              <w:top w:val="single" w:sz="4" w:space="0" w:color="000000"/>
              <w:left w:val="single" w:sz="4" w:space="0" w:color="000000"/>
            </w:tcBorders>
          </w:tcPr>
          <w:p>
            <w:pPr>
              <w:pStyle w:val="TableParagraph"/>
              <w:spacing w:before="6"/>
              <w:jc w:val="left"/>
              <w:rPr>
                <w:b/>
                <w:sz w:val="29"/>
              </w:rPr>
            </w:pPr>
          </w:p>
          <w:p>
            <w:pPr>
              <w:pStyle w:val="TableParagraph"/>
              <w:spacing w:before="1"/>
              <w:ind w:left="66" w:right="56"/>
              <w:rPr>
                <w:sz w:val="20"/>
              </w:rPr>
            </w:pPr>
            <w:r>
              <w:rPr>
                <w:sz w:val="20"/>
              </w:rPr>
              <w:t>22,34</w:t>
            </w:r>
          </w:p>
        </w:tc>
      </w:tr>
    </w:tbl>
    <w:p>
      <w:pPr>
        <w:spacing w:before="0"/>
        <w:ind w:left="308" w:right="0" w:firstLine="0"/>
        <w:jc w:val="left"/>
        <w:rPr>
          <w:sz w:val="18"/>
        </w:rPr>
      </w:pPr>
      <w:r>
        <w:rPr>
          <w:sz w:val="20"/>
        </w:rPr>
        <w:t>Fonte: Dados da Pesquisa – Mestrado – Pinho (2014)</w:t>
      </w:r>
      <w:r>
        <w:rPr>
          <w:sz w:val="18"/>
        </w:rPr>
        <w:t>.</w:t>
      </w:r>
    </w:p>
    <w:p>
      <w:pPr>
        <w:spacing w:after="0"/>
        <w:jc w:val="left"/>
        <w:rPr>
          <w:sz w:val="18"/>
        </w:rPr>
        <w:sectPr>
          <w:pgSz w:w="11910" w:h="16840"/>
          <w:pgMar w:header="1133" w:footer="0" w:top="1340" w:bottom="280" w:left="1680" w:right="920"/>
        </w:sectPr>
      </w:pPr>
    </w:p>
    <w:p>
      <w:pPr>
        <w:pStyle w:val="BodyText"/>
        <w:spacing w:before="8"/>
        <w:rPr>
          <w:sz w:val="20"/>
        </w:rPr>
      </w:pPr>
    </w:p>
    <w:p>
      <w:pPr>
        <w:spacing w:before="93" w:after="5"/>
        <w:ind w:left="701" w:right="549" w:firstLine="9"/>
        <w:jc w:val="center"/>
        <w:rPr>
          <w:b/>
          <w:sz w:val="22"/>
        </w:rPr>
      </w:pPr>
      <w:r>
        <w:rPr>
          <w:b/>
          <w:sz w:val="22"/>
        </w:rPr>
        <w:t>Quadro 17: Categoria II – Potencial e Recursos Humanos: indicadores do parâmetro Espírito Empreendedor: na percepção dos gestores, professores, servidores, e pais ou responsáveis</w:t>
      </w:r>
    </w:p>
    <w:tbl>
      <w:tblPr>
        <w:tblW w:w="0" w:type="auto"/>
        <w:jc w:val="left"/>
        <w:tblInd w:w="284"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274"/>
        <w:gridCol w:w="1131"/>
        <w:gridCol w:w="569"/>
        <w:gridCol w:w="564"/>
        <w:gridCol w:w="569"/>
        <w:gridCol w:w="709"/>
        <w:gridCol w:w="713"/>
        <w:gridCol w:w="703"/>
        <w:gridCol w:w="853"/>
        <w:gridCol w:w="708"/>
      </w:tblGrid>
      <w:tr>
        <w:trPr>
          <w:trHeight w:val="286" w:hRule="exact"/>
        </w:trPr>
        <w:tc>
          <w:tcPr>
            <w:tcW w:w="3405" w:type="dxa"/>
            <w:gridSpan w:val="2"/>
            <w:vMerge w:val="restart"/>
            <w:tcBorders>
              <w:top w:val="nil"/>
              <w:left w:val="nil"/>
            </w:tcBorders>
          </w:tcPr>
          <w:p>
            <w:pPr/>
          </w:p>
        </w:tc>
        <w:tc>
          <w:tcPr>
            <w:tcW w:w="5388" w:type="dxa"/>
            <w:gridSpan w:val="8"/>
            <w:tcBorders>
              <w:bottom w:val="single" w:sz="4" w:space="0" w:color="000000"/>
            </w:tcBorders>
          </w:tcPr>
          <w:p>
            <w:pPr>
              <w:pStyle w:val="TableParagraph"/>
              <w:spacing w:line="225" w:lineRule="exact"/>
              <w:ind w:left="2052" w:right="2062"/>
              <w:rPr>
                <w:b/>
                <w:sz w:val="20"/>
              </w:rPr>
            </w:pPr>
            <w:r>
              <w:rPr>
                <w:b/>
                <w:sz w:val="20"/>
              </w:rPr>
              <w:t>AVALIAÇÃO</w:t>
            </w:r>
          </w:p>
        </w:tc>
      </w:tr>
      <w:tr>
        <w:trPr>
          <w:trHeight w:val="1635" w:hRule="exact"/>
        </w:trPr>
        <w:tc>
          <w:tcPr>
            <w:tcW w:w="3405" w:type="dxa"/>
            <w:gridSpan w:val="2"/>
            <w:vMerge/>
            <w:tcBorders>
              <w:left w:val="nil"/>
            </w:tcBorders>
          </w:tcPr>
          <w:p>
            <w:pPr/>
          </w:p>
        </w:tc>
        <w:tc>
          <w:tcPr>
            <w:tcW w:w="1133" w:type="dxa"/>
            <w:gridSpan w:val="2"/>
            <w:tcBorders>
              <w:top w:val="single" w:sz="4" w:space="0" w:color="000000"/>
              <w:bottom w:val="single" w:sz="4" w:space="0" w:color="000000"/>
            </w:tcBorders>
          </w:tcPr>
          <w:p>
            <w:pPr>
              <w:pStyle w:val="TableParagraph"/>
              <w:spacing w:before="4"/>
              <w:jc w:val="left"/>
              <w:rPr>
                <w:b/>
                <w:sz w:val="29"/>
              </w:rPr>
            </w:pPr>
          </w:p>
          <w:p>
            <w:pPr>
              <w:pStyle w:val="TableParagraph"/>
              <w:spacing w:line="237" w:lineRule="auto"/>
              <w:ind w:left="105" w:right="102" w:hanging="5"/>
              <w:rPr>
                <w:b/>
                <w:sz w:val="20"/>
              </w:rPr>
            </w:pPr>
            <w:r>
              <w:rPr>
                <w:b/>
                <w:sz w:val="20"/>
              </w:rPr>
              <w:t>Nunca ou</w:t>
            </w:r>
            <w:r>
              <w:rPr>
                <w:b/>
                <w:spacing w:val="-2"/>
                <w:sz w:val="20"/>
              </w:rPr>
              <w:t> </w:t>
            </w:r>
            <w:r>
              <w:rPr>
                <w:b/>
                <w:sz w:val="20"/>
              </w:rPr>
              <w:t>quase nunca</w:t>
            </w:r>
          </w:p>
          <w:p>
            <w:pPr>
              <w:pStyle w:val="TableParagraph"/>
              <w:spacing w:before="1"/>
              <w:ind w:right="4"/>
              <w:rPr>
                <w:b/>
                <w:sz w:val="20"/>
              </w:rPr>
            </w:pPr>
            <w:r>
              <w:rPr>
                <w:b/>
                <w:sz w:val="20"/>
              </w:rPr>
              <w:t>(1-2)</w:t>
            </w:r>
          </w:p>
        </w:tc>
        <w:tc>
          <w:tcPr>
            <w:tcW w:w="1277" w:type="dxa"/>
            <w:gridSpan w:val="2"/>
            <w:tcBorders>
              <w:top w:val="single" w:sz="4" w:space="0" w:color="000000"/>
              <w:bottom w:val="single" w:sz="4" w:space="0" w:color="000000"/>
            </w:tcBorders>
          </w:tcPr>
          <w:p>
            <w:pPr>
              <w:pStyle w:val="TableParagraph"/>
              <w:spacing w:before="8"/>
              <w:jc w:val="left"/>
              <w:rPr>
                <w:b/>
                <w:sz w:val="29"/>
              </w:rPr>
            </w:pPr>
          </w:p>
          <w:p>
            <w:pPr>
              <w:pStyle w:val="TableParagraph"/>
              <w:spacing w:line="226" w:lineRule="exact" w:before="1"/>
              <w:ind w:left="105" w:right="98" w:hanging="7"/>
              <w:rPr>
                <w:b/>
                <w:sz w:val="20"/>
              </w:rPr>
            </w:pPr>
            <w:r>
              <w:rPr>
                <w:b/>
                <w:sz w:val="20"/>
              </w:rPr>
              <w:t>Às vezes. Ocasional-</w:t>
            </w:r>
          </w:p>
          <w:p>
            <w:pPr>
              <w:pStyle w:val="TableParagraph"/>
              <w:ind w:left="316" w:right="317" w:firstLine="3"/>
              <w:rPr>
                <w:b/>
                <w:sz w:val="20"/>
              </w:rPr>
            </w:pPr>
            <w:r>
              <w:rPr>
                <w:b/>
                <w:sz w:val="20"/>
              </w:rPr>
              <w:t>Mente (3-4-5)</w:t>
            </w:r>
          </w:p>
        </w:tc>
        <w:tc>
          <w:tcPr>
            <w:tcW w:w="1416" w:type="dxa"/>
            <w:gridSpan w:val="2"/>
            <w:tcBorders>
              <w:top w:val="single" w:sz="4" w:space="0" w:color="000000"/>
              <w:bottom w:val="single" w:sz="4" w:space="0" w:color="000000"/>
            </w:tcBorders>
          </w:tcPr>
          <w:p>
            <w:pPr>
              <w:pStyle w:val="TableParagraph"/>
              <w:spacing w:before="105"/>
              <w:ind w:left="67" w:right="64"/>
              <w:rPr>
                <w:b/>
                <w:sz w:val="20"/>
              </w:rPr>
            </w:pPr>
            <w:r>
              <w:rPr>
                <w:b/>
                <w:sz w:val="20"/>
              </w:rPr>
              <w:t>Muitas vezes ou ocasiões.</w:t>
            </w:r>
          </w:p>
          <w:p>
            <w:pPr>
              <w:pStyle w:val="TableParagraph"/>
              <w:ind w:left="81" w:right="84" w:firstLine="5"/>
              <w:rPr>
                <w:b/>
                <w:sz w:val="20"/>
              </w:rPr>
            </w:pPr>
            <w:r>
              <w:rPr>
                <w:b/>
                <w:sz w:val="20"/>
              </w:rPr>
              <w:t>Existem evidências do indicador (6-7-8)</w:t>
            </w:r>
          </w:p>
        </w:tc>
        <w:tc>
          <w:tcPr>
            <w:tcW w:w="1561" w:type="dxa"/>
            <w:gridSpan w:val="2"/>
            <w:tcBorders>
              <w:top w:val="single" w:sz="4" w:space="0" w:color="000000"/>
              <w:bottom w:val="single" w:sz="4" w:space="0" w:color="000000"/>
            </w:tcBorders>
          </w:tcPr>
          <w:p>
            <w:pPr>
              <w:pStyle w:val="TableParagraph"/>
              <w:ind w:left="115" w:right="112" w:hanging="10"/>
              <w:rPr>
                <w:b/>
                <w:sz w:val="20"/>
              </w:rPr>
            </w:pPr>
            <w:r>
              <w:rPr>
                <w:b/>
                <w:sz w:val="20"/>
              </w:rPr>
              <w:t>De continuo. Evidências claras de aparição do indicador ou característica (9-10)</w:t>
            </w:r>
          </w:p>
        </w:tc>
      </w:tr>
      <w:tr>
        <w:trPr>
          <w:trHeight w:val="274" w:hRule="exact"/>
        </w:trPr>
        <w:tc>
          <w:tcPr>
            <w:tcW w:w="2274" w:type="dxa"/>
            <w:tcBorders>
              <w:right w:val="single" w:sz="4" w:space="0" w:color="000000"/>
            </w:tcBorders>
          </w:tcPr>
          <w:p>
            <w:pPr>
              <w:pStyle w:val="TableParagraph"/>
              <w:spacing w:line="220" w:lineRule="exact"/>
              <w:ind w:left="862" w:right="878"/>
              <w:rPr>
                <w:b/>
                <w:sz w:val="20"/>
              </w:rPr>
            </w:pPr>
            <w:r>
              <w:rPr>
                <w:b/>
                <w:sz w:val="20"/>
              </w:rPr>
              <w:t>Itens</w:t>
            </w:r>
          </w:p>
        </w:tc>
        <w:tc>
          <w:tcPr>
            <w:tcW w:w="1131" w:type="dxa"/>
            <w:tcBorders>
              <w:left w:val="single" w:sz="4" w:space="0" w:color="000000"/>
            </w:tcBorders>
          </w:tcPr>
          <w:p>
            <w:pPr>
              <w:pStyle w:val="TableParagraph"/>
              <w:spacing w:line="220" w:lineRule="exact"/>
              <w:ind w:left="131" w:right="121"/>
              <w:rPr>
                <w:b/>
                <w:sz w:val="20"/>
              </w:rPr>
            </w:pPr>
            <w:r>
              <w:rPr>
                <w:b/>
                <w:sz w:val="20"/>
              </w:rPr>
              <w:t>Amostra</w:t>
            </w:r>
          </w:p>
        </w:tc>
        <w:tc>
          <w:tcPr>
            <w:tcW w:w="569" w:type="dxa"/>
            <w:tcBorders>
              <w:top w:val="single" w:sz="4" w:space="0" w:color="000000"/>
              <w:right w:val="single" w:sz="4" w:space="0" w:color="000000"/>
            </w:tcBorders>
          </w:tcPr>
          <w:p>
            <w:pPr>
              <w:pStyle w:val="TableParagraph"/>
              <w:spacing w:before="7"/>
              <w:ind w:right="170"/>
              <w:jc w:val="right"/>
              <w:rPr>
                <w:b/>
                <w:sz w:val="20"/>
              </w:rPr>
            </w:pPr>
            <w:r>
              <w:rPr>
                <w:b/>
                <w:sz w:val="20"/>
              </w:rPr>
              <w:t>Nº</w:t>
            </w:r>
          </w:p>
        </w:tc>
        <w:tc>
          <w:tcPr>
            <w:tcW w:w="564" w:type="dxa"/>
            <w:tcBorders>
              <w:top w:val="single" w:sz="4" w:space="0" w:color="000000"/>
              <w:left w:val="single" w:sz="4" w:space="0" w:color="000000"/>
            </w:tcBorders>
          </w:tcPr>
          <w:p>
            <w:pPr>
              <w:pStyle w:val="TableParagraph"/>
              <w:spacing w:before="7"/>
              <w:ind w:left="15"/>
              <w:rPr>
                <w:b/>
                <w:sz w:val="20"/>
              </w:rPr>
            </w:pPr>
            <w:r>
              <w:rPr>
                <w:b/>
                <w:w w:val="100"/>
                <w:sz w:val="20"/>
              </w:rPr>
              <w:t>%</w:t>
            </w:r>
          </w:p>
        </w:tc>
        <w:tc>
          <w:tcPr>
            <w:tcW w:w="569" w:type="dxa"/>
            <w:tcBorders>
              <w:top w:val="single" w:sz="4" w:space="0" w:color="000000"/>
              <w:right w:val="single" w:sz="4" w:space="0" w:color="000000"/>
            </w:tcBorders>
          </w:tcPr>
          <w:p>
            <w:pPr>
              <w:pStyle w:val="TableParagraph"/>
              <w:spacing w:before="7"/>
              <w:ind w:left="153"/>
              <w:jc w:val="left"/>
              <w:rPr>
                <w:b/>
                <w:sz w:val="20"/>
              </w:rPr>
            </w:pPr>
            <w:r>
              <w:rPr>
                <w:b/>
                <w:sz w:val="20"/>
              </w:rPr>
              <w:t>Nº</w:t>
            </w:r>
          </w:p>
        </w:tc>
        <w:tc>
          <w:tcPr>
            <w:tcW w:w="709" w:type="dxa"/>
            <w:tcBorders>
              <w:top w:val="single" w:sz="4" w:space="0" w:color="000000"/>
              <w:left w:val="single" w:sz="4" w:space="0" w:color="000000"/>
            </w:tcBorders>
          </w:tcPr>
          <w:p>
            <w:pPr>
              <w:pStyle w:val="TableParagraph"/>
              <w:spacing w:before="7"/>
              <w:ind w:left="16"/>
              <w:rPr>
                <w:b/>
                <w:sz w:val="20"/>
              </w:rPr>
            </w:pPr>
            <w:r>
              <w:rPr>
                <w:b/>
                <w:w w:val="100"/>
                <w:sz w:val="20"/>
              </w:rPr>
              <w:t>%</w:t>
            </w:r>
          </w:p>
        </w:tc>
        <w:tc>
          <w:tcPr>
            <w:tcW w:w="713" w:type="dxa"/>
            <w:tcBorders>
              <w:top w:val="single" w:sz="4" w:space="0" w:color="000000"/>
              <w:right w:val="single" w:sz="4" w:space="0" w:color="000000"/>
            </w:tcBorders>
          </w:tcPr>
          <w:p>
            <w:pPr>
              <w:pStyle w:val="TableParagraph"/>
              <w:spacing w:before="7"/>
              <w:ind w:left="201" w:right="218"/>
              <w:rPr>
                <w:b/>
                <w:sz w:val="20"/>
              </w:rPr>
            </w:pPr>
            <w:r>
              <w:rPr>
                <w:b/>
                <w:sz w:val="20"/>
              </w:rPr>
              <w:t>Nº</w:t>
            </w:r>
          </w:p>
        </w:tc>
        <w:tc>
          <w:tcPr>
            <w:tcW w:w="703" w:type="dxa"/>
            <w:tcBorders>
              <w:top w:val="single" w:sz="4" w:space="0" w:color="000000"/>
              <w:left w:val="single" w:sz="4" w:space="0" w:color="000000"/>
            </w:tcBorders>
          </w:tcPr>
          <w:p>
            <w:pPr>
              <w:pStyle w:val="TableParagraph"/>
              <w:spacing w:before="7"/>
              <w:ind w:left="20"/>
              <w:rPr>
                <w:b/>
                <w:sz w:val="20"/>
              </w:rPr>
            </w:pPr>
            <w:r>
              <w:rPr>
                <w:b/>
                <w:w w:val="100"/>
                <w:sz w:val="20"/>
              </w:rPr>
              <w:t>%</w:t>
            </w:r>
          </w:p>
        </w:tc>
        <w:tc>
          <w:tcPr>
            <w:tcW w:w="853" w:type="dxa"/>
            <w:tcBorders>
              <w:top w:val="single" w:sz="4" w:space="0" w:color="000000"/>
              <w:right w:val="single" w:sz="4" w:space="0" w:color="000000"/>
            </w:tcBorders>
          </w:tcPr>
          <w:p>
            <w:pPr>
              <w:pStyle w:val="TableParagraph"/>
              <w:spacing w:before="7"/>
              <w:ind w:left="267" w:right="289"/>
              <w:rPr>
                <w:b/>
                <w:sz w:val="20"/>
              </w:rPr>
            </w:pPr>
            <w:r>
              <w:rPr>
                <w:b/>
                <w:sz w:val="20"/>
              </w:rPr>
              <w:t>Nº</w:t>
            </w:r>
          </w:p>
        </w:tc>
        <w:tc>
          <w:tcPr>
            <w:tcW w:w="708" w:type="dxa"/>
            <w:tcBorders>
              <w:top w:val="single" w:sz="4" w:space="0" w:color="000000"/>
              <w:left w:val="single" w:sz="4" w:space="0" w:color="000000"/>
            </w:tcBorders>
          </w:tcPr>
          <w:p>
            <w:pPr>
              <w:pStyle w:val="TableParagraph"/>
              <w:spacing w:before="7"/>
              <w:ind w:left="15"/>
              <w:rPr>
                <w:b/>
                <w:sz w:val="20"/>
              </w:rPr>
            </w:pPr>
            <w:r>
              <w:rPr>
                <w:b/>
                <w:w w:val="100"/>
                <w:sz w:val="20"/>
              </w:rPr>
              <w:t>%</w:t>
            </w:r>
          </w:p>
        </w:tc>
      </w:tr>
      <w:tr>
        <w:trPr>
          <w:trHeight w:val="948" w:hRule="exact"/>
        </w:trPr>
        <w:tc>
          <w:tcPr>
            <w:tcW w:w="2274" w:type="dxa"/>
            <w:tcBorders>
              <w:bottom w:val="single" w:sz="4" w:space="0" w:color="000000"/>
              <w:right w:val="single" w:sz="4" w:space="0" w:color="000000"/>
            </w:tcBorders>
          </w:tcPr>
          <w:p>
            <w:pPr>
              <w:pStyle w:val="TableParagraph"/>
              <w:tabs>
                <w:tab w:pos="1790" w:val="left" w:leader="none"/>
              </w:tabs>
              <w:spacing w:line="237" w:lineRule="auto" w:before="1"/>
              <w:ind w:left="28" w:right="45"/>
              <w:jc w:val="both"/>
              <w:rPr>
                <w:sz w:val="20"/>
              </w:rPr>
            </w:pPr>
            <w:r>
              <w:rPr>
                <w:sz w:val="20"/>
              </w:rPr>
              <w:t>Sou confiante na minha habilidade de fazer o necessário</w:t>
              <w:tab/>
              <w:t>para alcançar os</w:t>
            </w:r>
            <w:r>
              <w:rPr>
                <w:spacing w:val="-7"/>
                <w:sz w:val="20"/>
              </w:rPr>
              <w:t> </w:t>
            </w:r>
            <w:r>
              <w:rPr>
                <w:sz w:val="20"/>
              </w:rPr>
              <w:t>objetivos.</w:t>
            </w:r>
          </w:p>
        </w:tc>
        <w:tc>
          <w:tcPr>
            <w:tcW w:w="1131" w:type="dxa"/>
            <w:tcBorders>
              <w:left w:val="single" w:sz="4" w:space="0" w:color="000000"/>
              <w:bottom w:val="single" w:sz="4" w:space="0" w:color="000000"/>
            </w:tcBorders>
          </w:tcPr>
          <w:p>
            <w:pPr>
              <w:pStyle w:val="TableParagraph"/>
              <w:jc w:val="left"/>
              <w:rPr>
                <w:b/>
                <w:sz w:val="30"/>
              </w:rPr>
            </w:pPr>
          </w:p>
          <w:p>
            <w:pPr>
              <w:pStyle w:val="TableParagraph"/>
              <w:ind w:left="130" w:right="121"/>
              <w:rPr>
                <w:sz w:val="20"/>
              </w:rPr>
            </w:pPr>
            <w:r>
              <w:rPr>
                <w:sz w:val="20"/>
              </w:rPr>
              <w:t>43</w:t>
            </w:r>
          </w:p>
        </w:tc>
        <w:tc>
          <w:tcPr>
            <w:tcW w:w="569" w:type="dxa"/>
            <w:tcBorders>
              <w:bottom w:val="single" w:sz="4" w:space="0" w:color="000000"/>
              <w:right w:val="single" w:sz="4" w:space="0" w:color="000000"/>
            </w:tcBorders>
          </w:tcPr>
          <w:p>
            <w:pPr>
              <w:pStyle w:val="TableParagraph"/>
              <w:jc w:val="left"/>
              <w:rPr>
                <w:b/>
                <w:sz w:val="30"/>
              </w:rPr>
            </w:pPr>
          </w:p>
          <w:p>
            <w:pPr>
              <w:pStyle w:val="TableParagraph"/>
              <w:ind w:right="170"/>
              <w:jc w:val="right"/>
              <w:rPr>
                <w:sz w:val="20"/>
              </w:rPr>
            </w:pPr>
            <w:r>
              <w:rPr>
                <w:sz w:val="20"/>
              </w:rPr>
              <w:t>24</w:t>
            </w:r>
          </w:p>
        </w:tc>
        <w:tc>
          <w:tcPr>
            <w:tcW w:w="564" w:type="dxa"/>
            <w:tcBorders>
              <w:left w:val="single" w:sz="4" w:space="0" w:color="000000"/>
              <w:bottom w:val="single" w:sz="4" w:space="0" w:color="000000"/>
            </w:tcBorders>
          </w:tcPr>
          <w:p>
            <w:pPr>
              <w:pStyle w:val="TableParagraph"/>
              <w:jc w:val="left"/>
              <w:rPr>
                <w:b/>
                <w:sz w:val="30"/>
              </w:rPr>
            </w:pPr>
          </w:p>
          <w:p>
            <w:pPr>
              <w:pStyle w:val="TableParagraph"/>
              <w:ind w:left="56" w:right="46"/>
              <w:rPr>
                <w:sz w:val="20"/>
              </w:rPr>
            </w:pPr>
            <w:r>
              <w:rPr>
                <w:sz w:val="20"/>
              </w:rPr>
              <w:t>0,0</w:t>
            </w:r>
          </w:p>
        </w:tc>
        <w:tc>
          <w:tcPr>
            <w:tcW w:w="569" w:type="dxa"/>
            <w:tcBorders>
              <w:bottom w:val="single" w:sz="4" w:space="0" w:color="000000"/>
              <w:right w:val="single" w:sz="4" w:space="0" w:color="000000"/>
            </w:tcBorders>
          </w:tcPr>
          <w:p>
            <w:pPr>
              <w:pStyle w:val="TableParagraph"/>
              <w:jc w:val="left"/>
              <w:rPr>
                <w:b/>
                <w:sz w:val="30"/>
              </w:rPr>
            </w:pPr>
          </w:p>
          <w:p>
            <w:pPr>
              <w:pStyle w:val="TableParagraph"/>
              <w:ind w:left="148"/>
              <w:jc w:val="left"/>
              <w:rPr>
                <w:sz w:val="20"/>
              </w:rPr>
            </w:pPr>
            <w:r>
              <w:rPr>
                <w:sz w:val="20"/>
              </w:rPr>
              <w:t>24</w:t>
            </w:r>
          </w:p>
        </w:tc>
        <w:tc>
          <w:tcPr>
            <w:tcW w:w="709" w:type="dxa"/>
            <w:tcBorders>
              <w:left w:val="single" w:sz="4" w:space="0" w:color="000000"/>
              <w:bottom w:val="single" w:sz="4" w:space="0" w:color="000000"/>
            </w:tcBorders>
          </w:tcPr>
          <w:p>
            <w:pPr>
              <w:pStyle w:val="TableParagraph"/>
              <w:jc w:val="left"/>
              <w:rPr>
                <w:b/>
                <w:sz w:val="30"/>
              </w:rPr>
            </w:pPr>
          </w:p>
          <w:p>
            <w:pPr>
              <w:pStyle w:val="TableParagraph"/>
              <w:ind w:right="136"/>
              <w:jc w:val="right"/>
              <w:rPr>
                <w:sz w:val="20"/>
              </w:rPr>
            </w:pPr>
            <w:r>
              <w:rPr>
                <w:sz w:val="20"/>
              </w:rPr>
              <w:t>1,19</w:t>
            </w:r>
          </w:p>
        </w:tc>
        <w:tc>
          <w:tcPr>
            <w:tcW w:w="713" w:type="dxa"/>
            <w:tcBorders>
              <w:bottom w:val="single" w:sz="4" w:space="0" w:color="000000"/>
              <w:right w:val="single" w:sz="4" w:space="0" w:color="000000"/>
            </w:tcBorders>
          </w:tcPr>
          <w:p>
            <w:pPr>
              <w:pStyle w:val="TableParagraph"/>
              <w:jc w:val="left"/>
              <w:rPr>
                <w:b/>
                <w:sz w:val="30"/>
              </w:rPr>
            </w:pPr>
          </w:p>
          <w:p>
            <w:pPr>
              <w:pStyle w:val="TableParagraph"/>
              <w:ind w:left="196" w:right="218"/>
              <w:rPr>
                <w:sz w:val="20"/>
              </w:rPr>
            </w:pPr>
            <w:r>
              <w:rPr>
                <w:sz w:val="20"/>
              </w:rPr>
              <w:t>24</w:t>
            </w:r>
          </w:p>
        </w:tc>
        <w:tc>
          <w:tcPr>
            <w:tcW w:w="703" w:type="dxa"/>
            <w:tcBorders>
              <w:left w:val="single" w:sz="4" w:space="0" w:color="000000"/>
              <w:bottom w:val="single" w:sz="4" w:space="0" w:color="000000"/>
            </w:tcBorders>
          </w:tcPr>
          <w:p>
            <w:pPr>
              <w:pStyle w:val="TableParagraph"/>
              <w:jc w:val="left"/>
              <w:rPr>
                <w:b/>
                <w:sz w:val="30"/>
              </w:rPr>
            </w:pPr>
          </w:p>
          <w:p>
            <w:pPr>
              <w:pStyle w:val="TableParagraph"/>
              <w:ind w:left="76" w:right="60"/>
              <w:rPr>
                <w:sz w:val="20"/>
              </w:rPr>
            </w:pPr>
            <w:r>
              <w:rPr>
                <w:sz w:val="20"/>
              </w:rPr>
              <w:t>33,69</w:t>
            </w:r>
          </w:p>
        </w:tc>
        <w:tc>
          <w:tcPr>
            <w:tcW w:w="853" w:type="dxa"/>
            <w:tcBorders>
              <w:bottom w:val="single" w:sz="4" w:space="0" w:color="000000"/>
              <w:right w:val="single" w:sz="4" w:space="0" w:color="000000"/>
            </w:tcBorders>
          </w:tcPr>
          <w:p>
            <w:pPr>
              <w:pStyle w:val="TableParagraph"/>
              <w:jc w:val="left"/>
              <w:rPr>
                <w:b/>
                <w:sz w:val="30"/>
              </w:rPr>
            </w:pPr>
          </w:p>
          <w:p>
            <w:pPr>
              <w:pStyle w:val="TableParagraph"/>
              <w:ind w:left="272" w:right="289"/>
              <w:rPr>
                <w:sz w:val="20"/>
              </w:rPr>
            </w:pPr>
            <w:r>
              <w:rPr>
                <w:sz w:val="20"/>
              </w:rPr>
              <w:t>24</w:t>
            </w:r>
          </w:p>
        </w:tc>
        <w:tc>
          <w:tcPr>
            <w:tcW w:w="708" w:type="dxa"/>
            <w:tcBorders>
              <w:left w:val="single" w:sz="4" w:space="0" w:color="000000"/>
              <w:bottom w:val="single" w:sz="4" w:space="0" w:color="000000"/>
            </w:tcBorders>
          </w:tcPr>
          <w:p>
            <w:pPr>
              <w:pStyle w:val="TableParagraph"/>
              <w:jc w:val="left"/>
              <w:rPr>
                <w:b/>
                <w:sz w:val="30"/>
              </w:rPr>
            </w:pPr>
          </w:p>
          <w:p>
            <w:pPr>
              <w:pStyle w:val="TableParagraph"/>
              <w:ind w:left="75" w:right="65"/>
              <w:rPr>
                <w:sz w:val="20"/>
              </w:rPr>
            </w:pPr>
            <w:r>
              <w:rPr>
                <w:sz w:val="20"/>
              </w:rPr>
              <w:t>31,79</w:t>
            </w:r>
          </w:p>
        </w:tc>
      </w:tr>
      <w:tr>
        <w:trPr>
          <w:trHeight w:val="1393" w:hRule="exact"/>
        </w:trPr>
        <w:tc>
          <w:tcPr>
            <w:tcW w:w="2274" w:type="dxa"/>
            <w:tcBorders>
              <w:top w:val="single" w:sz="4" w:space="0" w:color="000000"/>
              <w:bottom w:val="single" w:sz="4" w:space="0" w:color="000000"/>
              <w:right w:val="single" w:sz="4" w:space="0" w:color="000000"/>
            </w:tcBorders>
          </w:tcPr>
          <w:p>
            <w:pPr>
              <w:pStyle w:val="TableParagraph"/>
              <w:tabs>
                <w:tab w:pos="1815" w:val="left" w:leader="none"/>
              </w:tabs>
              <w:ind w:left="28" w:right="45"/>
              <w:jc w:val="both"/>
              <w:rPr>
                <w:sz w:val="20"/>
              </w:rPr>
            </w:pPr>
            <w:r>
              <w:rPr>
                <w:sz w:val="20"/>
              </w:rPr>
              <w:t>Sou motivado  para atuar frente a </w:t>
            </w:r>
            <w:r>
              <w:rPr>
                <w:spacing w:val="-4"/>
                <w:sz w:val="20"/>
              </w:rPr>
              <w:t>um </w:t>
            </w:r>
            <w:r>
              <w:rPr>
                <w:sz w:val="20"/>
              </w:rPr>
              <w:t>grande desafio me adaptando</w:t>
              <w:tab/>
              <w:t>com</w:t>
            </w:r>
          </w:p>
          <w:p>
            <w:pPr>
              <w:pStyle w:val="TableParagraph"/>
              <w:tabs>
                <w:tab w:pos="1982" w:val="left" w:leader="none"/>
              </w:tabs>
              <w:spacing w:before="5"/>
              <w:ind w:left="28" w:right="52"/>
              <w:jc w:val="both"/>
              <w:rPr>
                <w:sz w:val="20"/>
              </w:rPr>
            </w:pPr>
            <w:r>
              <w:rPr>
                <w:sz w:val="20"/>
              </w:rPr>
              <w:t>flexibilidade</w:t>
              <w:tab/>
            </w:r>
            <w:r>
              <w:rPr>
                <w:spacing w:val="-1"/>
                <w:sz w:val="20"/>
              </w:rPr>
              <w:t>às </w:t>
            </w:r>
            <w:r>
              <w:rPr>
                <w:sz w:val="20"/>
              </w:rPr>
              <w:t>mudanças.</w:t>
            </w:r>
          </w:p>
        </w:tc>
        <w:tc>
          <w:tcPr>
            <w:tcW w:w="1131"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27"/>
              </w:rPr>
            </w:pPr>
          </w:p>
          <w:p>
            <w:pPr>
              <w:pStyle w:val="TableParagraph"/>
              <w:spacing w:before="1"/>
              <w:ind w:left="130" w:right="121"/>
              <w:rPr>
                <w:sz w:val="20"/>
              </w:rPr>
            </w:pPr>
            <w:r>
              <w:rPr>
                <w:sz w:val="20"/>
              </w:rPr>
              <w:t>43</w:t>
            </w:r>
          </w:p>
        </w:tc>
        <w:tc>
          <w:tcPr>
            <w:tcW w:w="569"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spacing w:before="7"/>
              <w:jc w:val="left"/>
              <w:rPr>
                <w:b/>
                <w:sz w:val="27"/>
              </w:rPr>
            </w:pPr>
          </w:p>
          <w:p>
            <w:pPr>
              <w:pStyle w:val="TableParagraph"/>
              <w:spacing w:before="1"/>
              <w:ind w:right="170"/>
              <w:jc w:val="right"/>
              <w:rPr>
                <w:sz w:val="20"/>
              </w:rPr>
            </w:pPr>
            <w:r>
              <w:rPr>
                <w:sz w:val="20"/>
              </w:rPr>
              <w:t>24</w:t>
            </w:r>
          </w:p>
        </w:tc>
        <w:tc>
          <w:tcPr>
            <w:tcW w:w="564"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27"/>
              </w:rPr>
            </w:pPr>
          </w:p>
          <w:p>
            <w:pPr>
              <w:pStyle w:val="TableParagraph"/>
              <w:spacing w:before="1"/>
              <w:ind w:left="61" w:right="46"/>
              <w:rPr>
                <w:sz w:val="20"/>
              </w:rPr>
            </w:pPr>
            <w:r>
              <w:rPr>
                <w:sz w:val="20"/>
              </w:rPr>
              <w:t>3,97</w:t>
            </w:r>
          </w:p>
        </w:tc>
        <w:tc>
          <w:tcPr>
            <w:tcW w:w="569"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spacing w:before="7"/>
              <w:jc w:val="left"/>
              <w:rPr>
                <w:b/>
                <w:sz w:val="27"/>
              </w:rPr>
            </w:pPr>
          </w:p>
          <w:p>
            <w:pPr>
              <w:pStyle w:val="TableParagraph"/>
              <w:spacing w:before="1"/>
              <w:ind w:left="148"/>
              <w:jc w:val="left"/>
              <w:rPr>
                <w:sz w:val="20"/>
              </w:rPr>
            </w:pPr>
            <w:r>
              <w:rPr>
                <w:sz w:val="20"/>
              </w:rPr>
              <w:t>24</w:t>
            </w:r>
          </w:p>
        </w:tc>
        <w:tc>
          <w:tcPr>
            <w:tcW w:w="709"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27"/>
              </w:rPr>
            </w:pPr>
          </w:p>
          <w:p>
            <w:pPr>
              <w:pStyle w:val="TableParagraph"/>
              <w:spacing w:before="1"/>
              <w:ind w:right="136"/>
              <w:jc w:val="right"/>
              <w:rPr>
                <w:sz w:val="20"/>
              </w:rPr>
            </w:pPr>
            <w:r>
              <w:rPr>
                <w:sz w:val="20"/>
              </w:rPr>
              <w:t>8,49</w:t>
            </w:r>
          </w:p>
        </w:tc>
        <w:tc>
          <w:tcPr>
            <w:tcW w:w="713"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spacing w:before="7"/>
              <w:jc w:val="left"/>
              <w:rPr>
                <w:b/>
                <w:sz w:val="27"/>
              </w:rPr>
            </w:pPr>
          </w:p>
          <w:p>
            <w:pPr>
              <w:pStyle w:val="TableParagraph"/>
              <w:spacing w:before="1"/>
              <w:ind w:left="196" w:right="218"/>
              <w:rPr>
                <w:sz w:val="20"/>
              </w:rPr>
            </w:pPr>
            <w:r>
              <w:rPr>
                <w:sz w:val="20"/>
              </w:rPr>
              <w:t>24</w:t>
            </w:r>
          </w:p>
        </w:tc>
        <w:tc>
          <w:tcPr>
            <w:tcW w:w="703"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27"/>
              </w:rPr>
            </w:pPr>
          </w:p>
          <w:p>
            <w:pPr>
              <w:pStyle w:val="TableParagraph"/>
              <w:spacing w:before="1"/>
              <w:ind w:left="76" w:right="60"/>
              <w:rPr>
                <w:sz w:val="20"/>
              </w:rPr>
            </w:pPr>
            <w:r>
              <w:rPr>
                <w:sz w:val="20"/>
              </w:rPr>
              <w:t>23,14</w:t>
            </w:r>
          </w:p>
        </w:tc>
        <w:tc>
          <w:tcPr>
            <w:tcW w:w="853"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spacing w:before="7"/>
              <w:jc w:val="left"/>
              <w:rPr>
                <w:b/>
                <w:sz w:val="27"/>
              </w:rPr>
            </w:pPr>
          </w:p>
          <w:p>
            <w:pPr>
              <w:pStyle w:val="TableParagraph"/>
              <w:spacing w:before="1"/>
              <w:ind w:left="272" w:right="289"/>
              <w:rPr>
                <w:sz w:val="20"/>
              </w:rPr>
            </w:pPr>
            <w:r>
              <w:rPr>
                <w:sz w:val="20"/>
              </w:rPr>
              <w:t>24</w:t>
            </w:r>
          </w:p>
        </w:tc>
        <w:tc>
          <w:tcPr>
            <w:tcW w:w="708"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27"/>
              </w:rPr>
            </w:pPr>
          </w:p>
          <w:p>
            <w:pPr>
              <w:pStyle w:val="TableParagraph"/>
              <w:spacing w:before="1"/>
              <w:ind w:left="75" w:right="65"/>
              <w:rPr>
                <w:sz w:val="20"/>
              </w:rPr>
            </w:pPr>
            <w:r>
              <w:rPr>
                <w:sz w:val="20"/>
              </w:rPr>
              <w:t>29,88</w:t>
            </w:r>
          </w:p>
        </w:tc>
      </w:tr>
      <w:tr>
        <w:trPr>
          <w:trHeight w:val="701" w:hRule="exact"/>
        </w:trPr>
        <w:tc>
          <w:tcPr>
            <w:tcW w:w="2274" w:type="dxa"/>
            <w:tcBorders>
              <w:top w:val="single" w:sz="4" w:space="0" w:color="000000"/>
              <w:bottom w:val="single" w:sz="4" w:space="0" w:color="000000"/>
              <w:right w:val="single" w:sz="4" w:space="0" w:color="000000"/>
            </w:tcBorders>
          </w:tcPr>
          <w:p>
            <w:pPr>
              <w:pStyle w:val="TableParagraph"/>
              <w:ind w:left="28" w:right="50"/>
              <w:jc w:val="both"/>
              <w:rPr>
                <w:sz w:val="20"/>
              </w:rPr>
            </w:pPr>
            <w:r>
              <w:rPr>
                <w:sz w:val="20"/>
              </w:rPr>
              <w:t>Calculo os riscos de maneira cuidadosa e avalio alternativas.</w:t>
            </w:r>
          </w:p>
        </w:tc>
        <w:tc>
          <w:tcPr>
            <w:tcW w:w="1131" w:type="dxa"/>
            <w:tcBorders>
              <w:top w:val="single" w:sz="4" w:space="0" w:color="000000"/>
              <w:left w:val="single" w:sz="4" w:space="0" w:color="000000"/>
              <w:bottom w:val="single" w:sz="4" w:space="0" w:color="000000"/>
            </w:tcBorders>
          </w:tcPr>
          <w:p>
            <w:pPr>
              <w:pStyle w:val="TableParagraph"/>
              <w:spacing w:before="6"/>
              <w:jc w:val="left"/>
              <w:rPr>
                <w:b/>
                <w:sz w:val="19"/>
              </w:rPr>
            </w:pPr>
          </w:p>
          <w:p>
            <w:pPr>
              <w:pStyle w:val="TableParagraph"/>
              <w:ind w:left="130" w:right="121"/>
              <w:rPr>
                <w:sz w:val="20"/>
              </w:rPr>
            </w:pPr>
            <w:r>
              <w:rPr>
                <w:sz w:val="20"/>
              </w:rPr>
              <w:t>43</w:t>
            </w:r>
          </w:p>
        </w:tc>
        <w:tc>
          <w:tcPr>
            <w:tcW w:w="569" w:type="dxa"/>
            <w:tcBorders>
              <w:top w:val="single" w:sz="4" w:space="0" w:color="000000"/>
              <w:bottom w:val="single" w:sz="4" w:space="0" w:color="000000"/>
              <w:right w:val="single" w:sz="4" w:space="0" w:color="000000"/>
            </w:tcBorders>
          </w:tcPr>
          <w:p>
            <w:pPr>
              <w:pStyle w:val="TableParagraph"/>
              <w:spacing w:before="6"/>
              <w:jc w:val="left"/>
              <w:rPr>
                <w:b/>
                <w:sz w:val="19"/>
              </w:rPr>
            </w:pPr>
          </w:p>
          <w:p>
            <w:pPr>
              <w:pStyle w:val="TableParagraph"/>
              <w:ind w:right="170"/>
              <w:jc w:val="right"/>
              <w:rPr>
                <w:sz w:val="20"/>
              </w:rPr>
            </w:pPr>
            <w:r>
              <w:rPr>
                <w:sz w:val="20"/>
              </w:rPr>
              <w:t>24</w:t>
            </w:r>
          </w:p>
        </w:tc>
        <w:tc>
          <w:tcPr>
            <w:tcW w:w="564" w:type="dxa"/>
            <w:tcBorders>
              <w:top w:val="single" w:sz="4" w:space="0" w:color="000000"/>
              <w:left w:val="single" w:sz="4" w:space="0" w:color="000000"/>
              <w:bottom w:val="single" w:sz="4" w:space="0" w:color="000000"/>
            </w:tcBorders>
          </w:tcPr>
          <w:p>
            <w:pPr>
              <w:pStyle w:val="TableParagraph"/>
              <w:spacing w:before="6"/>
              <w:jc w:val="left"/>
              <w:rPr>
                <w:b/>
                <w:sz w:val="19"/>
              </w:rPr>
            </w:pPr>
          </w:p>
          <w:p>
            <w:pPr>
              <w:pStyle w:val="TableParagraph"/>
              <w:ind w:left="61" w:right="46"/>
              <w:rPr>
                <w:sz w:val="20"/>
              </w:rPr>
            </w:pPr>
            <w:r>
              <w:rPr>
                <w:sz w:val="20"/>
              </w:rPr>
              <w:t>1,19</w:t>
            </w:r>
          </w:p>
        </w:tc>
        <w:tc>
          <w:tcPr>
            <w:tcW w:w="569" w:type="dxa"/>
            <w:tcBorders>
              <w:top w:val="single" w:sz="4" w:space="0" w:color="000000"/>
              <w:bottom w:val="single" w:sz="4" w:space="0" w:color="000000"/>
              <w:right w:val="single" w:sz="4" w:space="0" w:color="000000"/>
            </w:tcBorders>
          </w:tcPr>
          <w:p>
            <w:pPr>
              <w:pStyle w:val="TableParagraph"/>
              <w:spacing w:before="6"/>
              <w:jc w:val="left"/>
              <w:rPr>
                <w:b/>
                <w:sz w:val="19"/>
              </w:rPr>
            </w:pPr>
          </w:p>
          <w:p>
            <w:pPr>
              <w:pStyle w:val="TableParagraph"/>
              <w:ind w:left="148"/>
              <w:jc w:val="left"/>
              <w:rPr>
                <w:sz w:val="20"/>
              </w:rPr>
            </w:pPr>
            <w:r>
              <w:rPr>
                <w:sz w:val="20"/>
              </w:rPr>
              <w:t>24</w:t>
            </w:r>
          </w:p>
        </w:tc>
        <w:tc>
          <w:tcPr>
            <w:tcW w:w="709" w:type="dxa"/>
            <w:tcBorders>
              <w:top w:val="single" w:sz="4" w:space="0" w:color="000000"/>
              <w:left w:val="single" w:sz="4" w:space="0" w:color="000000"/>
              <w:bottom w:val="single" w:sz="4" w:space="0" w:color="000000"/>
            </w:tcBorders>
          </w:tcPr>
          <w:p>
            <w:pPr>
              <w:pStyle w:val="TableParagraph"/>
              <w:spacing w:before="6"/>
              <w:jc w:val="left"/>
              <w:rPr>
                <w:b/>
                <w:sz w:val="19"/>
              </w:rPr>
            </w:pPr>
          </w:p>
          <w:p>
            <w:pPr>
              <w:pStyle w:val="TableParagraph"/>
              <w:ind w:left="235"/>
              <w:jc w:val="left"/>
              <w:rPr>
                <w:sz w:val="20"/>
              </w:rPr>
            </w:pPr>
            <w:r>
              <w:rPr>
                <w:sz w:val="20"/>
              </w:rPr>
              <w:t>15</w:t>
            </w:r>
          </w:p>
        </w:tc>
        <w:tc>
          <w:tcPr>
            <w:tcW w:w="713" w:type="dxa"/>
            <w:tcBorders>
              <w:top w:val="single" w:sz="4" w:space="0" w:color="000000"/>
              <w:bottom w:val="single" w:sz="4" w:space="0" w:color="000000"/>
              <w:right w:val="single" w:sz="4" w:space="0" w:color="000000"/>
            </w:tcBorders>
          </w:tcPr>
          <w:p>
            <w:pPr>
              <w:pStyle w:val="TableParagraph"/>
              <w:spacing w:before="6"/>
              <w:jc w:val="left"/>
              <w:rPr>
                <w:b/>
                <w:sz w:val="19"/>
              </w:rPr>
            </w:pPr>
          </w:p>
          <w:p>
            <w:pPr>
              <w:pStyle w:val="TableParagraph"/>
              <w:ind w:left="196" w:right="218"/>
              <w:rPr>
                <w:sz w:val="20"/>
              </w:rPr>
            </w:pPr>
            <w:r>
              <w:rPr>
                <w:sz w:val="20"/>
              </w:rPr>
              <w:t>24</w:t>
            </w:r>
          </w:p>
        </w:tc>
        <w:tc>
          <w:tcPr>
            <w:tcW w:w="703" w:type="dxa"/>
            <w:tcBorders>
              <w:top w:val="single" w:sz="4" w:space="0" w:color="000000"/>
              <w:left w:val="single" w:sz="4" w:space="0" w:color="000000"/>
              <w:bottom w:val="single" w:sz="4" w:space="0" w:color="000000"/>
            </w:tcBorders>
          </w:tcPr>
          <w:p>
            <w:pPr>
              <w:pStyle w:val="TableParagraph"/>
              <w:spacing w:before="6"/>
              <w:jc w:val="left"/>
              <w:rPr>
                <w:b/>
                <w:sz w:val="19"/>
              </w:rPr>
            </w:pPr>
          </w:p>
          <w:p>
            <w:pPr>
              <w:pStyle w:val="TableParagraph"/>
              <w:ind w:left="76" w:right="60"/>
              <w:rPr>
                <w:sz w:val="20"/>
              </w:rPr>
            </w:pPr>
            <w:r>
              <w:rPr>
                <w:sz w:val="20"/>
              </w:rPr>
              <w:t>38,41</w:t>
            </w:r>
          </w:p>
        </w:tc>
        <w:tc>
          <w:tcPr>
            <w:tcW w:w="853" w:type="dxa"/>
            <w:tcBorders>
              <w:top w:val="single" w:sz="4" w:space="0" w:color="000000"/>
              <w:bottom w:val="single" w:sz="4" w:space="0" w:color="000000"/>
              <w:right w:val="single" w:sz="4" w:space="0" w:color="000000"/>
            </w:tcBorders>
          </w:tcPr>
          <w:p>
            <w:pPr>
              <w:pStyle w:val="TableParagraph"/>
              <w:spacing w:before="6"/>
              <w:jc w:val="left"/>
              <w:rPr>
                <w:b/>
                <w:sz w:val="19"/>
              </w:rPr>
            </w:pPr>
          </w:p>
          <w:p>
            <w:pPr>
              <w:pStyle w:val="TableParagraph"/>
              <w:ind w:left="272" w:right="289"/>
              <w:rPr>
                <w:sz w:val="20"/>
              </w:rPr>
            </w:pPr>
            <w:r>
              <w:rPr>
                <w:sz w:val="20"/>
              </w:rPr>
              <w:t>24</w:t>
            </w:r>
          </w:p>
        </w:tc>
        <w:tc>
          <w:tcPr>
            <w:tcW w:w="708" w:type="dxa"/>
            <w:tcBorders>
              <w:top w:val="single" w:sz="4" w:space="0" w:color="000000"/>
              <w:left w:val="single" w:sz="4" w:space="0" w:color="000000"/>
              <w:bottom w:val="single" w:sz="4" w:space="0" w:color="000000"/>
            </w:tcBorders>
          </w:tcPr>
          <w:p>
            <w:pPr>
              <w:pStyle w:val="TableParagraph"/>
              <w:spacing w:before="6"/>
              <w:jc w:val="left"/>
              <w:rPr>
                <w:b/>
                <w:sz w:val="19"/>
              </w:rPr>
            </w:pPr>
          </w:p>
          <w:p>
            <w:pPr>
              <w:pStyle w:val="TableParagraph"/>
              <w:ind w:left="75" w:right="65"/>
              <w:rPr>
                <w:sz w:val="20"/>
              </w:rPr>
            </w:pPr>
            <w:r>
              <w:rPr>
                <w:sz w:val="20"/>
              </w:rPr>
              <w:t>12,07</w:t>
            </w:r>
          </w:p>
        </w:tc>
      </w:tr>
      <w:tr>
        <w:trPr>
          <w:trHeight w:val="1157" w:hRule="exact"/>
        </w:trPr>
        <w:tc>
          <w:tcPr>
            <w:tcW w:w="2274" w:type="dxa"/>
            <w:tcBorders>
              <w:top w:val="single" w:sz="4" w:space="0" w:color="000000"/>
              <w:bottom w:val="single" w:sz="4" w:space="0" w:color="000000"/>
              <w:right w:val="single" w:sz="4" w:space="0" w:color="000000"/>
            </w:tcBorders>
          </w:tcPr>
          <w:p>
            <w:pPr>
              <w:pStyle w:val="TableParagraph"/>
              <w:ind w:left="28" w:right="45"/>
              <w:jc w:val="both"/>
              <w:rPr>
                <w:sz w:val="20"/>
              </w:rPr>
            </w:pPr>
            <w:r>
              <w:rPr>
                <w:sz w:val="20"/>
              </w:rPr>
              <w:t>Procuro, pessoalmente, informações sobre os alunos, colegas e processos que melhore a minha prática.</w:t>
            </w:r>
          </w:p>
        </w:tc>
        <w:tc>
          <w:tcPr>
            <w:tcW w:w="1131"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17"/>
              </w:rPr>
            </w:pPr>
          </w:p>
          <w:p>
            <w:pPr>
              <w:pStyle w:val="TableParagraph"/>
              <w:ind w:left="130" w:right="121"/>
              <w:rPr>
                <w:sz w:val="20"/>
              </w:rPr>
            </w:pPr>
            <w:r>
              <w:rPr>
                <w:sz w:val="20"/>
              </w:rPr>
              <w:t>43</w:t>
            </w:r>
          </w:p>
        </w:tc>
        <w:tc>
          <w:tcPr>
            <w:tcW w:w="569"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spacing w:before="7"/>
              <w:jc w:val="left"/>
              <w:rPr>
                <w:b/>
                <w:sz w:val="17"/>
              </w:rPr>
            </w:pPr>
          </w:p>
          <w:p>
            <w:pPr>
              <w:pStyle w:val="TableParagraph"/>
              <w:ind w:right="170"/>
              <w:jc w:val="right"/>
              <w:rPr>
                <w:sz w:val="20"/>
              </w:rPr>
            </w:pPr>
            <w:r>
              <w:rPr>
                <w:sz w:val="20"/>
              </w:rPr>
              <w:t>24</w:t>
            </w:r>
          </w:p>
        </w:tc>
        <w:tc>
          <w:tcPr>
            <w:tcW w:w="564"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17"/>
              </w:rPr>
            </w:pPr>
          </w:p>
          <w:p>
            <w:pPr>
              <w:pStyle w:val="TableParagraph"/>
              <w:ind w:left="61" w:right="46"/>
              <w:rPr>
                <w:sz w:val="20"/>
              </w:rPr>
            </w:pPr>
            <w:r>
              <w:rPr>
                <w:sz w:val="20"/>
              </w:rPr>
              <w:t>0,40</w:t>
            </w:r>
          </w:p>
        </w:tc>
        <w:tc>
          <w:tcPr>
            <w:tcW w:w="569"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spacing w:before="7"/>
              <w:jc w:val="left"/>
              <w:rPr>
                <w:b/>
                <w:sz w:val="17"/>
              </w:rPr>
            </w:pPr>
          </w:p>
          <w:p>
            <w:pPr>
              <w:pStyle w:val="TableParagraph"/>
              <w:ind w:left="148"/>
              <w:jc w:val="left"/>
              <w:rPr>
                <w:sz w:val="20"/>
              </w:rPr>
            </w:pPr>
            <w:r>
              <w:rPr>
                <w:sz w:val="20"/>
              </w:rPr>
              <w:t>24</w:t>
            </w:r>
          </w:p>
        </w:tc>
        <w:tc>
          <w:tcPr>
            <w:tcW w:w="709"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17"/>
              </w:rPr>
            </w:pPr>
          </w:p>
          <w:p>
            <w:pPr>
              <w:pStyle w:val="TableParagraph"/>
              <w:ind w:right="136"/>
              <w:jc w:val="right"/>
              <w:rPr>
                <w:sz w:val="20"/>
              </w:rPr>
            </w:pPr>
            <w:r>
              <w:rPr>
                <w:sz w:val="20"/>
              </w:rPr>
              <w:t>2,38</w:t>
            </w:r>
          </w:p>
        </w:tc>
        <w:tc>
          <w:tcPr>
            <w:tcW w:w="713"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spacing w:before="7"/>
              <w:jc w:val="left"/>
              <w:rPr>
                <w:b/>
                <w:sz w:val="17"/>
              </w:rPr>
            </w:pPr>
          </w:p>
          <w:p>
            <w:pPr>
              <w:pStyle w:val="TableParagraph"/>
              <w:ind w:left="196" w:right="218"/>
              <w:rPr>
                <w:sz w:val="20"/>
              </w:rPr>
            </w:pPr>
            <w:r>
              <w:rPr>
                <w:sz w:val="20"/>
              </w:rPr>
              <w:t>24</w:t>
            </w:r>
          </w:p>
        </w:tc>
        <w:tc>
          <w:tcPr>
            <w:tcW w:w="703"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17"/>
              </w:rPr>
            </w:pPr>
          </w:p>
          <w:p>
            <w:pPr>
              <w:pStyle w:val="TableParagraph"/>
              <w:ind w:left="76" w:right="60"/>
              <w:rPr>
                <w:sz w:val="20"/>
              </w:rPr>
            </w:pPr>
            <w:r>
              <w:rPr>
                <w:sz w:val="20"/>
              </w:rPr>
              <w:t>26,47</w:t>
            </w:r>
          </w:p>
        </w:tc>
        <w:tc>
          <w:tcPr>
            <w:tcW w:w="853" w:type="dxa"/>
            <w:tcBorders>
              <w:top w:val="single" w:sz="4" w:space="0" w:color="000000"/>
              <w:bottom w:val="single" w:sz="4" w:space="0" w:color="000000"/>
              <w:right w:val="single" w:sz="4" w:space="0" w:color="000000"/>
            </w:tcBorders>
          </w:tcPr>
          <w:p>
            <w:pPr>
              <w:pStyle w:val="TableParagraph"/>
              <w:jc w:val="left"/>
              <w:rPr>
                <w:b/>
                <w:sz w:val="22"/>
              </w:rPr>
            </w:pPr>
          </w:p>
          <w:p>
            <w:pPr>
              <w:pStyle w:val="TableParagraph"/>
              <w:spacing w:before="7"/>
              <w:jc w:val="left"/>
              <w:rPr>
                <w:b/>
                <w:sz w:val="17"/>
              </w:rPr>
            </w:pPr>
          </w:p>
          <w:p>
            <w:pPr>
              <w:pStyle w:val="TableParagraph"/>
              <w:ind w:left="272" w:right="289"/>
              <w:rPr>
                <w:sz w:val="20"/>
              </w:rPr>
            </w:pPr>
            <w:r>
              <w:rPr>
                <w:sz w:val="20"/>
              </w:rPr>
              <w:t>24</w:t>
            </w:r>
          </w:p>
        </w:tc>
        <w:tc>
          <w:tcPr>
            <w:tcW w:w="708" w:type="dxa"/>
            <w:tcBorders>
              <w:top w:val="single" w:sz="4" w:space="0" w:color="000000"/>
              <w:left w:val="single" w:sz="4" w:space="0" w:color="000000"/>
              <w:bottom w:val="single" w:sz="4" w:space="0" w:color="000000"/>
            </w:tcBorders>
          </w:tcPr>
          <w:p>
            <w:pPr>
              <w:pStyle w:val="TableParagraph"/>
              <w:jc w:val="left"/>
              <w:rPr>
                <w:b/>
                <w:sz w:val="22"/>
              </w:rPr>
            </w:pPr>
          </w:p>
          <w:p>
            <w:pPr>
              <w:pStyle w:val="TableParagraph"/>
              <w:spacing w:before="7"/>
              <w:jc w:val="left"/>
              <w:rPr>
                <w:b/>
                <w:sz w:val="17"/>
              </w:rPr>
            </w:pPr>
          </w:p>
          <w:p>
            <w:pPr>
              <w:pStyle w:val="TableParagraph"/>
              <w:ind w:left="75" w:right="65"/>
              <w:rPr>
                <w:sz w:val="20"/>
              </w:rPr>
            </w:pPr>
            <w:r>
              <w:rPr>
                <w:sz w:val="20"/>
              </w:rPr>
              <w:t>35,44</w:t>
            </w:r>
          </w:p>
        </w:tc>
      </w:tr>
      <w:tr>
        <w:trPr>
          <w:trHeight w:val="932" w:hRule="exact"/>
        </w:trPr>
        <w:tc>
          <w:tcPr>
            <w:tcW w:w="2274" w:type="dxa"/>
            <w:tcBorders>
              <w:top w:val="single" w:sz="4" w:space="0" w:color="000000"/>
              <w:bottom w:val="single" w:sz="4" w:space="0" w:color="000000"/>
              <w:right w:val="single" w:sz="4" w:space="0" w:color="000000"/>
            </w:tcBorders>
          </w:tcPr>
          <w:p>
            <w:pPr>
              <w:pStyle w:val="TableParagraph"/>
              <w:tabs>
                <w:tab w:pos="1406" w:val="left" w:leader="none"/>
                <w:tab w:pos="1627" w:val="left" w:leader="none"/>
              </w:tabs>
              <w:ind w:left="28" w:right="46"/>
              <w:jc w:val="both"/>
              <w:rPr>
                <w:sz w:val="20"/>
              </w:rPr>
            </w:pPr>
            <w:r>
              <w:rPr>
                <w:sz w:val="20"/>
              </w:rPr>
              <w:t>Procuro</w:t>
              <w:tab/>
            </w:r>
            <w:r>
              <w:rPr>
                <w:spacing w:val="-1"/>
                <w:sz w:val="20"/>
              </w:rPr>
              <w:t>objetivos </w:t>
            </w:r>
            <w:r>
              <w:rPr>
                <w:sz w:val="20"/>
              </w:rPr>
              <w:t>ambiciosos, a longo prazo,</w:t>
              <w:tab/>
              <w:tab/>
              <w:t>porém exequíveis.</w:t>
            </w:r>
          </w:p>
        </w:tc>
        <w:tc>
          <w:tcPr>
            <w:tcW w:w="1131" w:type="dxa"/>
            <w:tcBorders>
              <w:top w:val="single" w:sz="4" w:space="0" w:color="000000"/>
              <w:left w:val="single" w:sz="4" w:space="0" w:color="000000"/>
              <w:bottom w:val="single" w:sz="4" w:space="0" w:color="000000"/>
            </w:tcBorders>
          </w:tcPr>
          <w:p>
            <w:pPr>
              <w:pStyle w:val="TableParagraph"/>
              <w:spacing w:before="7"/>
              <w:jc w:val="left"/>
              <w:rPr>
                <w:b/>
                <w:sz w:val="29"/>
              </w:rPr>
            </w:pPr>
          </w:p>
          <w:p>
            <w:pPr>
              <w:pStyle w:val="TableParagraph"/>
              <w:ind w:left="130" w:right="121"/>
              <w:rPr>
                <w:sz w:val="20"/>
              </w:rPr>
            </w:pPr>
            <w:r>
              <w:rPr>
                <w:sz w:val="20"/>
              </w:rPr>
              <w:t>43</w:t>
            </w:r>
          </w:p>
        </w:tc>
        <w:tc>
          <w:tcPr>
            <w:tcW w:w="569" w:type="dxa"/>
            <w:tcBorders>
              <w:top w:val="single" w:sz="4" w:space="0" w:color="000000"/>
              <w:bottom w:val="single" w:sz="4" w:space="0" w:color="000000"/>
              <w:right w:val="single" w:sz="4" w:space="0" w:color="000000"/>
            </w:tcBorders>
          </w:tcPr>
          <w:p>
            <w:pPr>
              <w:pStyle w:val="TableParagraph"/>
              <w:spacing w:before="7"/>
              <w:jc w:val="left"/>
              <w:rPr>
                <w:b/>
                <w:sz w:val="29"/>
              </w:rPr>
            </w:pPr>
          </w:p>
          <w:p>
            <w:pPr>
              <w:pStyle w:val="TableParagraph"/>
              <w:ind w:right="170"/>
              <w:jc w:val="right"/>
              <w:rPr>
                <w:sz w:val="20"/>
              </w:rPr>
            </w:pPr>
            <w:r>
              <w:rPr>
                <w:sz w:val="20"/>
              </w:rPr>
              <w:t>24</w:t>
            </w:r>
          </w:p>
        </w:tc>
        <w:tc>
          <w:tcPr>
            <w:tcW w:w="564" w:type="dxa"/>
            <w:tcBorders>
              <w:top w:val="single" w:sz="4" w:space="0" w:color="000000"/>
              <w:left w:val="single" w:sz="4" w:space="0" w:color="000000"/>
              <w:bottom w:val="single" w:sz="4" w:space="0" w:color="000000"/>
            </w:tcBorders>
          </w:tcPr>
          <w:p>
            <w:pPr>
              <w:pStyle w:val="TableParagraph"/>
              <w:spacing w:before="7"/>
              <w:jc w:val="left"/>
              <w:rPr>
                <w:b/>
                <w:sz w:val="29"/>
              </w:rPr>
            </w:pPr>
          </w:p>
          <w:p>
            <w:pPr>
              <w:pStyle w:val="TableParagraph"/>
              <w:ind w:left="61" w:right="46"/>
              <w:rPr>
                <w:sz w:val="20"/>
              </w:rPr>
            </w:pPr>
            <w:r>
              <w:rPr>
                <w:sz w:val="20"/>
              </w:rPr>
              <w:t>8,53</w:t>
            </w:r>
          </w:p>
        </w:tc>
        <w:tc>
          <w:tcPr>
            <w:tcW w:w="569" w:type="dxa"/>
            <w:tcBorders>
              <w:top w:val="single" w:sz="4" w:space="0" w:color="000000"/>
              <w:bottom w:val="single" w:sz="4" w:space="0" w:color="000000"/>
              <w:right w:val="single" w:sz="4" w:space="0" w:color="000000"/>
            </w:tcBorders>
          </w:tcPr>
          <w:p>
            <w:pPr>
              <w:pStyle w:val="TableParagraph"/>
              <w:spacing w:before="7"/>
              <w:jc w:val="left"/>
              <w:rPr>
                <w:b/>
                <w:sz w:val="29"/>
              </w:rPr>
            </w:pPr>
          </w:p>
          <w:p>
            <w:pPr>
              <w:pStyle w:val="TableParagraph"/>
              <w:ind w:left="148"/>
              <w:jc w:val="left"/>
              <w:rPr>
                <w:sz w:val="20"/>
              </w:rPr>
            </w:pPr>
            <w:r>
              <w:rPr>
                <w:sz w:val="20"/>
              </w:rPr>
              <w:t>24</w:t>
            </w:r>
          </w:p>
        </w:tc>
        <w:tc>
          <w:tcPr>
            <w:tcW w:w="709" w:type="dxa"/>
            <w:tcBorders>
              <w:top w:val="single" w:sz="4" w:space="0" w:color="000000"/>
              <w:left w:val="single" w:sz="4" w:space="0" w:color="000000"/>
              <w:bottom w:val="single" w:sz="4" w:space="0" w:color="000000"/>
            </w:tcBorders>
          </w:tcPr>
          <w:p>
            <w:pPr>
              <w:pStyle w:val="TableParagraph"/>
              <w:spacing w:before="7"/>
              <w:jc w:val="left"/>
              <w:rPr>
                <w:b/>
                <w:sz w:val="29"/>
              </w:rPr>
            </w:pPr>
          </w:p>
          <w:p>
            <w:pPr>
              <w:pStyle w:val="TableParagraph"/>
              <w:ind w:right="83"/>
              <w:jc w:val="right"/>
              <w:rPr>
                <w:sz w:val="20"/>
              </w:rPr>
            </w:pPr>
            <w:r>
              <w:rPr>
                <w:sz w:val="20"/>
              </w:rPr>
              <w:t>15,40</w:t>
            </w:r>
          </w:p>
        </w:tc>
        <w:tc>
          <w:tcPr>
            <w:tcW w:w="713" w:type="dxa"/>
            <w:tcBorders>
              <w:top w:val="single" w:sz="4" w:space="0" w:color="000000"/>
              <w:bottom w:val="single" w:sz="4" w:space="0" w:color="000000"/>
              <w:right w:val="single" w:sz="4" w:space="0" w:color="000000"/>
            </w:tcBorders>
          </w:tcPr>
          <w:p>
            <w:pPr>
              <w:pStyle w:val="TableParagraph"/>
              <w:spacing w:before="7"/>
              <w:jc w:val="left"/>
              <w:rPr>
                <w:b/>
                <w:sz w:val="29"/>
              </w:rPr>
            </w:pPr>
          </w:p>
          <w:p>
            <w:pPr>
              <w:pStyle w:val="TableParagraph"/>
              <w:ind w:left="196" w:right="218"/>
              <w:rPr>
                <w:sz w:val="20"/>
              </w:rPr>
            </w:pPr>
            <w:r>
              <w:rPr>
                <w:sz w:val="20"/>
              </w:rPr>
              <w:t>24</w:t>
            </w:r>
          </w:p>
        </w:tc>
        <w:tc>
          <w:tcPr>
            <w:tcW w:w="703" w:type="dxa"/>
            <w:tcBorders>
              <w:top w:val="single" w:sz="4" w:space="0" w:color="000000"/>
              <w:left w:val="single" w:sz="4" w:space="0" w:color="000000"/>
              <w:bottom w:val="single" w:sz="4" w:space="0" w:color="000000"/>
            </w:tcBorders>
          </w:tcPr>
          <w:p>
            <w:pPr>
              <w:pStyle w:val="TableParagraph"/>
              <w:spacing w:before="7"/>
              <w:jc w:val="left"/>
              <w:rPr>
                <w:b/>
                <w:sz w:val="29"/>
              </w:rPr>
            </w:pPr>
          </w:p>
          <w:p>
            <w:pPr>
              <w:pStyle w:val="TableParagraph"/>
              <w:ind w:left="76" w:right="60"/>
              <w:rPr>
                <w:sz w:val="20"/>
              </w:rPr>
            </w:pPr>
            <w:r>
              <w:rPr>
                <w:sz w:val="20"/>
              </w:rPr>
              <w:t>24,76</w:t>
            </w:r>
          </w:p>
        </w:tc>
        <w:tc>
          <w:tcPr>
            <w:tcW w:w="853" w:type="dxa"/>
            <w:tcBorders>
              <w:top w:val="single" w:sz="4" w:space="0" w:color="000000"/>
              <w:bottom w:val="single" w:sz="4" w:space="0" w:color="000000"/>
              <w:right w:val="single" w:sz="4" w:space="0" w:color="000000"/>
            </w:tcBorders>
          </w:tcPr>
          <w:p>
            <w:pPr>
              <w:pStyle w:val="TableParagraph"/>
              <w:spacing w:before="7"/>
              <w:jc w:val="left"/>
              <w:rPr>
                <w:b/>
                <w:sz w:val="29"/>
              </w:rPr>
            </w:pPr>
          </w:p>
          <w:p>
            <w:pPr>
              <w:pStyle w:val="TableParagraph"/>
              <w:ind w:left="272" w:right="289"/>
              <w:rPr>
                <w:sz w:val="20"/>
              </w:rPr>
            </w:pPr>
            <w:r>
              <w:rPr>
                <w:sz w:val="20"/>
              </w:rPr>
              <w:t>24</w:t>
            </w:r>
          </w:p>
        </w:tc>
        <w:tc>
          <w:tcPr>
            <w:tcW w:w="708" w:type="dxa"/>
            <w:tcBorders>
              <w:top w:val="single" w:sz="4" w:space="0" w:color="000000"/>
              <w:left w:val="single" w:sz="4" w:space="0" w:color="000000"/>
              <w:bottom w:val="single" w:sz="4" w:space="0" w:color="000000"/>
            </w:tcBorders>
          </w:tcPr>
          <w:p>
            <w:pPr>
              <w:pStyle w:val="TableParagraph"/>
              <w:spacing w:before="7"/>
              <w:jc w:val="left"/>
              <w:rPr>
                <w:b/>
                <w:sz w:val="29"/>
              </w:rPr>
            </w:pPr>
          </w:p>
          <w:p>
            <w:pPr>
              <w:pStyle w:val="TableParagraph"/>
              <w:ind w:left="75" w:right="65"/>
              <w:rPr>
                <w:sz w:val="20"/>
              </w:rPr>
            </w:pPr>
            <w:r>
              <w:rPr>
                <w:sz w:val="20"/>
              </w:rPr>
              <w:t>13,81</w:t>
            </w:r>
          </w:p>
        </w:tc>
      </w:tr>
      <w:tr>
        <w:trPr>
          <w:trHeight w:val="948" w:hRule="exact"/>
        </w:trPr>
        <w:tc>
          <w:tcPr>
            <w:tcW w:w="2274" w:type="dxa"/>
            <w:tcBorders>
              <w:top w:val="single" w:sz="4" w:space="0" w:color="000000"/>
              <w:right w:val="single" w:sz="4" w:space="0" w:color="000000"/>
            </w:tcBorders>
          </w:tcPr>
          <w:p>
            <w:pPr>
              <w:pStyle w:val="TableParagraph"/>
              <w:ind w:left="28" w:right="49"/>
              <w:jc w:val="both"/>
              <w:rPr>
                <w:sz w:val="20"/>
              </w:rPr>
            </w:pPr>
            <w:r>
              <w:rPr>
                <w:sz w:val="20"/>
              </w:rPr>
              <w:t>Reviso meus planos constantemente para atingir os objetivos e antecipar mudanças.</w:t>
            </w:r>
          </w:p>
        </w:tc>
        <w:tc>
          <w:tcPr>
            <w:tcW w:w="1131" w:type="dxa"/>
            <w:tcBorders>
              <w:top w:val="single" w:sz="4" w:space="0" w:color="000000"/>
              <w:left w:val="single" w:sz="4" w:space="0" w:color="000000"/>
            </w:tcBorders>
          </w:tcPr>
          <w:p>
            <w:pPr>
              <w:pStyle w:val="TableParagraph"/>
              <w:spacing w:before="6"/>
              <w:jc w:val="left"/>
              <w:rPr>
                <w:b/>
                <w:sz w:val="29"/>
              </w:rPr>
            </w:pPr>
          </w:p>
          <w:p>
            <w:pPr>
              <w:pStyle w:val="TableParagraph"/>
              <w:spacing w:before="1"/>
              <w:ind w:left="130" w:right="121"/>
              <w:rPr>
                <w:sz w:val="20"/>
              </w:rPr>
            </w:pPr>
            <w:r>
              <w:rPr>
                <w:sz w:val="20"/>
              </w:rPr>
              <w:t>43</w:t>
            </w:r>
          </w:p>
        </w:tc>
        <w:tc>
          <w:tcPr>
            <w:tcW w:w="569" w:type="dxa"/>
            <w:tcBorders>
              <w:top w:val="single" w:sz="4" w:space="0" w:color="000000"/>
              <w:right w:val="single" w:sz="4" w:space="0" w:color="000000"/>
            </w:tcBorders>
          </w:tcPr>
          <w:p>
            <w:pPr>
              <w:pStyle w:val="TableParagraph"/>
              <w:spacing w:before="6"/>
              <w:jc w:val="left"/>
              <w:rPr>
                <w:b/>
                <w:sz w:val="29"/>
              </w:rPr>
            </w:pPr>
          </w:p>
          <w:p>
            <w:pPr>
              <w:pStyle w:val="TableParagraph"/>
              <w:spacing w:before="1"/>
              <w:ind w:right="170"/>
              <w:jc w:val="right"/>
              <w:rPr>
                <w:sz w:val="20"/>
              </w:rPr>
            </w:pPr>
            <w:r>
              <w:rPr>
                <w:sz w:val="20"/>
              </w:rPr>
              <w:t>24</w:t>
            </w:r>
          </w:p>
        </w:tc>
        <w:tc>
          <w:tcPr>
            <w:tcW w:w="564" w:type="dxa"/>
            <w:tcBorders>
              <w:top w:val="single" w:sz="4" w:space="0" w:color="000000"/>
              <w:left w:val="single" w:sz="4" w:space="0" w:color="000000"/>
            </w:tcBorders>
          </w:tcPr>
          <w:p>
            <w:pPr>
              <w:pStyle w:val="TableParagraph"/>
              <w:spacing w:before="6"/>
              <w:jc w:val="left"/>
              <w:rPr>
                <w:b/>
                <w:sz w:val="29"/>
              </w:rPr>
            </w:pPr>
          </w:p>
          <w:p>
            <w:pPr>
              <w:pStyle w:val="TableParagraph"/>
              <w:spacing w:before="1"/>
              <w:ind w:left="61" w:right="46"/>
              <w:rPr>
                <w:sz w:val="20"/>
              </w:rPr>
            </w:pPr>
            <w:r>
              <w:rPr>
                <w:sz w:val="20"/>
              </w:rPr>
              <w:t>3,57</w:t>
            </w:r>
          </w:p>
        </w:tc>
        <w:tc>
          <w:tcPr>
            <w:tcW w:w="569" w:type="dxa"/>
            <w:tcBorders>
              <w:top w:val="single" w:sz="4" w:space="0" w:color="000000"/>
              <w:right w:val="single" w:sz="4" w:space="0" w:color="000000"/>
            </w:tcBorders>
          </w:tcPr>
          <w:p>
            <w:pPr>
              <w:pStyle w:val="TableParagraph"/>
              <w:spacing w:before="6"/>
              <w:jc w:val="left"/>
              <w:rPr>
                <w:b/>
                <w:sz w:val="29"/>
              </w:rPr>
            </w:pPr>
          </w:p>
          <w:p>
            <w:pPr>
              <w:pStyle w:val="TableParagraph"/>
              <w:spacing w:before="1"/>
              <w:ind w:left="148"/>
              <w:jc w:val="left"/>
              <w:rPr>
                <w:sz w:val="20"/>
              </w:rPr>
            </w:pPr>
            <w:r>
              <w:rPr>
                <w:sz w:val="20"/>
              </w:rPr>
              <w:t>24</w:t>
            </w:r>
          </w:p>
        </w:tc>
        <w:tc>
          <w:tcPr>
            <w:tcW w:w="709" w:type="dxa"/>
            <w:tcBorders>
              <w:top w:val="single" w:sz="4" w:space="0" w:color="000000"/>
              <w:left w:val="single" w:sz="4" w:space="0" w:color="000000"/>
            </w:tcBorders>
          </w:tcPr>
          <w:p>
            <w:pPr>
              <w:pStyle w:val="TableParagraph"/>
              <w:spacing w:before="6"/>
              <w:jc w:val="left"/>
              <w:rPr>
                <w:b/>
                <w:sz w:val="29"/>
              </w:rPr>
            </w:pPr>
          </w:p>
          <w:p>
            <w:pPr>
              <w:pStyle w:val="TableParagraph"/>
              <w:spacing w:before="1"/>
              <w:ind w:right="83"/>
              <w:jc w:val="right"/>
              <w:rPr>
                <w:sz w:val="20"/>
              </w:rPr>
            </w:pPr>
            <w:r>
              <w:rPr>
                <w:sz w:val="20"/>
              </w:rPr>
              <w:t>10,83</w:t>
            </w:r>
          </w:p>
        </w:tc>
        <w:tc>
          <w:tcPr>
            <w:tcW w:w="713" w:type="dxa"/>
            <w:tcBorders>
              <w:top w:val="single" w:sz="4" w:space="0" w:color="000000"/>
              <w:right w:val="single" w:sz="4" w:space="0" w:color="000000"/>
            </w:tcBorders>
          </w:tcPr>
          <w:p>
            <w:pPr>
              <w:pStyle w:val="TableParagraph"/>
              <w:spacing w:before="6"/>
              <w:jc w:val="left"/>
              <w:rPr>
                <w:b/>
                <w:sz w:val="29"/>
              </w:rPr>
            </w:pPr>
          </w:p>
          <w:p>
            <w:pPr>
              <w:pStyle w:val="TableParagraph"/>
              <w:spacing w:before="1"/>
              <w:ind w:left="196" w:right="218"/>
              <w:rPr>
                <w:sz w:val="20"/>
              </w:rPr>
            </w:pPr>
            <w:r>
              <w:rPr>
                <w:sz w:val="20"/>
              </w:rPr>
              <w:t>24</w:t>
            </w:r>
          </w:p>
        </w:tc>
        <w:tc>
          <w:tcPr>
            <w:tcW w:w="703" w:type="dxa"/>
            <w:tcBorders>
              <w:top w:val="single" w:sz="4" w:space="0" w:color="000000"/>
              <w:left w:val="single" w:sz="4" w:space="0" w:color="000000"/>
            </w:tcBorders>
          </w:tcPr>
          <w:p>
            <w:pPr>
              <w:pStyle w:val="TableParagraph"/>
              <w:spacing w:before="6"/>
              <w:jc w:val="left"/>
              <w:rPr>
                <w:b/>
                <w:sz w:val="29"/>
              </w:rPr>
            </w:pPr>
          </w:p>
          <w:p>
            <w:pPr>
              <w:pStyle w:val="TableParagraph"/>
              <w:spacing w:before="1"/>
              <w:ind w:left="76" w:right="60"/>
              <w:rPr>
                <w:sz w:val="20"/>
              </w:rPr>
            </w:pPr>
            <w:r>
              <w:rPr>
                <w:sz w:val="20"/>
              </w:rPr>
              <w:t>23,37</w:t>
            </w:r>
          </w:p>
        </w:tc>
        <w:tc>
          <w:tcPr>
            <w:tcW w:w="853" w:type="dxa"/>
            <w:tcBorders>
              <w:top w:val="single" w:sz="4" w:space="0" w:color="000000"/>
              <w:right w:val="single" w:sz="4" w:space="0" w:color="000000"/>
            </w:tcBorders>
          </w:tcPr>
          <w:p>
            <w:pPr>
              <w:pStyle w:val="TableParagraph"/>
              <w:spacing w:before="6"/>
              <w:jc w:val="left"/>
              <w:rPr>
                <w:b/>
                <w:sz w:val="29"/>
              </w:rPr>
            </w:pPr>
          </w:p>
          <w:p>
            <w:pPr>
              <w:pStyle w:val="TableParagraph"/>
              <w:spacing w:before="1"/>
              <w:ind w:left="272" w:right="289"/>
              <w:rPr>
                <w:sz w:val="20"/>
              </w:rPr>
            </w:pPr>
            <w:r>
              <w:rPr>
                <w:sz w:val="20"/>
              </w:rPr>
              <w:t>24</w:t>
            </w:r>
          </w:p>
        </w:tc>
        <w:tc>
          <w:tcPr>
            <w:tcW w:w="708" w:type="dxa"/>
            <w:tcBorders>
              <w:top w:val="single" w:sz="4" w:space="0" w:color="000000"/>
              <w:left w:val="single" w:sz="4" w:space="0" w:color="000000"/>
            </w:tcBorders>
          </w:tcPr>
          <w:p>
            <w:pPr>
              <w:pStyle w:val="TableParagraph"/>
              <w:spacing w:before="6"/>
              <w:jc w:val="left"/>
              <w:rPr>
                <w:b/>
                <w:sz w:val="29"/>
              </w:rPr>
            </w:pPr>
          </w:p>
          <w:p>
            <w:pPr>
              <w:pStyle w:val="TableParagraph"/>
              <w:spacing w:before="1"/>
              <w:ind w:left="75" w:right="65"/>
              <w:rPr>
                <w:sz w:val="20"/>
              </w:rPr>
            </w:pPr>
            <w:r>
              <w:rPr>
                <w:sz w:val="20"/>
              </w:rPr>
              <w:t>28,89</w:t>
            </w:r>
          </w:p>
        </w:tc>
      </w:tr>
    </w:tbl>
    <w:p>
      <w:pPr>
        <w:spacing w:before="0"/>
        <w:ind w:left="308" w:right="0" w:firstLine="0"/>
        <w:jc w:val="left"/>
        <w:rPr>
          <w:sz w:val="18"/>
        </w:rPr>
      </w:pPr>
      <w:r>
        <w:rPr>
          <w:sz w:val="20"/>
        </w:rPr>
        <w:t>Fonte: Dados da Pesquisa – Mestrado – Pinho (2014)</w:t>
      </w:r>
      <w:r>
        <w:rPr>
          <w:sz w:val="18"/>
        </w:rPr>
        <w:t>.</w:t>
      </w:r>
    </w:p>
    <w:p>
      <w:pPr>
        <w:spacing w:after="0"/>
        <w:jc w:val="left"/>
        <w:rPr>
          <w:sz w:val="18"/>
        </w:rPr>
        <w:sectPr>
          <w:pgSz w:w="11910" w:h="16840"/>
          <w:pgMar w:header="1133" w:footer="0" w:top="1340" w:bottom="280" w:left="1680" w:right="9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p>
    <w:p>
      <w:pPr>
        <w:pStyle w:val="Heading1"/>
        <w:ind w:left="382"/>
      </w:pPr>
      <w:r>
        <w:rPr/>
        <w:t>ANEXOS</w:t>
      </w:r>
    </w:p>
    <w:p>
      <w:pPr>
        <w:spacing w:after="0"/>
        <w:sectPr>
          <w:pgSz w:w="11910" w:h="16840"/>
          <w:pgMar w:header="1133" w:footer="0" w:top="1340" w:bottom="280" w:left="1680" w:right="1020"/>
        </w:sectPr>
      </w:pPr>
    </w:p>
    <w:p>
      <w:pPr>
        <w:pStyle w:val="BodyText"/>
        <w:spacing w:before="2"/>
        <w:rPr>
          <w:b/>
          <w:sz w:val="21"/>
        </w:rPr>
      </w:pPr>
    </w:p>
    <w:p>
      <w:pPr>
        <w:spacing w:before="89"/>
        <w:ind w:left="4047" w:right="4227" w:firstLine="0"/>
        <w:jc w:val="center"/>
        <w:rPr>
          <w:b/>
          <w:sz w:val="28"/>
        </w:rPr>
      </w:pPr>
      <w:r>
        <w:rPr>
          <w:b/>
          <w:sz w:val="28"/>
        </w:rPr>
        <w:t>ANEXO A</w:t>
      </w:r>
    </w:p>
    <w:p>
      <w:pPr>
        <w:pStyle w:val="BodyText"/>
        <w:spacing w:before="6"/>
        <w:rPr>
          <w:b/>
          <w:sz w:val="27"/>
        </w:rPr>
      </w:pPr>
      <w:r>
        <w:rPr/>
        <w:drawing>
          <wp:anchor distT="0" distB="0" distL="0" distR="0" allowOverlap="1" layoutInCell="1" locked="0" behindDoc="0" simplePos="0" relativeHeight="1936">
            <wp:simplePos x="0" y="0"/>
            <wp:positionH relativeFrom="page">
              <wp:posOffset>1256664</wp:posOffset>
            </wp:positionH>
            <wp:positionV relativeFrom="paragraph">
              <wp:posOffset>226124</wp:posOffset>
            </wp:positionV>
            <wp:extent cx="5820340" cy="8305800"/>
            <wp:effectExtent l="0" t="0" r="0" b="0"/>
            <wp:wrapTopAndBottom/>
            <wp:docPr id="11" name="image11.jpeg" descr=""/>
            <wp:cNvGraphicFramePr>
              <a:graphicFrameLocks noChangeAspect="1"/>
            </wp:cNvGraphicFramePr>
            <a:graphic>
              <a:graphicData uri="http://schemas.openxmlformats.org/drawingml/2006/picture">
                <pic:pic>
                  <pic:nvPicPr>
                    <pic:cNvPr id="12" name="image11.jpeg"/>
                    <pic:cNvPicPr/>
                  </pic:nvPicPr>
                  <pic:blipFill>
                    <a:blip r:embed="rId48" cstate="print"/>
                    <a:stretch>
                      <a:fillRect/>
                    </a:stretch>
                  </pic:blipFill>
                  <pic:spPr>
                    <a:xfrm>
                      <a:off x="0" y="0"/>
                      <a:ext cx="5820340" cy="8305800"/>
                    </a:xfrm>
                    <a:prstGeom prst="rect">
                      <a:avLst/>
                    </a:prstGeom>
                  </pic:spPr>
                </pic:pic>
              </a:graphicData>
            </a:graphic>
          </wp:anchor>
        </w:drawing>
      </w:r>
    </w:p>
    <w:p>
      <w:pPr>
        <w:spacing w:after="0"/>
        <w:rPr>
          <w:sz w:val="27"/>
        </w:rPr>
        <w:sectPr>
          <w:pgSz w:w="11910" w:h="16840"/>
          <w:pgMar w:header="1133" w:footer="0" w:top="1340" w:bottom="280" w:left="1680" w:right="640"/>
        </w:sectPr>
      </w:pPr>
    </w:p>
    <w:p>
      <w:pPr>
        <w:pStyle w:val="BodyText"/>
        <w:spacing w:before="10"/>
        <w:rPr>
          <w:b/>
          <w:sz w:val="20"/>
        </w:rPr>
      </w:pPr>
    </w:p>
    <w:p>
      <w:pPr>
        <w:pStyle w:val="Heading3"/>
        <w:ind w:left="384" w:right="190"/>
        <w:jc w:val="center"/>
      </w:pPr>
      <w:r>
        <w:rPr/>
        <w:t>ANEXO B</w:t>
      </w:r>
    </w:p>
    <w:p>
      <w:pPr>
        <w:pStyle w:val="BodyText"/>
        <w:spacing w:before="5"/>
        <w:rPr>
          <w:b/>
          <w:sz w:val="31"/>
        </w:rPr>
      </w:pPr>
    </w:p>
    <w:p>
      <w:pPr>
        <w:spacing w:line="273" w:lineRule="auto" w:before="0"/>
        <w:ind w:left="386" w:right="190" w:firstLine="0"/>
        <w:jc w:val="center"/>
        <w:rPr>
          <w:b/>
          <w:sz w:val="22"/>
        </w:rPr>
      </w:pPr>
      <w:r>
        <w:rPr>
          <w:b/>
          <w:sz w:val="22"/>
        </w:rPr>
        <w:t>INSTRUMENTO DIAGNÓSTICO PARA IDENTIFICAÇÃO DO DESENVOLVIMENTO CRIATIVO DE INSTITUIÇÕES DE ENSINO – QUESTIONÁRIO / REFERÊNCIA</w:t>
      </w:r>
    </w:p>
    <w:p>
      <w:pPr>
        <w:pStyle w:val="BodyText"/>
        <w:spacing w:before="2"/>
        <w:rPr>
          <w:b/>
        </w:rPr>
      </w:pPr>
    </w:p>
    <w:tbl>
      <w:tblPr>
        <w:tblW w:w="0" w:type="auto"/>
        <w:jc w:val="left"/>
        <w:tblInd w:w="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11"/>
        <w:gridCol w:w="398"/>
        <w:gridCol w:w="394"/>
        <w:gridCol w:w="398"/>
        <w:gridCol w:w="398"/>
        <w:gridCol w:w="394"/>
        <w:gridCol w:w="398"/>
        <w:gridCol w:w="398"/>
        <w:gridCol w:w="399"/>
        <w:gridCol w:w="394"/>
        <w:gridCol w:w="399"/>
      </w:tblGrid>
      <w:tr>
        <w:trPr>
          <w:trHeight w:val="302" w:hRule="exact"/>
        </w:trPr>
        <w:tc>
          <w:tcPr>
            <w:tcW w:w="4711" w:type="dxa"/>
            <w:shd w:val="clear" w:color="auto" w:fill="D9D9D9"/>
          </w:tcPr>
          <w:p>
            <w:pPr>
              <w:pStyle w:val="TableParagraph"/>
              <w:spacing w:line="243" w:lineRule="exact"/>
              <w:ind w:left="1974" w:right="1983"/>
              <w:rPr>
                <w:b/>
                <w:sz w:val="22"/>
              </w:rPr>
            </w:pPr>
            <w:r>
              <w:rPr>
                <w:b/>
                <w:sz w:val="22"/>
              </w:rPr>
              <w:t>ITENS</w:t>
            </w:r>
          </w:p>
        </w:tc>
        <w:tc>
          <w:tcPr>
            <w:tcW w:w="398" w:type="dxa"/>
            <w:shd w:val="clear" w:color="auto" w:fill="D9D9D9"/>
          </w:tcPr>
          <w:p>
            <w:pPr>
              <w:pStyle w:val="TableParagraph"/>
              <w:spacing w:line="243" w:lineRule="exact"/>
              <w:ind w:left="67"/>
              <w:jc w:val="left"/>
              <w:rPr>
                <w:b/>
                <w:sz w:val="22"/>
              </w:rPr>
            </w:pPr>
            <w:r>
              <w:rPr>
                <w:b/>
                <w:sz w:val="22"/>
              </w:rPr>
              <w:t>01</w:t>
            </w:r>
          </w:p>
        </w:tc>
        <w:tc>
          <w:tcPr>
            <w:tcW w:w="394" w:type="dxa"/>
            <w:shd w:val="clear" w:color="auto" w:fill="D9D9D9"/>
          </w:tcPr>
          <w:p>
            <w:pPr>
              <w:pStyle w:val="TableParagraph"/>
              <w:spacing w:line="243" w:lineRule="exact"/>
              <w:ind w:left="67"/>
              <w:jc w:val="left"/>
              <w:rPr>
                <w:b/>
                <w:sz w:val="22"/>
              </w:rPr>
            </w:pPr>
            <w:r>
              <w:rPr>
                <w:b/>
                <w:sz w:val="22"/>
              </w:rPr>
              <w:t>02</w:t>
            </w:r>
          </w:p>
        </w:tc>
        <w:tc>
          <w:tcPr>
            <w:tcW w:w="398" w:type="dxa"/>
            <w:shd w:val="clear" w:color="auto" w:fill="D9D9D9"/>
          </w:tcPr>
          <w:p>
            <w:pPr>
              <w:pStyle w:val="TableParagraph"/>
              <w:spacing w:line="243" w:lineRule="exact"/>
              <w:ind w:left="67"/>
              <w:jc w:val="left"/>
              <w:rPr>
                <w:b/>
                <w:sz w:val="22"/>
              </w:rPr>
            </w:pPr>
            <w:r>
              <w:rPr>
                <w:b/>
                <w:sz w:val="22"/>
              </w:rPr>
              <w:t>03</w:t>
            </w:r>
          </w:p>
        </w:tc>
        <w:tc>
          <w:tcPr>
            <w:tcW w:w="398" w:type="dxa"/>
            <w:shd w:val="clear" w:color="auto" w:fill="D9D9D9"/>
          </w:tcPr>
          <w:p>
            <w:pPr>
              <w:pStyle w:val="TableParagraph"/>
              <w:spacing w:line="243" w:lineRule="exact"/>
              <w:ind w:left="67"/>
              <w:jc w:val="left"/>
              <w:rPr>
                <w:b/>
                <w:sz w:val="22"/>
              </w:rPr>
            </w:pPr>
            <w:r>
              <w:rPr>
                <w:b/>
                <w:sz w:val="22"/>
              </w:rPr>
              <w:t>04</w:t>
            </w:r>
          </w:p>
        </w:tc>
        <w:tc>
          <w:tcPr>
            <w:tcW w:w="394" w:type="dxa"/>
            <w:shd w:val="clear" w:color="auto" w:fill="D9D9D9"/>
          </w:tcPr>
          <w:p>
            <w:pPr>
              <w:pStyle w:val="TableParagraph"/>
              <w:spacing w:line="243" w:lineRule="exact"/>
              <w:ind w:left="67"/>
              <w:jc w:val="left"/>
              <w:rPr>
                <w:b/>
                <w:sz w:val="22"/>
              </w:rPr>
            </w:pPr>
            <w:r>
              <w:rPr>
                <w:b/>
                <w:sz w:val="22"/>
              </w:rPr>
              <w:t>05</w:t>
            </w:r>
          </w:p>
        </w:tc>
        <w:tc>
          <w:tcPr>
            <w:tcW w:w="398" w:type="dxa"/>
            <w:shd w:val="clear" w:color="auto" w:fill="D9D9D9"/>
          </w:tcPr>
          <w:p>
            <w:pPr>
              <w:pStyle w:val="TableParagraph"/>
              <w:spacing w:line="243" w:lineRule="exact"/>
              <w:ind w:left="67"/>
              <w:jc w:val="left"/>
              <w:rPr>
                <w:b/>
                <w:sz w:val="22"/>
              </w:rPr>
            </w:pPr>
            <w:r>
              <w:rPr>
                <w:b/>
                <w:sz w:val="22"/>
              </w:rPr>
              <w:t>06</w:t>
            </w:r>
          </w:p>
        </w:tc>
        <w:tc>
          <w:tcPr>
            <w:tcW w:w="398" w:type="dxa"/>
            <w:shd w:val="clear" w:color="auto" w:fill="D9D9D9"/>
          </w:tcPr>
          <w:p>
            <w:pPr>
              <w:pStyle w:val="TableParagraph"/>
              <w:spacing w:line="243" w:lineRule="exact"/>
              <w:ind w:left="67"/>
              <w:jc w:val="left"/>
              <w:rPr>
                <w:b/>
                <w:sz w:val="22"/>
              </w:rPr>
            </w:pPr>
            <w:r>
              <w:rPr>
                <w:b/>
                <w:sz w:val="22"/>
              </w:rPr>
              <w:t>07</w:t>
            </w:r>
          </w:p>
        </w:tc>
        <w:tc>
          <w:tcPr>
            <w:tcW w:w="399" w:type="dxa"/>
            <w:shd w:val="clear" w:color="auto" w:fill="D9D9D9"/>
          </w:tcPr>
          <w:p>
            <w:pPr>
              <w:pStyle w:val="TableParagraph"/>
              <w:spacing w:line="243" w:lineRule="exact"/>
              <w:ind w:left="67"/>
              <w:jc w:val="left"/>
              <w:rPr>
                <w:b/>
                <w:sz w:val="22"/>
              </w:rPr>
            </w:pPr>
            <w:r>
              <w:rPr>
                <w:b/>
                <w:sz w:val="22"/>
              </w:rPr>
              <w:t>08</w:t>
            </w:r>
          </w:p>
        </w:tc>
        <w:tc>
          <w:tcPr>
            <w:tcW w:w="394" w:type="dxa"/>
            <w:shd w:val="clear" w:color="auto" w:fill="D9D9D9"/>
          </w:tcPr>
          <w:p>
            <w:pPr>
              <w:pStyle w:val="TableParagraph"/>
              <w:spacing w:line="243" w:lineRule="exact"/>
              <w:ind w:left="67"/>
              <w:jc w:val="left"/>
              <w:rPr>
                <w:b/>
                <w:sz w:val="22"/>
              </w:rPr>
            </w:pPr>
            <w:r>
              <w:rPr>
                <w:b/>
                <w:sz w:val="22"/>
              </w:rPr>
              <w:t>09</w:t>
            </w:r>
          </w:p>
        </w:tc>
        <w:tc>
          <w:tcPr>
            <w:tcW w:w="399" w:type="dxa"/>
            <w:shd w:val="clear" w:color="auto" w:fill="D9D9D9"/>
          </w:tcPr>
          <w:p>
            <w:pPr>
              <w:pStyle w:val="TableParagraph"/>
              <w:spacing w:line="243" w:lineRule="exact"/>
              <w:ind w:left="67"/>
              <w:jc w:val="left"/>
              <w:rPr>
                <w:b/>
                <w:sz w:val="22"/>
              </w:rPr>
            </w:pPr>
            <w:r>
              <w:rPr>
                <w:b/>
                <w:sz w:val="22"/>
              </w:rPr>
              <w:t>10</w:t>
            </w:r>
          </w:p>
        </w:tc>
      </w:tr>
      <w:tr>
        <w:trPr>
          <w:trHeight w:val="514" w:hRule="exact"/>
        </w:trPr>
        <w:tc>
          <w:tcPr>
            <w:tcW w:w="4711" w:type="dxa"/>
          </w:tcPr>
          <w:p>
            <w:pPr>
              <w:pStyle w:val="TableParagraph"/>
              <w:spacing w:line="250" w:lineRule="exact" w:before="1"/>
              <w:ind w:left="446" w:right="100" w:hanging="346"/>
              <w:jc w:val="left"/>
              <w:rPr>
                <w:sz w:val="22"/>
              </w:rPr>
            </w:pPr>
            <w:r>
              <w:rPr>
                <w:sz w:val="22"/>
              </w:rPr>
              <w:t>1. Os objetivos da instituição são claros e compartilhados por todos.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tcPr>
          <w:p>
            <w:pPr>
              <w:pStyle w:val="TableParagraph"/>
              <w:spacing w:line="242" w:lineRule="auto"/>
              <w:ind w:left="446" w:right="55" w:hanging="346"/>
              <w:jc w:val="both"/>
              <w:rPr>
                <w:sz w:val="22"/>
              </w:rPr>
            </w:pPr>
            <w:r>
              <w:rPr>
                <w:sz w:val="22"/>
              </w:rPr>
              <w:t>2. A direção é empática (capacidade de compreender o sentimento ou reação da outra pessoa).</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8" w:hRule="exact"/>
        </w:trPr>
        <w:tc>
          <w:tcPr>
            <w:tcW w:w="4711" w:type="dxa"/>
          </w:tcPr>
          <w:p>
            <w:pPr>
              <w:pStyle w:val="TableParagraph"/>
              <w:spacing w:line="242" w:lineRule="auto"/>
              <w:ind w:left="446" w:right="100" w:hanging="346"/>
              <w:jc w:val="left"/>
              <w:rPr>
                <w:sz w:val="22"/>
              </w:rPr>
            </w:pPr>
            <w:r>
              <w:rPr>
                <w:sz w:val="22"/>
              </w:rPr>
              <w:t>3.  A instituição é resiliente, ou seja, enfrenta  a adversidade e aprende com</w:t>
            </w:r>
            <w:r>
              <w:rPr>
                <w:spacing w:val="-14"/>
                <w:sz w:val="22"/>
              </w:rPr>
              <w:t> </w:t>
            </w:r>
            <w:r>
              <w:rPr>
                <w:sz w:val="22"/>
              </w:rPr>
              <w:t>ela.</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4" w:hRule="exact"/>
        </w:trPr>
        <w:tc>
          <w:tcPr>
            <w:tcW w:w="4711" w:type="dxa"/>
            <w:shd w:val="clear" w:color="auto" w:fill="D9D9D9"/>
          </w:tcPr>
          <w:p>
            <w:pPr>
              <w:pStyle w:val="TableParagraph"/>
              <w:tabs>
                <w:tab w:pos="964" w:val="left" w:leader="none"/>
                <w:tab w:pos="2052" w:val="left" w:leader="none"/>
                <w:tab w:pos="3601" w:val="left" w:leader="none"/>
                <w:tab w:pos="4397" w:val="left" w:leader="none"/>
              </w:tabs>
              <w:spacing w:line="242" w:lineRule="auto"/>
              <w:ind w:left="446" w:right="54" w:hanging="346"/>
              <w:jc w:val="left"/>
              <w:rPr>
                <w:sz w:val="22"/>
              </w:rPr>
            </w:pPr>
            <w:r>
              <w:rPr>
                <w:sz w:val="22"/>
              </w:rPr>
              <w:t>4. </w:t>
            </w:r>
            <w:r>
              <w:rPr>
                <w:spacing w:val="39"/>
                <w:sz w:val="22"/>
              </w:rPr>
              <w:t> </w:t>
            </w:r>
            <w:r>
              <w:rPr>
                <w:sz w:val="22"/>
              </w:rPr>
              <w:t>As</w:t>
              <w:tab/>
              <w:t>relações</w:t>
              <w:tab/>
              <w:t>interpessoais</w:t>
              <w:tab/>
              <w:t>fluem</w:t>
              <w:tab/>
              <w:t>de maneira</w:t>
            </w:r>
            <w:r>
              <w:rPr>
                <w:spacing w:val="-8"/>
                <w:sz w:val="22"/>
              </w:rPr>
              <w:t> </w:t>
            </w:r>
            <w:r>
              <w:rPr>
                <w:sz w:val="22"/>
              </w:rPr>
              <w:t>fácil.</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71" w:hRule="exact"/>
        </w:trPr>
        <w:tc>
          <w:tcPr>
            <w:tcW w:w="4711" w:type="dxa"/>
            <w:shd w:val="clear" w:color="auto" w:fill="D9D9D9"/>
          </w:tcPr>
          <w:p>
            <w:pPr>
              <w:pStyle w:val="TableParagraph"/>
              <w:spacing w:line="242" w:lineRule="auto"/>
              <w:ind w:left="446" w:right="50" w:hanging="346"/>
              <w:jc w:val="both"/>
              <w:rPr>
                <w:sz w:val="22"/>
              </w:rPr>
            </w:pPr>
            <w:r>
              <w:rPr>
                <w:sz w:val="22"/>
              </w:rPr>
              <w:t>5. A instituição reconhece suas debilidades e procura meios de superá-las, aprendendo com os erros.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6" w:hRule="exact"/>
        </w:trPr>
        <w:tc>
          <w:tcPr>
            <w:tcW w:w="4711" w:type="dxa"/>
            <w:shd w:val="clear" w:color="auto" w:fill="D9D9D9"/>
          </w:tcPr>
          <w:p>
            <w:pPr>
              <w:pStyle w:val="TableParagraph"/>
              <w:tabs>
                <w:tab w:pos="824" w:val="left" w:leader="none"/>
                <w:tab w:pos="1692" w:val="left" w:leader="none"/>
                <w:tab w:pos="3058" w:val="left" w:leader="none"/>
                <w:tab w:pos="4520" w:val="left" w:leader="none"/>
              </w:tabs>
              <w:spacing w:line="250" w:lineRule="exact" w:before="4"/>
              <w:ind w:left="446" w:right="55" w:hanging="346"/>
              <w:jc w:val="left"/>
              <w:rPr>
                <w:sz w:val="22"/>
              </w:rPr>
            </w:pPr>
            <w:r>
              <w:rPr>
                <w:sz w:val="22"/>
              </w:rPr>
              <w:t>6. </w:t>
            </w:r>
            <w:r>
              <w:rPr>
                <w:spacing w:val="38"/>
                <w:sz w:val="22"/>
              </w:rPr>
              <w:t> </w:t>
            </w:r>
            <w:r>
              <w:rPr>
                <w:sz w:val="22"/>
              </w:rPr>
              <w:t>A</w:t>
              <w:tab/>
              <w:t>escola</w:t>
              <w:tab/>
              <w:t>compartilha</w:t>
              <w:tab/>
              <w:t>experiências</w:t>
              <w:tab/>
              <w:t>e projetos com outras</w:t>
            </w:r>
            <w:r>
              <w:rPr>
                <w:spacing w:val="-16"/>
                <w:sz w:val="22"/>
              </w:rPr>
              <w:t> </w:t>
            </w:r>
            <w:r>
              <w:rPr>
                <w:sz w:val="22"/>
              </w:rPr>
              <w:t>instituições.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68" w:hRule="exact"/>
        </w:trPr>
        <w:tc>
          <w:tcPr>
            <w:tcW w:w="4711" w:type="dxa"/>
          </w:tcPr>
          <w:p>
            <w:pPr>
              <w:pStyle w:val="TableParagraph"/>
              <w:ind w:left="446" w:right="52" w:hanging="346"/>
              <w:jc w:val="both"/>
              <w:rPr>
                <w:sz w:val="22"/>
              </w:rPr>
            </w:pPr>
            <w:r>
              <w:rPr>
                <w:sz w:val="22"/>
              </w:rPr>
              <w:t>7. A escola valoriza e aproveita as potencialidades das pessoas que nela trabalham.</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8" w:hRule="exact"/>
        </w:trPr>
        <w:tc>
          <w:tcPr>
            <w:tcW w:w="4711" w:type="dxa"/>
          </w:tcPr>
          <w:p>
            <w:pPr>
              <w:pStyle w:val="TableParagraph"/>
              <w:spacing w:line="242" w:lineRule="auto"/>
              <w:ind w:left="446" w:right="100" w:hanging="346"/>
              <w:jc w:val="left"/>
              <w:rPr>
                <w:sz w:val="22"/>
              </w:rPr>
            </w:pPr>
            <w:r>
              <w:rPr>
                <w:sz w:val="22"/>
              </w:rPr>
              <w:t>8. A escola promove a formação continuada do seu pessoal.</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4" w:hRule="exact"/>
        </w:trPr>
        <w:tc>
          <w:tcPr>
            <w:tcW w:w="4711" w:type="dxa"/>
          </w:tcPr>
          <w:p>
            <w:pPr>
              <w:pStyle w:val="TableParagraph"/>
              <w:spacing w:line="250" w:lineRule="exact" w:before="1"/>
              <w:ind w:left="446" w:right="100" w:hanging="346"/>
              <w:jc w:val="left"/>
              <w:rPr>
                <w:sz w:val="22"/>
              </w:rPr>
            </w:pPr>
            <w:r>
              <w:rPr>
                <w:sz w:val="22"/>
              </w:rPr>
              <w:t>9. A direção acredita e impulsiona a inovação e o trabalho cooperativo dentro da escola.</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9" w:hRule="exact"/>
        </w:trPr>
        <w:tc>
          <w:tcPr>
            <w:tcW w:w="4711" w:type="dxa"/>
            <w:shd w:val="clear" w:color="auto" w:fill="D9D9D9"/>
          </w:tcPr>
          <w:p>
            <w:pPr>
              <w:pStyle w:val="TableParagraph"/>
              <w:spacing w:line="242" w:lineRule="auto"/>
              <w:ind w:left="446" w:right="100" w:hanging="346"/>
              <w:jc w:val="left"/>
              <w:rPr>
                <w:sz w:val="22"/>
              </w:rPr>
            </w:pPr>
            <w:r>
              <w:rPr>
                <w:sz w:val="22"/>
              </w:rPr>
              <w:t>10. A avaliação é vista como oportunidade para atingir melhoras.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68" w:hRule="exact"/>
        </w:trPr>
        <w:tc>
          <w:tcPr>
            <w:tcW w:w="4711" w:type="dxa"/>
            <w:shd w:val="clear" w:color="auto" w:fill="D9D9D9"/>
          </w:tcPr>
          <w:p>
            <w:pPr>
              <w:pStyle w:val="TableParagraph"/>
              <w:ind w:left="446" w:right="54" w:hanging="346"/>
              <w:jc w:val="both"/>
              <w:rPr>
                <w:sz w:val="22"/>
              </w:rPr>
            </w:pPr>
            <w:r>
              <w:rPr>
                <w:sz w:val="22"/>
              </w:rPr>
              <w:t>11. Trabalho com minha capacidade e reconhecimento mais do que somente  com o</w:t>
            </w:r>
            <w:r>
              <w:rPr>
                <w:spacing w:val="-5"/>
                <w:sz w:val="22"/>
              </w:rPr>
              <w:t> </w:t>
            </w:r>
            <w:r>
              <w:rPr>
                <w:sz w:val="22"/>
              </w:rPr>
              <w:t>conhecimento.</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4" w:hRule="exact"/>
        </w:trPr>
        <w:tc>
          <w:tcPr>
            <w:tcW w:w="4711" w:type="dxa"/>
            <w:shd w:val="clear" w:color="auto" w:fill="D9D9D9"/>
          </w:tcPr>
          <w:p>
            <w:pPr>
              <w:pStyle w:val="TableParagraph"/>
              <w:spacing w:line="242" w:lineRule="auto"/>
              <w:ind w:left="446" w:right="100" w:hanging="346"/>
              <w:jc w:val="left"/>
              <w:rPr>
                <w:sz w:val="22"/>
              </w:rPr>
            </w:pPr>
            <w:r>
              <w:rPr>
                <w:sz w:val="22"/>
              </w:rPr>
              <w:t>12. Reconheço as potencialidades dos meus alunos e interesso-me pelo que ele sente.</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73" w:hRule="exact"/>
        </w:trPr>
        <w:tc>
          <w:tcPr>
            <w:tcW w:w="4711" w:type="dxa"/>
          </w:tcPr>
          <w:p>
            <w:pPr>
              <w:pStyle w:val="TableParagraph"/>
              <w:spacing w:line="242" w:lineRule="auto"/>
              <w:ind w:left="446" w:right="52" w:hanging="346"/>
              <w:jc w:val="both"/>
              <w:rPr>
                <w:sz w:val="22"/>
              </w:rPr>
            </w:pPr>
            <w:r>
              <w:rPr>
                <w:sz w:val="22"/>
              </w:rPr>
              <w:t>13. A emoção e o diálogo são recursos para entusiasmar meus alunos  à aprendizagem.</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tcPr>
          <w:p>
            <w:pPr>
              <w:pStyle w:val="TableParagraph"/>
              <w:ind w:left="446" w:right="52" w:hanging="346"/>
              <w:jc w:val="both"/>
              <w:rPr>
                <w:sz w:val="22"/>
              </w:rPr>
            </w:pPr>
            <w:r>
              <w:rPr>
                <w:sz w:val="22"/>
              </w:rPr>
              <w:t>14. Acredito que ensinar é ajudar a desenvolver a consciência com foco em valores.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tcPr>
          <w:p>
            <w:pPr>
              <w:pStyle w:val="TableParagraph"/>
              <w:ind w:left="446" w:right="54" w:hanging="346"/>
              <w:jc w:val="both"/>
              <w:rPr>
                <w:sz w:val="22"/>
              </w:rPr>
            </w:pPr>
            <w:r>
              <w:rPr>
                <w:sz w:val="22"/>
              </w:rPr>
              <w:t>15. Encontro sentidos novos ao que acontece, conectando o conhecido com o desconhecido.</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4" w:hRule="exact"/>
        </w:trPr>
        <w:tc>
          <w:tcPr>
            <w:tcW w:w="4711" w:type="dxa"/>
            <w:shd w:val="clear" w:color="auto" w:fill="D9D9D9"/>
          </w:tcPr>
          <w:p>
            <w:pPr>
              <w:pStyle w:val="TableParagraph"/>
              <w:spacing w:line="242" w:lineRule="auto"/>
              <w:ind w:left="446" w:right="54" w:hanging="346"/>
              <w:jc w:val="left"/>
              <w:rPr>
                <w:sz w:val="22"/>
              </w:rPr>
            </w:pPr>
            <w:r>
              <w:rPr>
                <w:sz w:val="22"/>
              </w:rPr>
              <w:t>16. Utilizo a estratégia de mover a mente com perguntas que saem do contexto da aula.</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73" w:hRule="exact"/>
        </w:trPr>
        <w:tc>
          <w:tcPr>
            <w:tcW w:w="4711" w:type="dxa"/>
            <w:shd w:val="clear" w:color="auto" w:fill="D9D9D9"/>
          </w:tcPr>
          <w:p>
            <w:pPr>
              <w:pStyle w:val="TableParagraph"/>
              <w:spacing w:line="242" w:lineRule="auto"/>
              <w:ind w:left="446" w:right="54" w:hanging="346"/>
              <w:jc w:val="both"/>
              <w:rPr>
                <w:sz w:val="22"/>
              </w:rPr>
            </w:pPr>
            <w:r>
              <w:rPr>
                <w:sz w:val="22"/>
              </w:rPr>
              <w:t>17. Meu ensino está conectado com a vida e com os problemas percebidos na realidade.</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4" w:hRule="exact"/>
        </w:trPr>
        <w:tc>
          <w:tcPr>
            <w:tcW w:w="4711" w:type="dxa"/>
            <w:shd w:val="clear" w:color="auto" w:fill="D9D9D9"/>
          </w:tcPr>
          <w:p>
            <w:pPr>
              <w:pStyle w:val="TableParagraph"/>
              <w:spacing w:line="250" w:lineRule="exact" w:before="2"/>
              <w:ind w:left="446" w:right="100" w:hanging="346"/>
              <w:jc w:val="left"/>
              <w:rPr>
                <w:sz w:val="22"/>
              </w:rPr>
            </w:pPr>
            <w:r>
              <w:rPr>
                <w:sz w:val="22"/>
              </w:rPr>
              <w:t>18. Invento e construo situações atrativas, originais e divergentes para a aula.</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8" w:hRule="exact"/>
        </w:trPr>
        <w:tc>
          <w:tcPr>
            <w:tcW w:w="4711" w:type="dxa"/>
          </w:tcPr>
          <w:p>
            <w:pPr>
              <w:pStyle w:val="TableParagraph"/>
              <w:spacing w:line="242" w:lineRule="auto"/>
              <w:ind w:left="446" w:right="100" w:hanging="346"/>
              <w:jc w:val="left"/>
              <w:rPr>
                <w:sz w:val="22"/>
              </w:rPr>
            </w:pPr>
            <w:r>
              <w:rPr>
                <w:sz w:val="22"/>
              </w:rPr>
              <w:t>19. Procuro trabalhar o pensamento e o sentimento com meus alunos.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298" w:hRule="exact"/>
        </w:trPr>
        <w:tc>
          <w:tcPr>
            <w:tcW w:w="4711" w:type="dxa"/>
          </w:tcPr>
          <w:p>
            <w:pPr>
              <w:pStyle w:val="TableParagraph"/>
              <w:spacing w:before="14"/>
              <w:ind w:left="100"/>
              <w:jc w:val="left"/>
              <w:rPr>
                <w:sz w:val="22"/>
              </w:rPr>
            </w:pPr>
            <w:r>
              <w:rPr>
                <w:sz w:val="22"/>
              </w:rPr>
              <w:t>20. Faço a  mediação do desenvolvimento  da</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bl>
    <w:p>
      <w:pPr>
        <w:spacing w:after="0"/>
        <w:sectPr>
          <w:pgSz w:w="11910" w:h="16840"/>
          <w:pgMar w:header="1133" w:footer="0" w:top="1340" w:bottom="280" w:left="1680" w:right="1020"/>
        </w:sectPr>
      </w:pPr>
    </w:p>
    <w:p>
      <w:pPr>
        <w:pStyle w:val="BodyText"/>
        <w:spacing w:before="7" w:after="1"/>
        <w:rPr>
          <w:rFonts w:ascii="Times New Roman"/>
          <w:sz w:val="29"/>
        </w:rPr>
      </w:pPr>
    </w:p>
    <w:tbl>
      <w:tblPr>
        <w:tblW w:w="0" w:type="auto"/>
        <w:jc w:val="left"/>
        <w:tblInd w:w="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11"/>
        <w:gridCol w:w="398"/>
        <w:gridCol w:w="394"/>
        <w:gridCol w:w="398"/>
        <w:gridCol w:w="398"/>
        <w:gridCol w:w="394"/>
        <w:gridCol w:w="398"/>
        <w:gridCol w:w="398"/>
        <w:gridCol w:w="399"/>
        <w:gridCol w:w="394"/>
        <w:gridCol w:w="399"/>
      </w:tblGrid>
      <w:tr>
        <w:trPr>
          <w:trHeight w:val="518" w:hRule="exact"/>
        </w:trPr>
        <w:tc>
          <w:tcPr>
            <w:tcW w:w="4711" w:type="dxa"/>
          </w:tcPr>
          <w:p>
            <w:pPr>
              <w:pStyle w:val="TableParagraph"/>
              <w:spacing w:line="242" w:lineRule="auto"/>
              <w:ind w:left="446" w:right="100"/>
              <w:jc w:val="left"/>
              <w:rPr>
                <w:sz w:val="22"/>
              </w:rPr>
            </w:pPr>
            <w:r>
              <w:rPr>
                <w:sz w:val="22"/>
              </w:rPr>
              <w:t>consciência de valores como respeito, escuta e tolerância.</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9" w:hRule="exact"/>
        </w:trPr>
        <w:tc>
          <w:tcPr>
            <w:tcW w:w="4711" w:type="dxa"/>
          </w:tcPr>
          <w:p>
            <w:pPr>
              <w:pStyle w:val="TableParagraph"/>
              <w:ind w:left="446" w:right="49" w:hanging="346"/>
              <w:jc w:val="both"/>
              <w:rPr>
                <w:sz w:val="22"/>
              </w:rPr>
            </w:pPr>
            <w:r>
              <w:rPr>
                <w:sz w:val="22"/>
              </w:rPr>
              <w:t>21. A escola promove hábitos, atitudes e valores de respeito e conservação do meio ambiente.</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8" w:hRule="exact"/>
        </w:trPr>
        <w:tc>
          <w:tcPr>
            <w:tcW w:w="4711" w:type="dxa"/>
            <w:shd w:val="clear" w:color="auto" w:fill="D9D9D9"/>
          </w:tcPr>
          <w:p>
            <w:pPr>
              <w:pStyle w:val="TableParagraph"/>
              <w:spacing w:line="242" w:lineRule="auto"/>
              <w:ind w:left="446" w:right="100" w:hanging="346"/>
              <w:jc w:val="left"/>
              <w:rPr>
                <w:sz w:val="22"/>
              </w:rPr>
            </w:pPr>
            <w:r>
              <w:rPr>
                <w:sz w:val="22"/>
              </w:rPr>
              <w:t>22. A escola utiliza as falhas e os conflitos para evoluir, aprender e melhorar.</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68" w:hRule="exact"/>
        </w:trPr>
        <w:tc>
          <w:tcPr>
            <w:tcW w:w="4711" w:type="dxa"/>
            <w:shd w:val="clear" w:color="auto" w:fill="D9D9D9"/>
          </w:tcPr>
          <w:p>
            <w:pPr>
              <w:pStyle w:val="TableParagraph"/>
              <w:ind w:left="446" w:right="54" w:hanging="346"/>
              <w:jc w:val="both"/>
              <w:rPr>
                <w:sz w:val="22"/>
              </w:rPr>
            </w:pPr>
            <w:r>
              <w:rPr>
                <w:sz w:val="22"/>
              </w:rPr>
              <w:t>23. As pessoas, que trabalham na escola, frequentemente são cordiais umas com as outras.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4" w:hRule="exact"/>
        </w:trPr>
        <w:tc>
          <w:tcPr>
            <w:tcW w:w="4711" w:type="dxa"/>
            <w:shd w:val="clear" w:color="auto" w:fill="D9D9D9"/>
          </w:tcPr>
          <w:p>
            <w:pPr>
              <w:pStyle w:val="TableParagraph"/>
              <w:spacing w:line="242" w:lineRule="auto"/>
              <w:ind w:left="446" w:right="100" w:hanging="346"/>
              <w:jc w:val="left"/>
              <w:rPr>
                <w:sz w:val="22"/>
              </w:rPr>
            </w:pPr>
            <w:r>
              <w:rPr>
                <w:sz w:val="22"/>
              </w:rPr>
              <w:t>24. A escola possui, constantemente, novos projetos inovadores em marcha.</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302" w:hRule="exact"/>
        </w:trPr>
        <w:tc>
          <w:tcPr>
            <w:tcW w:w="4711" w:type="dxa"/>
            <w:shd w:val="clear" w:color="auto" w:fill="D9D9D9"/>
          </w:tcPr>
          <w:p>
            <w:pPr>
              <w:pStyle w:val="TableParagraph"/>
              <w:spacing w:line="243" w:lineRule="exact"/>
              <w:ind w:left="2002" w:right="1956"/>
              <w:rPr>
                <w:b/>
                <w:sz w:val="22"/>
              </w:rPr>
            </w:pPr>
            <w:r>
              <w:rPr>
                <w:b/>
                <w:sz w:val="22"/>
              </w:rPr>
              <w:t>ITENS</w:t>
            </w:r>
          </w:p>
        </w:tc>
        <w:tc>
          <w:tcPr>
            <w:tcW w:w="398" w:type="dxa"/>
            <w:shd w:val="clear" w:color="auto" w:fill="D9D9D9"/>
          </w:tcPr>
          <w:p>
            <w:pPr>
              <w:pStyle w:val="TableParagraph"/>
              <w:spacing w:line="243" w:lineRule="exact"/>
              <w:ind w:left="67"/>
              <w:jc w:val="left"/>
              <w:rPr>
                <w:b/>
                <w:sz w:val="22"/>
              </w:rPr>
            </w:pPr>
            <w:r>
              <w:rPr>
                <w:b/>
                <w:sz w:val="22"/>
              </w:rPr>
              <w:t>01</w:t>
            </w:r>
          </w:p>
        </w:tc>
        <w:tc>
          <w:tcPr>
            <w:tcW w:w="394" w:type="dxa"/>
            <w:shd w:val="clear" w:color="auto" w:fill="D9D9D9"/>
          </w:tcPr>
          <w:p>
            <w:pPr>
              <w:pStyle w:val="TableParagraph"/>
              <w:spacing w:line="243" w:lineRule="exact"/>
              <w:ind w:left="67"/>
              <w:jc w:val="left"/>
              <w:rPr>
                <w:b/>
                <w:sz w:val="22"/>
              </w:rPr>
            </w:pPr>
            <w:r>
              <w:rPr>
                <w:b/>
                <w:sz w:val="22"/>
              </w:rPr>
              <w:t>02</w:t>
            </w:r>
          </w:p>
        </w:tc>
        <w:tc>
          <w:tcPr>
            <w:tcW w:w="398" w:type="dxa"/>
            <w:shd w:val="clear" w:color="auto" w:fill="D9D9D9"/>
          </w:tcPr>
          <w:p>
            <w:pPr>
              <w:pStyle w:val="TableParagraph"/>
              <w:spacing w:line="243" w:lineRule="exact"/>
              <w:ind w:left="67"/>
              <w:jc w:val="left"/>
              <w:rPr>
                <w:b/>
                <w:sz w:val="22"/>
              </w:rPr>
            </w:pPr>
            <w:r>
              <w:rPr>
                <w:b/>
                <w:sz w:val="22"/>
              </w:rPr>
              <w:t>03</w:t>
            </w:r>
          </w:p>
        </w:tc>
        <w:tc>
          <w:tcPr>
            <w:tcW w:w="398" w:type="dxa"/>
            <w:shd w:val="clear" w:color="auto" w:fill="D9D9D9"/>
          </w:tcPr>
          <w:p>
            <w:pPr>
              <w:pStyle w:val="TableParagraph"/>
              <w:spacing w:line="243" w:lineRule="exact"/>
              <w:ind w:left="67"/>
              <w:jc w:val="left"/>
              <w:rPr>
                <w:b/>
                <w:sz w:val="22"/>
              </w:rPr>
            </w:pPr>
            <w:r>
              <w:rPr>
                <w:b/>
                <w:sz w:val="22"/>
              </w:rPr>
              <w:t>04</w:t>
            </w:r>
          </w:p>
        </w:tc>
        <w:tc>
          <w:tcPr>
            <w:tcW w:w="394" w:type="dxa"/>
            <w:shd w:val="clear" w:color="auto" w:fill="D9D9D9"/>
          </w:tcPr>
          <w:p>
            <w:pPr>
              <w:pStyle w:val="TableParagraph"/>
              <w:spacing w:line="243" w:lineRule="exact"/>
              <w:ind w:left="67"/>
              <w:jc w:val="left"/>
              <w:rPr>
                <w:b/>
                <w:sz w:val="22"/>
              </w:rPr>
            </w:pPr>
            <w:r>
              <w:rPr>
                <w:b/>
                <w:sz w:val="22"/>
              </w:rPr>
              <w:t>05</w:t>
            </w:r>
          </w:p>
        </w:tc>
        <w:tc>
          <w:tcPr>
            <w:tcW w:w="398" w:type="dxa"/>
            <w:shd w:val="clear" w:color="auto" w:fill="D9D9D9"/>
          </w:tcPr>
          <w:p>
            <w:pPr>
              <w:pStyle w:val="TableParagraph"/>
              <w:spacing w:line="243" w:lineRule="exact"/>
              <w:ind w:left="67"/>
              <w:jc w:val="left"/>
              <w:rPr>
                <w:b/>
                <w:sz w:val="22"/>
              </w:rPr>
            </w:pPr>
            <w:r>
              <w:rPr>
                <w:b/>
                <w:sz w:val="22"/>
              </w:rPr>
              <w:t>06</w:t>
            </w:r>
          </w:p>
        </w:tc>
        <w:tc>
          <w:tcPr>
            <w:tcW w:w="398" w:type="dxa"/>
            <w:shd w:val="clear" w:color="auto" w:fill="D9D9D9"/>
          </w:tcPr>
          <w:p>
            <w:pPr>
              <w:pStyle w:val="TableParagraph"/>
              <w:spacing w:line="243" w:lineRule="exact"/>
              <w:ind w:left="67"/>
              <w:jc w:val="left"/>
              <w:rPr>
                <w:b/>
                <w:sz w:val="22"/>
              </w:rPr>
            </w:pPr>
            <w:r>
              <w:rPr>
                <w:b/>
                <w:sz w:val="22"/>
              </w:rPr>
              <w:t>07</w:t>
            </w:r>
          </w:p>
        </w:tc>
        <w:tc>
          <w:tcPr>
            <w:tcW w:w="399" w:type="dxa"/>
            <w:shd w:val="clear" w:color="auto" w:fill="D9D9D9"/>
          </w:tcPr>
          <w:p>
            <w:pPr>
              <w:pStyle w:val="TableParagraph"/>
              <w:spacing w:line="243" w:lineRule="exact"/>
              <w:ind w:left="67"/>
              <w:jc w:val="left"/>
              <w:rPr>
                <w:b/>
                <w:sz w:val="22"/>
              </w:rPr>
            </w:pPr>
            <w:r>
              <w:rPr>
                <w:b/>
                <w:sz w:val="22"/>
              </w:rPr>
              <w:t>08</w:t>
            </w:r>
          </w:p>
        </w:tc>
        <w:tc>
          <w:tcPr>
            <w:tcW w:w="394" w:type="dxa"/>
            <w:shd w:val="clear" w:color="auto" w:fill="D9D9D9"/>
          </w:tcPr>
          <w:p>
            <w:pPr>
              <w:pStyle w:val="TableParagraph"/>
              <w:spacing w:line="243" w:lineRule="exact"/>
              <w:ind w:left="67"/>
              <w:jc w:val="left"/>
              <w:rPr>
                <w:b/>
                <w:sz w:val="22"/>
              </w:rPr>
            </w:pPr>
            <w:r>
              <w:rPr>
                <w:b/>
                <w:sz w:val="22"/>
              </w:rPr>
              <w:t>09</w:t>
            </w:r>
          </w:p>
        </w:tc>
        <w:tc>
          <w:tcPr>
            <w:tcW w:w="399" w:type="dxa"/>
            <w:shd w:val="clear" w:color="auto" w:fill="D9D9D9"/>
          </w:tcPr>
          <w:p>
            <w:pPr>
              <w:pStyle w:val="TableParagraph"/>
              <w:spacing w:line="243" w:lineRule="exact"/>
              <w:ind w:left="67"/>
              <w:jc w:val="left"/>
              <w:rPr>
                <w:b/>
                <w:sz w:val="22"/>
              </w:rPr>
            </w:pPr>
            <w:r>
              <w:rPr>
                <w:b/>
                <w:sz w:val="22"/>
              </w:rPr>
              <w:t>10</w:t>
            </w:r>
          </w:p>
        </w:tc>
      </w:tr>
      <w:tr>
        <w:trPr>
          <w:trHeight w:val="768" w:hRule="exact"/>
        </w:trPr>
        <w:tc>
          <w:tcPr>
            <w:tcW w:w="4711" w:type="dxa"/>
          </w:tcPr>
          <w:p>
            <w:pPr>
              <w:pStyle w:val="TableParagraph"/>
              <w:ind w:left="446" w:right="54" w:hanging="346"/>
              <w:jc w:val="both"/>
              <w:rPr>
                <w:sz w:val="22"/>
              </w:rPr>
            </w:pPr>
            <w:r>
              <w:rPr>
                <w:sz w:val="22"/>
              </w:rPr>
              <w:t>25. Os membros da escola conhecem e compartilham as metas e a missão da mesma.</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9" w:hRule="exact"/>
        </w:trPr>
        <w:tc>
          <w:tcPr>
            <w:tcW w:w="4711" w:type="dxa"/>
          </w:tcPr>
          <w:p>
            <w:pPr>
              <w:pStyle w:val="TableParagraph"/>
              <w:tabs>
                <w:tab w:pos="1275" w:val="left" w:leader="none"/>
                <w:tab w:pos="2819" w:val="left" w:leader="none"/>
                <w:tab w:pos="3293" w:val="left" w:leader="none"/>
                <w:tab w:pos="4396" w:val="left" w:leader="none"/>
              </w:tabs>
              <w:spacing w:line="242" w:lineRule="auto"/>
              <w:ind w:left="446" w:right="55" w:hanging="346"/>
              <w:jc w:val="left"/>
              <w:rPr>
                <w:sz w:val="22"/>
              </w:rPr>
            </w:pPr>
            <w:r>
              <w:rPr>
                <w:sz w:val="22"/>
              </w:rPr>
              <w:t>26.</w:t>
            </w:r>
            <w:r>
              <w:rPr>
                <w:spacing w:val="-26"/>
                <w:sz w:val="22"/>
              </w:rPr>
              <w:t> </w:t>
            </w:r>
            <w:r>
              <w:rPr>
                <w:sz w:val="22"/>
              </w:rPr>
              <w:t>Existe</w:t>
              <w:tab/>
              <w:t>planejamento</w:t>
              <w:tab/>
              <w:t>da</w:t>
              <w:tab/>
              <w:t>inovação</w:t>
              <w:tab/>
              <w:t>na escola com consulta aos</w:t>
            </w:r>
            <w:r>
              <w:rPr>
                <w:spacing w:val="-12"/>
                <w:sz w:val="22"/>
              </w:rPr>
              <w:t> </w:t>
            </w:r>
            <w:r>
              <w:rPr>
                <w:sz w:val="22"/>
              </w:rPr>
              <w:t>professores.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tcPr>
          <w:p>
            <w:pPr>
              <w:pStyle w:val="TableParagraph"/>
              <w:ind w:left="446" w:right="54" w:hanging="346"/>
              <w:jc w:val="both"/>
              <w:rPr>
                <w:sz w:val="22"/>
              </w:rPr>
            </w:pPr>
            <w:r>
              <w:rPr>
                <w:sz w:val="22"/>
              </w:rPr>
              <w:t>27. A estrutura pedagógica é flexível para os docentes atuarem de forma criativa e responsável.</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shd w:val="clear" w:color="auto" w:fill="D9D9D9"/>
          </w:tcPr>
          <w:p>
            <w:pPr>
              <w:pStyle w:val="TableParagraph"/>
              <w:ind w:left="446" w:right="54" w:hanging="346"/>
              <w:jc w:val="both"/>
              <w:rPr>
                <w:sz w:val="22"/>
              </w:rPr>
            </w:pPr>
            <w:r>
              <w:rPr>
                <w:sz w:val="22"/>
              </w:rPr>
              <w:t>28. Há planejamento de programas de impacto a curtos prazos e estratégicos a médio e longo</w:t>
            </w:r>
            <w:r>
              <w:rPr>
                <w:spacing w:val="-9"/>
                <w:sz w:val="22"/>
              </w:rPr>
              <w:t> </w:t>
            </w:r>
            <w:r>
              <w:rPr>
                <w:sz w:val="22"/>
              </w:rPr>
              <w:t>prazo.</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68" w:hRule="exact"/>
        </w:trPr>
        <w:tc>
          <w:tcPr>
            <w:tcW w:w="4711" w:type="dxa"/>
            <w:shd w:val="clear" w:color="auto" w:fill="D9D9D9"/>
          </w:tcPr>
          <w:p>
            <w:pPr>
              <w:pStyle w:val="TableParagraph"/>
              <w:ind w:left="446" w:right="51" w:hanging="346"/>
              <w:jc w:val="both"/>
              <w:rPr>
                <w:sz w:val="22"/>
              </w:rPr>
            </w:pPr>
            <w:r>
              <w:rPr>
                <w:sz w:val="22"/>
              </w:rPr>
              <w:t>29. Há o aproveitamento dos incidentes negativos e conflitos para introduzir mudanças.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68" w:hRule="exact"/>
        </w:trPr>
        <w:tc>
          <w:tcPr>
            <w:tcW w:w="4711" w:type="dxa"/>
            <w:shd w:val="clear" w:color="auto" w:fill="D9D9D9"/>
          </w:tcPr>
          <w:p>
            <w:pPr>
              <w:pStyle w:val="TableParagraph"/>
              <w:spacing w:line="242" w:lineRule="auto"/>
              <w:ind w:left="446" w:right="53" w:hanging="346"/>
              <w:jc w:val="both"/>
              <w:rPr>
                <w:sz w:val="22"/>
              </w:rPr>
            </w:pPr>
            <w:r>
              <w:rPr>
                <w:sz w:val="22"/>
              </w:rPr>
              <w:t>30. Há a valorização da diversidade de culturas, crenças e diferenças pessoais como riquezas.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73" w:hRule="exact"/>
        </w:trPr>
        <w:tc>
          <w:tcPr>
            <w:tcW w:w="4711" w:type="dxa"/>
          </w:tcPr>
          <w:p>
            <w:pPr>
              <w:pStyle w:val="TableParagraph"/>
              <w:spacing w:line="242" w:lineRule="auto"/>
              <w:ind w:left="446" w:right="51" w:hanging="346"/>
              <w:jc w:val="both"/>
              <w:rPr>
                <w:sz w:val="22"/>
              </w:rPr>
            </w:pPr>
            <w:r>
              <w:rPr>
                <w:sz w:val="22"/>
              </w:rPr>
              <w:t>31. Os alunos têm acesso a conhecimentos que possam contribuir significativamente com o social.</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tcPr>
          <w:p>
            <w:pPr>
              <w:pStyle w:val="TableParagraph"/>
              <w:ind w:left="446" w:right="55" w:hanging="346"/>
              <w:jc w:val="both"/>
              <w:rPr>
                <w:sz w:val="22"/>
              </w:rPr>
            </w:pPr>
            <w:r>
              <w:rPr>
                <w:sz w:val="22"/>
              </w:rPr>
              <w:t>32. A aprendizagem de cada aluno é uma construção pessoal e leva em conta atitudes e interesses.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9" w:hRule="exact"/>
        </w:trPr>
        <w:tc>
          <w:tcPr>
            <w:tcW w:w="4711" w:type="dxa"/>
          </w:tcPr>
          <w:p>
            <w:pPr>
              <w:pStyle w:val="TableParagraph"/>
              <w:ind w:left="446" w:right="55" w:hanging="346"/>
              <w:jc w:val="both"/>
              <w:rPr>
                <w:sz w:val="22"/>
              </w:rPr>
            </w:pPr>
            <w:r>
              <w:rPr>
                <w:sz w:val="22"/>
              </w:rPr>
              <w:t>33. A criatividade é um valor considerado no planejamento de atividades dentro e fora da sala de aula.</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6" w:hRule="exact"/>
        </w:trPr>
        <w:tc>
          <w:tcPr>
            <w:tcW w:w="4711" w:type="dxa"/>
            <w:shd w:val="clear" w:color="auto" w:fill="D9D9D9"/>
          </w:tcPr>
          <w:p>
            <w:pPr>
              <w:pStyle w:val="TableParagraph"/>
              <w:spacing w:line="242" w:lineRule="auto"/>
              <w:ind w:left="446" w:right="52" w:hanging="346"/>
              <w:jc w:val="left"/>
              <w:rPr>
                <w:sz w:val="22"/>
              </w:rPr>
            </w:pPr>
            <w:r>
              <w:rPr>
                <w:sz w:val="22"/>
              </w:rPr>
              <w:t>34. Há flexibilidade no uso dos espaços e horários de aulas em função dos objetivos.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6" w:hRule="exact"/>
        </w:trPr>
        <w:tc>
          <w:tcPr>
            <w:tcW w:w="4711" w:type="dxa"/>
            <w:shd w:val="clear" w:color="auto" w:fill="D9D9D9"/>
          </w:tcPr>
          <w:p>
            <w:pPr>
              <w:pStyle w:val="TableParagraph"/>
              <w:spacing w:line="250" w:lineRule="exact" w:before="4"/>
              <w:ind w:left="446" w:right="100" w:hanging="346"/>
              <w:jc w:val="left"/>
              <w:rPr>
                <w:sz w:val="22"/>
              </w:rPr>
            </w:pPr>
            <w:r>
              <w:rPr>
                <w:sz w:val="22"/>
              </w:rPr>
              <w:t>35. A gestão é facilitadora dos processos ao invés de complicadora.</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4" w:hRule="exact"/>
        </w:trPr>
        <w:tc>
          <w:tcPr>
            <w:tcW w:w="4711" w:type="dxa"/>
            <w:shd w:val="clear" w:color="auto" w:fill="D9D9D9"/>
          </w:tcPr>
          <w:p>
            <w:pPr>
              <w:pStyle w:val="TableParagraph"/>
              <w:spacing w:line="242" w:lineRule="auto"/>
              <w:ind w:left="446" w:right="100" w:hanging="346"/>
              <w:jc w:val="left"/>
              <w:rPr>
                <w:sz w:val="22"/>
              </w:rPr>
            </w:pPr>
            <w:r>
              <w:rPr>
                <w:sz w:val="22"/>
              </w:rPr>
              <w:t>36. A criatividade das atividades da escola é reconhecida pelos alunos e seus pais.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73" w:hRule="exact"/>
        </w:trPr>
        <w:tc>
          <w:tcPr>
            <w:tcW w:w="4711" w:type="dxa"/>
          </w:tcPr>
          <w:p>
            <w:pPr>
              <w:pStyle w:val="TableParagraph"/>
              <w:ind w:left="446" w:right="50" w:hanging="346"/>
              <w:jc w:val="both"/>
              <w:rPr>
                <w:sz w:val="22"/>
              </w:rPr>
            </w:pPr>
            <w:r>
              <w:rPr>
                <w:sz w:val="22"/>
              </w:rPr>
              <w:t>37. O aluno é levado a pensar suas potencialidades e talentos com entusiasmo.</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4" w:hRule="exact"/>
        </w:trPr>
        <w:tc>
          <w:tcPr>
            <w:tcW w:w="4711" w:type="dxa"/>
          </w:tcPr>
          <w:p>
            <w:pPr>
              <w:pStyle w:val="TableParagraph"/>
              <w:spacing w:line="250" w:lineRule="exact" w:before="1"/>
              <w:ind w:left="446" w:right="100" w:hanging="346"/>
              <w:jc w:val="left"/>
              <w:rPr>
                <w:sz w:val="22"/>
              </w:rPr>
            </w:pPr>
            <w:r>
              <w:rPr>
                <w:sz w:val="22"/>
              </w:rPr>
              <w:t>38. Há espaços de diálogo, discussão e exposições de habilidades psicossociais.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tcPr>
          <w:p>
            <w:pPr>
              <w:pStyle w:val="TableParagraph"/>
              <w:spacing w:line="242" w:lineRule="auto"/>
              <w:ind w:left="446" w:right="55" w:hanging="346"/>
              <w:jc w:val="both"/>
              <w:rPr>
                <w:sz w:val="22"/>
              </w:rPr>
            </w:pPr>
            <w:r>
              <w:rPr>
                <w:sz w:val="22"/>
              </w:rPr>
              <w:t>39. Há o estabelecimento de vínculos de colaboração com a comunidade externa à escola.</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302" w:hRule="exact"/>
        </w:trPr>
        <w:tc>
          <w:tcPr>
            <w:tcW w:w="4711" w:type="dxa"/>
            <w:shd w:val="clear" w:color="auto" w:fill="D9D9D9"/>
          </w:tcPr>
          <w:p>
            <w:pPr>
              <w:pStyle w:val="TableParagraph"/>
              <w:spacing w:before="14"/>
              <w:ind w:left="100"/>
              <w:jc w:val="left"/>
              <w:rPr>
                <w:sz w:val="22"/>
              </w:rPr>
            </w:pPr>
            <w:r>
              <w:rPr>
                <w:sz w:val="22"/>
              </w:rPr>
              <w:t>40. A avaliação contempla os progressos   em</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bl>
    <w:p>
      <w:pPr>
        <w:spacing w:after="0"/>
        <w:sectPr>
          <w:pgSz w:w="11910" w:h="16840"/>
          <w:pgMar w:header="1133" w:footer="0" w:top="1340" w:bottom="280" w:left="1680" w:right="1020"/>
        </w:sectPr>
      </w:pPr>
    </w:p>
    <w:p>
      <w:pPr>
        <w:pStyle w:val="BodyText"/>
        <w:spacing w:before="7" w:after="1"/>
        <w:rPr>
          <w:rFonts w:ascii="Times New Roman"/>
          <w:sz w:val="29"/>
        </w:rPr>
      </w:pPr>
    </w:p>
    <w:tbl>
      <w:tblPr>
        <w:tblW w:w="0" w:type="auto"/>
        <w:jc w:val="left"/>
        <w:tblInd w:w="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11"/>
        <w:gridCol w:w="398"/>
        <w:gridCol w:w="394"/>
        <w:gridCol w:w="398"/>
        <w:gridCol w:w="398"/>
        <w:gridCol w:w="394"/>
        <w:gridCol w:w="398"/>
        <w:gridCol w:w="398"/>
        <w:gridCol w:w="399"/>
        <w:gridCol w:w="394"/>
        <w:gridCol w:w="399"/>
      </w:tblGrid>
      <w:tr>
        <w:trPr>
          <w:trHeight w:val="264" w:hRule="exact"/>
        </w:trPr>
        <w:tc>
          <w:tcPr>
            <w:tcW w:w="4711" w:type="dxa"/>
            <w:shd w:val="clear" w:color="auto" w:fill="D9D9D9"/>
          </w:tcPr>
          <w:p>
            <w:pPr>
              <w:pStyle w:val="TableParagraph"/>
              <w:spacing w:line="248" w:lineRule="exact"/>
              <w:ind w:left="446"/>
              <w:jc w:val="left"/>
              <w:rPr>
                <w:sz w:val="22"/>
              </w:rPr>
            </w:pPr>
            <w:r>
              <w:rPr>
                <w:sz w:val="22"/>
              </w:rPr>
              <w:t>atitudes e valores.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69" w:hRule="exact"/>
        </w:trPr>
        <w:tc>
          <w:tcPr>
            <w:tcW w:w="4711" w:type="dxa"/>
            <w:shd w:val="clear" w:color="auto" w:fill="D9D9D9"/>
          </w:tcPr>
          <w:p>
            <w:pPr>
              <w:pStyle w:val="TableParagraph"/>
              <w:spacing w:line="242" w:lineRule="auto"/>
              <w:ind w:left="446" w:right="54" w:hanging="346"/>
              <w:jc w:val="both"/>
              <w:rPr>
                <w:sz w:val="22"/>
              </w:rPr>
            </w:pPr>
            <w:r>
              <w:rPr>
                <w:sz w:val="22"/>
              </w:rPr>
              <w:t>41. Sou confiante na minha habilidade de fazer o necessário para alcançar os objetivos.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73" w:hRule="exact"/>
        </w:trPr>
        <w:tc>
          <w:tcPr>
            <w:tcW w:w="4711" w:type="dxa"/>
            <w:shd w:val="clear" w:color="auto" w:fill="D9D9D9"/>
          </w:tcPr>
          <w:p>
            <w:pPr>
              <w:pStyle w:val="TableParagraph"/>
              <w:spacing w:line="242" w:lineRule="auto"/>
              <w:ind w:left="446" w:right="51" w:hanging="346"/>
              <w:jc w:val="both"/>
              <w:rPr>
                <w:sz w:val="22"/>
              </w:rPr>
            </w:pPr>
            <w:r>
              <w:rPr>
                <w:sz w:val="22"/>
              </w:rPr>
              <w:t>42. Sou motivado para atuar frente a um grande desafio me adaptando com flexibilidade às mudanças.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4" w:hRule="exact"/>
        </w:trPr>
        <w:tc>
          <w:tcPr>
            <w:tcW w:w="4711" w:type="dxa"/>
          </w:tcPr>
          <w:p>
            <w:pPr>
              <w:pStyle w:val="TableParagraph"/>
              <w:tabs>
                <w:tab w:pos="1481" w:val="left" w:leader="none"/>
                <w:tab w:pos="1855" w:val="left" w:leader="none"/>
                <w:tab w:pos="3083" w:val="left" w:leader="none"/>
                <w:tab w:pos="4204" w:val="left" w:leader="none"/>
              </w:tabs>
              <w:spacing w:line="250" w:lineRule="exact" w:before="1"/>
              <w:ind w:left="446" w:right="54" w:hanging="346"/>
              <w:jc w:val="left"/>
              <w:rPr>
                <w:sz w:val="22"/>
              </w:rPr>
            </w:pPr>
            <w:r>
              <w:rPr>
                <w:sz w:val="22"/>
              </w:rPr>
              <w:t>43.</w:t>
            </w:r>
            <w:r>
              <w:rPr>
                <w:spacing w:val="-27"/>
                <w:sz w:val="22"/>
              </w:rPr>
              <w:t> </w:t>
            </w:r>
            <w:r>
              <w:rPr>
                <w:sz w:val="22"/>
              </w:rPr>
              <w:t>Recorro</w:t>
              <w:tab/>
              <w:t>a</w:t>
              <w:tab/>
              <w:t>sacrifícios</w:t>
              <w:tab/>
              <w:t>pessoais</w:t>
              <w:tab/>
            </w:r>
            <w:r>
              <w:rPr>
                <w:spacing w:val="-1"/>
                <w:sz w:val="22"/>
              </w:rPr>
              <w:t>para </w:t>
            </w:r>
            <w:r>
              <w:rPr>
                <w:sz w:val="22"/>
              </w:rPr>
              <w:t>finalizar um trabalho com prazos</w:t>
            </w:r>
            <w:r>
              <w:rPr>
                <w:spacing w:val="-23"/>
                <w:sz w:val="22"/>
              </w:rPr>
              <w:t> </w:t>
            </w:r>
            <w:r>
              <w:rPr>
                <w:sz w:val="22"/>
              </w:rPr>
              <w:t>previstos.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9" w:hRule="exact"/>
        </w:trPr>
        <w:tc>
          <w:tcPr>
            <w:tcW w:w="4711" w:type="dxa"/>
          </w:tcPr>
          <w:p>
            <w:pPr>
              <w:pStyle w:val="TableParagraph"/>
              <w:spacing w:line="242" w:lineRule="auto"/>
              <w:ind w:left="446" w:right="100" w:hanging="346"/>
              <w:jc w:val="left"/>
              <w:rPr>
                <w:sz w:val="22"/>
              </w:rPr>
            </w:pPr>
            <w:r>
              <w:rPr>
                <w:sz w:val="22"/>
              </w:rPr>
              <w:t>44. Calculo os riscos de maneira cuidadosa e avalio alternativas.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4" w:hRule="exact"/>
        </w:trPr>
        <w:tc>
          <w:tcPr>
            <w:tcW w:w="4711" w:type="dxa"/>
          </w:tcPr>
          <w:p>
            <w:pPr>
              <w:pStyle w:val="TableParagraph"/>
              <w:spacing w:line="250" w:lineRule="exact" w:before="1"/>
              <w:ind w:left="446" w:right="100" w:hanging="346"/>
              <w:jc w:val="left"/>
              <w:rPr>
                <w:sz w:val="22"/>
              </w:rPr>
            </w:pPr>
            <w:r>
              <w:rPr>
                <w:sz w:val="22"/>
              </w:rPr>
              <w:t>45. Aproveito oportunidades poucos usuais para iniciar um projeto.</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shd w:val="clear" w:color="auto" w:fill="D9D9D9"/>
          </w:tcPr>
          <w:p>
            <w:pPr>
              <w:pStyle w:val="TableParagraph"/>
              <w:spacing w:line="242" w:lineRule="auto"/>
              <w:ind w:left="446" w:right="52" w:hanging="346"/>
              <w:jc w:val="both"/>
              <w:rPr>
                <w:sz w:val="22"/>
              </w:rPr>
            </w:pPr>
            <w:r>
              <w:rPr>
                <w:sz w:val="22"/>
              </w:rPr>
              <w:t>46. Utilizo procedimentos para assegurar que o trabalho termine com os requisitos requeridos.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69" w:hRule="exact"/>
        </w:trPr>
        <w:tc>
          <w:tcPr>
            <w:tcW w:w="4711" w:type="dxa"/>
            <w:shd w:val="clear" w:color="auto" w:fill="D9D9D9"/>
          </w:tcPr>
          <w:p>
            <w:pPr>
              <w:pStyle w:val="TableParagraph"/>
              <w:spacing w:line="242" w:lineRule="auto"/>
              <w:ind w:left="446" w:right="54" w:hanging="346"/>
              <w:jc w:val="both"/>
              <w:rPr>
                <w:sz w:val="22"/>
              </w:rPr>
            </w:pPr>
            <w:r>
              <w:rPr>
                <w:sz w:val="22"/>
              </w:rPr>
              <w:t>47. Procuro, pessoalmente, informações</w:t>
            </w:r>
            <w:r>
              <w:rPr>
                <w:spacing w:val="-33"/>
                <w:sz w:val="22"/>
              </w:rPr>
              <w:t> </w:t>
            </w:r>
            <w:r>
              <w:rPr>
                <w:sz w:val="22"/>
              </w:rPr>
              <w:t>sobre os alunos, colegas e processos que melhore a minha</w:t>
            </w:r>
            <w:r>
              <w:rPr>
                <w:spacing w:val="-14"/>
                <w:sz w:val="22"/>
              </w:rPr>
              <w:t> </w:t>
            </w:r>
            <w:r>
              <w:rPr>
                <w:sz w:val="22"/>
              </w:rPr>
              <w:t>prática.</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8" w:hRule="exact"/>
        </w:trPr>
        <w:tc>
          <w:tcPr>
            <w:tcW w:w="4711" w:type="dxa"/>
            <w:shd w:val="clear" w:color="auto" w:fill="D9D9D9"/>
          </w:tcPr>
          <w:p>
            <w:pPr>
              <w:pStyle w:val="TableParagraph"/>
              <w:spacing w:line="242" w:lineRule="auto"/>
              <w:ind w:left="446" w:right="100" w:hanging="346"/>
              <w:jc w:val="left"/>
              <w:rPr>
                <w:sz w:val="22"/>
              </w:rPr>
            </w:pPr>
            <w:r>
              <w:rPr>
                <w:sz w:val="22"/>
              </w:rPr>
              <w:t>48. Procuro objetivos ambiciosos, a longo prazo, porém exequíveis.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4" w:hRule="exact"/>
        </w:trPr>
        <w:tc>
          <w:tcPr>
            <w:tcW w:w="4711" w:type="dxa"/>
          </w:tcPr>
          <w:p>
            <w:pPr>
              <w:pStyle w:val="TableParagraph"/>
              <w:spacing w:line="242" w:lineRule="auto"/>
              <w:ind w:left="446" w:right="100" w:hanging="346"/>
              <w:jc w:val="left"/>
              <w:rPr>
                <w:sz w:val="22"/>
              </w:rPr>
            </w:pPr>
            <w:r>
              <w:rPr>
                <w:sz w:val="22"/>
              </w:rPr>
              <w:t>49. Utilizo estratégias para influenciar outros com minhas ideias.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9" w:hRule="exact"/>
        </w:trPr>
        <w:tc>
          <w:tcPr>
            <w:tcW w:w="4711" w:type="dxa"/>
          </w:tcPr>
          <w:p>
            <w:pPr>
              <w:pStyle w:val="TableParagraph"/>
              <w:spacing w:line="242" w:lineRule="auto"/>
              <w:ind w:left="446" w:right="54" w:hanging="346"/>
              <w:jc w:val="left"/>
              <w:rPr>
                <w:sz w:val="22"/>
              </w:rPr>
            </w:pPr>
            <w:r>
              <w:rPr>
                <w:sz w:val="22"/>
              </w:rPr>
              <w:t>50. Reviso meus planos constantemente para atingir os objetivos e antecipar mudanças.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302" w:hRule="exact"/>
        </w:trPr>
        <w:tc>
          <w:tcPr>
            <w:tcW w:w="4711" w:type="dxa"/>
            <w:shd w:val="clear" w:color="auto" w:fill="D9D9D9"/>
          </w:tcPr>
          <w:p>
            <w:pPr>
              <w:pStyle w:val="TableParagraph"/>
              <w:spacing w:line="243" w:lineRule="exact"/>
              <w:ind w:left="2002" w:right="1956"/>
              <w:rPr>
                <w:b/>
                <w:sz w:val="22"/>
              </w:rPr>
            </w:pPr>
            <w:r>
              <w:rPr>
                <w:b/>
                <w:sz w:val="22"/>
              </w:rPr>
              <w:t>ITENS</w:t>
            </w:r>
          </w:p>
        </w:tc>
        <w:tc>
          <w:tcPr>
            <w:tcW w:w="398" w:type="dxa"/>
            <w:shd w:val="clear" w:color="auto" w:fill="D9D9D9"/>
          </w:tcPr>
          <w:p>
            <w:pPr>
              <w:pStyle w:val="TableParagraph"/>
              <w:spacing w:line="243" w:lineRule="exact"/>
              <w:ind w:left="67"/>
              <w:jc w:val="left"/>
              <w:rPr>
                <w:b/>
                <w:sz w:val="22"/>
              </w:rPr>
            </w:pPr>
            <w:r>
              <w:rPr>
                <w:b/>
                <w:sz w:val="22"/>
              </w:rPr>
              <w:t>01</w:t>
            </w:r>
          </w:p>
        </w:tc>
        <w:tc>
          <w:tcPr>
            <w:tcW w:w="394" w:type="dxa"/>
            <w:shd w:val="clear" w:color="auto" w:fill="D9D9D9"/>
          </w:tcPr>
          <w:p>
            <w:pPr>
              <w:pStyle w:val="TableParagraph"/>
              <w:spacing w:line="243" w:lineRule="exact"/>
              <w:ind w:left="67"/>
              <w:jc w:val="left"/>
              <w:rPr>
                <w:b/>
                <w:sz w:val="22"/>
              </w:rPr>
            </w:pPr>
            <w:r>
              <w:rPr>
                <w:b/>
                <w:sz w:val="22"/>
              </w:rPr>
              <w:t>02</w:t>
            </w:r>
          </w:p>
        </w:tc>
        <w:tc>
          <w:tcPr>
            <w:tcW w:w="398" w:type="dxa"/>
            <w:shd w:val="clear" w:color="auto" w:fill="D9D9D9"/>
          </w:tcPr>
          <w:p>
            <w:pPr>
              <w:pStyle w:val="TableParagraph"/>
              <w:spacing w:line="243" w:lineRule="exact"/>
              <w:ind w:left="67"/>
              <w:jc w:val="left"/>
              <w:rPr>
                <w:b/>
                <w:sz w:val="22"/>
              </w:rPr>
            </w:pPr>
            <w:r>
              <w:rPr>
                <w:b/>
                <w:sz w:val="22"/>
              </w:rPr>
              <w:t>03</w:t>
            </w:r>
          </w:p>
        </w:tc>
        <w:tc>
          <w:tcPr>
            <w:tcW w:w="398" w:type="dxa"/>
            <w:shd w:val="clear" w:color="auto" w:fill="D9D9D9"/>
          </w:tcPr>
          <w:p>
            <w:pPr>
              <w:pStyle w:val="TableParagraph"/>
              <w:spacing w:line="243" w:lineRule="exact"/>
              <w:ind w:left="67"/>
              <w:jc w:val="left"/>
              <w:rPr>
                <w:b/>
                <w:sz w:val="22"/>
              </w:rPr>
            </w:pPr>
            <w:r>
              <w:rPr>
                <w:b/>
                <w:sz w:val="22"/>
              </w:rPr>
              <w:t>04</w:t>
            </w:r>
          </w:p>
        </w:tc>
        <w:tc>
          <w:tcPr>
            <w:tcW w:w="394" w:type="dxa"/>
            <w:shd w:val="clear" w:color="auto" w:fill="D9D9D9"/>
          </w:tcPr>
          <w:p>
            <w:pPr>
              <w:pStyle w:val="TableParagraph"/>
              <w:spacing w:line="243" w:lineRule="exact"/>
              <w:ind w:left="67"/>
              <w:jc w:val="left"/>
              <w:rPr>
                <w:b/>
                <w:sz w:val="22"/>
              </w:rPr>
            </w:pPr>
            <w:r>
              <w:rPr>
                <w:b/>
                <w:sz w:val="22"/>
              </w:rPr>
              <w:t>05</w:t>
            </w:r>
          </w:p>
        </w:tc>
        <w:tc>
          <w:tcPr>
            <w:tcW w:w="398" w:type="dxa"/>
            <w:shd w:val="clear" w:color="auto" w:fill="D9D9D9"/>
          </w:tcPr>
          <w:p>
            <w:pPr>
              <w:pStyle w:val="TableParagraph"/>
              <w:spacing w:line="243" w:lineRule="exact"/>
              <w:ind w:left="67"/>
              <w:jc w:val="left"/>
              <w:rPr>
                <w:b/>
                <w:sz w:val="22"/>
              </w:rPr>
            </w:pPr>
            <w:r>
              <w:rPr>
                <w:b/>
                <w:sz w:val="22"/>
              </w:rPr>
              <w:t>06</w:t>
            </w:r>
          </w:p>
        </w:tc>
        <w:tc>
          <w:tcPr>
            <w:tcW w:w="398" w:type="dxa"/>
            <w:shd w:val="clear" w:color="auto" w:fill="D9D9D9"/>
          </w:tcPr>
          <w:p>
            <w:pPr>
              <w:pStyle w:val="TableParagraph"/>
              <w:spacing w:line="243" w:lineRule="exact"/>
              <w:ind w:left="67"/>
              <w:jc w:val="left"/>
              <w:rPr>
                <w:b/>
                <w:sz w:val="22"/>
              </w:rPr>
            </w:pPr>
            <w:r>
              <w:rPr>
                <w:b/>
                <w:sz w:val="22"/>
              </w:rPr>
              <w:t>07</w:t>
            </w:r>
          </w:p>
        </w:tc>
        <w:tc>
          <w:tcPr>
            <w:tcW w:w="399" w:type="dxa"/>
            <w:shd w:val="clear" w:color="auto" w:fill="D9D9D9"/>
          </w:tcPr>
          <w:p>
            <w:pPr>
              <w:pStyle w:val="TableParagraph"/>
              <w:spacing w:line="243" w:lineRule="exact"/>
              <w:ind w:left="67"/>
              <w:jc w:val="left"/>
              <w:rPr>
                <w:b/>
                <w:sz w:val="22"/>
              </w:rPr>
            </w:pPr>
            <w:r>
              <w:rPr>
                <w:b/>
                <w:sz w:val="22"/>
              </w:rPr>
              <w:t>08</w:t>
            </w:r>
          </w:p>
        </w:tc>
        <w:tc>
          <w:tcPr>
            <w:tcW w:w="394" w:type="dxa"/>
            <w:shd w:val="clear" w:color="auto" w:fill="D9D9D9"/>
          </w:tcPr>
          <w:p>
            <w:pPr>
              <w:pStyle w:val="TableParagraph"/>
              <w:spacing w:line="243" w:lineRule="exact"/>
              <w:ind w:left="67"/>
              <w:jc w:val="left"/>
              <w:rPr>
                <w:b/>
                <w:sz w:val="22"/>
              </w:rPr>
            </w:pPr>
            <w:r>
              <w:rPr>
                <w:b/>
                <w:sz w:val="22"/>
              </w:rPr>
              <w:t>09</w:t>
            </w:r>
          </w:p>
        </w:tc>
        <w:tc>
          <w:tcPr>
            <w:tcW w:w="399" w:type="dxa"/>
            <w:shd w:val="clear" w:color="auto" w:fill="D9D9D9"/>
          </w:tcPr>
          <w:p>
            <w:pPr>
              <w:pStyle w:val="TableParagraph"/>
              <w:spacing w:line="243" w:lineRule="exact"/>
              <w:ind w:left="67"/>
              <w:jc w:val="left"/>
              <w:rPr>
                <w:b/>
                <w:sz w:val="22"/>
              </w:rPr>
            </w:pPr>
            <w:r>
              <w:rPr>
                <w:b/>
                <w:sz w:val="22"/>
              </w:rPr>
              <w:t>10</w:t>
            </w:r>
          </w:p>
        </w:tc>
      </w:tr>
      <w:tr>
        <w:trPr>
          <w:trHeight w:val="514" w:hRule="exact"/>
        </w:trPr>
        <w:tc>
          <w:tcPr>
            <w:tcW w:w="4711" w:type="dxa"/>
          </w:tcPr>
          <w:p>
            <w:pPr>
              <w:pStyle w:val="TableParagraph"/>
              <w:spacing w:line="250" w:lineRule="exact" w:before="1"/>
              <w:ind w:left="446" w:right="100" w:hanging="346"/>
              <w:jc w:val="left"/>
              <w:rPr>
                <w:sz w:val="22"/>
              </w:rPr>
            </w:pPr>
            <w:r>
              <w:rPr>
                <w:sz w:val="22"/>
              </w:rPr>
              <w:t>51. Procuro retirar o melhor de cada aluno buscando o seu crescimento integral.</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shd w:val="clear" w:color="auto" w:fill="D9D9D9"/>
          </w:tcPr>
          <w:p>
            <w:pPr>
              <w:pStyle w:val="TableParagraph"/>
              <w:spacing w:line="242" w:lineRule="auto"/>
              <w:ind w:left="446" w:right="54" w:hanging="346"/>
              <w:jc w:val="both"/>
              <w:rPr>
                <w:sz w:val="22"/>
              </w:rPr>
            </w:pPr>
            <w:r>
              <w:rPr>
                <w:sz w:val="22"/>
              </w:rPr>
              <w:t>52. Trabalha com consciência de identidade interior, social, ecológica, global e espiritual.</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8" w:hRule="exact"/>
        </w:trPr>
        <w:tc>
          <w:tcPr>
            <w:tcW w:w="4711" w:type="dxa"/>
            <w:shd w:val="clear" w:color="auto" w:fill="D9D9D9"/>
          </w:tcPr>
          <w:p>
            <w:pPr>
              <w:pStyle w:val="TableParagraph"/>
              <w:spacing w:line="242" w:lineRule="auto"/>
              <w:ind w:left="446" w:right="54" w:hanging="346"/>
              <w:jc w:val="left"/>
              <w:rPr>
                <w:sz w:val="22"/>
              </w:rPr>
            </w:pPr>
            <w:r>
              <w:rPr>
                <w:sz w:val="22"/>
              </w:rPr>
              <w:t>53. A ética está presente em todas as ações e relações humanas dentro da escola.</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4" w:hRule="exact"/>
        </w:trPr>
        <w:tc>
          <w:tcPr>
            <w:tcW w:w="4711" w:type="dxa"/>
            <w:shd w:val="clear" w:color="auto" w:fill="D9D9D9"/>
          </w:tcPr>
          <w:p>
            <w:pPr>
              <w:pStyle w:val="TableParagraph"/>
              <w:spacing w:line="242" w:lineRule="auto"/>
              <w:ind w:left="446" w:right="100" w:hanging="346"/>
              <w:jc w:val="left"/>
              <w:rPr>
                <w:sz w:val="22"/>
              </w:rPr>
            </w:pPr>
            <w:r>
              <w:rPr>
                <w:sz w:val="22"/>
              </w:rPr>
              <w:t>54. O saber é uma construção integrada e compartilhada</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69" w:hRule="exact"/>
        </w:trPr>
        <w:tc>
          <w:tcPr>
            <w:tcW w:w="4711" w:type="dxa"/>
          </w:tcPr>
          <w:p>
            <w:pPr>
              <w:pStyle w:val="TableParagraph"/>
              <w:spacing w:line="242" w:lineRule="auto"/>
              <w:ind w:left="446" w:right="51" w:hanging="346"/>
              <w:jc w:val="both"/>
              <w:rPr>
                <w:sz w:val="22"/>
              </w:rPr>
            </w:pPr>
            <w:r>
              <w:rPr>
                <w:sz w:val="22"/>
              </w:rPr>
              <w:t>55. Os processos de ensino e aprendizagem não são lineares, mas emergentes e contextualizados.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73" w:hRule="exact"/>
        </w:trPr>
        <w:tc>
          <w:tcPr>
            <w:tcW w:w="4711" w:type="dxa"/>
          </w:tcPr>
          <w:p>
            <w:pPr>
              <w:pStyle w:val="TableParagraph"/>
              <w:ind w:left="446" w:right="52" w:hanging="346"/>
              <w:jc w:val="both"/>
              <w:rPr>
                <w:sz w:val="22"/>
              </w:rPr>
            </w:pPr>
            <w:r>
              <w:rPr>
                <w:sz w:val="22"/>
              </w:rPr>
              <w:t>56. A escola favorece o crescimento pessoal, os encontros de estudo, as relações sociais e com a natureza.</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tcPr>
          <w:p>
            <w:pPr>
              <w:pStyle w:val="TableParagraph"/>
              <w:ind w:left="446" w:right="55" w:hanging="346"/>
              <w:jc w:val="both"/>
              <w:rPr>
                <w:sz w:val="22"/>
              </w:rPr>
            </w:pPr>
            <w:r>
              <w:rPr>
                <w:sz w:val="22"/>
              </w:rPr>
              <w:t>57. Não há limitação na programação, e sim o aceite das emergências, com abertura e tolerância.</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shd w:val="clear" w:color="auto" w:fill="D9D9D9"/>
          </w:tcPr>
          <w:p>
            <w:pPr>
              <w:pStyle w:val="TableParagraph"/>
              <w:ind w:left="446" w:right="53" w:hanging="346"/>
              <w:jc w:val="both"/>
              <w:rPr>
                <w:sz w:val="22"/>
              </w:rPr>
            </w:pPr>
            <w:r>
              <w:rPr>
                <w:sz w:val="22"/>
              </w:rPr>
              <w:t>58. A escola permite conectar aspectos aparentemente não relacionados aos planejados.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8" w:hRule="exact"/>
        </w:trPr>
        <w:tc>
          <w:tcPr>
            <w:tcW w:w="4711" w:type="dxa"/>
            <w:shd w:val="clear" w:color="auto" w:fill="D9D9D9"/>
          </w:tcPr>
          <w:p>
            <w:pPr>
              <w:pStyle w:val="TableParagraph"/>
              <w:spacing w:line="242" w:lineRule="auto"/>
              <w:ind w:left="446" w:right="100" w:hanging="346"/>
              <w:jc w:val="left"/>
              <w:rPr>
                <w:sz w:val="22"/>
              </w:rPr>
            </w:pPr>
            <w:r>
              <w:rPr>
                <w:sz w:val="22"/>
              </w:rPr>
              <w:t>59. A prática docente é integradora, sensível, criativa e transformadora.</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4" w:hRule="exact"/>
        </w:trPr>
        <w:tc>
          <w:tcPr>
            <w:tcW w:w="4711" w:type="dxa"/>
            <w:shd w:val="clear" w:color="auto" w:fill="D9D9D9"/>
          </w:tcPr>
          <w:p>
            <w:pPr>
              <w:pStyle w:val="TableParagraph"/>
              <w:spacing w:line="250" w:lineRule="exact" w:before="2"/>
              <w:ind w:left="446" w:right="100" w:hanging="346"/>
              <w:jc w:val="left"/>
              <w:rPr>
                <w:sz w:val="22"/>
              </w:rPr>
            </w:pPr>
            <w:r>
              <w:rPr>
                <w:sz w:val="22"/>
              </w:rPr>
              <w:t>60. A escola assume as relações entre o sujeito, a sociedade e a natureza.</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68" w:hRule="exact"/>
        </w:trPr>
        <w:tc>
          <w:tcPr>
            <w:tcW w:w="4711" w:type="dxa"/>
          </w:tcPr>
          <w:p>
            <w:pPr>
              <w:pStyle w:val="TableParagraph"/>
              <w:spacing w:line="242" w:lineRule="auto"/>
              <w:ind w:left="446" w:right="54" w:hanging="346"/>
              <w:jc w:val="both"/>
              <w:rPr>
                <w:sz w:val="22"/>
              </w:rPr>
            </w:pPr>
            <w:r>
              <w:rPr>
                <w:sz w:val="22"/>
              </w:rPr>
              <w:t>61. O currículo base orienta, mas tem</w:t>
            </w:r>
            <w:r>
              <w:rPr>
                <w:spacing w:val="-34"/>
                <w:sz w:val="22"/>
              </w:rPr>
              <w:t> </w:t>
            </w:r>
            <w:r>
              <w:rPr>
                <w:sz w:val="22"/>
              </w:rPr>
              <w:t>abertura e flexibilidade para transversalidade e interculturalidade.</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bl>
    <w:p>
      <w:pPr>
        <w:spacing w:after="0"/>
        <w:sectPr>
          <w:pgSz w:w="11910" w:h="16840"/>
          <w:pgMar w:header="1133" w:footer="0" w:top="1340" w:bottom="280" w:left="1680" w:right="1020"/>
        </w:sectPr>
      </w:pPr>
    </w:p>
    <w:p>
      <w:pPr>
        <w:pStyle w:val="BodyText"/>
        <w:spacing w:before="7" w:after="1"/>
        <w:rPr>
          <w:rFonts w:ascii="Times New Roman"/>
          <w:sz w:val="29"/>
        </w:rPr>
      </w:pPr>
    </w:p>
    <w:tbl>
      <w:tblPr>
        <w:tblW w:w="0" w:type="auto"/>
        <w:jc w:val="left"/>
        <w:tblInd w:w="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11"/>
        <w:gridCol w:w="398"/>
        <w:gridCol w:w="394"/>
        <w:gridCol w:w="398"/>
        <w:gridCol w:w="398"/>
        <w:gridCol w:w="394"/>
        <w:gridCol w:w="398"/>
        <w:gridCol w:w="398"/>
        <w:gridCol w:w="399"/>
        <w:gridCol w:w="394"/>
        <w:gridCol w:w="399"/>
      </w:tblGrid>
      <w:tr>
        <w:trPr>
          <w:trHeight w:val="518" w:hRule="exact"/>
        </w:trPr>
        <w:tc>
          <w:tcPr>
            <w:tcW w:w="4711" w:type="dxa"/>
          </w:tcPr>
          <w:p>
            <w:pPr>
              <w:pStyle w:val="TableParagraph"/>
              <w:spacing w:line="242" w:lineRule="auto"/>
              <w:ind w:left="446" w:right="100" w:hanging="346"/>
              <w:jc w:val="left"/>
              <w:rPr>
                <w:sz w:val="22"/>
              </w:rPr>
            </w:pPr>
            <w:r>
              <w:rPr>
                <w:sz w:val="22"/>
              </w:rPr>
              <w:t>62. O currículo prevê o desenvolvimento de competências e potencialidades.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9" w:hRule="exact"/>
        </w:trPr>
        <w:tc>
          <w:tcPr>
            <w:tcW w:w="4711" w:type="dxa"/>
          </w:tcPr>
          <w:p>
            <w:pPr>
              <w:pStyle w:val="TableParagraph"/>
              <w:ind w:left="446" w:right="53" w:hanging="346"/>
              <w:jc w:val="both"/>
              <w:rPr>
                <w:sz w:val="22"/>
              </w:rPr>
            </w:pPr>
            <w:r>
              <w:rPr>
                <w:sz w:val="22"/>
              </w:rPr>
              <w:t>63. O planejamento se conecta com outras formas de saber a partir da comunicação e escuta sensível.</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shd w:val="clear" w:color="auto" w:fill="D9D9D9"/>
          </w:tcPr>
          <w:p>
            <w:pPr>
              <w:pStyle w:val="TableParagraph"/>
              <w:spacing w:line="242" w:lineRule="auto"/>
              <w:ind w:left="446" w:right="49" w:hanging="346"/>
              <w:jc w:val="both"/>
              <w:rPr>
                <w:sz w:val="22"/>
              </w:rPr>
            </w:pPr>
            <w:r>
              <w:rPr>
                <w:sz w:val="22"/>
              </w:rPr>
              <w:t>64. O jogo é uma estratégia e recurso</w:t>
            </w:r>
            <w:r>
              <w:rPr>
                <w:spacing w:val="-33"/>
                <w:sz w:val="22"/>
              </w:rPr>
              <w:t> </w:t>
            </w:r>
            <w:r>
              <w:rPr>
                <w:sz w:val="22"/>
              </w:rPr>
              <w:t>utilizado nas aulas, respeitando tempos e ritmos pessoais dos</w:t>
            </w:r>
            <w:r>
              <w:rPr>
                <w:spacing w:val="-8"/>
                <w:sz w:val="22"/>
              </w:rPr>
              <w:t> </w:t>
            </w:r>
            <w:r>
              <w:rPr>
                <w:sz w:val="22"/>
              </w:rPr>
              <w:t>alunos.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71" w:hRule="exact"/>
        </w:trPr>
        <w:tc>
          <w:tcPr>
            <w:tcW w:w="4711" w:type="dxa"/>
            <w:shd w:val="clear" w:color="auto" w:fill="D9D9D9"/>
          </w:tcPr>
          <w:p>
            <w:pPr>
              <w:pStyle w:val="TableParagraph"/>
              <w:spacing w:line="242" w:lineRule="auto"/>
              <w:ind w:left="446" w:right="52" w:hanging="346"/>
              <w:jc w:val="both"/>
              <w:rPr>
                <w:sz w:val="22"/>
              </w:rPr>
            </w:pPr>
            <w:r>
              <w:rPr>
                <w:sz w:val="22"/>
              </w:rPr>
              <w:t>65. O aluno constrói novos significados ao mesmo tempo em que melhora suas estruturas e habilidades.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70" w:hRule="exact"/>
        </w:trPr>
        <w:tc>
          <w:tcPr>
            <w:tcW w:w="4711" w:type="dxa"/>
            <w:shd w:val="clear" w:color="auto" w:fill="D9D9D9"/>
          </w:tcPr>
          <w:p>
            <w:pPr>
              <w:pStyle w:val="TableParagraph"/>
              <w:ind w:left="446" w:right="49" w:hanging="346"/>
              <w:jc w:val="both"/>
              <w:rPr>
                <w:sz w:val="22"/>
              </w:rPr>
            </w:pPr>
            <w:r>
              <w:rPr>
                <w:sz w:val="22"/>
              </w:rPr>
              <w:t>66. A escola promove a criatividade do aluno facilitando a manipulação e criação de materiais.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69" w:hRule="exact"/>
        </w:trPr>
        <w:tc>
          <w:tcPr>
            <w:tcW w:w="4711" w:type="dxa"/>
          </w:tcPr>
          <w:p>
            <w:pPr>
              <w:pStyle w:val="TableParagraph"/>
              <w:ind w:left="446" w:right="51" w:hanging="346"/>
              <w:jc w:val="both"/>
              <w:rPr>
                <w:sz w:val="22"/>
              </w:rPr>
            </w:pPr>
            <w:r>
              <w:rPr>
                <w:sz w:val="22"/>
              </w:rPr>
              <w:t>67. A escola contempla objetivos instrumentais e transversais abertos a imprevistos e</w:t>
            </w:r>
            <w:r>
              <w:rPr>
                <w:spacing w:val="-11"/>
                <w:sz w:val="22"/>
              </w:rPr>
              <w:t> </w:t>
            </w:r>
            <w:r>
              <w:rPr>
                <w:sz w:val="22"/>
              </w:rPr>
              <w:t>emergências.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4" w:hRule="exact"/>
        </w:trPr>
        <w:tc>
          <w:tcPr>
            <w:tcW w:w="4711" w:type="dxa"/>
          </w:tcPr>
          <w:p>
            <w:pPr>
              <w:pStyle w:val="TableParagraph"/>
              <w:spacing w:line="242" w:lineRule="auto"/>
              <w:ind w:left="446" w:right="100" w:hanging="346"/>
              <w:jc w:val="left"/>
              <w:rPr>
                <w:sz w:val="22"/>
              </w:rPr>
            </w:pPr>
            <w:r>
              <w:rPr>
                <w:sz w:val="22"/>
              </w:rPr>
              <w:t>68. Os conteúdos integram diversos saberes, interesses particulares e socioculturais.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8" w:hRule="exact"/>
        </w:trPr>
        <w:tc>
          <w:tcPr>
            <w:tcW w:w="4711" w:type="dxa"/>
          </w:tcPr>
          <w:p>
            <w:pPr>
              <w:pStyle w:val="TableParagraph"/>
              <w:spacing w:line="242" w:lineRule="auto"/>
              <w:ind w:left="446" w:right="100" w:hanging="346"/>
              <w:jc w:val="left"/>
              <w:rPr>
                <w:sz w:val="22"/>
              </w:rPr>
            </w:pPr>
            <w:r>
              <w:rPr>
                <w:sz w:val="22"/>
              </w:rPr>
              <w:t>69. As atividades fomentam desafios e a resolução de problemas.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4" w:hRule="exact"/>
        </w:trPr>
        <w:tc>
          <w:tcPr>
            <w:tcW w:w="4711" w:type="dxa"/>
            <w:shd w:val="clear" w:color="auto" w:fill="D9D9D9"/>
          </w:tcPr>
          <w:p>
            <w:pPr>
              <w:pStyle w:val="TableParagraph"/>
              <w:spacing w:line="242" w:lineRule="auto"/>
              <w:ind w:left="446" w:right="54" w:hanging="346"/>
              <w:jc w:val="left"/>
              <w:rPr>
                <w:sz w:val="22"/>
              </w:rPr>
            </w:pPr>
            <w:r>
              <w:rPr>
                <w:sz w:val="22"/>
              </w:rPr>
              <w:t>70. O currículo vem marcado pela iniciativa, a criatividade e a inovação.</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73" w:hRule="exact"/>
        </w:trPr>
        <w:tc>
          <w:tcPr>
            <w:tcW w:w="4711" w:type="dxa"/>
            <w:shd w:val="clear" w:color="auto" w:fill="D9D9D9"/>
          </w:tcPr>
          <w:p>
            <w:pPr>
              <w:pStyle w:val="TableParagraph"/>
              <w:spacing w:line="242" w:lineRule="auto"/>
              <w:ind w:left="446" w:right="54" w:hanging="346"/>
              <w:jc w:val="both"/>
              <w:rPr>
                <w:sz w:val="22"/>
              </w:rPr>
            </w:pPr>
            <w:r>
              <w:rPr>
                <w:sz w:val="22"/>
              </w:rPr>
              <w:t>71. O planejamento representa uma consciência ampliada a respeito da educação.</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68" w:hRule="exact"/>
        </w:trPr>
        <w:tc>
          <w:tcPr>
            <w:tcW w:w="4711" w:type="dxa"/>
            <w:shd w:val="clear" w:color="auto" w:fill="D9D9D9"/>
          </w:tcPr>
          <w:p>
            <w:pPr>
              <w:pStyle w:val="TableParagraph"/>
              <w:ind w:left="446" w:right="51" w:hanging="346"/>
              <w:jc w:val="both"/>
              <w:rPr>
                <w:sz w:val="22"/>
              </w:rPr>
            </w:pPr>
            <w:r>
              <w:rPr>
                <w:sz w:val="22"/>
              </w:rPr>
              <w:t>72. O sistema de ensino e de aprendizagem busca um ser autônomo, transformador e colaborativo.</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68" w:hRule="exact"/>
        </w:trPr>
        <w:tc>
          <w:tcPr>
            <w:tcW w:w="4711" w:type="dxa"/>
          </w:tcPr>
          <w:p>
            <w:pPr>
              <w:pStyle w:val="TableParagraph"/>
              <w:ind w:left="446" w:right="52" w:hanging="346"/>
              <w:jc w:val="both"/>
              <w:rPr>
                <w:sz w:val="22"/>
              </w:rPr>
            </w:pPr>
            <w:r>
              <w:rPr>
                <w:sz w:val="22"/>
              </w:rPr>
              <w:t>73. Os sistemas, programas, métodos, estratégias e atividades privilegiam o desenvolvimento da criatividade.</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4" w:hRule="exact"/>
        </w:trPr>
        <w:tc>
          <w:tcPr>
            <w:tcW w:w="4711" w:type="dxa"/>
          </w:tcPr>
          <w:p>
            <w:pPr>
              <w:pStyle w:val="TableParagraph"/>
              <w:tabs>
                <w:tab w:pos="1333" w:val="left" w:leader="none"/>
                <w:tab w:pos="2732" w:val="left" w:leader="none"/>
                <w:tab w:pos="3255" w:val="left" w:leader="none"/>
                <w:tab w:pos="4396" w:val="left" w:leader="none"/>
              </w:tabs>
              <w:spacing w:line="242" w:lineRule="auto"/>
              <w:ind w:left="446" w:right="54" w:hanging="346"/>
              <w:jc w:val="left"/>
              <w:rPr>
                <w:sz w:val="22"/>
              </w:rPr>
            </w:pPr>
            <w:r>
              <w:rPr>
                <w:sz w:val="22"/>
              </w:rPr>
              <w:t>74.</w:t>
            </w:r>
            <w:r>
              <w:rPr>
                <w:spacing w:val="-27"/>
                <w:sz w:val="22"/>
              </w:rPr>
              <w:t> </w:t>
            </w:r>
            <w:r>
              <w:rPr>
                <w:sz w:val="22"/>
              </w:rPr>
              <w:t>Busco</w:t>
              <w:tab/>
              <w:t>alternativas</w:t>
              <w:tab/>
              <w:t>de</w:t>
              <w:tab/>
              <w:t>soluções</w:t>
              <w:tab/>
              <w:t>de problemas no ensino com os</w:t>
            </w:r>
            <w:r>
              <w:rPr>
                <w:spacing w:val="-19"/>
                <w:sz w:val="22"/>
              </w:rPr>
              <w:t> </w:t>
            </w:r>
            <w:r>
              <w:rPr>
                <w:sz w:val="22"/>
              </w:rPr>
              <w:t>alunos.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8" w:hRule="exact"/>
        </w:trPr>
        <w:tc>
          <w:tcPr>
            <w:tcW w:w="4711" w:type="dxa"/>
          </w:tcPr>
          <w:p>
            <w:pPr>
              <w:pStyle w:val="TableParagraph"/>
              <w:tabs>
                <w:tab w:pos="1131" w:val="left" w:leader="none"/>
                <w:tab w:pos="2042" w:val="left" w:leader="none"/>
                <w:tab w:pos="2378" w:val="left" w:leader="none"/>
                <w:tab w:pos="3159" w:val="left" w:leader="none"/>
                <w:tab w:pos="4108" w:val="left" w:leader="none"/>
              </w:tabs>
              <w:spacing w:line="242" w:lineRule="auto"/>
              <w:ind w:left="446" w:right="54" w:hanging="346"/>
              <w:jc w:val="left"/>
              <w:rPr>
                <w:sz w:val="22"/>
              </w:rPr>
            </w:pPr>
            <w:r>
              <w:rPr>
                <w:sz w:val="22"/>
              </w:rPr>
              <w:t>75.</w:t>
            </w:r>
            <w:r>
              <w:rPr>
                <w:spacing w:val="-26"/>
                <w:sz w:val="22"/>
              </w:rPr>
              <w:t> </w:t>
            </w:r>
            <w:r>
              <w:rPr>
                <w:sz w:val="22"/>
              </w:rPr>
              <w:t>Arte,</w:t>
              <w:tab/>
              <w:t>música</w:t>
              <w:tab/>
              <w:t>e</w:t>
              <w:tab/>
              <w:t>teatro</w:t>
              <w:tab/>
              <w:t>surgem</w:t>
              <w:tab/>
            </w:r>
            <w:r>
              <w:rPr>
                <w:spacing w:val="-1"/>
                <w:sz w:val="22"/>
              </w:rPr>
              <w:t>como </w:t>
            </w:r>
            <w:r>
              <w:rPr>
                <w:sz w:val="22"/>
              </w:rPr>
              <w:t>recursos didáticos</w:t>
            </w:r>
            <w:r>
              <w:rPr>
                <w:spacing w:val="-14"/>
                <w:sz w:val="22"/>
              </w:rPr>
              <w:t> </w:t>
            </w:r>
            <w:r>
              <w:rPr>
                <w:sz w:val="22"/>
              </w:rPr>
              <w:t>utilizados.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303" w:hRule="exact"/>
        </w:trPr>
        <w:tc>
          <w:tcPr>
            <w:tcW w:w="4711" w:type="dxa"/>
            <w:shd w:val="clear" w:color="auto" w:fill="D9D9D9"/>
          </w:tcPr>
          <w:p>
            <w:pPr>
              <w:pStyle w:val="TableParagraph"/>
              <w:spacing w:line="244" w:lineRule="exact"/>
              <w:ind w:left="2002" w:right="1956"/>
              <w:rPr>
                <w:b/>
                <w:sz w:val="22"/>
              </w:rPr>
            </w:pPr>
            <w:r>
              <w:rPr>
                <w:b/>
                <w:sz w:val="22"/>
              </w:rPr>
              <w:t>ITENS</w:t>
            </w:r>
          </w:p>
        </w:tc>
        <w:tc>
          <w:tcPr>
            <w:tcW w:w="398" w:type="dxa"/>
            <w:shd w:val="clear" w:color="auto" w:fill="D9D9D9"/>
          </w:tcPr>
          <w:p>
            <w:pPr>
              <w:pStyle w:val="TableParagraph"/>
              <w:spacing w:line="244" w:lineRule="exact"/>
              <w:ind w:left="67"/>
              <w:jc w:val="left"/>
              <w:rPr>
                <w:b/>
                <w:sz w:val="22"/>
              </w:rPr>
            </w:pPr>
            <w:r>
              <w:rPr>
                <w:b/>
                <w:sz w:val="22"/>
              </w:rPr>
              <w:t>01</w:t>
            </w:r>
          </w:p>
        </w:tc>
        <w:tc>
          <w:tcPr>
            <w:tcW w:w="394" w:type="dxa"/>
            <w:shd w:val="clear" w:color="auto" w:fill="D9D9D9"/>
          </w:tcPr>
          <w:p>
            <w:pPr>
              <w:pStyle w:val="TableParagraph"/>
              <w:spacing w:line="244" w:lineRule="exact"/>
              <w:ind w:left="67"/>
              <w:jc w:val="left"/>
              <w:rPr>
                <w:b/>
                <w:sz w:val="22"/>
              </w:rPr>
            </w:pPr>
            <w:r>
              <w:rPr>
                <w:b/>
                <w:sz w:val="22"/>
              </w:rPr>
              <w:t>02</w:t>
            </w:r>
          </w:p>
        </w:tc>
        <w:tc>
          <w:tcPr>
            <w:tcW w:w="398" w:type="dxa"/>
            <w:shd w:val="clear" w:color="auto" w:fill="D9D9D9"/>
          </w:tcPr>
          <w:p>
            <w:pPr>
              <w:pStyle w:val="TableParagraph"/>
              <w:spacing w:line="244" w:lineRule="exact"/>
              <w:ind w:left="67"/>
              <w:jc w:val="left"/>
              <w:rPr>
                <w:b/>
                <w:sz w:val="22"/>
              </w:rPr>
            </w:pPr>
            <w:r>
              <w:rPr>
                <w:b/>
                <w:sz w:val="22"/>
              </w:rPr>
              <w:t>03</w:t>
            </w:r>
          </w:p>
        </w:tc>
        <w:tc>
          <w:tcPr>
            <w:tcW w:w="398" w:type="dxa"/>
            <w:shd w:val="clear" w:color="auto" w:fill="D9D9D9"/>
          </w:tcPr>
          <w:p>
            <w:pPr>
              <w:pStyle w:val="TableParagraph"/>
              <w:spacing w:line="244" w:lineRule="exact"/>
              <w:ind w:left="67"/>
              <w:jc w:val="left"/>
              <w:rPr>
                <w:b/>
                <w:sz w:val="22"/>
              </w:rPr>
            </w:pPr>
            <w:r>
              <w:rPr>
                <w:b/>
                <w:sz w:val="22"/>
              </w:rPr>
              <w:t>04</w:t>
            </w:r>
          </w:p>
        </w:tc>
        <w:tc>
          <w:tcPr>
            <w:tcW w:w="394" w:type="dxa"/>
            <w:shd w:val="clear" w:color="auto" w:fill="D9D9D9"/>
          </w:tcPr>
          <w:p>
            <w:pPr>
              <w:pStyle w:val="TableParagraph"/>
              <w:spacing w:line="244" w:lineRule="exact"/>
              <w:ind w:left="67"/>
              <w:jc w:val="left"/>
              <w:rPr>
                <w:b/>
                <w:sz w:val="22"/>
              </w:rPr>
            </w:pPr>
            <w:r>
              <w:rPr>
                <w:b/>
                <w:sz w:val="22"/>
              </w:rPr>
              <w:t>05</w:t>
            </w:r>
          </w:p>
        </w:tc>
        <w:tc>
          <w:tcPr>
            <w:tcW w:w="398" w:type="dxa"/>
            <w:shd w:val="clear" w:color="auto" w:fill="D9D9D9"/>
          </w:tcPr>
          <w:p>
            <w:pPr>
              <w:pStyle w:val="TableParagraph"/>
              <w:spacing w:line="244" w:lineRule="exact"/>
              <w:ind w:left="67"/>
              <w:jc w:val="left"/>
              <w:rPr>
                <w:b/>
                <w:sz w:val="22"/>
              </w:rPr>
            </w:pPr>
            <w:r>
              <w:rPr>
                <w:b/>
                <w:sz w:val="22"/>
              </w:rPr>
              <w:t>06</w:t>
            </w:r>
          </w:p>
        </w:tc>
        <w:tc>
          <w:tcPr>
            <w:tcW w:w="398" w:type="dxa"/>
            <w:shd w:val="clear" w:color="auto" w:fill="D9D9D9"/>
          </w:tcPr>
          <w:p>
            <w:pPr>
              <w:pStyle w:val="TableParagraph"/>
              <w:spacing w:line="244" w:lineRule="exact"/>
              <w:ind w:left="67"/>
              <w:jc w:val="left"/>
              <w:rPr>
                <w:b/>
                <w:sz w:val="22"/>
              </w:rPr>
            </w:pPr>
            <w:r>
              <w:rPr>
                <w:b/>
                <w:sz w:val="22"/>
              </w:rPr>
              <w:t>07</w:t>
            </w:r>
          </w:p>
        </w:tc>
        <w:tc>
          <w:tcPr>
            <w:tcW w:w="399" w:type="dxa"/>
            <w:shd w:val="clear" w:color="auto" w:fill="D9D9D9"/>
          </w:tcPr>
          <w:p>
            <w:pPr>
              <w:pStyle w:val="TableParagraph"/>
              <w:spacing w:line="244" w:lineRule="exact"/>
              <w:ind w:left="67"/>
              <w:jc w:val="left"/>
              <w:rPr>
                <w:b/>
                <w:sz w:val="22"/>
              </w:rPr>
            </w:pPr>
            <w:r>
              <w:rPr>
                <w:b/>
                <w:sz w:val="22"/>
              </w:rPr>
              <w:t>08</w:t>
            </w:r>
          </w:p>
        </w:tc>
        <w:tc>
          <w:tcPr>
            <w:tcW w:w="394" w:type="dxa"/>
            <w:shd w:val="clear" w:color="auto" w:fill="D9D9D9"/>
          </w:tcPr>
          <w:p>
            <w:pPr>
              <w:pStyle w:val="TableParagraph"/>
              <w:spacing w:line="244" w:lineRule="exact"/>
              <w:ind w:left="67"/>
              <w:jc w:val="left"/>
              <w:rPr>
                <w:b/>
                <w:sz w:val="22"/>
              </w:rPr>
            </w:pPr>
            <w:r>
              <w:rPr>
                <w:b/>
                <w:sz w:val="22"/>
              </w:rPr>
              <w:t>09</w:t>
            </w:r>
          </w:p>
        </w:tc>
        <w:tc>
          <w:tcPr>
            <w:tcW w:w="399" w:type="dxa"/>
            <w:shd w:val="clear" w:color="auto" w:fill="D9D9D9"/>
          </w:tcPr>
          <w:p>
            <w:pPr>
              <w:pStyle w:val="TableParagraph"/>
              <w:spacing w:line="244" w:lineRule="exact"/>
              <w:ind w:left="67"/>
              <w:jc w:val="left"/>
              <w:rPr>
                <w:b/>
                <w:sz w:val="22"/>
              </w:rPr>
            </w:pPr>
            <w:r>
              <w:rPr>
                <w:b/>
                <w:sz w:val="22"/>
              </w:rPr>
              <w:t>10</w:t>
            </w:r>
          </w:p>
        </w:tc>
      </w:tr>
      <w:tr>
        <w:trPr>
          <w:trHeight w:val="768" w:hRule="exact"/>
        </w:trPr>
        <w:tc>
          <w:tcPr>
            <w:tcW w:w="4711" w:type="dxa"/>
            <w:shd w:val="clear" w:color="auto" w:fill="D9D9D9"/>
          </w:tcPr>
          <w:p>
            <w:pPr>
              <w:pStyle w:val="TableParagraph"/>
              <w:ind w:left="446" w:right="55" w:hanging="346"/>
              <w:jc w:val="both"/>
              <w:rPr>
                <w:sz w:val="22"/>
              </w:rPr>
            </w:pPr>
            <w:r>
              <w:rPr>
                <w:sz w:val="22"/>
              </w:rPr>
              <w:t>76. Crio situações e diálogos sobre  a realidade observada no processo de ensino e de aprendizagem.</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4" w:hRule="exact"/>
        </w:trPr>
        <w:tc>
          <w:tcPr>
            <w:tcW w:w="4711" w:type="dxa"/>
            <w:shd w:val="clear" w:color="auto" w:fill="D9D9D9"/>
          </w:tcPr>
          <w:p>
            <w:pPr>
              <w:pStyle w:val="TableParagraph"/>
              <w:spacing w:line="242" w:lineRule="auto"/>
              <w:ind w:left="446" w:right="100" w:hanging="346"/>
              <w:jc w:val="left"/>
              <w:rPr>
                <w:sz w:val="22"/>
              </w:rPr>
            </w:pPr>
            <w:r>
              <w:rPr>
                <w:sz w:val="22"/>
              </w:rPr>
              <w:t>77. Possibilito aos alunos a relação entre o sentir, o pensar e o atuar.</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9" w:hRule="exact"/>
        </w:trPr>
        <w:tc>
          <w:tcPr>
            <w:tcW w:w="4711" w:type="dxa"/>
            <w:shd w:val="clear" w:color="auto" w:fill="D9D9D9"/>
          </w:tcPr>
          <w:p>
            <w:pPr>
              <w:pStyle w:val="TableParagraph"/>
              <w:spacing w:line="242" w:lineRule="auto"/>
              <w:ind w:left="446" w:right="100" w:hanging="346"/>
              <w:jc w:val="left"/>
              <w:rPr>
                <w:sz w:val="22"/>
              </w:rPr>
            </w:pPr>
            <w:r>
              <w:rPr>
                <w:sz w:val="22"/>
              </w:rPr>
              <w:t>78. A colaboração é trabalhada dentro e fora da sala de aula, inclusive na avaliação.</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4" w:hRule="exact"/>
        </w:trPr>
        <w:tc>
          <w:tcPr>
            <w:tcW w:w="4711" w:type="dxa"/>
          </w:tcPr>
          <w:p>
            <w:pPr>
              <w:pStyle w:val="TableParagraph"/>
              <w:spacing w:line="242" w:lineRule="auto"/>
              <w:ind w:left="446" w:right="100" w:hanging="346"/>
              <w:jc w:val="left"/>
              <w:rPr>
                <w:sz w:val="22"/>
              </w:rPr>
            </w:pPr>
            <w:r>
              <w:rPr>
                <w:sz w:val="22"/>
              </w:rPr>
              <w:t>79. Pais e profissionais são convidados a participarem da formação dos alunos.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tcPr>
          <w:p>
            <w:pPr>
              <w:pStyle w:val="TableParagraph"/>
              <w:spacing w:line="242" w:lineRule="auto"/>
              <w:ind w:left="446" w:right="47" w:hanging="346"/>
              <w:jc w:val="both"/>
              <w:rPr>
                <w:sz w:val="22"/>
              </w:rPr>
            </w:pPr>
            <w:r>
              <w:rPr>
                <w:sz w:val="22"/>
              </w:rPr>
              <w:t>80. Relaciono recursos analógicos com as tecnologias virtuais no processo de aprendizagem dos alunos.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9" w:hRule="exact"/>
        </w:trPr>
        <w:tc>
          <w:tcPr>
            <w:tcW w:w="4711" w:type="dxa"/>
          </w:tcPr>
          <w:p>
            <w:pPr>
              <w:pStyle w:val="TableParagraph"/>
              <w:spacing w:line="250" w:lineRule="exact" w:before="7"/>
              <w:ind w:left="446" w:hanging="346"/>
              <w:jc w:val="left"/>
              <w:rPr>
                <w:sz w:val="22"/>
              </w:rPr>
            </w:pPr>
            <w:r>
              <w:rPr>
                <w:sz w:val="22"/>
              </w:rPr>
              <w:t>81. A avaliação é utilizada para percepção das mudanças e da consciência dos alunos.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shd w:val="clear" w:color="auto" w:fill="D9D9D9"/>
          </w:tcPr>
          <w:p>
            <w:pPr>
              <w:pStyle w:val="TableParagraph"/>
              <w:ind w:left="446" w:right="52" w:hanging="346"/>
              <w:jc w:val="both"/>
              <w:rPr>
                <w:sz w:val="22"/>
              </w:rPr>
            </w:pPr>
            <w:r>
              <w:rPr>
                <w:sz w:val="22"/>
              </w:rPr>
              <w:t>82. Os alunos saem das avaliações  reforçados em suas aprendizagens mediante reflexões dos</w:t>
            </w:r>
            <w:r>
              <w:rPr>
                <w:spacing w:val="-13"/>
                <w:sz w:val="22"/>
              </w:rPr>
              <w:t> </w:t>
            </w:r>
            <w:r>
              <w:rPr>
                <w:sz w:val="22"/>
              </w:rPr>
              <w:t>processos.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bl>
    <w:p>
      <w:pPr>
        <w:spacing w:after="0"/>
        <w:sectPr>
          <w:pgSz w:w="11910" w:h="16840"/>
          <w:pgMar w:header="1133" w:footer="0" w:top="1340" w:bottom="280" w:left="1680" w:right="1020"/>
        </w:sectPr>
      </w:pPr>
    </w:p>
    <w:p>
      <w:pPr>
        <w:pStyle w:val="BodyText"/>
        <w:spacing w:before="7" w:after="1"/>
        <w:rPr>
          <w:rFonts w:ascii="Times New Roman"/>
          <w:sz w:val="29"/>
        </w:rPr>
      </w:pPr>
    </w:p>
    <w:tbl>
      <w:tblPr>
        <w:tblW w:w="0" w:type="auto"/>
        <w:jc w:val="left"/>
        <w:tblInd w:w="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11"/>
        <w:gridCol w:w="398"/>
        <w:gridCol w:w="394"/>
        <w:gridCol w:w="398"/>
        <w:gridCol w:w="398"/>
        <w:gridCol w:w="394"/>
        <w:gridCol w:w="398"/>
        <w:gridCol w:w="398"/>
        <w:gridCol w:w="399"/>
        <w:gridCol w:w="394"/>
        <w:gridCol w:w="399"/>
      </w:tblGrid>
      <w:tr>
        <w:trPr>
          <w:trHeight w:val="773" w:hRule="exact"/>
        </w:trPr>
        <w:tc>
          <w:tcPr>
            <w:tcW w:w="4711" w:type="dxa"/>
            <w:shd w:val="clear" w:color="auto" w:fill="D9D9D9"/>
          </w:tcPr>
          <w:p>
            <w:pPr>
              <w:pStyle w:val="TableParagraph"/>
              <w:spacing w:line="242" w:lineRule="auto"/>
              <w:ind w:left="446" w:right="54" w:hanging="346"/>
              <w:jc w:val="both"/>
              <w:rPr>
                <w:sz w:val="22"/>
              </w:rPr>
            </w:pPr>
            <w:r>
              <w:rPr>
                <w:sz w:val="22"/>
              </w:rPr>
              <w:t>83. A criatividade, os talentos e as qualidades dos alunos são levados em conta na avaliação.</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69" w:hRule="exact"/>
        </w:trPr>
        <w:tc>
          <w:tcPr>
            <w:tcW w:w="4711" w:type="dxa"/>
            <w:shd w:val="clear" w:color="auto" w:fill="D9D9D9"/>
          </w:tcPr>
          <w:p>
            <w:pPr>
              <w:pStyle w:val="TableParagraph"/>
              <w:ind w:left="446" w:right="52" w:hanging="346"/>
              <w:jc w:val="both"/>
              <w:rPr>
                <w:sz w:val="22"/>
              </w:rPr>
            </w:pPr>
            <w:r>
              <w:rPr>
                <w:sz w:val="22"/>
              </w:rPr>
              <w:t>84. A formação humana não é somente um referencial ideal, mas estimulada e valorizada.</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4" w:hRule="exact"/>
        </w:trPr>
        <w:tc>
          <w:tcPr>
            <w:tcW w:w="4711" w:type="dxa"/>
          </w:tcPr>
          <w:p>
            <w:pPr>
              <w:pStyle w:val="TableParagraph"/>
              <w:spacing w:line="242" w:lineRule="auto"/>
              <w:ind w:left="446" w:right="100" w:hanging="346"/>
              <w:jc w:val="left"/>
              <w:rPr>
                <w:sz w:val="22"/>
              </w:rPr>
            </w:pPr>
            <w:r>
              <w:rPr>
                <w:sz w:val="22"/>
              </w:rPr>
              <w:t>85. A avaliação é integrada e realizada pelos docentes, discentes e gestão.</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tcPr>
          <w:p>
            <w:pPr>
              <w:pStyle w:val="TableParagraph"/>
              <w:spacing w:line="242" w:lineRule="auto"/>
              <w:ind w:left="446" w:right="53" w:hanging="346"/>
              <w:jc w:val="both"/>
              <w:rPr>
                <w:sz w:val="22"/>
              </w:rPr>
            </w:pPr>
            <w:r>
              <w:rPr>
                <w:sz w:val="22"/>
              </w:rPr>
              <w:t>86. A Suficiência, pertinência, eficácia, eficiência, efetividade e os valores são avaliados nos alunos.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8" w:hRule="exact"/>
        </w:trPr>
        <w:tc>
          <w:tcPr>
            <w:tcW w:w="4711" w:type="dxa"/>
          </w:tcPr>
          <w:p>
            <w:pPr>
              <w:pStyle w:val="TableParagraph"/>
              <w:spacing w:line="250" w:lineRule="exact" w:before="6"/>
              <w:ind w:left="446" w:right="100" w:hanging="346"/>
              <w:jc w:val="left"/>
              <w:rPr>
                <w:sz w:val="22"/>
              </w:rPr>
            </w:pPr>
            <w:r>
              <w:rPr>
                <w:sz w:val="22"/>
              </w:rPr>
              <w:t>87. Todos na escola são abertos a avaliação no sentido de reconhecimento e melhora.</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shd w:val="clear" w:color="auto" w:fill="D9D9D9"/>
          </w:tcPr>
          <w:p>
            <w:pPr>
              <w:pStyle w:val="TableParagraph"/>
              <w:ind w:left="446" w:right="53" w:hanging="346"/>
              <w:jc w:val="both"/>
              <w:rPr>
                <w:sz w:val="22"/>
              </w:rPr>
            </w:pPr>
            <w:r>
              <w:rPr>
                <w:sz w:val="22"/>
              </w:rPr>
              <w:t>88. A avaliação é multidimensional tanto para sujeitos, como para conteúdos e estratégias utilizadas.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9" w:hRule="exact"/>
        </w:trPr>
        <w:tc>
          <w:tcPr>
            <w:tcW w:w="4711" w:type="dxa"/>
            <w:shd w:val="clear" w:color="auto" w:fill="D9D9D9"/>
          </w:tcPr>
          <w:p>
            <w:pPr>
              <w:pStyle w:val="TableParagraph"/>
              <w:tabs>
                <w:tab w:pos="930" w:val="left" w:leader="none"/>
                <w:tab w:pos="2066" w:val="left" w:leader="none"/>
                <w:tab w:pos="2622" w:val="left" w:leader="none"/>
                <w:tab w:pos="3739" w:val="left" w:leader="none"/>
              </w:tabs>
              <w:spacing w:line="242" w:lineRule="auto"/>
              <w:ind w:left="446" w:right="54" w:hanging="346"/>
              <w:jc w:val="left"/>
              <w:rPr>
                <w:sz w:val="22"/>
              </w:rPr>
            </w:pPr>
            <w:r>
              <w:rPr>
                <w:sz w:val="22"/>
              </w:rPr>
              <w:t>89.</w:t>
            </w:r>
            <w:r>
              <w:rPr>
                <w:spacing w:val="-27"/>
                <w:sz w:val="22"/>
              </w:rPr>
              <w:t> </w:t>
            </w:r>
            <w:r>
              <w:rPr>
                <w:sz w:val="22"/>
              </w:rPr>
              <w:t>Na</w:t>
              <w:tab/>
              <w:t>avaliação</w:t>
              <w:tab/>
              <w:t>são</w:t>
              <w:tab/>
              <w:t>utilizados</w:t>
              <w:tab/>
            </w:r>
            <w:r>
              <w:rPr>
                <w:spacing w:val="-1"/>
                <w:sz w:val="22"/>
              </w:rPr>
              <w:t>recursos, </w:t>
            </w:r>
            <w:r>
              <w:rPr>
                <w:sz w:val="22"/>
              </w:rPr>
              <w:t>estratégias e instrumentos</w:t>
            </w:r>
            <w:r>
              <w:rPr>
                <w:spacing w:val="-20"/>
                <w:sz w:val="22"/>
              </w:rPr>
              <w:t> </w:t>
            </w:r>
            <w:r>
              <w:rPr>
                <w:sz w:val="22"/>
              </w:rPr>
              <w:t>diversificados.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514" w:hRule="exact"/>
        </w:trPr>
        <w:tc>
          <w:tcPr>
            <w:tcW w:w="4711" w:type="dxa"/>
            <w:shd w:val="clear" w:color="auto" w:fill="D9D9D9"/>
          </w:tcPr>
          <w:p>
            <w:pPr>
              <w:pStyle w:val="TableParagraph"/>
              <w:spacing w:line="250" w:lineRule="exact" w:before="1"/>
              <w:ind w:left="446" w:right="100" w:hanging="346"/>
              <w:jc w:val="left"/>
              <w:rPr>
                <w:sz w:val="22"/>
              </w:rPr>
            </w:pPr>
            <w:r>
              <w:rPr>
                <w:sz w:val="22"/>
              </w:rPr>
              <w:t>90. A avaliação vai mais além dos objetivos previstos ou programados.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68" w:hRule="exact"/>
        </w:trPr>
        <w:tc>
          <w:tcPr>
            <w:tcW w:w="4711" w:type="dxa"/>
          </w:tcPr>
          <w:p>
            <w:pPr>
              <w:pStyle w:val="TableParagraph"/>
              <w:spacing w:line="242" w:lineRule="auto"/>
              <w:ind w:left="446" w:right="54" w:hanging="346"/>
              <w:jc w:val="both"/>
              <w:rPr>
                <w:sz w:val="22"/>
              </w:rPr>
            </w:pPr>
            <w:r>
              <w:rPr>
                <w:sz w:val="22"/>
              </w:rPr>
              <w:t>91. A escola promove, nos alunos, a paixão, a entrega e o entusiasmo pela tarefa, autossuperando-se.</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9" w:hRule="exact"/>
        </w:trPr>
        <w:tc>
          <w:tcPr>
            <w:tcW w:w="4711" w:type="dxa"/>
          </w:tcPr>
          <w:p>
            <w:pPr>
              <w:pStyle w:val="TableParagraph"/>
              <w:spacing w:line="242" w:lineRule="auto"/>
              <w:ind w:left="446" w:right="100" w:hanging="346"/>
              <w:jc w:val="left"/>
              <w:rPr>
                <w:sz w:val="22"/>
              </w:rPr>
            </w:pPr>
            <w:r>
              <w:rPr>
                <w:sz w:val="22"/>
              </w:rPr>
              <w:t>92. O bem estar e a felicidade são valores institucionais presentes nos projetos.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tcPr>
          <w:p>
            <w:pPr>
              <w:pStyle w:val="TableParagraph"/>
              <w:ind w:left="446" w:right="51" w:hanging="346"/>
              <w:jc w:val="both"/>
              <w:rPr>
                <w:sz w:val="22"/>
              </w:rPr>
            </w:pPr>
            <w:r>
              <w:rPr>
                <w:sz w:val="22"/>
              </w:rPr>
              <w:t>93. A consciência do cuidado e manutenção do meio ambiente é presente no planejamento e nas aulas.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shd w:val="clear" w:color="auto" w:fill="D9D9D9"/>
          </w:tcPr>
          <w:p>
            <w:pPr>
              <w:pStyle w:val="TableParagraph"/>
              <w:ind w:left="446" w:right="54" w:hanging="346"/>
              <w:jc w:val="both"/>
              <w:rPr>
                <w:sz w:val="22"/>
              </w:rPr>
            </w:pPr>
            <w:r>
              <w:rPr>
                <w:sz w:val="22"/>
              </w:rPr>
              <w:t>94. Os valores humanos são percebidos nos trabalhos de aula e nas atividades anuais da escola.</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68" w:hRule="exact"/>
        </w:trPr>
        <w:tc>
          <w:tcPr>
            <w:tcW w:w="4711" w:type="dxa"/>
            <w:shd w:val="clear" w:color="auto" w:fill="D9D9D9"/>
          </w:tcPr>
          <w:p>
            <w:pPr>
              <w:pStyle w:val="TableParagraph"/>
              <w:spacing w:line="242" w:lineRule="auto"/>
              <w:ind w:left="446" w:right="55" w:hanging="346"/>
              <w:jc w:val="both"/>
              <w:rPr>
                <w:sz w:val="22"/>
              </w:rPr>
            </w:pPr>
            <w:r>
              <w:rPr>
                <w:sz w:val="22"/>
              </w:rPr>
              <w:t>95. Há a promoção de valores como justiça, igualdade, democracia, paz e verdade  com os</w:t>
            </w:r>
            <w:r>
              <w:rPr>
                <w:spacing w:val="-5"/>
                <w:sz w:val="22"/>
              </w:rPr>
              <w:t> </w:t>
            </w:r>
            <w:r>
              <w:rPr>
                <w:sz w:val="22"/>
              </w:rPr>
              <w:t>alunos.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73" w:hRule="exact"/>
        </w:trPr>
        <w:tc>
          <w:tcPr>
            <w:tcW w:w="4711" w:type="dxa"/>
            <w:shd w:val="clear" w:color="auto" w:fill="D9D9D9"/>
          </w:tcPr>
          <w:p>
            <w:pPr>
              <w:pStyle w:val="TableParagraph"/>
              <w:spacing w:line="242" w:lineRule="auto"/>
              <w:ind w:left="446" w:right="55" w:hanging="346"/>
              <w:jc w:val="both"/>
              <w:rPr>
                <w:sz w:val="22"/>
              </w:rPr>
            </w:pPr>
            <w:r>
              <w:rPr>
                <w:sz w:val="22"/>
              </w:rPr>
              <w:t>96. A escola auxilia o aluno a perceber, dentro de si, suas potencialidades, talentos e atributos.</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r>
        <w:trPr>
          <w:trHeight w:val="768" w:hRule="exact"/>
        </w:trPr>
        <w:tc>
          <w:tcPr>
            <w:tcW w:w="4711" w:type="dxa"/>
          </w:tcPr>
          <w:p>
            <w:pPr>
              <w:pStyle w:val="TableParagraph"/>
              <w:ind w:left="446" w:right="51" w:hanging="346"/>
              <w:jc w:val="both"/>
              <w:rPr>
                <w:sz w:val="22"/>
              </w:rPr>
            </w:pPr>
            <w:r>
              <w:rPr>
                <w:sz w:val="22"/>
              </w:rPr>
              <w:t>97. A escola objetiva a sensibilidade, a competência afetivo-social e a ampliação da consciência dos alunos.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68" w:hRule="exact"/>
        </w:trPr>
        <w:tc>
          <w:tcPr>
            <w:tcW w:w="4711" w:type="dxa"/>
          </w:tcPr>
          <w:p>
            <w:pPr>
              <w:pStyle w:val="TableParagraph"/>
              <w:ind w:left="446" w:right="51" w:hanging="346"/>
              <w:jc w:val="both"/>
              <w:rPr>
                <w:sz w:val="22"/>
              </w:rPr>
            </w:pPr>
            <w:r>
              <w:rPr>
                <w:sz w:val="22"/>
              </w:rPr>
              <w:t>98. Há o atendimento às necessidades educativas especiais como apoio aos alunos.</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516" w:hRule="exact"/>
        </w:trPr>
        <w:tc>
          <w:tcPr>
            <w:tcW w:w="4711" w:type="dxa"/>
          </w:tcPr>
          <w:p>
            <w:pPr>
              <w:pStyle w:val="TableParagraph"/>
              <w:spacing w:line="242" w:lineRule="auto"/>
              <w:ind w:left="446" w:right="100" w:hanging="346"/>
              <w:jc w:val="left"/>
              <w:rPr>
                <w:sz w:val="22"/>
              </w:rPr>
            </w:pPr>
            <w:r>
              <w:rPr>
                <w:sz w:val="22"/>
              </w:rPr>
              <w:t>99. São trabalhados com os alunos a ética ecológica e planetária de maneira ampla.</w:t>
            </w:r>
          </w:p>
        </w:tc>
        <w:tc>
          <w:tcPr>
            <w:tcW w:w="398" w:type="dxa"/>
          </w:tcPr>
          <w:p>
            <w:pPr/>
          </w:p>
        </w:tc>
        <w:tc>
          <w:tcPr>
            <w:tcW w:w="394" w:type="dxa"/>
          </w:tcPr>
          <w:p>
            <w:pPr/>
          </w:p>
        </w:tc>
        <w:tc>
          <w:tcPr>
            <w:tcW w:w="398" w:type="dxa"/>
          </w:tcPr>
          <w:p>
            <w:pPr/>
          </w:p>
        </w:tc>
        <w:tc>
          <w:tcPr>
            <w:tcW w:w="398" w:type="dxa"/>
          </w:tcPr>
          <w:p>
            <w:pPr/>
          </w:p>
        </w:tc>
        <w:tc>
          <w:tcPr>
            <w:tcW w:w="394" w:type="dxa"/>
          </w:tcPr>
          <w:p>
            <w:pPr/>
          </w:p>
        </w:tc>
        <w:tc>
          <w:tcPr>
            <w:tcW w:w="398" w:type="dxa"/>
          </w:tcPr>
          <w:p>
            <w:pPr/>
          </w:p>
        </w:tc>
        <w:tc>
          <w:tcPr>
            <w:tcW w:w="398" w:type="dxa"/>
          </w:tcPr>
          <w:p>
            <w:pPr/>
          </w:p>
        </w:tc>
        <w:tc>
          <w:tcPr>
            <w:tcW w:w="399" w:type="dxa"/>
          </w:tcPr>
          <w:p>
            <w:pPr/>
          </w:p>
        </w:tc>
        <w:tc>
          <w:tcPr>
            <w:tcW w:w="394" w:type="dxa"/>
          </w:tcPr>
          <w:p>
            <w:pPr/>
          </w:p>
        </w:tc>
        <w:tc>
          <w:tcPr>
            <w:tcW w:w="399" w:type="dxa"/>
          </w:tcPr>
          <w:p>
            <w:pPr/>
          </w:p>
        </w:tc>
      </w:tr>
      <w:tr>
        <w:trPr>
          <w:trHeight w:val="770" w:hRule="exact"/>
        </w:trPr>
        <w:tc>
          <w:tcPr>
            <w:tcW w:w="4711" w:type="dxa"/>
            <w:shd w:val="clear" w:color="auto" w:fill="D9D9D9"/>
          </w:tcPr>
          <w:p>
            <w:pPr>
              <w:pStyle w:val="TableParagraph"/>
              <w:ind w:left="446" w:right="53" w:hanging="346"/>
              <w:jc w:val="both"/>
              <w:rPr>
                <w:sz w:val="22"/>
              </w:rPr>
            </w:pPr>
            <w:r>
              <w:rPr>
                <w:sz w:val="22"/>
              </w:rPr>
              <w:t>100.   A aceitação da pluralidade de crenças   e valores espirituais faz parte do cotidiano da</w:t>
            </w:r>
            <w:r>
              <w:rPr>
                <w:spacing w:val="-1"/>
                <w:sz w:val="22"/>
              </w:rPr>
              <w:t> </w:t>
            </w:r>
            <w:r>
              <w:rPr>
                <w:sz w:val="22"/>
              </w:rPr>
              <w:t>escola.</w:t>
            </w: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4" w:type="dxa"/>
            <w:shd w:val="clear" w:color="auto" w:fill="D9D9D9"/>
          </w:tcPr>
          <w:p>
            <w:pPr/>
          </w:p>
        </w:tc>
        <w:tc>
          <w:tcPr>
            <w:tcW w:w="398" w:type="dxa"/>
            <w:shd w:val="clear" w:color="auto" w:fill="D9D9D9"/>
          </w:tcPr>
          <w:p>
            <w:pPr/>
          </w:p>
        </w:tc>
        <w:tc>
          <w:tcPr>
            <w:tcW w:w="398" w:type="dxa"/>
            <w:shd w:val="clear" w:color="auto" w:fill="D9D9D9"/>
          </w:tcPr>
          <w:p>
            <w:pPr/>
          </w:p>
        </w:tc>
        <w:tc>
          <w:tcPr>
            <w:tcW w:w="399" w:type="dxa"/>
            <w:shd w:val="clear" w:color="auto" w:fill="D9D9D9"/>
          </w:tcPr>
          <w:p>
            <w:pPr/>
          </w:p>
        </w:tc>
        <w:tc>
          <w:tcPr>
            <w:tcW w:w="394" w:type="dxa"/>
            <w:shd w:val="clear" w:color="auto" w:fill="D9D9D9"/>
          </w:tcPr>
          <w:p>
            <w:pPr/>
          </w:p>
        </w:tc>
        <w:tc>
          <w:tcPr>
            <w:tcW w:w="399" w:type="dxa"/>
            <w:shd w:val="clear" w:color="auto" w:fill="D9D9D9"/>
          </w:tcPr>
          <w:p>
            <w:pPr/>
          </w:p>
        </w:tc>
      </w:tr>
    </w:tbl>
    <w:p>
      <w:pPr>
        <w:spacing w:after="0"/>
        <w:sectPr>
          <w:pgSz w:w="11910" w:h="16840"/>
          <w:pgMar w:header="1133" w:footer="0" w:top="1340" w:bottom="280" w:left="1680" w:right="1020"/>
        </w:sectPr>
      </w:pPr>
    </w:p>
    <w:p>
      <w:pPr>
        <w:pStyle w:val="BodyText"/>
        <w:spacing w:before="10"/>
        <w:rPr>
          <w:rFonts w:ascii="Times New Roman"/>
          <w:sz w:val="20"/>
        </w:rPr>
      </w:pPr>
    </w:p>
    <w:p>
      <w:pPr>
        <w:pStyle w:val="Heading3"/>
        <w:ind w:left="1148"/>
      </w:pPr>
      <w:r>
        <w:rPr/>
        <w:t>TABELA DE VALORIZAÇÃO QUALITATIVA E NUMÉRICA</w:t>
      </w:r>
    </w:p>
    <w:p>
      <w:pPr>
        <w:pStyle w:val="BodyText"/>
        <w:rPr>
          <w:b/>
          <w:sz w:val="26"/>
        </w:rPr>
      </w:pPr>
    </w:p>
    <w:p>
      <w:pPr>
        <w:pStyle w:val="BodyText"/>
        <w:rPr>
          <w:b/>
          <w:sz w:val="26"/>
        </w:rPr>
      </w:pPr>
    </w:p>
    <w:p>
      <w:pPr>
        <w:pStyle w:val="BodyText"/>
        <w:spacing w:before="6"/>
        <w:rPr>
          <w:b/>
        </w:rPr>
      </w:pPr>
    </w:p>
    <w:p>
      <w:pPr>
        <w:spacing w:line="276" w:lineRule="auto" w:before="0"/>
        <w:ind w:left="308" w:right="120" w:firstLine="710"/>
        <w:jc w:val="both"/>
        <w:rPr>
          <w:sz w:val="20"/>
        </w:rPr>
      </w:pPr>
      <w:r>
        <w:rPr>
          <w:sz w:val="20"/>
        </w:rPr>
        <w:t>Para </w:t>
      </w:r>
      <w:r>
        <w:rPr>
          <w:spacing w:val="-3"/>
          <w:sz w:val="20"/>
        </w:rPr>
        <w:t>sua </w:t>
      </w:r>
      <w:r>
        <w:rPr>
          <w:sz w:val="20"/>
        </w:rPr>
        <w:t>valorização tanto do progresso como comparativa atribuir-se-ão as seguintes categorias ou valores entre 1 e 10 a cada um dos indicadores, considerando que quanto maior seja a presença do indicador descrito ou assim seja percebido pelo avaliador interno ou externo atribuir-se-á uma valorização mais alta. A seguinte tabela pode servir de critério</w:t>
      </w:r>
      <w:r>
        <w:rPr>
          <w:spacing w:val="-30"/>
          <w:sz w:val="20"/>
        </w:rPr>
        <w:t> </w:t>
      </w:r>
      <w:r>
        <w:rPr>
          <w:sz w:val="20"/>
        </w:rPr>
        <w:t>orientador:</w:t>
      </w:r>
    </w:p>
    <w:p>
      <w:pPr>
        <w:spacing w:line="276" w:lineRule="auto" w:before="0"/>
        <w:ind w:left="308" w:right="127" w:firstLine="710"/>
        <w:jc w:val="both"/>
        <w:rPr>
          <w:sz w:val="20"/>
        </w:rPr>
      </w:pPr>
      <w:r>
        <w:rPr>
          <w:sz w:val="20"/>
        </w:rPr>
        <w:t>Tabela de valorização qualitativa e numérica-criteriosa de 1 a 10 em função da presença ou ausência do indicador valorizado.</w:t>
      </w:r>
    </w:p>
    <w:p>
      <w:pPr>
        <w:pStyle w:val="BodyText"/>
        <w:spacing w:before="5"/>
        <w:rPr>
          <w:sz w:val="23"/>
        </w:rPr>
      </w:pPr>
    </w:p>
    <w:tbl>
      <w:tblPr>
        <w:tblW w:w="0" w:type="auto"/>
        <w:jc w:val="left"/>
        <w:tblInd w:w="1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19"/>
        <w:gridCol w:w="1844"/>
        <w:gridCol w:w="1844"/>
      </w:tblGrid>
      <w:tr>
        <w:trPr>
          <w:trHeight w:val="538" w:hRule="exact"/>
        </w:trPr>
        <w:tc>
          <w:tcPr>
            <w:tcW w:w="5219" w:type="dxa"/>
          </w:tcPr>
          <w:p>
            <w:pPr>
              <w:pStyle w:val="TableParagraph"/>
              <w:spacing w:line="225" w:lineRule="exact"/>
              <w:ind w:left="715"/>
              <w:jc w:val="left"/>
              <w:rPr>
                <w:b/>
                <w:sz w:val="20"/>
              </w:rPr>
            </w:pPr>
            <w:r>
              <w:rPr>
                <w:b/>
                <w:sz w:val="20"/>
              </w:rPr>
              <w:t>Presença da característica ou indicador</w:t>
            </w:r>
          </w:p>
        </w:tc>
        <w:tc>
          <w:tcPr>
            <w:tcW w:w="1844" w:type="dxa"/>
          </w:tcPr>
          <w:p>
            <w:pPr>
              <w:pStyle w:val="TableParagraph"/>
              <w:spacing w:line="276" w:lineRule="auto"/>
              <w:ind w:left="470" w:right="295" w:hanging="63"/>
              <w:jc w:val="left"/>
              <w:rPr>
                <w:b/>
                <w:sz w:val="20"/>
              </w:rPr>
            </w:pPr>
            <w:r>
              <w:rPr>
                <w:b/>
                <w:sz w:val="20"/>
              </w:rPr>
              <w:t>Valorização qualitativa</w:t>
            </w:r>
          </w:p>
        </w:tc>
        <w:tc>
          <w:tcPr>
            <w:tcW w:w="1844" w:type="dxa"/>
          </w:tcPr>
          <w:p>
            <w:pPr>
              <w:pStyle w:val="TableParagraph"/>
              <w:spacing w:line="276" w:lineRule="auto"/>
              <w:ind w:left="456" w:right="347" w:hanging="101"/>
              <w:jc w:val="left"/>
              <w:rPr>
                <w:b/>
                <w:sz w:val="20"/>
              </w:rPr>
            </w:pPr>
            <w:r>
              <w:rPr>
                <w:b/>
                <w:sz w:val="20"/>
              </w:rPr>
              <w:t>Valorização Numérica</w:t>
            </w:r>
          </w:p>
        </w:tc>
      </w:tr>
      <w:tr>
        <w:trPr>
          <w:trHeight w:val="274" w:hRule="exact"/>
        </w:trPr>
        <w:tc>
          <w:tcPr>
            <w:tcW w:w="5219" w:type="dxa"/>
          </w:tcPr>
          <w:p>
            <w:pPr>
              <w:pStyle w:val="TableParagraph"/>
              <w:spacing w:line="230" w:lineRule="exact"/>
              <w:ind w:left="105"/>
              <w:jc w:val="left"/>
              <w:rPr>
                <w:sz w:val="20"/>
              </w:rPr>
            </w:pPr>
            <w:r>
              <w:rPr>
                <w:sz w:val="20"/>
              </w:rPr>
              <w:t>Nunca ou quase nunca</w:t>
            </w:r>
          </w:p>
        </w:tc>
        <w:tc>
          <w:tcPr>
            <w:tcW w:w="1844" w:type="dxa"/>
          </w:tcPr>
          <w:p>
            <w:pPr>
              <w:pStyle w:val="TableParagraph"/>
              <w:spacing w:line="230" w:lineRule="exact"/>
              <w:ind w:right="793"/>
              <w:jc w:val="right"/>
              <w:rPr>
                <w:sz w:val="20"/>
              </w:rPr>
            </w:pPr>
            <w:r>
              <w:rPr>
                <w:w w:val="100"/>
                <w:sz w:val="20"/>
              </w:rPr>
              <w:t>D</w:t>
            </w:r>
          </w:p>
        </w:tc>
        <w:tc>
          <w:tcPr>
            <w:tcW w:w="1844" w:type="dxa"/>
          </w:tcPr>
          <w:p>
            <w:pPr>
              <w:pStyle w:val="TableParagraph"/>
              <w:spacing w:line="230" w:lineRule="exact"/>
              <w:ind w:left="201" w:right="206"/>
              <w:rPr>
                <w:sz w:val="20"/>
              </w:rPr>
            </w:pPr>
            <w:r>
              <w:rPr>
                <w:sz w:val="20"/>
              </w:rPr>
              <w:t>1-2</w:t>
            </w:r>
          </w:p>
        </w:tc>
      </w:tr>
      <w:tr>
        <w:trPr>
          <w:trHeight w:val="274" w:hRule="exact"/>
        </w:trPr>
        <w:tc>
          <w:tcPr>
            <w:tcW w:w="5219" w:type="dxa"/>
          </w:tcPr>
          <w:p>
            <w:pPr>
              <w:pStyle w:val="TableParagraph"/>
              <w:spacing w:line="230" w:lineRule="exact"/>
              <w:ind w:left="105"/>
              <w:jc w:val="left"/>
              <w:rPr>
                <w:sz w:val="20"/>
              </w:rPr>
            </w:pPr>
            <w:r>
              <w:rPr>
                <w:sz w:val="20"/>
              </w:rPr>
              <w:t>Às vezes. Ocasionalmente</w:t>
            </w:r>
          </w:p>
        </w:tc>
        <w:tc>
          <w:tcPr>
            <w:tcW w:w="1844" w:type="dxa"/>
          </w:tcPr>
          <w:p>
            <w:pPr>
              <w:pStyle w:val="TableParagraph"/>
              <w:spacing w:line="230" w:lineRule="exact"/>
              <w:ind w:right="793"/>
              <w:jc w:val="right"/>
              <w:rPr>
                <w:sz w:val="20"/>
              </w:rPr>
            </w:pPr>
            <w:r>
              <w:rPr>
                <w:w w:val="100"/>
                <w:sz w:val="20"/>
              </w:rPr>
              <w:t>C</w:t>
            </w:r>
          </w:p>
        </w:tc>
        <w:tc>
          <w:tcPr>
            <w:tcW w:w="1844" w:type="dxa"/>
          </w:tcPr>
          <w:p>
            <w:pPr>
              <w:pStyle w:val="TableParagraph"/>
              <w:spacing w:line="230" w:lineRule="exact"/>
              <w:ind w:left="201" w:right="201"/>
              <w:rPr>
                <w:sz w:val="20"/>
              </w:rPr>
            </w:pPr>
            <w:r>
              <w:rPr>
                <w:sz w:val="20"/>
              </w:rPr>
              <w:t>3-4-5</w:t>
            </w:r>
          </w:p>
        </w:tc>
      </w:tr>
      <w:tr>
        <w:trPr>
          <w:trHeight w:val="543" w:hRule="exact"/>
        </w:trPr>
        <w:tc>
          <w:tcPr>
            <w:tcW w:w="5219" w:type="dxa"/>
          </w:tcPr>
          <w:p>
            <w:pPr>
              <w:pStyle w:val="TableParagraph"/>
              <w:spacing w:line="280" w:lineRule="auto"/>
              <w:ind w:left="105" w:right="2227"/>
              <w:jc w:val="left"/>
              <w:rPr>
                <w:sz w:val="20"/>
              </w:rPr>
            </w:pPr>
            <w:r>
              <w:rPr>
                <w:sz w:val="20"/>
              </w:rPr>
              <w:t>Muitas vezes ou ocasiões Existem evidências do indicador</w:t>
            </w:r>
          </w:p>
        </w:tc>
        <w:tc>
          <w:tcPr>
            <w:tcW w:w="1844" w:type="dxa"/>
          </w:tcPr>
          <w:p>
            <w:pPr>
              <w:pStyle w:val="TableParagraph"/>
              <w:ind w:right="799"/>
              <w:jc w:val="right"/>
              <w:rPr>
                <w:sz w:val="20"/>
              </w:rPr>
            </w:pPr>
            <w:r>
              <w:rPr>
                <w:w w:val="100"/>
                <w:sz w:val="20"/>
              </w:rPr>
              <w:t>B</w:t>
            </w:r>
          </w:p>
        </w:tc>
        <w:tc>
          <w:tcPr>
            <w:tcW w:w="1844" w:type="dxa"/>
          </w:tcPr>
          <w:p>
            <w:pPr>
              <w:pStyle w:val="TableParagraph"/>
              <w:ind w:left="201" w:right="201"/>
              <w:rPr>
                <w:sz w:val="20"/>
              </w:rPr>
            </w:pPr>
            <w:r>
              <w:rPr>
                <w:sz w:val="20"/>
              </w:rPr>
              <w:t>6-7-8</w:t>
            </w:r>
          </w:p>
        </w:tc>
      </w:tr>
      <w:tr>
        <w:trPr>
          <w:trHeight w:val="538" w:hRule="exact"/>
        </w:trPr>
        <w:tc>
          <w:tcPr>
            <w:tcW w:w="5219" w:type="dxa"/>
          </w:tcPr>
          <w:p>
            <w:pPr>
              <w:pStyle w:val="TableParagraph"/>
              <w:spacing w:line="276" w:lineRule="auto"/>
              <w:ind w:left="105" w:right="104"/>
              <w:jc w:val="left"/>
              <w:rPr>
                <w:sz w:val="20"/>
              </w:rPr>
            </w:pPr>
            <w:r>
              <w:rPr>
                <w:sz w:val="20"/>
              </w:rPr>
              <w:t>De continuo. Evidências claras de aparição do indicador ou característica.</w:t>
            </w:r>
          </w:p>
        </w:tc>
        <w:tc>
          <w:tcPr>
            <w:tcW w:w="1844" w:type="dxa"/>
          </w:tcPr>
          <w:p>
            <w:pPr>
              <w:pStyle w:val="TableParagraph"/>
              <w:spacing w:line="230" w:lineRule="exact"/>
              <w:ind w:right="799"/>
              <w:jc w:val="right"/>
              <w:rPr>
                <w:sz w:val="20"/>
              </w:rPr>
            </w:pPr>
            <w:r>
              <w:rPr>
                <w:w w:val="100"/>
                <w:sz w:val="20"/>
              </w:rPr>
              <w:t>A</w:t>
            </w:r>
          </w:p>
        </w:tc>
        <w:tc>
          <w:tcPr>
            <w:tcW w:w="1844" w:type="dxa"/>
          </w:tcPr>
          <w:p>
            <w:pPr>
              <w:pStyle w:val="TableParagraph"/>
              <w:spacing w:line="230" w:lineRule="exact"/>
              <w:ind w:left="201" w:right="203"/>
              <w:rPr>
                <w:sz w:val="20"/>
              </w:rPr>
            </w:pPr>
            <w:r>
              <w:rPr>
                <w:sz w:val="20"/>
              </w:rPr>
              <w:t>9-10</w:t>
            </w:r>
          </w:p>
        </w:tc>
      </w:tr>
    </w:tbl>
    <w:p>
      <w:pPr>
        <w:pStyle w:val="BodyText"/>
        <w:spacing w:before="10"/>
        <w:rPr>
          <w:sz w:val="22"/>
        </w:rPr>
      </w:pPr>
    </w:p>
    <w:p>
      <w:pPr>
        <w:spacing w:line="276" w:lineRule="auto" w:before="0"/>
        <w:ind w:left="308" w:right="122" w:firstLine="710"/>
        <w:jc w:val="both"/>
        <w:rPr>
          <w:sz w:val="20"/>
        </w:rPr>
      </w:pPr>
      <w:r>
        <w:rPr>
          <w:sz w:val="20"/>
        </w:rPr>
        <w:t>Aquelas instituições ou escolas que alcancem o nível B ou 6 sobre 10 podem </w:t>
      </w:r>
      <w:r>
        <w:rPr>
          <w:spacing w:val="-3"/>
          <w:sz w:val="20"/>
        </w:rPr>
        <w:t>ser </w:t>
      </w:r>
      <w:r>
        <w:rPr>
          <w:sz w:val="20"/>
        </w:rPr>
        <w:t>consideradas criativas e merecedoras de reconhecimento institucional por </w:t>
      </w:r>
      <w:r>
        <w:rPr>
          <w:spacing w:val="-3"/>
          <w:sz w:val="20"/>
        </w:rPr>
        <w:t>seu </w:t>
      </w:r>
      <w:r>
        <w:rPr>
          <w:sz w:val="20"/>
        </w:rPr>
        <w:t>impulso transformador. Falamos então de Instituições educacionais criativas (IEC). Para que isso ocorra, a valorização interna deveria estar corroborada com uma valorização externa, que pode ser  realizada a pedido da instituição ou a proposta de instâncias superiores da Inspeção ou Administração. Os membros que participaram na construção e validação do instrumento </w:t>
      </w:r>
      <w:r>
        <w:rPr>
          <w:spacing w:val="-3"/>
          <w:sz w:val="20"/>
        </w:rPr>
        <w:t>são </w:t>
      </w:r>
      <w:r>
        <w:rPr>
          <w:sz w:val="20"/>
        </w:rPr>
        <w:t>competentes para esta avaliação externa, assim como outros assessores e especialistas  no âmbito da criatividade</w:t>
      </w:r>
      <w:r>
        <w:rPr>
          <w:spacing w:val="-11"/>
          <w:sz w:val="20"/>
        </w:rPr>
        <w:t> </w:t>
      </w:r>
      <w:r>
        <w:rPr>
          <w:sz w:val="20"/>
        </w:rPr>
        <w:t>institucional.</w:t>
      </w:r>
    </w:p>
    <w:p>
      <w:pPr>
        <w:pStyle w:val="BodyText"/>
        <w:rPr>
          <w:sz w:val="22"/>
        </w:rPr>
      </w:pPr>
    </w:p>
    <w:p>
      <w:pPr>
        <w:pStyle w:val="BodyText"/>
        <w:rPr>
          <w:sz w:val="22"/>
        </w:rPr>
      </w:pPr>
    </w:p>
    <w:p>
      <w:pPr>
        <w:spacing w:before="161"/>
        <w:ind w:left="1465" w:right="0" w:firstLine="0"/>
        <w:jc w:val="left"/>
        <w:rPr>
          <w:b/>
          <w:sz w:val="20"/>
        </w:rPr>
      </w:pPr>
      <w:r>
        <w:rPr>
          <w:b/>
          <w:sz w:val="20"/>
        </w:rPr>
        <w:t>PARÂMETROS E INDICADORES DE DESENVOLVIMENTO CRIATIVO</w:t>
      </w:r>
    </w:p>
    <w:p>
      <w:pPr>
        <w:pStyle w:val="BodyText"/>
        <w:spacing w:before="10"/>
        <w:rPr>
          <w:b/>
          <w:sz w:val="20"/>
        </w:rPr>
      </w:pPr>
    </w:p>
    <w:tbl>
      <w:tblPr>
        <w:tblW w:w="0" w:type="auto"/>
        <w:jc w:val="left"/>
        <w:tblInd w:w="3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88"/>
        <w:gridCol w:w="567"/>
        <w:gridCol w:w="3856"/>
        <w:gridCol w:w="566"/>
      </w:tblGrid>
      <w:tr>
        <w:trPr>
          <w:trHeight w:val="274" w:hRule="exact"/>
        </w:trPr>
        <w:tc>
          <w:tcPr>
            <w:tcW w:w="3688" w:type="dxa"/>
            <w:tcBorders>
              <w:bottom w:val="nil"/>
            </w:tcBorders>
          </w:tcPr>
          <w:p>
            <w:pPr>
              <w:pStyle w:val="TableParagraph"/>
              <w:spacing w:line="243" w:lineRule="exact"/>
              <w:ind w:left="100"/>
              <w:jc w:val="left"/>
              <w:rPr>
                <w:b/>
                <w:sz w:val="22"/>
              </w:rPr>
            </w:pPr>
            <w:r>
              <w:rPr>
                <w:b/>
                <w:sz w:val="22"/>
              </w:rPr>
              <w:t>1. LIDERANÇA ESTIMULANTE</w:t>
            </w:r>
          </w:p>
        </w:tc>
        <w:tc>
          <w:tcPr>
            <w:tcW w:w="567" w:type="dxa"/>
            <w:vMerge w:val="restart"/>
          </w:tcPr>
          <w:p>
            <w:pPr/>
          </w:p>
        </w:tc>
        <w:tc>
          <w:tcPr>
            <w:tcW w:w="3856" w:type="dxa"/>
            <w:tcBorders>
              <w:bottom w:val="nil"/>
            </w:tcBorders>
          </w:tcPr>
          <w:p>
            <w:pPr>
              <w:pStyle w:val="TableParagraph"/>
              <w:spacing w:line="243" w:lineRule="exact"/>
              <w:ind w:left="100"/>
              <w:jc w:val="left"/>
              <w:rPr>
                <w:b/>
                <w:sz w:val="22"/>
              </w:rPr>
            </w:pPr>
            <w:r>
              <w:rPr>
                <w:b/>
                <w:sz w:val="22"/>
              </w:rPr>
              <w:t>2. PROFESSORES CRIATIVOS</w:t>
            </w:r>
          </w:p>
        </w:tc>
        <w:tc>
          <w:tcPr>
            <w:tcW w:w="566" w:type="dxa"/>
            <w:vMerge w:val="restart"/>
          </w:tcPr>
          <w:p>
            <w:pPr/>
          </w:p>
        </w:tc>
      </w:tr>
      <w:tr>
        <w:trPr>
          <w:trHeight w:val="293" w:hRule="exact"/>
        </w:trPr>
        <w:tc>
          <w:tcPr>
            <w:tcW w:w="3688" w:type="dxa"/>
            <w:tcBorders>
              <w:top w:val="nil"/>
              <w:bottom w:val="nil"/>
            </w:tcBorders>
          </w:tcPr>
          <w:p>
            <w:pPr>
              <w:pStyle w:val="TableParagraph"/>
              <w:spacing w:before="19"/>
              <w:ind w:left="100"/>
              <w:jc w:val="left"/>
              <w:rPr>
                <w:sz w:val="22"/>
              </w:rPr>
            </w:pPr>
            <w:r>
              <w:rPr>
                <w:sz w:val="22"/>
              </w:rPr>
              <w:t>1. 1 Metas compartilhadas</w:t>
            </w:r>
          </w:p>
        </w:tc>
        <w:tc>
          <w:tcPr>
            <w:tcW w:w="567" w:type="dxa"/>
            <w:vMerge/>
          </w:tcPr>
          <w:p>
            <w:pPr/>
          </w:p>
        </w:tc>
        <w:tc>
          <w:tcPr>
            <w:tcW w:w="3856" w:type="dxa"/>
            <w:tcBorders>
              <w:top w:val="nil"/>
              <w:bottom w:val="nil"/>
            </w:tcBorders>
          </w:tcPr>
          <w:p>
            <w:pPr>
              <w:pStyle w:val="TableParagraph"/>
              <w:spacing w:before="19"/>
              <w:ind w:left="100"/>
              <w:jc w:val="left"/>
              <w:rPr>
                <w:sz w:val="22"/>
              </w:rPr>
            </w:pPr>
            <w:r>
              <w:rPr>
                <w:sz w:val="22"/>
              </w:rPr>
              <w:t>2.1 Convicção</w:t>
            </w:r>
          </w:p>
        </w:tc>
        <w:tc>
          <w:tcPr>
            <w:tcW w:w="566" w:type="dxa"/>
            <w:vMerge/>
          </w:tcPr>
          <w:p>
            <w:pPr/>
          </w:p>
        </w:tc>
      </w:tr>
      <w:tr>
        <w:trPr>
          <w:trHeight w:val="291" w:hRule="exact"/>
        </w:trPr>
        <w:tc>
          <w:tcPr>
            <w:tcW w:w="3688" w:type="dxa"/>
            <w:tcBorders>
              <w:top w:val="nil"/>
              <w:bottom w:val="nil"/>
            </w:tcBorders>
          </w:tcPr>
          <w:p>
            <w:pPr>
              <w:pStyle w:val="TableParagraph"/>
              <w:spacing w:before="14"/>
              <w:ind w:left="100"/>
              <w:jc w:val="left"/>
              <w:rPr>
                <w:sz w:val="22"/>
              </w:rPr>
            </w:pPr>
            <w:r>
              <w:rPr>
                <w:sz w:val="22"/>
              </w:rPr>
              <w:t>1.2 Liderança criativa. Estilo</w:t>
            </w:r>
          </w:p>
        </w:tc>
        <w:tc>
          <w:tcPr>
            <w:tcW w:w="567" w:type="dxa"/>
            <w:vMerge/>
          </w:tcPr>
          <w:p>
            <w:pPr/>
          </w:p>
        </w:tc>
        <w:tc>
          <w:tcPr>
            <w:tcW w:w="3856" w:type="dxa"/>
            <w:tcBorders>
              <w:top w:val="nil"/>
              <w:bottom w:val="nil"/>
            </w:tcBorders>
          </w:tcPr>
          <w:p>
            <w:pPr>
              <w:pStyle w:val="TableParagraph"/>
              <w:spacing w:before="14"/>
              <w:ind w:left="100"/>
              <w:jc w:val="left"/>
              <w:rPr>
                <w:sz w:val="22"/>
              </w:rPr>
            </w:pPr>
            <w:r>
              <w:rPr>
                <w:sz w:val="22"/>
              </w:rPr>
              <w:t>2.2 Reconhecimento</w:t>
            </w:r>
          </w:p>
        </w:tc>
        <w:tc>
          <w:tcPr>
            <w:tcW w:w="566" w:type="dxa"/>
            <w:vMerge/>
          </w:tcPr>
          <w:p>
            <w:pPr/>
          </w:p>
        </w:tc>
      </w:tr>
      <w:tr>
        <w:trPr>
          <w:trHeight w:val="293" w:hRule="exact"/>
        </w:trPr>
        <w:tc>
          <w:tcPr>
            <w:tcW w:w="3688" w:type="dxa"/>
            <w:tcBorders>
              <w:top w:val="nil"/>
              <w:bottom w:val="nil"/>
            </w:tcBorders>
          </w:tcPr>
          <w:p>
            <w:pPr>
              <w:pStyle w:val="TableParagraph"/>
              <w:spacing w:before="16"/>
              <w:ind w:left="100"/>
              <w:jc w:val="left"/>
              <w:rPr>
                <w:sz w:val="22"/>
              </w:rPr>
            </w:pPr>
            <w:r>
              <w:rPr>
                <w:sz w:val="22"/>
              </w:rPr>
              <w:t>inovador</w:t>
            </w:r>
          </w:p>
        </w:tc>
        <w:tc>
          <w:tcPr>
            <w:tcW w:w="567" w:type="dxa"/>
            <w:vMerge/>
          </w:tcPr>
          <w:p>
            <w:pPr/>
          </w:p>
        </w:tc>
        <w:tc>
          <w:tcPr>
            <w:tcW w:w="3856" w:type="dxa"/>
            <w:tcBorders>
              <w:top w:val="nil"/>
              <w:bottom w:val="nil"/>
            </w:tcBorders>
          </w:tcPr>
          <w:p>
            <w:pPr>
              <w:pStyle w:val="TableParagraph"/>
              <w:spacing w:before="16"/>
              <w:ind w:left="100"/>
              <w:jc w:val="left"/>
              <w:rPr>
                <w:sz w:val="22"/>
              </w:rPr>
            </w:pPr>
            <w:r>
              <w:rPr>
                <w:sz w:val="22"/>
              </w:rPr>
              <w:t>2.3 Entusiasmo</w:t>
            </w:r>
          </w:p>
        </w:tc>
        <w:tc>
          <w:tcPr>
            <w:tcW w:w="566" w:type="dxa"/>
            <w:vMerge/>
          </w:tcPr>
          <w:p>
            <w:pPr/>
          </w:p>
        </w:tc>
      </w:tr>
      <w:tr>
        <w:trPr>
          <w:trHeight w:val="290" w:hRule="exact"/>
        </w:trPr>
        <w:tc>
          <w:tcPr>
            <w:tcW w:w="3688" w:type="dxa"/>
            <w:tcBorders>
              <w:top w:val="nil"/>
              <w:bottom w:val="nil"/>
            </w:tcBorders>
          </w:tcPr>
          <w:p>
            <w:pPr>
              <w:pStyle w:val="TableParagraph"/>
              <w:spacing w:before="16"/>
              <w:ind w:left="100"/>
              <w:jc w:val="left"/>
              <w:rPr>
                <w:sz w:val="22"/>
              </w:rPr>
            </w:pPr>
            <w:r>
              <w:rPr>
                <w:sz w:val="22"/>
              </w:rPr>
              <w:t>1.3 Autopoiesis. Gestão do</w:t>
            </w:r>
          </w:p>
        </w:tc>
        <w:tc>
          <w:tcPr>
            <w:tcW w:w="567" w:type="dxa"/>
            <w:vMerge/>
          </w:tcPr>
          <w:p>
            <w:pPr/>
          </w:p>
        </w:tc>
        <w:tc>
          <w:tcPr>
            <w:tcW w:w="3856" w:type="dxa"/>
            <w:tcBorders>
              <w:top w:val="nil"/>
              <w:bottom w:val="nil"/>
            </w:tcBorders>
          </w:tcPr>
          <w:p>
            <w:pPr>
              <w:pStyle w:val="TableParagraph"/>
              <w:spacing w:before="16"/>
              <w:ind w:left="100"/>
              <w:jc w:val="left"/>
              <w:rPr>
                <w:sz w:val="22"/>
              </w:rPr>
            </w:pPr>
            <w:r>
              <w:rPr>
                <w:sz w:val="22"/>
              </w:rPr>
              <w:t>2.4 Amplitude de Consciência</w:t>
            </w:r>
          </w:p>
        </w:tc>
        <w:tc>
          <w:tcPr>
            <w:tcW w:w="566" w:type="dxa"/>
            <w:vMerge/>
          </w:tcPr>
          <w:p>
            <w:pPr/>
          </w:p>
        </w:tc>
      </w:tr>
      <w:tr>
        <w:trPr>
          <w:trHeight w:val="290" w:hRule="exact"/>
        </w:trPr>
        <w:tc>
          <w:tcPr>
            <w:tcW w:w="3688" w:type="dxa"/>
            <w:tcBorders>
              <w:top w:val="nil"/>
              <w:bottom w:val="nil"/>
            </w:tcBorders>
          </w:tcPr>
          <w:p>
            <w:pPr>
              <w:pStyle w:val="TableParagraph"/>
              <w:spacing w:before="14"/>
              <w:ind w:left="100"/>
              <w:jc w:val="left"/>
              <w:rPr>
                <w:sz w:val="22"/>
              </w:rPr>
            </w:pPr>
            <w:r>
              <w:rPr>
                <w:sz w:val="22"/>
              </w:rPr>
              <w:t>conhecimento</w:t>
            </w:r>
          </w:p>
        </w:tc>
        <w:tc>
          <w:tcPr>
            <w:tcW w:w="567" w:type="dxa"/>
            <w:vMerge/>
          </w:tcPr>
          <w:p>
            <w:pPr/>
          </w:p>
        </w:tc>
        <w:tc>
          <w:tcPr>
            <w:tcW w:w="3856" w:type="dxa"/>
            <w:tcBorders>
              <w:top w:val="nil"/>
              <w:bottom w:val="nil"/>
            </w:tcBorders>
          </w:tcPr>
          <w:p>
            <w:pPr>
              <w:pStyle w:val="TableParagraph"/>
              <w:spacing w:before="14"/>
              <w:ind w:left="100"/>
              <w:jc w:val="left"/>
              <w:rPr>
                <w:sz w:val="22"/>
              </w:rPr>
            </w:pPr>
            <w:r>
              <w:rPr>
                <w:sz w:val="22"/>
              </w:rPr>
              <w:t>2.5 Transformação</w:t>
            </w:r>
          </w:p>
        </w:tc>
        <w:tc>
          <w:tcPr>
            <w:tcW w:w="566" w:type="dxa"/>
            <w:vMerge/>
          </w:tcPr>
          <w:p>
            <w:pPr/>
          </w:p>
        </w:tc>
      </w:tr>
      <w:tr>
        <w:trPr>
          <w:trHeight w:val="290" w:hRule="exact"/>
        </w:trPr>
        <w:tc>
          <w:tcPr>
            <w:tcW w:w="3688" w:type="dxa"/>
            <w:tcBorders>
              <w:top w:val="nil"/>
              <w:bottom w:val="nil"/>
            </w:tcBorders>
          </w:tcPr>
          <w:p>
            <w:pPr>
              <w:pStyle w:val="TableParagraph"/>
              <w:spacing w:before="16"/>
              <w:ind w:left="100"/>
              <w:jc w:val="left"/>
              <w:rPr>
                <w:sz w:val="22"/>
              </w:rPr>
            </w:pPr>
            <w:r>
              <w:rPr>
                <w:sz w:val="22"/>
              </w:rPr>
              <w:t>1.4 Clima de trabalho criativo</w:t>
            </w:r>
          </w:p>
        </w:tc>
        <w:tc>
          <w:tcPr>
            <w:tcW w:w="567" w:type="dxa"/>
            <w:vMerge/>
          </w:tcPr>
          <w:p>
            <w:pPr/>
          </w:p>
        </w:tc>
        <w:tc>
          <w:tcPr>
            <w:tcW w:w="3856" w:type="dxa"/>
            <w:tcBorders>
              <w:top w:val="nil"/>
              <w:bottom w:val="nil"/>
            </w:tcBorders>
          </w:tcPr>
          <w:p>
            <w:pPr>
              <w:pStyle w:val="TableParagraph"/>
              <w:spacing w:before="16"/>
              <w:ind w:left="100"/>
              <w:jc w:val="left"/>
              <w:rPr>
                <w:sz w:val="22"/>
              </w:rPr>
            </w:pPr>
            <w:r>
              <w:rPr>
                <w:sz w:val="22"/>
              </w:rPr>
              <w:t>2.6 Impacto</w:t>
            </w:r>
          </w:p>
        </w:tc>
        <w:tc>
          <w:tcPr>
            <w:tcW w:w="566" w:type="dxa"/>
            <w:vMerge/>
          </w:tcPr>
          <w:p>
            <w:pPr/>
          </w:p>
        </w:tc>
      </w:tr>
      <w:tr>
        <w:trPr>
          <w:trHeight w:val="291" w:hRule="exact"/>
        </w:trPr>
        <w:tc>
          <w:tcPr>
            <w:tcW w:w="3688" w:type="dxa"/>
            <w:tcBorders>
              <w:top w:val="nil"/>
              <w:bottom w:val="nil"/>
            </w:tcBorders>
          </w:tcPr>
          <w:p>
            <w:pPr>
              <w:pStyle w:val="TableParagraph"/>
              <w:spacing w:before="14"/>
              <w:ind w:left="100"/>
              <w:jc w:val="left"/>
              <w:rPr>
                <w:sz w:val="22"/>
              </w:rPr>
            </w:pPr>
            <w:r>
              <w:rPr>
                <w:sz w:val="22"/>
              </w:rPr>
              <w:t>1.5 Crescimento interno</w:t>
            </w:r>
          </w:p>
        </w:tc>
        <w:tc>
          <w:tcPr>
            <w:tcW w:w="567" w:type="dxa"/>
            <w:vMerge/>
          </w:tcPr>
          <w:p>
            <w:pPr/>
          </w:p>
        </w:tc>
        <w:tc>
          <w:tcPr>
            <w:tcW w:w="3856" w:type="dxa"/>
            <w:tcBorders>
              <w:top w:val="nil"/>
              <w:bottom w:val="nil"/>
            </w:tcBorders>
          </w:tcPr>
          <w:p>
            <w:pPr>
              <w:pStyle w:val="TableParagraph"/>
              <w:spacing w:before="14"/>
              <w:ind w:left="100"/>
              <w:jc w:val="left"/>
              <w:rPr>
                <w:sz w:val="22"/>
              </w:rPr>
            </w:pPr>
            <w:r>
              <w:rPr>
                <w:sz w:val="22"/>
              </w:rPr>
              <w:t>2.7 Vitalidade</w:t>
            </w:r>
          </w:p>
        </w:tc>
        <w:tc>
          <w:tcPr>
            <w:tcW w:w="566" w:type="dxa"/>
            <w:vMerge/>
          </w:tcPr>
          <w:p>
            <w:pPr/>
          </w:p>
        </w:tc>
      </w:tr>
      <w:tr>
        <w:trPr>
          <w:trHeight w:val="293" w:hRule="exact"/>
        </w:trPr>
        <w:tc>
          <w:tcPr>
            <w:tcW w:w="3688" w:type="dxa"/>
            <w:tcBorders>
              <w:top w:val="nil"/>
              <w:bottom w:val="nil"/>
            </w:tcBorders>
          </w:tcPr>
          <w:p>
            <w:pPr>
              <w:pStyle w:val="TableParagraph"/>
              <w:spacing w:before="16"/>
              <w:ind w:left="100"/>
              <w:jc w:val="left"/>
              <w:rPr>
                <w:sz w:val="22"/>
              </w:rPr>
            </w:pPr>
            <w:r>
              <w:rPr>
                <w:sz w:val="22"/>
              </w:rPr>
              <w:t>1.6 Imagem externa. Projeção</w:t>
            </w:r>
          </w:p>
        </w:tc>
        <w:tc>
          <w:tcPr>
            <w:tcW w:w="567" w:type="dxa"/>
            <w:vMerge/>
          </w:tcPr>
          <w:p>
            <w:pPr/>
          </w:p>
        </w:tc>
        <w:tc>
          <w:tcPr>
            <w:tcW w:w="3856" w:type="dxa"/>
            <w:tcBorders>
              <w:top w:val="nil"/>
              <w:bottom w:val="nil"/>
            </w:tcBorders>
          </w:tcPr>
          <w:p>
            <w:pPr>
              <w:pStyle w:val="TableParagraph"/>
              <w:spacing w:before="16"/>
              <w:ind w:left="100"/>
              <w:jc w:val="left"/>
              <w:rPr>
                <w:sz w:val="22"/>
              </w:rPr>
            </w:pPr>
            <w:r>
              <w:rPr>
                <w:sz w:val="22"/>
              </w:rPr>
              <w:t>2.8 Originalidade</w:t>
            </w:r>
          </w:p>
        </w:tc>
        <w:tc>
          <w:tcPr>
            <w:tcW w:w="566" w:type="dxa"/>
            <w:vMerge/>
          </w:tcPr>
          <w:p>
            <w:pPr/>
          </w:p>
        </w:tc>
      </w:tr>
      <w:tr>
        <w:trPr>
          <w:trHeight w:val="290" w:hRule="exact"/>
        </w:trPr>
        <w:tc>
          <w:tcPr>
            <w:tcW w:w="3688" w:type="dxa"/>
            <w:tcBorders>
              <w:top w:val="nil"/>
              <w:bottom w:val="nil"/>
            </w:tcBorders>
          </w:tcPr>
          <w:p>
            <w:pPr>
              <w:pStyle w:val="TableParagraph"/>
              <w:spacing w:before="16"/>
              <w:ind w:left="100"/>
              <w:jc w:val="left"/>
              <w:rPr>
                <w:sz w:val="22"/>
              </w:rPr>
            </w:pPr>
            <w:r>
              <w:rPr>
                <w:sz w:val="22"/>
              </w:rPr>
              <w:t>1.7 Recursos humanos</w:t>
            </w:r>
          </w:p>
        </w:tc>
        <w:tc>
          <w:tcPr>
            <w:tcW w:w="567" w:type="dxa"/>
            <w:vMerge/>
          </w:tcPr>
          <w:p>
            <w:pPr/>
          </w:p>
        </w:tc>
        <w:tc>
          <w:tcPr>
            <w:tcW w:w="3856" w:type="dxa"/>
            <w:tcBorders>
              <w:top w:val="nil"/>
              <w:bottom w:val="nil"/>
            </w:tcBorders>
          </w:tcPr>
          <w:p>
            <w:pPr>
              <w:pStyle w:val="TableParagraph"/>
              <w:spacing w:before="16"/>
              <w:ind w:left="100"/>
              <w:jc w:val="left"/>
              <w:rPr>
                <w:sz w:val="22"/>
              </w:rPr>
            </w:pPr>
            <w:r>
              <w:rPr>
                <w:sz w:val="22"/>
              </w:rPr>
              <w:t>2.9 Sentipensamento</w:t>
            </w:r>
          </w:p>
        </w:tc>
        <w:tc>
          <w:tcPr>
            <w:tcW w:w="566" w:type="dxa"/>
            <w:vMerge/>
          </w:tcPr>
          <w:p>
            <w:pPr/>
          </w:p>
        </w:tc>
      </w:tr>
      <w:tr>
        <w:trPr>
          <w:trHeight w:val="290" w:hRule="exact"/>
        </w:trPr>
        <w:tc>
          <w:tcPr>
            <w:tcW w:w="3688" w:type="dxa"/>
            <w:tcBorders>
              <w:top w:val="nil"/>
              <w:bottom w:val="nil"/>
            </w:tcBorders>
          </w:tcPr>
          <w:p>
            <w:pPr>
              <w:pStyle w:val="TableParagraph"/>
              <w:spacing w:before="14"/>
              <w:ind w:left="100"/>
              <w:jc w:val="left"/>
              <w:rPr>
                <w:sz w:val="22"/>
              </w:rPr>
            </w:pPr>
            <w:r>
              <w:rPr>
                <w:sz w:val="22"/>
              </w:rPr>
              <w:t>competentes</w:t>
            </w:r>
          </w:p>
        </w:tc>
        <w:tc>
          <w:tcPr>
            <w:tcW w:w="567" w:type="dxa"/>
            <w:vMerge/>
          </w:tcPr>
          <w:p>
            <w:pPr/>
          </w:p>
        </w:tc>
        <w:tc>
          <w:tcPr>
            <w:tcW w:w="3856" w:type="dxa"/>
            <w:tcBorders>
              <w:top w:val="nil"/>
              <w:bottom w:val="nil"/>
            </w:tcBorders>
          </w:tcPr>
          <w:p>
            <w:pPr>
              <w:pStyle w:val="TableParagraph"/>
              <w:spacing w:before="14"/>
              <w:ind w:left="100"/>
              <w:jc w:val="left"/>
              <w:rPr>
                <w:sz w:val="22"/>
              </w:rPr>
            </w:pPr>
            <w:r>
              <w:rPr>
                <w:sz w:val="22"/>
              </w:rPr>
              <w:t>2.10 Valores. Transmite valores</w:t>
            </w:r>
          </w:p>
        </w:tc>
        <w:tc>
          <w:tcPr>
            <w:tcW w:w="566" w:type="dxa"/>
            <w:vMerge/>
          </w:tcPr>
          <w:p>
            <w:pPr/>
          </w:p>
        </w:tc>
      </w:tr>
      <w:tr>
        <w:trPr>
          <w:trHeight w:val="290" w:hRule="exact"/>
        </w:trPr>
        <w:tc>
          <w:tcPr>
            <w:tcW w:w="3688" w:type="dxa"/>
            <w:tcBorders>
              <w:top w:val="nil"/>
              <w:bottom w:val="nil"/>
            </w:tcBorders>
          </w:tcPr>
          <w:p>
            <w:pPr>
              <w:pStyle w:val="TableParagraph"/>
              <w:spacing w:before="16"/>
              <w:ind w:left="100"/>
              <w:jc w:val="left"/>
              <w:rPr>
                <w:sz w:val="22"/>
              </w:rPr>
            </w:pPr>
            <w:r>
              <w:rPr>
                <w:sz w:val="22"/>
              </w:rPr>
              <w:t>1.8 Formação e inovação</w:t>
            </w:r>
          </w:p>
        </w:tc>
        <w:tc>
          <w:tcPr>
            <w:tcW w:w="567" w:type="dxa"/>
            <w:vMerge/>
          </w:tcPr>
          <w:p>
            <w:pPr/>
          </w:p>
        </w:tc>
        <w:tc>
          <w:tcPr>
            <w:tcW w:w="3856" w:type="dxa"/>
            <w:tcBorders>
              <w:top w:val="nil"/>
              <w:bottom w:val="nil"/>
            </w:tcBorders>
          </w:tcPr>
          <w:p>
            <w:pPr/>
          </w:p>
        </w:tc>
        <w:tc>
          <w:tcPr>
            <w:tcW w:w="566" w:type="dxa"/>
            <w:vMerge/>
          </w:tcPr>
          <w:p>
            <w:pPr/>
          </w:p>
        </w:tc>
      </w:tr>
      <w:tr>
        <w:trPr>
          <w:trHeight w:val="290" w:hRule="exact"/>
        </w:trPr>
        <w:tc>
          <w:tcPr>
            <w:tcW w:w="3688" w:type="dxa"/>
            <w:tcBorders>
              <w:top w:val="nil"/>
              <w:bottom w:val="nil"/>
            </w:tcBorders>
          </w:tcPr>
          <w:p>
            <w:pPr>
              <w:pStyle w:val="TableParagraph"/>
              <w:spacing w:before="14"/>
              <w:ind w:left="100"/>
              <w:jc w:val="left"/>
              <w:rPr>
                <w:sz w:val="22"/>
              </w:rPr>
            </w:pPr>
            <w:r>
              <w:rPr>
                <w:sz w:val="22"/>
              </w:rPr>
              <w:t>permanentes</w:t>
            </w:r>
          </w:p>
        </w:tc>
        <w:tc>
          <w:tcPr>
            <w:tcW w:w="567" w:type="dxa"/>
            <w:vMerge/>
          </w:tcPr>
          <w:p>
            <w:pPr/>
          </w:p>
        </w:tc>
        <w:tc>
          <w:tcPr>
            <w:tcW w:w="3856" w:type="dxa"/>
            <w:tcBorders>
              <w:top w:val="nil"/>
              <w:bottom w:val="nil"/>
            </w:tcBorders>
          </w:tcPr>
          <w:p>
            <w:pPr/>
          </w:p>
        </w:tc>
        <w:tc>
          <w:tcPr>
            <w:tcW w:w="566" w:type="dxa"/>
            <w:vMerge/>
          </w:tcPr>
          <w:p>
            <w:pPr/>
          </w:p>
        </w:tc>
      </w:tr>
      <w:tr>
        <w:trPr>
          <w:trHeight w:val="293" w:hRule="exact"/>
        </w:trPr>
        <w:tc>
          <w:tcPr>
            <w:tcW w:w="3688" w:type="dxa"/>
            <w:tcBorders>
              <w:top w:val="nil"/>
              <w:bottom w:val="nil"/>
            </w:tcBorders>
          </w:tcPr>
          <w:p>
            <w:pPr>
              <w:pStyle w:val="TableParagraph"/>
              <w:spacing w:before="16"/>
              <w:ind w:left="100"/>
              <w:jc w:val="left"/>
              <w:rPr>
                <w:sz w:val="22"/>
              </w:rPr>
            </w:pPr>
            <w:r>
              <w:rPr>
                <w:sz w:val="22"/>
              </w:rPr>
              <w:t>1.9 Trabalho cooperativo</w:t>
            </w:r>
          </w:p>
        </w:tc>
        <w:tc>
          <w:tcPr>
            <w:tcW w:w="567" w:type="dxa"/>
            <w:vMerge/>
          </w:tcPr>
          <w:p>
            <w:pPr/>
          </w:p>
        </w:tc>
        <w:tc>
          <w:tcPr>
            <w:tcW w:w="3856" w:type="dxa"/>
            <w:tcBorders>
              <w:top w:val="nil"/>
              <w:bottom w:val="nil"/>
            </w:tcBorders>
          </w:tcPr>
          <w:p>
            <w:pPr/>
          </w:p>
        </w:tc>
        <w:tc>
          <w:tcPr>
            <w:tcW w:w="566" w:type="dxa"/>
            <w:vMerge/>
          </w:tcPr>
          <w:p>
            <w:pPr/>
          </w:p>
        </w:tc>
      </w:tr>
      <w:tr>
        <w:trPr>
          <w:trHeight w:val="314" w:hRule="exact"/>
        </w:trPr>
        <w:tc>
          <w:tcPr>
            <w:tcW w:w="3688" w:type="dxa"/>
            <w:tcBorders>
              <w:top w:val="nil"/>
            </w:tcBorders>
          </w:tcPr>
          <w:p>
            <w:pPr>
              <w:pStyle w:val="TableParagraph"/>
              <w:spacing w:before="17"/>
              <w:ind w:left="100"/>
              <w:jc w:val="left"/>
              <w:rPr>
                <w:sz w:val="22"/>
              </w:rPr>
            </w:pPr>
            <w:r>
              <w:rPr>
                <w:sz w:val="22"/>
              </w:rPr>
              <w:t>1.10 Autoanálise e avaliação</w:t>
            </w:r>
          </w:p>
        </w:tc>
        <w:tc>
          <w:tcPr>
            <w:tcW w:w="567" w:type="dxa"/>
            <w:vMerge/>
          </w:tcPr>
          <w:p>
            <w:pPr/>
          </w:p>
        </w:tc>
        <w:tc>
          <w:tcPr>
            <w:tcW w:w="3856" w:type="dxa"/>
            <w:tcBorders>
              <w:top w:val="nil"/>
            </w:tcBorders>
          </w:tcPr>
          <w:p>
            <w:pPr/>
          </w:p>
        </w:tc>
        <w:tc>
          <w:tcPr>
            <w:tcW w:w="566" w:type="dxa"/>
            <w:vMerge/>
          </w:tcPr>
          <w:p>
            <w:pPr/>
          </w:p>
        </w:tc>
      </w:tr>
      <w:tr>
        <w:trPr>
          <w:trHeight w:val="883" w:hRule="exact"/>
        </w:trPr>
        <w:tc>
          <w:tcPr>
            <w:tcW w:w="3688" w:type="dxa"/>
          </w:tcPr>
          <w:p>
            <w:pPr>
              <w:pStyle w:val="TableParagraph"/>
              <w:tabs>
                <w:tab w:pos="460" w:val="left" w:leader="none"/>
              </w:tabs>
              <w:spacing w:line="252" w:lineRule="exact"/>
              <w:ind w:left="100"/>
              <w:jc w:val="left"/>
              <w:rPr>
                <w:b/>
                <w:sz w:val="22"/>
              </w:rPr>
            </w:pPr>
            <w:r>
              <w:rPr>
                <w:rFonts w:ascii="Garamond"/>
                <w:b/>
                <w:sz w:val="22"/>
              </w:rPr>
              <w:t>1.</w:t>
              <w:tab/>
            </w:r>
            <w:r>
              <w:rPr>
                <w:b/>
                <w:sz w:val="22"/>
              </w:rPr>
              <w:t>CULTURA</w:t>
            </w:r>
            <w:r>
              <w:rPr>
                <w:b/>
                <w:spacing w:val="-10"/>
                <w:sz w:val="22"/>
              </w:rPr>
              <w:t> </w:t>
            </w:r>
            <w:r>
              <w:rPr>
                <w:b/>
                <w:sz w:val="22"/>
              </w:rPr>
              <w:t>INOVADORA</w:t>
            </w:r>
          </w:p>
          <w:p>
            <w:pPr>
              <w:pStyle w:val="TableParagraph"/>
              <w:spacing w:line="278" w:lineRule="auto"/>
              <w:ind w:left="100" w:right="15"/>
              <w:jc w:val="left"/>
              <w:rPr>
                <w:sz w:val="22"/>
              </w:rPr>
            </w:pPr>
            <w:r>
              <w:rPr>
                <w:sz w:val="22"/>
              </w:rPr>
              <w:t>3.1 Ecologia social e meio- ambiental</w:t>
            </w:r>
          </w:p>
        </w:tc>
        <w:tc>
          <w:tcPr>
            <w:tcW w:w="567" w:type="dxa"/>
          </w:tcPr>
          <w:p>
            <w:pPr/>
          </w:p>
        </w:tc>
        <w:tc>
          <w:tcPr>
            <w:tcW w:w="3856" w:type="dxa"/>
          </w:tcPr>
          <w:p>
            <w:pPr>
              <w:pStyle w:val="TableParagraph"/>
              <w:numPr>
                <w:ilvl w:val="0"/>
                <w:numId w:val="18"/>
              </w:numPr>
              <w:tabs>
                <w:tab w:pos="350" w:val="left" w:leader="none"/>
              </w:tabs>
              <w:spacing w:line="243" w:lineRule="exact" w:before="0" w:after="0"/>
              <w:ind w:left="349" w:right="0" w:hanging="249"/>
              <w:jc w:val="left"/>
              <w:rPr>
                <w:b/>
                <w:sz w:val="22"/>
              </w:rPr>
            </w:pPr>
            <w:r>
              <w:rPr>
                <w:b/>
                <w:sz w:val="22"/>
              </w:rPr>
              <w:t>CRIATIVIDADE </w:t>
            </w:r>
            <w:r>
              <w:rPr>
                <w:b/>
                <w:spacing w:val="-3"/>
                <w:sz w:val="22"/>
              </w:rPr>
              <w:t>COMO</w:t>
            </w:r>
            <w:r>
              <w:rPr>
                <w:b/>
                <w:spacing w:val="-4"/>
                <w:sz w:val="22"/>
              </w:rPr>
              <w:t> </w:t>
            </w:r>
            <w:r>
              <w:rPr>
                <w:b/>
                <w:sz w:val="22"/>
              </w:rPr>
              <w:t>VALOR</w:t>
            </w:r>
          </w:p>
          <w:p>
            <w:pPr>
              <w:pStyle w:val="TableParagraph"/>
              <w:numPr>
                <w:ilvl w:val="1"/>
                <w:numId w:val="18"/>
              </w:numPr>
              <w:tabs>
                <w:tab w:pos="596" w:val="left" w:leader="none"/>
              </w:tabs>
              <w:spacing w:line="240" w:lineRule="auto" w:before="44" w:after="0"/>
              <w:ind w:left="595" w:right="0" w:hanging="495"/>
              <w:jc w:val="left"/>
              <w:rPr>
                <w:sz w:val="22"/>
              </w:rPr>
            </w:pPr>
            <w:r>
              <w:rPr>
                <w:sz w:val="22"/>
              </w:rPr>
              <w:t>Filosofia da</w:t>
            </w:r>
            <w:r>
              <w:rPr>
                <w:spacing w:val="-17"/>
                <w:sz w:val="22"/>
              </w:rPr>
              <w:t> </w:t>
            </w:r>
            <w:r>
              <w:rPr>
                <w:sz w:val="22"/>
              </w:rPr>
              <w:t>Instituição</w:t>
            </w:r>
          </w:p>
          <w:p>
            <w:pPr>
              <w:pStyle w:val="TableParagraph"/>
              <w:numPr>
                <w:ilvl w:val="1"/>
                <w:numId w:val="18"/>
              </w:numPr>
              <w:tabs>
                <w:tab w:pos="596" w:val="left" w:leader="none"/>
              </w:tabs>
              <w:spacing w:line="240" w:lineRule="auto" w:before="39" w:after="0"/>
              <w:ind w:left="595" w:right="0" w:hanging="495"/>
              <w:jc w:val="left"/>
              <w:rPr>
                <w:sz w:val="22"/>
              </w:rPr>
            </w:pPr>
            <w:r>
              <w:rPr>
                <w:sz w:val="22"/>
              </w:rPr>
              <w:t>Normativa</w:t>
            </w:r>
            <w:r>
              <w:rPr>
                <w:spacing w:val="-14"/>
                <w:sz w:val="22"/>
              </w:rPr>
              <w:t> </w:t>
            </w:r>
            <w:r>
              <w:rPr>
                <w:sz w:val="22"/>
              </w:rPr>
              <w:t>institucional</w:t>
            </w:r>
          </w:p>
        </w:tc>
        <w:tc>
          <w:tcPr>
            <w:tcW w:w="566" w:type="dxa"/>
          </w:tcPr>
          <w:p>
            <w:pPr/>
          </w:p>
        </w:tc>
      </w:tr>
    </w:tbl>
    <w:p>
      <w:pPr>
        <w:spacing w:after="0"/>
        <w:sectPr>
          <w:pgSz w:w="11910" w:h="16840"/>
          <w:pgMar w:header="1133" w:footer="0" w:top="1340" w:bottom="280" w:left="1680" w:right="1000"/>
        </w:sectPr>
      </w:pPr>
    </w:p>
    <w:p>
      <w:pPr>
        <w:pStyle w:val="BodyText"/>
        <w:spacing w:before="7" w:after="1"/>
        <w:rPr>
          <w:rFonts w:ascii="Times New Roman"/>
          <w:sz w:val="29"/>
        </w:rPr>
      </w:pPr>
    </w:p>
    <w:tbl>
      <w:tblPr>
        <w:tblW w:w="0" w:type="auto"/>
        <w:jc w:val="left"/>
        <w:tblInd w:w="3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88"/>
        <w:gridCol w:w="567"/>
        <w:gridCol w:w="3856"/>
        <w:gridCol w:w="566"/>
      </w:tblGrid>
      <w:tr>
        <w:trPr>
          <w:trHeight w:val="2631" w:hRule="exact"/>
        </w:trPr>
        <w:tc>
          <w:tcPr>
            <w:tcW w:w="3688" w:type="dxa"/>
          </w:tcPr>
          <w:p>
            <w:pPr>
              <w:pStyle w:val="TableParagraph"/>
              <w:numPr>
                <w:ilvl w:val="1"/>
                <w:numId w:val="19"/>
              </w:numPr>
              <w:tabs>
                <w:tab w:pos="471" w:val="left" w:leader="none"/>
              </w:tabs>
              <w:spacing w:line="248" w:lineRule="exact" w:before="0" w:after="0"/>
              <w:ind w:left="470" w:right="0" w:hanging="370"/>
              <w:jc w:val="left"/>
              <w:rPr>
                <w:sz w:val="22"/>
              </w:rPr>
            </w:pPr>
            <w:r>
              <w:rPr>
                <w:sz w:val="22"/>
              </w:rPr>
              <w:t>Instituição que</w:t>
            </w:r>
            <w:r>
              <w:rPr>
                <w:spacing w:val="-14"/>
                <w:sz w:val="22"/>
              </w:rPr>
              <w:t> </w:t>
            </w:r>
            <w:r>
              <w:rPr>
                <w:sz w:val="22"/>
              </w:rPr>
              <w:t>aprende.</w:t>
            </w:r>
          </w:p>
          <w:p>
            <w:pPr>
              <w:pStyle w:val="TableParagraph"/>
              <w:numPr>
                <w:ilvl w:val="1"/>
                <w:numId w:val="19"/>
              </w:numPr>
              <w:tabs>
                <w:tab w:pos="470" w:val="left" w:leader="none"/>
              </w:tabs>
              <w:spacing w:line="240" w:lineRule="auto" w:before="40" w:after="0"/>
              <w:ind w:left="469" w:right="0" w:hanging="369"/>
              <w:jc w:val="left"/>
              <w:rPr>
                <w:sz w:val="22"/>
              </w:rPr>
            </w:pPr>
            <w:r>
              <w:rPr>
                <w:sz w:val="22"/>
              </w:rPr>
              <w:t>Saúde</w:t>
            </w:r>
            <w:r>
              <w:rPr>
                <w:spacing w:val="-11"/>
                <w:sz w:val="22"/>
              </w:rPr>
              <w:t> </w:t>
            </w:r>
            <w:r>
              <w:rPr>
                <w:sz w:val="22"/>
              </w:rPr>
              <w:t>organizacional</w:t>
            </w:r>
          </w:p>
          <w:p>
            <w:pPr>
              <w:pStyle w:val="TableParagraph"/>
              <w:numPr>
                <w:ilvl w:val="1"/>
                <w:numId w:val="19"/>
              </w:numPr>
              <w:tabs>
                <w:tab w:pos="470" w:val="left" w:leader="none"/>
              </w:tabs>
              <w:spacing w:line="240" w:lineRule="auto" w:before="40" w:after="0"/>
              <w:ind w:left="469" w:right="0" w:hanging="369"/>
              <w:jc w:val="left"/>
              <w:rPr>
                <w:sz w:val="22"/>
              </w:rPr>
            </w:pPr>
            <w:r>
              <w:rPr>
                <w:sz w:val="22"/>
              </w:rPr>
              <w:t>Trajetória</w:t>
            </w:r>
            <w:r>
              <w:rPr>
                <w:spacing w:val="-12"/>
                <w:sz w:val="22"/>
              </w:rPr>
              <w:t> </w:t>
            </w:r>
            <w:r>
              <w:rPr>
                <w:sz w:val="22"/>
              </w:rPr>
              <w:t>inovadora.</w:t>
            </w:r>
          </w:p>
          <w:p>
            <w:pPr>
              <w:pStyle w:val="TableParagraph"/>
              <w:numPr>
                <w:ilvl w:val="1"/>
                <w:numId w:val="19"/>
              </w:numPr>
              <w:tabs>
                <w:tab w:pos="470" w:val="left" w:leader="none"/>
              </w:tabs>
              <w:spacing w:line="240" w:lineRule="auto" w:before="35" w:after="0"/>
              <w:ind w:left="469" w:right="0" w:hanging="369"/>
              <w:jc w:val="left"/>
              <w:rPr>
                <w:sz w:val="22"/>
              </w:rPr>
            </w:pPr>
            <w:r>
              <w:rPr>
                <w:sz w:val="22"/>
              </w:rPr>
              <w:t>Articulação</w:t>
            </w:r>
            <w:r>
              <w:rPr>
                <w:spacing w:val="-16"/>
                <w:sz w:val="22"/>
              </w:rPr>
              <w:t> </w:t>
            </w:r>
            <w:r>
              <w:rPr>
                <w:sz w:val="22"/>
              </w:rPr>
              <w:t>Organizacional</w:t>
            </w:r>
          </w:p>
          <w:p>
            <w:pPr>
              <w:pStyle w:val="TableParagraph"/>
              <w:numPr>
                <w:ilvl w:val="1"/>
                <w:numId w:val="19"/>
              </w:numPr>
              <w:tabs>
                <w:tab w:pos="470" w:val="left" w:leader="none"/>
              </w:tabs>
              <w:spacing w:line="240" w:lineRule="auto" w:before="39" w:after="0"/>
              <w:ind w:left="469" w:right="0" w:hanging="369"/>
              <w:jc w:val="left"/>
              <w:rPr>
                <w:sz w:val="22"/>
              </w:rPr>
            </w:pPr>
            <w:r>
              <w:rPr>
                <w:sz w:val="22"/>
              </w:rPr>
              <w:t>Dimensão</w:t>
            </w:r>
            <w:r>
              <w:rPr>
                <w:spacing w:val="-14"/>
                <w:sz w:val="22"/>
              </w:rPr>
              <w:t> </w:t>
            </w:r>
            <w:r>
              <w:rPr>
                <w:sz w:val="22"/>
              </w:rPr>
              <w:t>intencional</w:t>
            </w:r>
          </w:p>
          <w:p>
            <w:pPr>
              <w:pStyle w:val="TableParagraph"/>
              <w:numPr>
                <w:ilvl w:val="1"/>
                <w:numId w:val="20"/>
              </w:numPr>
              <w:tabs>
                <w:tab w:pos="533" w:val="left" w:leader="none"/>
              </w:tabs>
              <w:spacing w:line="240" w:lineRule="auto" w:before="39" w:after="0"/>
              <w:ind w:left="532" w:right="0" w:hanging="432"/>
              <w:jc w:val="left"/>
              <w:rPr>
                <w:sz w:val="22"/>
              </w:rPr>
            </w:pPr>
            <w:r>
              <w:rPr>
                <w:sz w:val="22"/>
              </w:rPr>
              <w:t>Dimensão</w:t>
            </w:r>
            <w:r>
              <w:rPr>
                <w:spacing w:val="-13"/>
                <w:sz w:val="22"/>
              </w:rPr>
              <w:t> </w:t>
            </w:r>
            <w:r>
              <w:rPr>
                <w:sz w:val="22"/>
              </w:rPr>
              <w:t>estrutural</w:t>
            </w:r>
          </w:p>
          <w:p>
            <w:pPr>
              <w:pStyle w:val="TableParagraph"/>
              <w:numPr>
                <w:ilvl w:val="1"/>
                <w:numId w:val="20"/>
              </w:numPr>
              <w:tabs>
                <w:tab w:pos="533" w:val="left" w:leader="none"/>
              </w:tabs>
              <w:spacing w:line="240" w:lineRule="auto" w:before="34" w:after="0"/>
              <w:ind w:left="532" w:right="0" w:hanging="432"/>
              <w:jc w:val="left"/>
              <w:rPr>
                <w:sz w:val="22"/>
              </w:rPr>
            </w:pPr>
            <w:r>
              <w:rPr>
                <w:sz w:val="22"/>
              </w:rPr>
              <w:t>Dimensão</w:t>
            </w:r>
            <w:r>
              <w:rPr>
                <w:spacing w:val="-17"/>
                <w:sz w:val="22"/>
              </w:rPr>
              <w:t> </w:t>
            </w:r>
            <w:r>
              <w:rPr>
                <w:sz w:val="22"/>
              </w:rPr>
              <w:t>estratégica</w:t>
            </w:r>
          </w:p>
          <w:p>
            <w:pPr>
              <w:pStyle w:val="TableParagraph"/>
              <w:numPr>
                <w:ilvl w:val="1"/>
                <w:numId w:val="21"/>
              </w:numPr>
              <w:tabs>
                <w:tab w:pos="470" w:val="left" w:leader="none"/>
              </w:tabs>
              <w:spacing w:line="240" w:lineRule="auto" w:before="39" w:after="0"/>
              <w:ind w:left="469" w:right="0" w:hanging="369"/>
              <w:jc w:val="left"/>
              <w:rPr>
                <w:sz w:val="22"/>
              </w:rPr>
            </w:pPr>
            <w:r>
              <w:rPr>
                <w:sz w:val="22"/>
              </w:rPr>
              <w:t>Revisar para</w:t>
            </w:r>
            <w:r>
              <w:rPr>
                <w:spacing w:val="-9"/>
                <w:sz w:val="22"/>
              </w:rPr>
              <w:t> </w:t>
            </w:r>
            <w:r>
              <w:rPr>
                <w:sz w:val="22"/>
              </w:rPr>
              <w:t>melhorar</w:t>
            </w:r>
          </w:p>
          <w:p>
            <w:pPr>
              <w:pStyle w:val="TableParagraph"/>
              <w:numPr>
                <w:ilvl w:val="1"/>
                <w:numId w:val="21"/>
              </w:numPr>
              <w:tabs>
                <w:tab w:pos="595" w:val="left" w:leader="none"/>
              </w:tabs>
              <w:spacing w:line="240" w:lineRule="auto" w:before="34" w:after="0"/>
              <w:ind w:left="594" w:right="0" w:hanging="494"/>
              <w:jc w:val="left"/>
              <w:rPr>
                <w:sz w:val="22"/>
              </w:rPr>
            </w:pPr>
            <w:r>
              <w:rPr>
                <w:sz w:val="22"/>
              </w:rPr>
              <w:t>Cultura da</w:t>
            </w:r>
            <w:r>
              <w:rPr>
                <w:spacing w:val="-18"/>
                <w:sz w:val="22"/>
              </w:rPr>
              <w:t> </w:t>
            </w:r>
            <w:r>
              <w:rPr>
                <w:sz w:val="22"/>
              </w:rPr>
              <w:t>diversidade</w:t>
            </w:r>
          </w:p>
        </w:tc>
        <w:tc>
          <w:tcPr>
            <w:tcW w:w="567" w:type="dxa"/>
          </w:tcPr>
          <w:p>
            <w:pPr/>
          </w:p>
        </w:tc>
        <w:tc>
          <w:tcPr>
            <w:tcW w:w="3856" w:type="dxa"/>
          </w:tcPr>
          <w:p>
            <w:pPr>
              <w:pStyle w:val="TableParagraph"/>
              <w:numPr>
                <w:ilvl w:val="1"/>
                <w:numId w:val="22"/>
              </w:numPr>
              <w:tabs>
                <w:tab w:pos="591" w:val="left" w:leader="none"/>
              </w:tabs>
              <w:spacing w:line="248" w:lineRule="exact" w:before="0" w:after="0"/>
              <w:ind w:left="590" w:right="0" w:hanging="490"/>
              <w:jc w:val="left"/>
              <w:rPr>
                <w:sz w:val="22"/>
              </w:rPr>
            </w:pPr>
            <w:r>
              <w:rPr>
                <w:sz w:val="22"/>
              </w:rPr>
              <w:t>Planejamento</w:t>
            </w:r>
            <w:r>
              <w:rPr>
                <w:spacing w:val="-8"/>
                <w:sz w:val="22"/>
              </w:rPr>
              <w:t> </w:t>
            </w:r>
            <w:r>
              <w:rPr>
                <w:sz w:val="22"/>
              </w:rPr>
              <w:t>anual</w:t>
            </w:r>
          </w:p>
          <w:p>
            <w:pPr>
              <w:pStyle w:val="TableParagraph"/>
              <w:numPr>
                <w:ilvl w:val="1"/>
                <w:numId w:val="22"/>
              </w:numPr>
              <w:tabs>
                <w:tab w:pos="533" w:val="left" w:leader="none"/>
              </w:tabs>
              <w:spacing w:line="240" w:lineRule="auto" w:before="40" w:after="0"/>
              <w:ind w:left="532" w:right="0" w:hanging="432"/>
              <w:jc w:val="left"/>
              <w:rPr>
                <w:sz w:val="22"/>
              </w:rPr>
            </w:pPr>
            <w:r>
              <w:rPr>
                <w:sz w:val="22"/>
              </w:rPr>
              <w:t>Aspectos</w:t>
            </w:r>
            <w:r>
              <w:rPr>
                <w:spacing w:val="-15"/>
                <w:sz w:val="22"/>
              </w:rPr>
              <w:t> </w:t>
            </w:r>
            <w:r>
              <w:rPr>
                <w:sz w:val="22"/>
              </w:rPr>
              <w:t>organizacionais</w:t>
            </w:r>
          </w:p>
          <w:p>
            <w:pPr>
              <w:pStyle w:val="TableParagraph"/>
              <w:spacing w:before="40"/>
              <w:ind w:left="100"/>
              <w:jc w:val="left"/>
              <w:rPr>
                <w:sz w:val="22"/>
              </w:rPr>
            </w:pPr>
            <w:r>
              <w:rPr>
                <w:sz w:val="22"/>
              </w:rPr>
              <w:t>4.5 Gestão administrativa.</w:t>
            </w:r>
          </w:p>
          <w:p>
            <w:pPr>
              <w:pStyle w:val="TableParagraph"/>
              <w:numPr>
                <w:ilvl w:val="1"/>
                <w:numId w:val="23"/>
              </w:numPr>
              <w:tabs>
                <w:tab w:pos="591" w:val="left" w:leader="none"/>
              </w:tabs>
              <w:spacing w:line="240" w:lineRule="auto" w:before="35" w:after="0"/>
              <w:ind w:left="100" w:right="0" w:firstLine="0"/>
              <w:jc w:val="left"/>
              <w:rPr>
                <w:sz w:val="22"/>
              </w:rPr>
            </w:pPr>
            <w:r>
              <w:rPr>
                <w:sz w:val="22"/>
              </w:rPr>
              <w:t>Autorrealização</w:t>
            </w:r>
            <w:r>
              <w:rPr>
                <w:spacing w:val="-10"/>
                <w:sz w:val="22"/>
              </w:rPr>
              <w:t> </w:t>
            </w:r>
            <w:r>
              <w:rPr>
                <w:sz w:val="22"/>
              </w:rPr>
              <w:t>Pessoal</w:t>
            </w:r>
          </w:p>
          <w:p>
            <w:pPr>
              <w:pStyle w:val="TableParagraph"/>
              <w:numPr>
                <w:ilvl w:val="1"/>
                <w:numId w:val="23"/>
              </w:numPr>
              <w:tabs>
                <w:tab w:pos="591" w:val="left" w:leader="none"/>
              </w:tabs>
              <w:spacing w:line="240" w:lineRule="auto" w:before="39" w:after="0"/>
              <w:ind w:left="590" w:right="0" w:hanging="490"/>
              <w:jc w:val="left"/>
              <w:rPr>
                <w:sz w:val="22"/>
              </w:rPr>
            </w:pPr>
            <w:r>
              <w:rPr>
                <w:sz w:val="22"/>
              </w:rPr>
              <w:t>Programas de</w:t>
            </w:r>
            <w:r>
              <w:rPr>
                <w:spacing w:val="-9"/>
                <w:sz w:val="22"/>
              </w:rPr>
              <w:t> </w:t>
            </w:r>
            <w:r>
              <w:rPr>
                <w:sz w:val="22"/>
              </w:rPr>
              <w:t>atuação</w:t>
            </w:r>
          </w:p>
          <w:p>
            <w:pPr>
              <w:pStyle w:val="TableParagraph"/>
              <w:numPr>
                <w:ilvl w:val="1"/>
                <w:numId w:val="23"/>
              </w:numPr>
              <w:tabs>
                <w:tab w:pos="596" w:val="left" w:leader="none"/>
              </w:tabs>
              <w:spacing w:line="240" w:lineRule="auto" w:before="39" w:after="0"/>
              <w:ind w:left="595" w:right="0" w:hanging="495"/>
              <w:jc w:val="left"/>
              <w:rPr>
                <w:sz w:val="22"/>
              </w:rPr>
            </w:pPr>
            <w:r>
              <w:rPr>
                <w:sz w:val="22"/>
              </w:rPr>
              <w:t>Relações</w:t>
            </w:r>
            <w:r>
              <w:rPr>
                <w:spacing w:val="-12"/>
                <w:sz w:val="22"/>
              </w:rPr>
              <w:t> </w:t>
            </w:r>
            <w:r>
              <w:rPr>
                <w:sz w:val="22"/>
              </w:rPr>
              <w:t>humanas</w:t>
            </w:r>
          </w:p>
          <w:p>
            <w:pPr>
              <w:pStyle w:val="TableParagraph"/>
              <w:numPr>
                <w:ilvl w:val="1"/>
                <w:numId w:val="23"/>
              </w:numPr>
              <w:tabs>
                <w:tab w:pos="596" w:val="left" w:leader="none"/>
              </w:tabs>
              <w:spacing w:line="278" w:lineRule="auto" w:before="34" w:after="0"/>
              <w:ind w:left="100" w:right="731" w:firstLine="0"/>
              <w:jc w:val="left"/>
              <w:rPr>
                <w:sz w:val="22"/>
              </w:rPr>
            </w:pPr>
            <w:r>
              <w:rPr>
                <w:sz w:val="22"/>
              </w:rPr>
              <w:t>Interação com o entorno</w:t>
            </w:r>
            <w:r>
              <w:rPr>
                <w:spacing w:val="-12"/>
                <w:sz w:val="22"/>
              </w:rPr>
              <w:t> </w:t>
            </w:r>
            <w:r>
              <w:rPr>
                <w:sz w:val="22"/>
              </w:rPr>
              <w:t>- ambiente</w:t>
            </w:r>
          </w:p>
          <w:p>
            <w:pPr>
              <w:pStyle w:val="TableParagraph"/>
              <w:numPr>
                <w:ilvl w:val="1"/>
                <w:numId w:val="23"/>
              </w:numPr>
              <w:tabs>
                <w:tab w:pos="653" w:val="left" w:leader="none"/>
              </w:tabs>
              <w:spacing w:line="249" w:lineRule="exact" w:before="0" w:after="0"/>
              <w:ind w:left="652" w:right="0" w:hanging="552"/>
              <w:jc w:val="left"/>
              <w:rPr>
                <w:sz w:val="22"/>
              </w:rPr>
            </w:pPr>
            <w:r>
              <w:rPr>
                <w:sz w:val="22"/>
              </w:rPr>
              <w:t>Sistema de</w:t>
            </w:r>
            <w:r>
              <w:rPr>
                <w:spacing w:val="-12"/>
                <w:sz w:val="22"/>
              </w:rPr>
              <w:t> </w:t>
            </w:r>
            <w:r>
              <w:rPr>
                <w:sz w:val="22"/>
              </w:rPr>
              <w:t>avaliação</w:t>
            </w:r>
          </w:p>
        </w:tc>
        <w:tc>
          <w:tcPr>
            <w:tcW w:w="566" w:type="dxa"/>
          </w:tcPr>
          <w:p>
            <w:pPr/>
          </w:p>
        </w:tc>
      </w:tr>
      <w:tr>
        <w:trPr>
          <w:trHeight w:val="3500" w:hRule="exact"/>
        </w:trPr>
        <w:tc>
          <w:tcPr>
            <w:tcW w:w="3688" w:type="dxa"/>
          </w:tcPr>
          <w:p>
            <w:pPr>
              <w:pStyle w:val="TableParagraph"/>
              <w:numPr>
                <w:ilvl w:val="0"/>
                <w:numId w:val="24"/>
              </w:numPr>
              <w:tabs>
                <w:tab w:pos="350" w:val="left" w:leader="none"/>
              </w:tabs>
              <w:spacing w:line="243" w:lineRule="exact" w:before="0" w:after="0"/>
              <w:ind w:left="349" w:right="0" w:hanging="249"/>
              <w:jc w:val="left"/>
              <w:rPr>
                <w:b/>
                <w:sz w:val="22"/>
              </w:rPr>
            </w:pPr>
            <w:r>
              <w:rPr>
                <w:b/>
                <w:sz w:val="22"/>
              </w:rPr>
              <w:t>ESPÍRITO</w:t>
            </w:r>
            <w:r>
              <w:rPr>
                <w:b/>
                <w:spacing w:val="-15"/>
                <w:sz w:val="22"/>
              </w:rPr>
              <w:t> </w:t>
            </w:r>
            <w:r>
              <w:rPr>
                <w:b/>
                <w:sz w:val="22"/>
              </w:rPr>
              <w:t>EMPREENDEDOR</w:t>
            </w:r>
          </w:p>
          <w:p>
            <w:pPr>
              <w:pStyle w:val="TableParagraph"/>
              <w:numPr>
                <w:ilvl w:val="1"/>
                <w:numId w:val="24"/>
              </w:numPr>
              <w:tabs>
                <w:tab w:pos="470" w:val="left" w:leader="none"/>
              </w:tabs>
              <w:spacing w:line="240" w:lineRule="auto" w:before="44" w:after="0"/>
              <w:ind w:left="100" w:right="0" w:firstLine="0"/>
              <w:jc w:val="left"/>
              <w:rPr>
                <w:sz w:val="22"/>
              </w:rPr>
            </w:pPr>
            <w:r>
              <w:rPr>
                <w:sz w:val="22"/>
              </w:rPr>
              <w:t>Autoconfiança e</w:t>
            </w:r>
            <w:r>
              <w:rPr>
                <w:spacing w:val="-17"/>
                <w:sz w:val="22"/>
              </w:rPr>
              <w:t> </w:t>
            </w:r>
            <w:r>
              <w:rPr>
                <w:sz w:val="22"/>
              </w:rPr>
              <w:t>independência</w:t>
            </w:r>
          </w:p>
          <w:p>
            <w:pPr>
              <w:pStyle w:val="TableParagraph"/>
              <w:numPr>
                <w:ilvl w:val="1"/>
                <w:numId w:val="24"/>
              </w:numPr>
              <w:tabs>
                <w:tab w:pos="470" w:val="left" w:leader="none"/>
              </w:tabs>
              <w:spacing w:line="240" w:lineRule="auto" w:before="34" w:after="0"/>
              <w:ind w:left="469" w:right="0" w:hanging="369"/>
              <w:jc w:val="left"/>
              <w:rPr>
                <w:sz w:val="22"/>
              </w:rPr>
            </w:pPr>
            <w:r>
              <w:rPr>
                <w:sz w:val="22"/>
              </w:rPr>
              <w:t>Persistência</w:t>
            </w:r>
          </w:p>
          <w:p>
            <w:pPr>
              <w:pStyle w:val="TableParagraph"/>
              <w:numPr>
                <w:ilvl w:val="1"/>
                <w:numId w:val="24"/>
              </w:numPr>
              <w:tabs>
                <w:tab w:pos="470" w:val="left" w:leader="none"/>
              </w:tabs>
              <w:spacing w:line="240" w:lineRule="auto" w:before="39" w:after="0"/>
              <w:ind w:left="469" w:right="0" w:hanging="369"/>
              <w:jc w:val="left"/>
              <w:rPr>
                <w:sz w:val="22"/>
              </w:rPr>
            </w:pPr>
            <w:r>
              <w:rPr>
                <w:sz w:val="22"/>
              </w:rPr>
              <w:t>Sentido de</w:t>
            </w:r>
            <w:r>
              <w:rPr>
                <w:spacing w:val="45"/>
                <w:sz w:val="22"/>
              </w:rPr>
              <w:t> </w:t>
            </w:r>
            <w:r>
              <w:rPr>
                <w:sz w:val="22"/>
              </w:rPr>
              <w:t>responsabilidade</w:t>
            </w:r>
          </w:p>
          <w:p>
            <w:pPr>
              <w:pStyle w:val="TableParagraph"/>
              <w:numPr>
                <w:ilvl w:val="1"/>
                <w:numId w:val="24"/>
              </w:numPr>
              <w:tabs>
                <w:tab w:pos="470" w:val="left" w:leader="none"/>
              </w:tabs>
              <w:spacing w:line="240" w:lineRule="auto" w:before="34" w:after="0"/>
              <w:ind w:left="469" w:right="0" w:hanging="369"/>
              <w:jc w:val="left"/>
              <w:rPr>
                <w:sz w:val="22"/>
              </w:rPr>
            </w:pPr>
            <w:r>
              <w:rPr>
                <w:sz w:val="22"/>
              </w:rPr>
              <w:t>Correr riscos</w:t>
            </w:r>
            <w:r>
              <w:rPr>
                <w:spacing w:val="-13"/>
                <w:sz w:val="22"/>
              </w:rPr>
              <w:t> </w:t>
            </w:r>
            <w:r>
              <w:rPr>
                <w:sz w:val="22"/>
              </w:rPr>
              <w:t>calculados</w:t>
            </w:r>
          </w:p>
          <w:p>
            <w:pPr>
              <w:pStyle w:val="TableParagraph"/>
              <w:numPr>
                <w:ilvl w:val="1"/>
                <w:numId w:val="24"/>
              </w:numPr>
              <w:tabs>
                <w:tab w:pos="470" w:val="left" w:leader="none"/>
              </w:tabs>
              <w:spacing w:line="240" w:lineRule="auto" w:before="40" w:after="0"/>
              <w:ind w:left="469" w:right="0" w:hanging="369"/>
              <w:jc w:val="left"/>
              <w:rPr>
                <w:sz w:val="22"/>
              </w:rPr>
            </w:pPr>
            <w:r>
              <w:rPr>
                <w:sz w:val="22"/>
              </w:rPr>
              <w:t>Busca de</w:t>
            </w:r>
            <w:r>
              <w:rPr>
                <w:spacing w:val="-10"/>
                <w:sz w:val="22"/>
              </w:rPr>
              <w:t> </w:t>
            </w:r>
            <w:r>
              <w:rPr>
                <w:sz w:val="22"/>
              </w:rPr>
              <w:t>oportunidades</w:t>
            </w:r>
          </w:p>
          <w:p>
            <w:pPr>
              <w:pStyle w:val="TableParagraph"/>
              <w:numPr>
                <w:ilvl w:val="1"/>
                <w:numId w:val="24"/>
              </w:numPr>
              <w:tabs>
                <w:tab w:pos="470" w:val="left" w:leader="none"/>
              </w:tabs>
              <w:spacing w:line="240" w:lineRule="auto" w:before="40" w:after="0"/>
              <w:ind w:left="469" w:right="0" w:hanging="369"/>
              <w:jc w:val="left"/>
              <w:rPr>
                <w:sz w:val="22"/>
              </w:rPr>
            </w:pPr>
            <w:r>
              <w:rPr>
                <w:sz w:val="22"/>
              </w:rPr>
              <w:t>Exigir eficiência e</w:t>
            </w:r>
            <w:r>
              <w:rPr>
                <w:spacing w:val="-16"/>
                <w:sz w:val="22"/>
              </w:rPr>
              <w:t> </w:t>
            </w:r>
            <w:r>
              <w:rPr>
                <w:sz w:val="22"/>
              </w:rPr>
              <w:t>qualidade</w:t>
            </w:r>
          </w:p>
          <w:p>
            <w:pPr>
              <w:pStyle w:val="TableParagraph"/>
              <w:numPr>
                <w:ilvl w:val="1"/>
                <w:numId w:val="24"/>
              </w:numPr>
              <w:tabs>
                <w:tab w:pos="471" w:val="left" w:leader="none"/>
              </w:tabs>
              <w:spacing w:line="240" w:lineRule="auto" w:before="35" w:after="0"/>
              <w:ind w:left="470" w:right="0" w:hanging="370"/>
              <w:jc w:val="left"/>
              <w:rPr>
                <w:sz w:val="22"/>
              </w:rPr>
            </w:pPr>
            <w:r>
              <w:rPr>
                <w:sz w:val="22"/>
              </w:rPr>
              <w:t>Busca de</w:t>
            </w:r>
            <w:r>
              <w:rPr>
                <w:spacing w:val="-11"/>
                <w:sz w:val="22"/>
              </w:rPr>
              <w:t> </w:t>
            </w:r>
            <w:r>
              <w:rPr>
                <w:sz w:val="22"/>
              </w:rPr>
              <w:t>informação</w:t>
            </w:r>
          </w:p>
          <w:p>
            <w:pPr>
              <w:pStyle w:val="TableParagraph"/>
              <w:numPr>
                <w:ilvl w:val="1"/>
                <w:numId w:val="24"/>
              </w:numPr>
              <w:tabs>
                <w:tab w:pos="470" w:val="left" w:leader="none"/>
              </w:tabs>
              <w:spacing w:line="240" w:lineRule="auto" w:before="40" w:after="0"/>
              <w:ind w:left="469" w:right="0" w:hanging="369"/>
              <w:jc w:val="left"/>
              <w:rPr>
                <w:sz w:val="22"/>
              </w:rPr>
            </w:pPr>
            <w:r>
              <w:rPr>
                <w:sz w:val="22"/>
              </w:rPr>
              <w:t>Fixar</w:t>
            </w:r>
            <w:r>
              <w:rPr>
                <w:spacing w:val="-3"/>
                <w:sz w:val="22"/>
              </w:rPr>
              <w:t> </w:t>
            </w:r>
            <w:r>
              <w:rPr>
                <w:sz w:val="22"/>
              </w:rPr>
              <w:t>metas</w:t>
            </w:r>
          </w:p>
          <w:p>
            <w:pPr>
              <w:pStyle w:val="TableParagraph"/>
              <w:numPr>
                <w:ilvl w:val="1"/>
                <w:numId w:val="24"/>
              </w:numPr>
              <w:tabs>
                <w:tab w:pos="470" w:val="left" w:leader="none"/>
              </w:tabs>
              <w:spacing w:line="240" w:lineRule="auto" w:before="40" w:after="0"/>
              <w:ind w:left="469" w:right="0" w:hanging="369"/>
              <w:jc w:val="left"/>
              <w:rPr>
                <w:sz w:val="22"/>
              </w:rPr>
            </w:pPr>
            <w:r>
              <w:rPr>
                <w:sz w:val="22"/>
              </w:rPr>
              <w:t>Persuasão e redes de</w:t>
            </w:r>
            <w:r>
              <w:rPr>
                <w:spacing w:val="-14"/>
                <w:sz w:val="22"/>
              </w:rPr>
              <w:t> </w:t>
            </w:r>
            <w:r>
              <w:rPr>
                <w:sz w:val="22"/>
              </w:rPr>
              <w:t>apoio</w:t>
            </w:r>
          </w:p>
          <w:p>
            <w:pPr>
              <w:pStyle w:val="TableParagraph"/>
              <w:numPr>
                <w:ilvl w:val="1"/>
                <w:numId w:val="24"/>
              </w:numPr>
              <w:tabs>
                <w:tab w:pos="590" w:val="left" w:leader="none"/>
              </w:tabs>
              <w:spacing w:line="278" w:lineRule="auto" w:before="35" w:after="0"/>
              <w:ind w:left="100" w:right="557" w:firstLine="0"/>
              <w:jc w:val="left"/>
              <w:rPr>
                <w:sz w:val="22"/>
              </w:rPr>
            </w:pPr>
            <w:r>
              <w:rPr>
                <w:sz w:val="22"/>
              </w:rPr>
              <w:t>Planificação sistemática</w:t>
            </w:r>
            <w:r>
              <w:rPr>
                <w:spacing w:val="-13"/>
                <w:sz w:val="22"/>
              </w:rPr>
              <w:t> </w:t>
            </w:r>
            <w:r>
              <w:rPr>
                <w:sz w:val="22"/>
              </w:rPr>
              <w:t>e seguimento</w:t>
            </w:r>
          </w:p>
        </w:tc>
        <w:tc>
          <w:tcPr>
            <w:tcW w:w="567" w:type="dxa"/>
          </w:tcPr>
          <w:p>
            <w:pPr/>
          </w:p>
        </w:tc>
        <w:tc>
          <w:tcPr>
            <w:tcW w:w="3856" w:type="dxa"/>
          </w:tcPr>
          <w:p>
            <w:pPr>
              <w:pStyle w:val="TableParagraph"/>
              <w:numPr>
                <w:ilvl w:val="0"/>
                <w:numId w:val="25"/>
              </w:numPr>
              <w:tabs>
                <w:tab w:pos="350" w:val="left" w:leader="none"/>
              </w:tabs>
              <w:spacing w:line="243" w:lineRule="exact" w:before="0" w:after="0"/>
              <w:ind w:left="349" w:right="0" w:hanging="249"/>
              <w:jc w:val="left"/>
              <w:rPr>
                <w:b/>
                <w:sz w:val="22"/>
              </w:rPr>
            </w:pPr>
            <w:r>
              <w:rPr>
                <w:b/>
                <w:spacing w:val="-3"/>
                <w:sz w:val="22"/>
              </w:rPr>
              <w:t>VISÃO</w:t>
            </w:r>
            <w:r>
              <w:rPr>
                <w:b/>
                <w:spacing w:val="-4"/>
                <w:sz w:val="22"/>
              </w:rPr>
              <w:t> </w:t>
            </w:r>
            <w:r>
              <w:rPr>
                <w:b/>
                <w:sz w:val="22"/>
              </w:rPr>
              <w:t>TRANSDISCIPLINAR</w:t>
            </w:r>
          </w:p>
          <w:p>
            <w:pPr>
              <w:pStyle w:val="TableParagraph"/>
              <w:numPr>
                <w:ilvl w:val="1"/>
                <w:numId w:val="25"/>
              </w:numPr>
              <w:tabs>
                <w:tab w:pos="470" w:val="left" w:leader="none"/>
              </w:tabs>
              <w:spacing w:line="240" w:lineRule="auto" w:before="44" w:after="0"/>
              <w:ind w:left="100" w:right="0" w:firstLine="0"/>
              <w:jc w:val="left"/>
              <w:rPr>
                <w:sz w:val="22"/>
              </w:rPr>
            </w:pPr>
            <w:r>
              <w:rPr>
                <w:sz w:val="22"/>
              </w:rPr>
              <w:t>Desenvolvimento</w:t>
            </w:r>
            <w:r>
              <w:rPr>
                <w:spacing w:val="-17"/>
                <w:sz w:val="22"/>
              </w:rPr>
              <w:t> </w:t>
            </w:r>
            <w:r>
              <w:rPr>
                <w:sz w:val="22"/>
              </w:rPr>
              <w:t>humano</w:t>
            </w:r>
          </w:p>
          <w:p>
            <w:pPr>
              <w:pStyle w:val="TableParagraph"/>
              <w:numPr>
                <w:ilvl w:val="1"/>
                <w:numId w:val="25"/>
              </w:numPr>
              <w:tabs>
                <w:tab w:pos="470" w:val="left" w:leader="none"/>
              </w:tabs>
              <w:spacing w:line="240" w:lineRule="auto" w:before="34" w:after="0"/>
              <w:ind w:left="469" w:right="0" w:hanging="369"/>
              <w:jc w:val="left"/>
              <w:rPr>
                <w:sz w:val="22"/>
              </w:rPr>
            </w:pPr>
            <w:r>
              <w:rPr>
                <w:sz w:val="22"/>
              </w:rPr>
              <w:t>Desenvolvimento da</w:t>
            </w:r>
            <w:r>
              <w:rPr>
                <w:spacing w:val="-19"/>
                <w:sz w:val="22"/>
              </w:rPr>
              <w:t> </w:t>
            </w:r>
            <w:r>
              <w:rPr>
                <w:sz w:val="22"/>
              </w:rPr>
              <w:t>Consciência</w:t>
            </w:r>
          </w:p>
          <w:p>
            <w:pPr>
              <w:pStyle w:val="TableParagraph"/>
              <w:numPr>
                <w:ilvl w:val="1"/>
                <w:numId w:val="25"/>
              </w:numPr>
              <w:tabs>
                <w:tab w:pos="470" w:val="left" w:leader="none"/>
              </w:tabs>
              <w:spacing w:line="240" w:lineRule="auto" w:before="39" w:after="0"/>
              <w:ind w:left="469" w:right="0" w:hanging="369"/>
              <w:jc w:val="left"/>
              <w:rPr>
                <w:sz w:val="22"/>
              </w:rPr>
            </w:pPr>
            <w:r>
              <w:rPr>
                <w:sz w:val="22"/>
              </w:rPr>
              <w:t>Relevância da dimensão</w:t>
            </w:r>
            <w:r>
              <w:rPr>
                <w:spacing w:val="-16"/>
                <w:sz w:val="22"/>
              </w:rPr>
              <w:t> </w:t>
            </w:r>
            <w:r>
              <w:rPr>
                <w:sz w:val="22"/>
              </w:rPr>
              <w:t>ética</w:t>
            </w:r>
          </w:p>
          <w:p>
            <w:pPr>
              <w:pStyle w:val="TableParagraph"/>
              <w:numPr>
                <w:ilvl w:val="1"/>
                <w:numId w:val="25"/>
              </w:numPr>
              <w:tabs>
                <w:tab w:pos="470" w:val="left" w:leader="none"/>
              </w:tabs>
              <w:spacing w:line="240" w:lineRule="auto" w:before="34" w:after="0"/>
              <w:ind w:left="469" w:right="0" w:hanging="369"/>
              <w:jc w:val="left"/>
              <w:rPr>
                <w:sz w:val="22"/>
              </w:rPr>
            </w:pPr>
            <w:r>
              <w:rPr>
                <w:sz w:val="22"/>
              </w:rPr>
              <w:t>Ecologia e integração de</w:t>
            </w:r>
            <w:r>
              <w:rPr>
                <w:spacing w:val="-14"/>
                <w:sz w:val="22"/>
              </w:rPr>
              <w:t> </w:t>
            </w:r>
            <w:r>
              <w:rPr>
                <w:sz w:val="22"/>
              </w:rPr>
              <w:t>saberes</w:t>
            </w:r>
          </w:p>
          <w:p>
            <w:pPr>
              <w:pStyle w:val="TableParagraph"/>
              <w:numPr>
                <w:ilvl w:val="1"/>
                <w:numId w:val="25"/>
              </w:numPr>
              <w:tabs>
                <w:tab w:pos="470" w:val="left" w:leader="none"/>
              </w:tabs>
              <w:spacing w:line="240" w:lineRule="auto" w:before="40" w:after="0"/>
              <w:ind w:left="469" w:right="0" w:hanging="369"/>
              <w:jc w:val="left"/>
              <w:rPr>
                <w:sz w:val="22"/>
              </w:rPr>
            </w:pPr>
            <w:r>
              <w:rPr>
                <w:sz w:val="22"/>
              </w:rPr>
              <w:t>Pensamento</w:t>
            </w:r>
            <w:r>
              <w:rPr>
                <w:spacing w:val="-10"/>
                <w:sz w:val="22"/>
              </w:rPr>
              <w:t> </w:t>
            </w:r>
            <w:r>
              <w:rPr>
                <w:sz w:val="22"/>
              </w:rPr>
              <w:t>complexo</w:t>
            </w:r>
          </w:p>
          <w:p>
            <w:pPr>
              <w:pStyle w:val="TableParagraph"/>
              <w:numPr>
                <w:ilvl w:val="1"/>
                <w:numId w:val="25"/>
              </w:numPr>
              <w:tabs>
                <w:tab w:pos="470" w:val="left" w:leader="none"/>
              </w:tabs>
              <w:spacing w:line="273" w:lineRule="auto" w:before="40" w:after="0"/>
              <w:ind w:left="100" w:right="1540" w:firstLine="0"/>
              <w:jc w:val="left"/>
              <w:rPr>
                <w:sz w:val="22"/>
              </w:rPr>
            </w:pPr>
            <w:r>
              <w:rPr>
                <w:sz w:val="22"/>
              </w:rPr>
              <w:t>Formação docente transdisciplinar</w:t>
            </w:r>
          </w:p>
          <w:p>
            <w:pPr>
              <w:pStyle w:val="TableParagraph"/>
              <w:numPr>
                <w:ilvl w:val="1"/>
                <w:numId w:val="25"/>
              </w:numPr>
              <w:tabs>
                <w:tab w:pos="470" w:val="left" w:leader="none"/>
              </w:tabs>
              <w:spacing w:line="240" w:lineRule="auto" w:before="5" w:after="0"/>
              <w:ind w:left="469" w:right="0" w:hanging="369"/>
              <w:jc w:val="left"/>
              <w:rPr>
                <w:sz w:val="22"/>
              </w:rPr>
            </w:pPr>
            <w:r>
              <w:rPr>
                <w:sz w:val="22"/>
              </w:rPr>
              <w:t>Abertura a</w:t>
            </w:r>
            <w:r>
              <w:rPr>
                <w:spacing w:val="-11"/>
                <w:sz w:val="22"/>
              </w:rPr>
              <w:t> </w:t>
            </w:r>
            <w:r>
              <w:rPr>
                <w:sz w:val="22"/>
              </w:rPr>
              <w:t>Emergências</w:t>
            </w:r>
          </w:p>
          <w:p>
            <w:pPr>
              <w:pStyle w:val="TableParagraph"/>
              <w:numPr>
                <w:ilvl w:val="1"/>
                <w:numId w:val="25"/>
              </w:numPr>
              <w:tabs>
                <w:tab w:pos="470" w:val="left" w:leader="none"/>
              </w:tabs>
              <w:spacing w:line="240" w:lineRule="auto" w:before="39" w:after="0"/>
              <w:ind w:left="469" w:right="0" w:hanging="369"/>
              <w:jc w:val="left"/>
              <w:rPr>
                <w:sz w:val="22"/>
              </w:rPr>
            </w:pPr>
            <w:r>
              <w:rPr>
                <w:sz w:val="22"/>
              </w:rPr>
              <w:t>Atitude</w:t>
            </w:r>
            <w:r>
              <w:rPr>
                <w:spacing w:val="-16"/>
                <w:sz w:val="22"/>
              </w:rPr>
              <w:t> </w:t>
            </w:r>
            <w:r>
              <w:rPr>
                <w:sz w:val="22"/>
              </w:rPr>
              <w:t>transdisciplinar</w:t>
            </w:r>
          </w:p>
          <w:p>
            <w:pPr>
              <w:pStyle w:val="TableParagraph"/>
              <w:numPr>
                <w:ilvl w:val="1"/>
                <w:numId w:val="25"/>
              </w:numPr>
              <w:tabs>
                <w:tab w:pos="470" w:val="left" w:leader="none"/>
              </w:tabs>
              <w:spacing w:line="240" w:lineRule="auto" w:before="34" w:after="0"/>
              <w:ind w:left="469" w:right="0" w:hanging="369"/>
              <w:jc w:val="left"/>
              <w:rPr>
                <w:sz w:val="22"/>
              </w:rPr>
            </w:pPr>
            <w:r>
              <w:rPr>
                <w:sz w:val="22"/>
              </w:rPr>
              <w:t>Lógica</w:t>
            </w:r>
            <w:r>
              <w:rPr>
                <w:spacing w:val="-9"/>
                <w:sz w:val="22"/>
              </w:rPr>
              <w:t> </w:t>
            </w:r>
            <w:r>
              <w:rPr>
                <w:sz w:val="22"/>
              </w:rPr>
              <w:t>inclusiva</w:t>
            </w:r>
          </w:p>
          <w:p>
            <w:pPr>
              <w:pStyle w:val="TableParagraph"/>
              <w:spacing w:before="39"/>
              <w:ind w:left="100"/>
              <w:jc w:val="left"/>
              <w:rPr>
                <w:sz w:val="22"/>
              </w:rPr>
            </w:pPr>
            <w:r>
              <w:rPr>
                <w:sz w:val="22"/>
              </w:rPr>
              <w:t>6-10 Formação à vida</w:t>
            </w:r>
          </w:p>
        </w:tc>
        <w:tc>
          <w:tcPr>
            <w:tcW w:w="566" w:type="dxa"/>
          </w:tcPr>
          <w:p>
            <w:pPr/>
          </w:p>
        </w:tc>
      </w:tr>
      <w:tr>
        <w:trPr>
          <w:trHeight w:val="3793" w:hRule="exact"/>
        </w:trPr>
        <w:tc>
          <w:tcPr>
            <w:tcW w:w="3688" w:type="dxa"/>
          </w:tcPr>
          <w:p>
            <w:pPr>
              <w:pStyle w:val="TableParagraph"/>
              <w:numPr>
                <w:ilvl w:val="0"/>
                <w:numId w:val="26"/>
              </w:numPr>
              <w:tabs>
                <w:tab w:pos="350" w:val="left" w:leader="none"/>
              </w:tabs>
              <w:spacing w:line="243" w:lineRule="exact" w:before="0" w:after="0"/>
              <w:ind w:left="349" w:right="0" w:hanging="249"/>
              <w:jc w:val="left"/>
              <w:rPr>
                <w:b/>
                <w:sz w:val="22"/>
              </w:rPr>
            </w:pPr>
            <w:r>
              <w:rPr>
                <w:b/>
                <w:spacing w:val="-3"/>
                <w:sz w:val="22"/>
              </w:rPr>
              <w:t>CURRICULO</w:t>
            </w:r>
            <w:r>
              <w:rPr>
                <w:b/>
                <w:spacing w:val="13"/>
                <w:sz w:val="22"/>
              </w:rPr>
              <w:t> </w:t>
            </w:r>
            <w:r>
              <w:rPr>
                <w:b/>
                <w:sz w:val="22"/>
              </w:rPr>
              <w:t>POLIVALENTE</w:t>
            </w:r>
          </w:p>
          <w:p>
            <w:pPr>
              <w:pStyle w:val="TableParagraph"/>
              <w:numPr>
                <w:ilvl w:val="1"/>
                <w:numId w:val="26"/>
              </w:numPr>
              <w:tabs>
                <w:tab w:pos="470" w:val="left" w:leader="none"/>
              </w:tabs>
              <w:spacing w:line="240" w:lineRule="auto" w:before="44" w:after="0"/>
              <w:ind w:left="100" w:right="0" w:firstLine="0"/>
              <w:jc w:val="left"/>
              <w:rPr>
                <w:sz w:val="22"/>
              </w:rPr>
            </w:pPr>
            <w:r>
              <w:rPr>
                <w:sz w:val="22"/>
              </w:rPr>
              <w:t>O Currículo</w:t>
            </w:r>
            <w:r>
              <w:rPr>
                <w:spacing w:val="-10"/>
                <w:sz w:val="22"/>
              </w:rPr>
              <w:t> </w:t>
            </w:r>
            <w:r>
              <w:rPr>
                <w:sz w:val="22"/>
              </w:rPr>
              <w:t>prescrito.</w:t>
            </w:r>
          </w:p>
          <w:p>
            <w:pPr>
              <w:pStyle w:val="TableParagraph"/>
              <w:numPr>
                <w:ilvl w:val="1"/>
                <w:numId w:val="26"/>
              </w:numPr>
              <w:tabs>
                <w:tab w:pos="470" w:val="left" w:leader="none"/>
              </w:tabs>
              <w:spacing w:line="240" w:lineRule="auto" w:before="39" w:after="0"/>
              <w:ind w:left="469" w:right="0" w:hanging="369"/>
              <w:jc w:val="left"/>
              <w:rPr>
                <w:sz w:val="22"/>
              </w:rPr>
            </w:pPr>
            <w:r>
              <w:rPr>
                <w:sz w:val="22"/>
              </w:rPr>
              <w:t>Projeto da</w:t>
            </w:r>
            <w:r>
              <w:rPr>
                <w:spacing w:val="-5"/>
                <w:sz w:val="22"/>
              </w:rPr>
              <w:t> </w:t>
            </w:r>
            <w:r>
              <w:rPr>
                <w:sz w:val="22"/>
              </w:rPr>
              <w:t>escola</w:t>
            </w:r>
          </w:p>
          <w:p>
            <w:pPr>
              <w:pStyle w:val="TableParagraph"/>
              <w:numPr>
                <w:ilvl w:val="1"/>
                <w:numId w:val="26"/>
              </w:numPr>
              <w:tabs>
                <w:tab w:pos="470" w:val="left" w:leader="none"/>
              </w:tabs>
              <w:spacing w:line="240" w:lineRule="auto" w:before="35" w:after="0"/>
              <w:ind w:left="469" w:right="0" w:hanging="369"/>
              <w:jc w:val="left"/>
              <w:rPr>
                <w:sz w:val="22"/>
              </w:rPr>
            </w:pPr>
            <w:r>
              <w:rPr>
                <w:sz w:val="22"/>
              </w:rPr>
              <w:t>Projeto de Sala de</w:t>
            </w:r>
            <w:r>
              <w:rPr>
                <w:spacing w:val="-11"/>
                <w:sz w:val="22"/>
              </w:rPr>
              <w:t> </w:t>
            </w:r>
            <w:r>
              <w:rPr>
                <w:sz w:val="22"/>
              </w:rPr>
              <w:t>Aula</w:t>
            </w:r>
          </w:p>
          <w:p>
            <w:pPr>
              <w:pStyle w:val="TableParagraph"/>
              <w:numPr>
                <w:ilvl w:val="1"/>
                <w:numId w:val="26"/>
              </w:numPr>
              <w:tabs>
                <w:tab w:pos="470" w:val="left" w:leader="none"/>
              </w:tabs>
              <w:spacing w:line="240" w:lineRule="auto" w:before="40" w:after="0"/>
              <w:ind w:left="469" w:right="0" w:hanging="369"/>
              <w:jc w:val="left"/>
              <w:rPr>
                <w:sz w:val="22"/>
              </w:rPr>
            </w:pPr>
            <w:r>
              <w:rPr>
                <w:sz w:val="22"/>
              </w:rPr>
              <w:t>Alunos</w:t>
            </w:r>
          </w:p>
          <w:p>
            <w:pPr>
              <w:pStyle w:val="TableParagraph"/>
              <w:numPr>
                <w:ilvl w:val="1"/>
                <w:numId w:val="26"/>
              </w:numPr>
              <w:tabs>
                <w:tab w:pos="470" w:val="left" w:leader="none"/>
              </w:tabs>
              <w:spacing w:line="240" w:lineRule="auto" w:before="35" w:after="0"/>
              <w:ind w:left="469" w:right="0" w:hanging="369"/>
              <w:jc w:val="left"/>
              <w:rPr>
                <w:sz w:val="22"/>
              </w:rPr>
            </w:pPr>
            <w:r>
              <w:rPr>
                <w:sz w:val="22"/>
              </w:rPr>
              <w:t>Aprendizagem</w:t>
            </w:r>
            <w:r>
              <w:rPr>
                <w:spacing w:val="-13"/>
                <w:sz w:val="22"/>
              </w:rPr>
              <w:t> </w:t>
            </w:r>
            <w:r>
              <w:rPr>
                <w:sz w:val="22"/>
              </w:rPr>
              <w:t>integrada</w:t>
            </w:r>
          </w:p>
          <w:p>
            <w:pPr>
              <w:pStyle w:val="TableParagraph"/>
              <w:numPr>
                <w:ilvl w:val="1"/>
                <w:numId w:val="26"/>
              </w:numPr>
              <w:tabs>
                <w:tab w:pos="470" w:val="left" w:leader="none"/>
              </w:tabs>
              <w:spacing w:line="278" w:lineRule="auto" w:before="39" w:after="0"/>
              <w:ind w:left="100" w:right="568" w:firstLine="0"/>
              <w:jc w:val="left"/>
              <w:rPr>
                <w:sz w:val="22"/>
              </w:rPr>
            </w:pPr>
            <w:r>
              <w:rPr>
                <w:sz w:val="22"/>
              </w:rPr>
              <w:t>Aprendizagem autónoma</w:t>
            </w:r>
            <w:r>
              <w:rPr>
                <w:spacing w:val="-14"/>
                <w:sz w:val="22"/>
              </w:rPr>
              <w:t> </w:t>
            </w:r>
            <w:r>
              <w:rPr>
                <w:sz w:val="22"/>
              </w:rPr>
              <w:t>e criativa</w:t>
            </w:r>
          </w:p>
          <w:p>
            <w:pPr>
              <w:pStyle w:val="TableParagraph"/>
              <w:numPr>
                <w:ilvl w:val="1"/>
                <w:numId w:val="26"/>
              </w:numPr>
              <w:tabs>
                <w:tab w:pos="470" w:val="left" w:leader="none"/>
              </w:tabs>
              <w:spacing w:line="278" w:lineRule="auto" w:before="0" w:after="0"/>
              <w:ind w:left="100" w:right="1314" w:firstLine="0"/>
              <w:jc w:val="left"/>
              <w:rPr>
                <w:sz w:val="22"/>
              </w:rPr>
            </w:pPr>
            <w:r>
              <w:rPr>
                <w:sz w:val="22"/>
              </w:rPr>
              <w:t>Objetivos abertos</w:t>
            </w:r>
            <w:r>
              <w:rPr>
                <w:spacing w:val="-11"/>
                <w:sz w:val="22"/>
              </w:rPr>
              <w:t> </w:t>
            </w:r>
            <w:r>
              <w:rPr>
                <w:sz w:val="22"/>
              </w:rPr>
              <w:t>a emergências.</w:t>
            </w:r>
          </w:p>
          <w:p>
            <w:pPr>
              <w:pStyle w:val="TableParagraph"/>
              <w:numPr>
                <w:ilvl w:val="1"/>
                <w:numId w:val="26"/>
              </w:numPr>
              <w:tabs>
                <w:tab w:pos="470" w:val="left" w:leader="none"/>
              </w:tabs>
              <w:spacing w:line="240" w:lineRule="auto" w:before="5" w:after="0"/>
              <w:ind w:left="469" w:right="0" w:hanging="369"/>
              <w:jc w:val="left"/>
              <w:rPr>
                <w:sz w:val="22"/>
              </w:rPr>
            </w:pPr>
            <w:r>
              <w:rPr>
                <w:sz w:val="22"/>
              </w:rPr>
              <w:t>Conteúdos</w:t>
            </w:r>
            <w:r>
              <w:rPr>
                <w:spacing w:val="-15"/>
                <w:sz w:val="22"/>
              </w:rPr>
              <w:t> </w:t>
            </w:r>
            <w:r>
              <w:rPr>
                <w:sz w:val="22"/>
              </w:rPr>
              <w:t>formadores.</w:t>
            </w:r>
          </w:p>
          <w:p>
            <w:pPr>
              <w:pStyle w:val="TableParagraph"/>
              <w:numPr>
                <w:ilvl w:val="1"/>
                <w:numId w:val="26"/>
              </w:numPr>
              <w:tabs>
                <w:tab w:pos="470" w:val="left" w:leader="none"/>
              </w:tabs>
              <w:spacing w:line="240" w:lineRule="auto" w:before="35" w:after="0"/>
              <w:ind w:left="469" w:right="0" w:hanging="369"/>
              <w:jc w:val="left"/>
              <w:rPr>
                <w:sz w:val="22"/>
              </w:rPr>
            </w:pPr>
            <w:r>
              <w:rPr>
                <w:sz w:val="22"/>
              </w:rPr>
              <w:t>Gestão da</w:t>
            </w:r>
            <w:r>
              <w:rPr>
                <w:spacing w:val="-7"/>
                <w:sz w:val="22"/>
              </w:rPr>
              <w:t> </w:t>
            </w:r>
            <w:r>
              <w:rPr>
                <w:sz w:val="22"/>
              </w:rPr>
              <w:t>aula.</w:t>
            </w:r>
          </w:p>
          <w:p>
            <w:pPr>
              <w:pStyle w:val="TableParagraph"/>
              <w:numPr>
                <w:ilvl w:val="1"/>
                <w:numId w:val="26"/>
              </w:numPr>
              <w:tabs>
                <w:tab w:pos="595" w:val="left" w:leader="none"/>
              </w:tabs>
              <w:spacing w:line="240" w:lineRule="auto" w:before="39" w:after="0"/>
              <w:ind w:left="594" w:right="0" w:hanging="494"/>
              <w:jc w:val="left"/>
              <w:rPr>
                <w:sz w:val="22"/>
              </w:rPr>
            </w:pPr>
            <w:r>
              <w:rPr>
                <w:sz w:val="22"/>
              </w:rPr>
              <w:t>Desenvolvimento e</w:t>
            </w:r>
            <w:r>
              <w:rPr>
                <w:spacing w:val="-16"/>
                <w:sz w:val="22"/>
              </w:rPr>
              <w:t> </w:t>
            </w:r>
            <w:r>
              <w:rPr>
                <w:sz w:val="22"/>
              </w:rPr>
              <w:t>inovação</w:t>
            </w:r>
          </w:p>
        </w:tc>
        <w:tc>
          <w:tcPr>
            <w:tcW w:w="567" w:type="dxa"/>
          </w:tcPr>
          <w:p>
            <w:pPr/>
          </w:p>
        </w:tc>
        <w:tc>
          <w:tcPr>
            <w:tcW w:w="3856" w:type="dxa"/>
          </w:tcPr>
          <w:p>
            <w:pPr>
              <w:pStyle w:val="TableParagraph"/>
              <w:numPr>
                <w:ilvl w:val="0"/>
                <w:numId w:val="27"/>
              </w:numPr>
              <w:tabs>
                <w:tab w:pos="350" w:val="left" w:leader="none"/>
              </w:tabs>
              <w:spacing w:line="243" w:lineRule="exact" w:before="0" w:after="0"/>
              <w:ind w:left="349" w:right="0" w:hanging="249"/>
              <w:jc w:val="left"/>
              <w:rPr>
                <w:b/>
                <w:sz w:val="22"/>
              </w:rPr>
            </w:pPr>
            <w:r>
              <w:rPr>
                <w:b/>
                <w:sz w:val="22"/>
              </w:rPr>
              <w:t>METODOLOGIA</w:t>
            </w:r>
          </w:p>
          <w:p>
            <w:pPr>
              <w:pStyle w:val="TableParagraph"/>
              <w:numPr>
                <w:ilvl w:val="1"/>
                <w:numId w:val="27"/>
              </w:numPr>
              <w:tabs>
                <w:tab w:pos="470" w:val="left" w:leader="none"/>
              </w:tabs>
              <w:spacing w:line="240" w:lineRule="auto" w:before="44" w:after="0"/>
              <w:ind w:left="100" w:right="0" w:firstLine="0"/>
              <w:jc w:val="left"/>
              <w:rPr>
                <w:sz w:val="22"/>
              </w:rPr>
            </w:pPr>
            <w:r>
              <w:rPr>
                <w:sz w:val="22"/>
              </w:rPr>
              <w:t>Plano estratégico do</w:t>
            </w:r>
            <w:r>
              <w:rPr>
                <w:spacing w:val="-13"/>
                <w:sz w:val="22"/>
              </w:rPr>
              <w:t> </w:t>
            </w:r>
            <w:r>
              <w:rPr>
                <w:sz w:val="22"/>
              </w:rPr>
              <w:t>Centro</w:t>
            </w:r>
          </w:p>
          <w:p>
            <w:pPr>
              <w:pStyle w:val="TableParagraph"/>
              <w:numPr>
                <w:ilvl w:val="1"/>
                <w:numId w:val="27"/>
              </w:numPr>
              <w:tabs>
                <w:tab w:pos="470" w:val="left" w:leader="none"/>
              </w:tabs>
              <w:spacing w:line="240" w:lineRule="auto" w:before="39" w:after="0"/>
              <w:ind w:left="469" w:right="0" w:hanging="369"/>
              <w:jc w:val="left"/>
              <w:rPr>
                <w:sz w:val="22"/>
              </w:rPr>
            </w:pPr>
            <w:r>
              <w:rPr>
                <w:sz w:val="22"/>
              </w:rPr>
              <w:t>Projetos</w:t>
            </w:r>
            <w:r>
              <w:rPr>
                <w:spacing w:val="-14"/>
                <w:sz w:val="22"/>
              </w:rPr>
              <w:t> </w:t>
            </w:r>
            <w:r>
              <w:rPr>
                <w:sz w:val="22"/>
              </w:rPr>
              <w:t>Criativos-Ecoformadores</w:t>
            </w:r>
          </w:p>
          <w:p>
            <w:pPr>
              <w:pStyle w:val="TableParagraph"/>
              <w:numPr>
                <w:ilvl w:val="1"/>
                <w:numId w:val="27"/>
              </w:numPr>
              <w:tabs>
                <w:tab w:pos="470" w:val="left" w:leader="none"/>
              </w:tabs>
              <w:spacing w:line="240" w:lineRule="auto" w:before="35" w:after="0"/>
              <w:ind w:left="469" w:right="0" w:hanging="369"/>
              <w:jc w:val="left"/>
              <w:rPr>
                <w:sz w:val="22"/>
              </w:rPr>
            </w:pPr>
            <w:r>
              <w:rPr>
                <w:sz w:val="22"/>
              </w:rPr>
              <w:t>Creática. Atividades</w:t>
            </w:r>
            <w:r>
              <w:rPr>
                <w:spacing w:val="-15"/>
                <w:sz w:val="22"/>
              </w:rPr>
              <w:t> </w:t>
            </w:r>
            <w:r>
              <w:rPr>
                <w:sz w:val="22"/>
              </w:rPr>
              <w:t>criativas</w:t>
            </w:r>
          </w:p>
          <w:p>
            <w:pPr>
              <w:pStyle w:val="TableParagraph"/>
              <w:numPr>
                <w:ilvl w:val="1"/>
                <w:numId w:val="27"/>
              </w:numPr>
              <w:tabs>
                <w:tab w:pos="470" w:val="left" w:leader="none"/>
              </w:tabs>
              <w:spacing w:line="273" w:lineRule="auto" w:before="40" w:after="0"/>
              <w:ind w:left="100" w:right="1041" w:firstLine="0"/>
              <w:jc w:val="left"/>
              <w:rPr>
                <w:sz w:val="22"/>
              </w:rPr>
            </w:pPr>
            <w:r>
              <w:rPr>
                <w:sz w:val="22"/>
              </w:rPr>
              <w:t>Heurística e Solução</w:t>
            </w:r>
            <w:r>
              <w:rPr>
                <w:spacing w:val="-12"/>
                <w:sz w:val="22"/>
              </w:rPr>
              <w:t> </w:t>
            </w:r>
            <w:r>
              <w:rPr>
                <w:sz w:val="22"/>
              </w:rPr>
              <w:t>de problemas</w:t>
            </w:r>
          </w:p>
          <w:p>
            <w:pPr>
              <w:pStyle w:val="TableParagraph"/>
              <w:numPr>
                <w:ilvl w:val="1"/>
                <w:numId w:val="27"/>
              </w:numPr>
              <w:tabs>
                <w:tab w:pos="470" w:val="left" w:leader="none"/>
              </w:tabs>
              <w:spacing w:line="278" w:lineRule="auto" w:before="5" w:after="0"/>
              <w:ind w:left="100" w:right="1027" w:firstLine="0"/>
              <w:jc w:val="left"/>
              <w:rPr>
                <w:sz w:val="22"/>
              </w:rPr>
            </w:pPr>
            <w:r>
              <w:rPr>
                <w:sz w:val="22"/>
              </w:rPr>
              <w:t>Integração de códigos e linnguagens</w:t>
            </w:r>
          </w:p>
          <w:p>
            <w:pPr>
              <w:pStyle w:val="TableParagraph"/>
              <w:numPr>
                <w:ilvl w:val="1"/>
                <w:numId w:val="27"/>
              </w:numPr>
              <w:tabs>
                <w:tab w:pos="470" w:val="left" w:leader="none"/>
              </w:tabs>
              <w:spacing w:line="249" w:lineRule="exact" w:before="0" w:after="0"/>
              <w:ind w:left="469" w:right="0" w:hanging="369"/>
              <w:jc w:val="left"/>
              <w:rPr>
                <w:sz w:val="22"/>
              </w:rPr>
            </w:pPr>
            <w:r>
              <w:rPr>
                <w:sz w:val="22"/>
              </w:rPr>
              <w:t>Metodologias</w:t>
            </w:r>
            <w:r>
              <w:rPr>
                <w:spacing w:val="-14"/>
                <w:sz w:val="22"/>
              </w:rPr>
              <w:t> </w:t>
            </w:r>
            <w:r>
              <w:rPr>
                <w:sz w:val="22"/>
              </w:rPr>
              <w:t>indiretas</w:t>
            </w:r>
          </w:p>
          <w:p>
            <w:pPr>
              <w:pStyle w:val="TableParagraph"/>
              <w:numPr>
                <w:ilvl w:val="1"/>
                <w:numId w:val="27"/>
              </w:numPr>
              <w:tabs>
                <w:tab w:pos="470" w:val="left" w:leader="none"/>
              </w:tabs>
              <w:spacing w:line="240" w:lineRule="auto" w:before="40" w:after="0"/>
              <w:ind w:left="469" w:right="0" w:hanging="369"/>
              <w:jc w:val="left"/>
              <w:rPr>
                <w:sz w:val="22"/>
              </w:rPr>
            </w:pPr>
            <w:r>
              <w:rPr>
                <w:sz w:val="22"/>
              </w:rPr>
              <w:t>Sentipensar  Métodos</w:t>
            </w:r>
            <w:r>
              <w:rPr>
                <w:spacing w:val="-16"/>
                <w:sz w:val="22"/>
              </w:rPr>
              <w:t> </w:t>
            </w:r>
            <w:r>
              <w:rPr>
                <w:sz w:val="22"/>
              </w:rPr>
              <w:t>vivenciais</w:t>
            </w:r>
          </w:p>
          <w:p>
            <w:pPr>
              <w:pStyle w:val="TableParagraph"/>
              <w:numPr>
                <w:ilvl w:val="1"/>
                <w:numId w:val="27"/>
              </w:numPr>
              <w:tabs>
                <w:tab w:pos="470" w:val="left" w:leader="none"/>
              </w:tabs>
              <w:spacing w:line="240" w:lineRule="auto" w:before="39" w:after="0"/>
              <w:ind w:left="469" w:right="0" w:hanging="369"/>
              <w:jc w:val="left"/>
              <w:rPr>
                <w:sz w:val="22"/>
              </w:rPr>
            </w:pPr>
            <w:r>
              <w:rPr>
                <w:sz w:val="22"/>
              </w:rPr>
              <w:t>Métodos</w:t>
            </w:r>
            <w:r>
              <w:rPr>
                <w:spacing w:val="-8"/>
                <w:sz w:val="22"/>
              </w:rPr>
              <w:t> </w:t>
            </w:r>
            <w:r>
              <w:rPr>
                <w:sz w:val="22"/>
              </w:rPr>
              <w:t>colaborativos</w:t>
            </w:r>
          </w:p>
          <w:p>
            <w:pPr>
              <w:pStyle w:val="TableParagraph"/>
              <w:numPr>
                <w:ilvl w:val="1"/>
                <w:numId w:val="27"/>
              </w:numPr>
              <w:tabs>
                <w:tab w:pos="470" w:val="left" w:leader="none"/>
              </w:tabs>
              <w:spacing w:line="240" w:lineRule="auto" w:before="35" w:after="0"/>
              <w:ind w:left="469" w:right="0" w:hanging="369"/>
              <w:jc w:val="left"/>
              <w:rPr>
                <w:sz w:val="22"/>
              </w:rPr>
            </w:pPr>
            <w:r>
              <w:rPr>
                <w:sz w:val="22"/>
              </w:rPr>
              <w:t>Recursos humanos</w:t>
            </w:r>
            <w:r>
              <w:rPr>
                <w:spacing w:val="-15"/>
                <w:sz w:val="22"/>
              </w:rPr>
              <w:t> </w:t>
            </w:r>
            <w:r>
              <w:rPr>
                <w:sz w:val="22"/>
              </w:rPr>
              <w:t>variados</w:t>
            </w:r>
          </w:p>
          <w:p>
            <w:pPr>
              <w:pStyle w:val="TableParagraph"/>
              <w:numPr>
                <w:ilvl w:val="1"/>
                <w:numId w:val="27"/>
              </w:numPr>
              <w:tabs>
                <w:tab w:pos="595" w:val="left" w:leader="none"/>
              </w:tabs>
              <w:spacing w:line="240" w:lineRule="auto" w:before="39" w:after="0"/>
              <w:ind w:left="594" w:right="0" w:hanging="494"/>
              <w:jc w:val="left"/>
              <w:rPr>
                <w:sz w:val="22"/>
              </w:rPr>
            </w:pPr>
            <w:r>
              <w:rPr>
                <w:sz w:val="22"/>
              </w:rPr>
              <w:t>Materiais analógicos e</w:t>
            </w:r>
            <w:r>
              <w:rPr>
                <w:spacing w:val="-21"/>
                <w:sz w:val="22"/>
              </w:rPr>
              <w:t> </w:t>
            </w:r>
            <w:r>
              <w:rPr>
                <w:sz w:val="22"/>
              </w:rPr>
              <w:t>virtuais</w:t>
            </w:r>
          </w:p>
        </w:tc>
        <w:tc>
          <w:tcPr>
            <w:tcW w:w="566" w:type="dxa"/>
          </w:tcPr>
          <w:p>
            <w:pPr/>
          </w:p>
        </w:tc>
      </w:tr>
      <w:tr>
        <w:trPr>
          <w:trHeight w:val="3505" w:hRule="exact"/>
        </w:trPr>
        <w:tc>
          <w:tcPr>
            <w:tcW w:w="3688" w:type="dxa"/>
          </w:tcPr>
          <w:p>
            <w:pPr>
              <w:pStyle w:val="TableParagraph"/>
              <w:numPr>
                <w:ilvl w:val="0"/>
                <w:numId w:val="28"/>
              </w:numPr>
              <w:tabs>
                <w:tab w:pos="350" w:val="left" w:leader="none"/>
              </w:tabs>
              <w:spacing w:line="243" w:lineRule="exact" w:before="0" w:after="0"/>
              <w:ind w:left="349" w:right="0" w:hanging="249"/>
              <w:jc w:val="left"/>
              <w:rPr>
                <w:b/>
                <w:sz w:val="22"/>
              </w:rPr>
            </w:pPr>
            <w:r>
              <w:rPr>
                <w:b/>
                <w:spacing w:val="-3"/>
                <w:sz w:val="22"/>
              </w:rPr>
              <w:t>AVALIAÇÃO</w:t>
            </w:r>
            <w:r>
              <w:rPr>
                <w:b/>
                <w:spacing w:val="15"/>
                <w:sz w:val="22"/>
              </w:rPr>
              <w:t> </w:t>
            </w:r>
            <w:r>
              <w:rPr>
                <w:b/>
                <w:sz w:val="22"/>
              </w:rPr>
              <w:t>FORMADORA</w:t>
            </w:r>
          </w:p>
          <w:p>
            <w:pPr>
              <w:pStyle w:val="TableParagraph"/>
              <w:numPr>
                <w:ilvl w:val="1"/>
                <w:numId w:val="28"/>
              </w:numPr>
              <w:tabs>
                <w:tab w:pos="470" w:val="left" w:leader="none"/>
              </w:tabs>
              <w:spacing w:line="240" w:lineRule="auto" w:before="44" w:after="0"/>
              <w:ind w:left="469" w:right="0" w:hanging="369"/>
              <w:jc w:val="left"/>
              <w:rPr>
                <w:sz w:val="22"/>
              </w:rPr>
            </w:pPr>
            <w:r>
              <w:rPr>
                <w:sz w:val="22"/>
              </w:rPr>
              <w:t>Sentido</w:t>
            </w:r>
            <w:r>
              <w:rPr>
                <w:spacing w:val="-12"/>
                <w:sz w:val="22"/>
              </w:rPr>
              <w:t> </w:t>
            </w:r>
            <w:r>
              <w:rPr>
                <w:sz w:val="22"/>
              </w:rPr>
              <w:t>Transformador</w:t>
            </w:r>
          </w:p>
          <w:p>
            <w:pPr>
              <w:pStyle w:val="TableParagraph"/>
              <w:numPr>
                <w:ilvl w:val="1"/>
                <w:numId w:val="28"/>
              </w:numPr>
              <w:tabs>
                <w:tab w:pos="470" w:val="left" w:leader="none"/>
              </w:tabs>
              <w:spacing w:line="240" w:lineRule="auto" w:before="39" w:after="0"/>
              <w:ind w:left="469" w:right="0" w:hanging="369"/>
              <w:jc w:val="left"/>
              <w:rPr>
                <w:sz w:val="22"/>
              </w:rPr>
            </w:pPr>
            <w:r>
              <w:rPr>
                <w:sz w:val="22"/>
              </w:rPr>
              <w:t>Orientação</w:t>
            </w:r>
            <w:r>
              <w:rPr>
                <w:spacing w:val="-13"/>
                <w:sz w:val="22"/>
              </w:rPr>
              <w:t> </w:t>
            </w:r>
            <w:r>
              <w:rPr>
                <w:sz w:val="22"/>
              </w:rPr>
              <w:t>formativa</w:t>
            </w:r>
          </w:p>
          <w:p>
            <w:pPr>
              <w:pStyle w:val="TableParagraph"/>
              <w:numPr>
                <w:ilvl w:val="1"/>
                <w:numId w:val="28"/>
              </w:numPr>
              <w:tabs>
                <w:tab w:pos="470" w:val="left" w:leader="none"/>
              </w:tabs>
              <w:spacing w:line="240" w:lineRule="auto" w:before="35" w:after="0"/>
              <w:ind w:left="469" w:right="0" w:hanging="369"/>
              <w:jc w:val="left"/>
              <w:rPr>
                <w:sz w:val="22"/>
              </w:rPr>
            </w:pPr>
            <w:r>
              <w:rPr>
                <w:sz w:val="22"/>
              </w:rPr>
              <w:t>Reconhecimento</w:t>
            </w:r>
          </w:p>
          <w:p>
            <w:pPr>
              <w:pStyle w:val="TableParagraph"/>
              <w:numPr>
                <w:ilvl w:val="1"/>
                <w:numId w:val="28"/>
              </w:numPr>
              <w:tabs>
                <w:tab w:pos="533" w:val="left" w:leader="none"/>
              </w:tabs>
              <w:spacing w:line="240" w:lineRule="auto" w:before="40" w:after="0"/>
              <w:ind w:left="532" w:right="0" w:hanging="432"/>
              <w:jc w:val="left"/>
              <w:rPr>
                <w:sz w:val="22"/>
              </w:rPr>
            </w:pPr>
            <w:r>
              <w:rPr>
                <w:sz w:val="22"/>
              </w:rPr>
              <w:t>Focalizada em</w:t>
            </w:r>
            <w:r>
              <w:rPr>
                <w:spacing w:val="-10"/>
                <w:sz w:val="22"/>
              </w:rPr>
              <w:t> </w:t>
            </w:r>
            <w:r>
              <w:rPr>
                <w:sz w:val="22"/>
              </w:rPr>
              <w:t>valores</w:t>
            </w:r>
          </w:p>
          <w:p>
            <w:pPr>
              <w:pStyle w:val="TableParagraph"/>
              <w:numPr>
                <w:ilvl w:val="1"/>
                <w:numId w:val="28"/>
              </w:numPr>
              <w:tabs>
                <w:tab w:pos="470" w:val="left" w:leader="none"/>
              </w:tabs>
              <w:spacing w:line="240" w:lineRule="auto" w:before="34" w:after="0"/>
              <w:ind w:left="469" w:right="0" w:hanging="369"/>
              <w:jc w:val="left"/>
              <w:rPr>
                <w:sz w:val="22"/>
              </w:rPr>
            </w:pPr>
            <w:r>
              <w:rPr>
                <w:sz w:val="22"/>
              </w:rPr>
              <w:t>Eco-avaliação</w:t>
            </w:r>
          </w:p>
          <w:p>
            <w:pPr>
              <w:pStyle w:val="TableParagraph"/>
              <w:spacing w:before="39"/>
              <w:ind w:left="100"/>
              <w:jc w:val="left"/>
              <w:rPr>
                <w:sz w:val="22"/>
              </w:rPr>
            </w:pPr>
            <w:r>
              <w:rPr>
                <w:sz w:val="22"/>
              </w:rPr>
              <w:t>9-6 Critérios qualitativos</w:t>
            </w:r>
          </w:p>
          <w:p>
            <w:pPr>
              <w:pStyle w:val="TableParagraph"/>
              <w:numPr>
                <w:ilvl w:val="1"/>
                <w:numId w:val="29"/>
              </w:numPr>
              <w:tabs>
                <w:tab w:pos="470" w:val="left" w:leader="none"/>
              </w:tabs>
              <w:spacing w:line="240" w:lineRule="auto" w:before="39" w:after="0"/>
              <w:ind w:left="469" w:right="0" w:hanging="369"/>
              <w:jc w:val="left"/>
              <w:rPr>
                <w:sz w:val="22"/>
              </w:rPr>
            </w:pPr>
            <w:r>
              <w:rPr>
                <w:sz w:val="22"/>
              </w:rPr>
              <w:t>Agentes</w:t>
            </w:r>
            <w:r>
              <w:rPr>
                <w:spacing w:val="-9"/>
                <w:sz w:val="22"/>
              </w:rPr>
              <w:t> </w:t>
            </w:r>
            <w:r>
              <w:rPr>
                <w:sz w:val="22"/>
              </w:rPr>
              <w:t>avaliadores</w:t>
            </w:r>
          </w:p>
          <w:p>
            <w:pPr>
              <w:pStyle w:val="TableParagraph"/>
              <w:numPr>
                <w:ilvl w:val="1"/>
                <w:numId w:val="29"/>
              </w:numPr>
              <w:tabs>
                <w:tab w:pos="470" w:val="left" w:leader="none"/>
              </w:tabs>
              <w:spacing w:line="240" w:lineRule="auto" w:before="34" w:after="0"/>
              <w:ind w:left="469" w:right="0" w:hanging="369"/>
              <w:jc w:val="left"/>
              <w:rPr>
                <w:sz w:val="22"/>
              </w:rPr>
            </w:pPr>
            <w:r>
              <w:rPr>
                <w:sz w:val="22"/>
              </w:rPr>
              <w:t>Continuada,</w:t>
            </w:r>
            <w:r>
              <w:rPr>
                <w:spacing w:val="-21"/>
                <w:sz w:val="22"/>
              </w:rPr>
              <w:t> </w:t>
            </w:r>
            <w:r>
              <w:rPr>
                <w:sz w:val="22"/>
              </w:rPr>
              <w:t>Multidimensional</w:t>
            </w:r>
          </w:p>
          <w:p>
            <w:pPr>
              <w:pStyle w:val="TableParagraph"/>
              <w:numPr>
                <w:ilvl w:val="1"/>
                <w:numId w:val="29"/>
              </w:numPr>
              <w:tabs>
                <w:tab w:pos="470" w:val="left" w:leader="none"/>
              </w:tabs>
              <w:spacing w:line="240" w:lineRule="auto" w:before="40" w:after="0"/>
              <w:ind w:left="469" w:right="0" w:hanging="369"/>
              <w:jc w:val="left"/>
              <w:rPr>
                <w:sz w:val="22"/>
              </w:rPr>
            </w:pPr>
            <w:r>
              <w:rPr>
                <w:sz w:val="22"/>
              </w:rPr>
              <w:t>Estratégias</w:t>
            </w:r>
            <w:r>
              <w:rPr>
                <w:spacing w:val="-16"/>
                <w:sz w:val="22"/>
              </w:rPr>
              <w:t> </w:t>
            </w:r>
            <w:r>
              <w:rPr>
                <w:sz w:val="22"/>
              </w:rPr>
              <w:t>diversificadas</w:t>
            </w:r>
          </w:p>
          <w:p>
            <w:pPr>
              <w:pStyle w:val="TableParagraph"/>
              <w:numPr>
                <w:ilvl w:val="1"/>
                <w:numId w:val="29"/>
              </w:numPr>
              <w:tabs>
                <w:tab w:pos="590" w:val="left" w:leader="none"/>
              </w:tabs>
              <w:spacing w:line="240" w:lineRule="auto" w:before="40" w:after="0"/>
              <w:ind w:left="589" w:right="0" w:hanging="489"/>
              <w:jc w:val="left"/>
              <w:rPr>
                <w:sz w:val="22"/>
              </w:rPr>
            </w:pPr>
            <w:r>
              <w:rPr>
                <w:sz w:val="22"/>
              </w:rPr>
              <w:t>Avaliação</w:t>
            </w:r>
            <w:r>
              <w:rPr>
                <w:spacing w:val="-13"/>
                <w:sz w:val="22"/>
              </w:rPr>
              <w:t> </w:t>
            </w:r>
            <w:r>
              <w:rPr>
                <w:sz w:val="22"/>
              </w:rPr>
              <w:t>emergente</w:t>
            </w:r>
          </w:p>
        </w:tc>
        <w:tc>
          <w:tcPr>
            <w:tcW w:w="567" w:type="dxa"/>
          </w:tcPr>
          <w:p>
            <w:pPr/>
          </w:p>
        </w:tc>
        <w:tc>
          <w:tcPr>
            <w:tcW w:w="3856" w:type="dxa"/>
          </w:tcPr>
          <w:p>
            <w:pPr>
              <w:pStyle w:val="TableParagraph"/>
              <w:numPr>
                <w:ilvl w:val="0"/>
                <w:numId w:val="30"/>
              </w:numPr>
              <w:tabs>
                <w:tab w:pos="470" w:val="left" w:leader="none"/>
              </w:tabs>
              <w:spacing w:line="243" w:lineRule="exact" w:before="0" w:after="0"/>
              <w:ind w:left="469" w:right="0" w:hanging="369"/>
              <w:jc w:val="left"/>
              <w:rPr>
                <w:b/>
                <w:sz w:val="22"/>
              </w:rPr>
            </w:pPr>
            <w:r>
              <w:rPr>
                <w:b/>
                <w:sz w:val="22"/>
              </w:rPr>
              <w:t>VALORES</w:t>
            </w:r>
            <w:r>
              <w:rPr>
                <w:b/>
                <w:spacing w:val="-15"/>
                <w:sz w:val="22"/>
              </w:rPr>
              <w:t> </w:t>
            </w:r>
            <w:r>
              <w:rPr>
                <w:b/>
                <w:sz w:val="22"/>
              </w:rPr>
              <w:t>HUMANOS</w:t>
            </w:r>
          </w:p>
          <w:p>
            <w:pPr>
              <w:pStyle w:val="TableParagraph"/>
              <w:numPr>
                <w:ilvl w:val="1"/>
                <w:numId w:val="30"/>
              </w:numPr>
              <w:tabs>
                <w:tab w:pos="590" w:val="left" w:leader="none"/>
              </w:tabs>
              <w:spacing w:line="240" w:lineRule="auto" w:before="44" w:after="0"/>
              <w:ind w:left="100" w:right="0" w:firstLine="0"/>
              <w:jc w:val="left"/>
              <w:rPr>
                <w:sz w:val="22"/>
              </w:rPr>
            </w:pPr>
            <w:r>
              <w:rPr>
                <w:sz w:val="22"/>
              </w:rPr>
              <w:t>Pessoais</w:t>
            </w:r>
          </w:p>
          <w:p>
            <w:pPr>
              <w:pStyle w:val="TableParagraph"/>
              <w:numPr>
                <w:ilvl w:val="1"/>
                <w:numId w:val="30"/>
              </w:numPr>
              <w:tabs>
                <w:tab w:pos="590" w:val="left" w:leader="none"/>
              </w:tabs>
              <w:spacing w:line="240" w:lineRule="auto" w:before="39" w:after="0"/>
              <w:ind w:left="589" w:right="0" w:hanging="489"/>
              <w:jc w:val="left"/>
              <w:rPr>
                <w:sz w:val="22"/>
              </w:rPr>
            </w:pPr>
            <w:r>
              <w:rPr>
                <w:sz w:val="22"/>
              </w:rPr>
              <w:t>Sócio-afetivos</w:t>
            </w:r>
          </w:p>
          <w:p>
            <w:pPr>
              <w:pStyle w:val="TableParagraph"/>
              <w:numPr>
                <w:ilvl w:val="1"/>
                <w:numId w:val="30"/>
              </w:numPr>
              <w:tabs>
                <w:tab w:pos="595" w:val="left" w:leader="none"/>
              </w:tabs>
              <w:spacing w:line="240" w:lineRule="auto" w:before="35" w:after="0"/>
              <w:ind w:left="594" w:right="0" w:hanging="494"/>
              <w:jc w:val="left"/>
              <w:rPr>
                <w:sz w:val="22"/>
              </w:rPr>
            </w:pPr>
            <w:r>
              <w:rPr>
                <w:sz w:val="22"/>
              </w:rPr>
              <w:t>Meio ambientais e</w:t>
            </w:r>
            <w:r>
              <w:rPr>
                <w:spacing w:val="-21"/>
                <w:sz w:val="22"/>
              </w:rPr>
              <w:t> </w:t>
            </w:r>
            <w:r>
              <w:rPr>
                <w:sz w:val="22"/>
              </w:rPr>
              <w:t>ecológicos</w:t>
            </w:r>
          </w:p>
          <w:p>
            <w:pPr>
              <w:pStyle w:val="TableParagraph"/>
              <w:numPr>
                <w:ilvl w:val="1"/>
                <w:numId w:val="30"/>
              </w:numPr>
              <w:tabs>
                <w:tab w:pos="590" w:val="left" w:leader="none"/>
              </w:tabs>
              <w:spacing w:line="240" w:lineRule="auto" w:before="40" w:after="0"/>
              <w:ind w:left="589" w:right="0" w:hanging="489"/>
              <w:jc w:val="left"/>
              <w:rPr>
                <w:sz w:val="22"/>
              </w:rPr>
            </w:pPr>
            <w:r>
              <w:rPr>
                <w:sz w:val="22"/>
              </w:rPr>
              <w:t>Solidários</w:t>
            </w:r>
          </w:p>
          <w:p>
            <w:pPr>
              <w:pStyle w:val="TableParagraph"/>
              <w:numPr>
                <w:ilvl w:val="1"/>
                <w:numId w:val="30"/>
              </w:numPr>
              <w:tabs>
                <w:tab w:pos="590" w:val="left" w:leader="none"/>
              </w:tabs>
              <w:spacing w:line="278" w:lineRule="auto" w:before="34" w:after="0"/>
              <w:ind w:left="100" w:right="600" w:firstLine="0"/>
              <w:jc w:val="left"/>
              <w:rPr>
                <w:sz w:val="22"/>
              </w:rPr>
            </w:pPr>
            <w:r>
              <w:rPr>
                <w:sz w:val="22"/>
              </w:rPr>
              <w:t>Sociais, Justiça, igualdade, democracia</w:t>
            </w:r>
          </w:p>
          <w:p>
            <w:pPr>
              <w:pStyle w:val="TableParagraph"/>
              <w:numPr>
                <w:ilvl w:val="1"/>
                <w:numId w:val="30"/>
              </w:numPr>
              <w:tabs>
                <w:tab w:pos="596" w:val="left" w:leader="none"/>
              </w:tabs>
              <w:spacing w:line="240" w:lineRule="auto" w:before="0" w:after="0"/>
              <w:ind w:left="595" w:right="0" w:hanging="495"/>
              <w:jc w:val="left"/>
              <w:rPr>
                <w:sz w:val="22"/>
              </w:rPr>
            </w:pPr>
            <w:r>
              <w:rPr>
                <w:sz w:val="22"/>
              </w:rPr>
              <w:t>Reconhecimento,</w:t>
            </w:r>
          </w:p>
          <w:p>
            <w:pPr>
              <w:pStyle w:val="TableParagraph"/>
              <w:numPr>
                <w:ilvl w:val="1"/>
                <w:numId w:val="30"/>
              </w:numPr>
              <w:tabs>
                <w:tab w:pos="595" w:val="left" w:leader="none"/>
              </w:tabs>
              <w:spacing w:line="240" w:lineRule="auto" w:before="35" w:after="0"/>
              <w:ind w:left="594" w:right="0" w:hanging="494"/>
              <w:jc w:val="left"/>
              <w:rPr>
                <w:sz w:val="22"/>
              </w:rPr>
            </w:pPr>
            <w:r>
              <w:rPr>
                <w:sz w:val="22"/>
              </w:rPr>
              <w:t>Consciência como</w:t>
            </w:r>
            <w:r>
              <w:rPr>
                <w:spacing w:val="-14"/>
                <w:sz w:val="22"/>
              </w:rPr>
              <w:t> </w:t>
            </w:r>
            <w:r>
              <w:rPr>
                <w:sz w:val="22"/>
              </w:rPr>
              <w:t>valor</w:t>
            </w:r>
          </w:p>
          <w:p>
            <w:pPr>
              <w:pStyle w:val="TableParagraph"/>
              <w:numPr>
                <w:ilvl w:val="1"/>
                <w:numId w:val="30"/>
              </w:numPr>
              <w:tabs>
                <w:tab w:pos="595" w:val="left" w:leader="none"/>
              </w:tabs>
              <w:spacing w:line="240" w:lineRule="auto" w:before="40" w:after="0"/>
              <w:ind w:left="594" w:right="0" w:hanging="494"/>
              <w:jc w:val="left"/>
              <w:rPr>
                <w:sz w:val="22"/>
              </w:rPr>
            </w:pPr>
            <w:r>
              <w:rPr>
                <w:sz w:val="22"/>
              </w:rPr>
              <w:t>Convivência, inclusão</w:t>
            </w:r>
            <w:r>
              <w:rPr>
                <w:spacing w:val="-15"/>
                <w:sz w:val="22"/>
              </w:rPr>
              <w:t> </w:t>
            </w:r>
            <w:r>
              <w:rPr>
                <w:sz w:val="22"/>
              </w:rPr>
              <w:t>social</w:t>
            </w:r>
          </w:p>
          <w:p>
            <w:pPr>
              <w:pStyle w:val="TableParagraph"/>
              <w:numPr>
                <w:ilvl w:val="1"/>
                <w:numId w:val="30"/>
              </w:numPr>
              <w:tabs>
                <w:tab w:pos="590" w:val="left" w:leader="none"/>
              </w:tabs>
              <w:spacing w:line="240" w:lineRule="auto" w:before="39" w:after="0"/>
              <w:ind w:left="589" w:right="0" w:hanging="489"/>
              <w:jc w:val="left"/>
              <w:rPr>
                <w:sz w:val="22"/>
              </w:rPr>
            </w:pPr>
            <w:r>
              <w:rPr>
                <w:sz w:val="22"/>
              </w:rPr>
              <w:t>Valores</w:t>
            </w:r>
            <w:r>
              <w:rPr>
                <w:spacing w:val="-4"/>
                <w:sz w:val="22"/>
              </w:rPr>
              <w:t> </w:t>
            </w:r>
            <w:r>
              <w:rPr>
                <w:sz w:val="22"/>
              </w:rPr>
              <w:t>éticos</w:t>
            </w:r>
          </w:p>
          <w:p>
            <w:pPr>
              <w:pStyle w:val="TableParagraph"/>
              <w:numPr>
                <w:ilvl w:val="1"/>
                <w:numId w:val="30"/>
              </w:numPr>
              <w:tabs>
                <w:tab w:pos="777" w:val="left" w:leader="none"/>
              </w:tabs>
              <w:spacing w:line="240" w:lineRule="auto" w:before="34" w:after="0"/>
              <w:ind w:left="776" w:right="0" w:hanging="676"/>
              <w:jc w:val="left"/>
              <w:rPr>
                <w:sz w:val="22"/>
              </w:rPr>
            </w:pPr>
            <w:r>
              <w:rPr>
                <w:sz w:val="22"/>
              </w:rPr>
              <w:t>Valores</w:t>
            </w:r>
            <w:r>
              <w:rPr>
                <w:spacing w:val="-11"/>
                <w:sz w:val="22"/>
              </w:rPr>
              <w:t> </w:t>
            </w:r>
            <w:r>
              <w:rPr>
                <w:sz w:val="22"/>
              </w:rPr>
              <w:t>Transcendentes</w:t>
            </w:r>
          </w:p>
        </w:tc>
        <w:tc>
          <w:tcPr>
            <w:tcW w:w="566" w:type="dxa"/>
          </w:tcPr>
          <w:p>
            <w:pPr/>
          </w:p>
        </w:tc>
      </w:tr>
    </w:tbl>
    <w:p>
      <w:pPr>
        <w:spacing w:after="0"/>
        <w:sectPr>
          <w:pgSz w:w="11910" w:h="16840"/>
          <w:pgMar w:header="1133" w:footer="0" w:top="1340" w:bottom="280" w:left="1680" w:right="1020"/>
        </w:sectPr>
      </w:pPr>
    </w:p>
    <w:p>
      <w:pPr>
        <w:pStyle w:val="BodyText"/>
        <w:spacing w:before="1"/>
        <w:rPr>
          <w:rFonts w:ascii="Times New Roman"/>
          <w:sz w:val="21"/>
        </w:rPr>
      </w:pPr>
    </w:p>
    <w:p>
      <w:pPr>
        <w:spacing w:line="278" w:lineRule="auto" w:before="94"/>
        <w:ind w:left="308" w:right="104" w:firstLine="710"/>
        <w:jc w:val="both"/>
        <w:rPr>
          <w:sz w:val="22"/>
        </w:rPr>
      </w:pPr>
      <w:r>
        <w:rPr>
          <w:sz w:val="22"/>
        </w:rPr>
        <w:t>Tabela de valorização qualitativa e numérica-criteriosa de 1 a 10 em função da presença ou ausência do indicador valorizado.</w:t>
      </w:r>
    </w:p>
    <w:p>
      <w:pPr>
        <w:spacing w:line="276" w:lineRule="auto" w:before="0"/>
        <w:ind w:left="308" w:right="110" w:firstLine="710"/>
        <w:jc w:val="both"/>
        <w:rPr>
          <w:sz w:val="22"/>
        </w:rPr>
      </w:pPr>
      <w:r>
        <w:rPr>
          <w:sz w:val="22"/>
        </w:rPr>
        <w:t>Os indicadores estão organizados ao redor de parâmetros ou categorias constitutivas de uma instituição educacional. São eles: (1) Liderança estimuladora e criativa; (2) Professores criativos; (3) Cultura inovadora; (4) Criatividade como valor; (5) Espírito empreendedor; (6) Visão transdisciplinar e transformadora; (7) Currículo polivalente; (8) Metodologia inovadora; (9) Avaliação formadora e transformadora; (10) Valores humanos, sociais e meio-ambientais.</w:t>
      </w:r>
    </w:p>
    <w:p>
      <w:pPr>
        <w:spacing w:line="276" w:lineRule="auto" w:before="0"/>
        <w:ind w:left="308" w:right="108" w:firstLine="710"/>
        <w:jc w:val="both"/>
        <w:rPr>
          <w:sz w:val="22"/>
        </w:rPr>
      </w:pPr>
      <w:r>
        <w:rPr>
          <w:sz w:val="22"/>
        </w:rPr>
        <w:t>Estes 10 parâmetros e indicadores podem agrupar-se em três categorias para constatar se a avaliação mais importante refere-se ao nível teórico, pessoal ou estratégico:</w:t>
      </w:r>
    </w:p>
    <w:p>
      <w:pPr>
        <w:pStyle w:val="BodyText"/>
        <w:spacing w:before="10"/>
        <w:rPr>
          <w:sz w:val="25"/>
        </w:rPr>
      </w:pPr>
    </w:p>
    <w:p>
      <w:pPr>
        <w:pStyle w:val="ListParagraph"/>
        <w:numPr>
          <w:ilvl w:val="0"/>
          <w:numId w:val="31"/>
        </w:numPr>
        <w:tabs>
          <w:tab w:pos="501" w:val="left" w:leader="none"/>
        </w:tabs>
        <w:spacing w:line="240" w:lineRule="auto" w:before="0" w:after="0"/>
        <w:ind w:left="308" w:right="0" w:firstLine="0"/>
        <w:jc w:val="both"/>
        <w:rPr>
          <w:sz w:val="22"/>
        </w:rPr>
      </w:pPr>
      <w:r>
        <w:rPr>
          <w:sz w:val="22"/>
        </w:rPr>
        <w:t>Os que se referem ao nível de consciência criativa como visão, missão, cultura e</w:t>
      </w:r>
      <w:r>
        <w:rPr>
          <w:spacing w:val="-24"/>
          <w:sz w:val="22"/>
        </w:rPr>
        <w:t> </w:t>
      </w:r>
      <w:r>
        <w:rPr>
          <w:sz w:val="22"/>
        </w:rPr>
        <w:t>valor</w:t>
      </w:r>
    </w:p>
    <w:p>
      <w:pPr>
        <w:pStyle w:val="ListParagraph"/>
        <w:numPr>
          <w:ilvl w:val="0"/>
          <w:numId w:val="32"/>
        </w:numPr>
        <w:tabs>
          <w:tab w:pos="558" w:val="left" w:leader="none"/>
        </w:tabs>
        <w:spacing w:line="240" w:lineRule="auto" w:before="34" w:after="0"/>
        <w:ind w:left="557" w:right="0" w:hanging="249"/>
        <w:jc w:val="both"/>
        <w:rPr>
          <w:sz w:val="22"/>
        </w:rPr>
      </w:pPr>
      <w:r>
        <w:rPr>
          <w:sz w:val="22"/>
        </w:rPr>
        <w:t>Cultura</w:t>
      </w:r>
      <w:r>
        <w:rPr>
          <w:spacing w:val="-14"/>
          <w:sz w:val="22"/>
        </w:rPr>
        <w:t> </w:t>
      </w:r>
      <w:r>
        <w:rPr>
          <w:sz w:val="22"/>
        </w:rPr>
        <w:t>Inovadora</w:t>
      </w:r>
    </w:p>
    <w:p>
      <w:pPr>
        <w:pStyle w:val="ListParagraph"/>
        <w:numPr>
          <w:ilvl w:val="0"/>
          <w:numId w:val="32"/>
        </w:numPr>
        <w:tabs>
          <w:tab w:pos="558" w:val="left" w:leader="none"/>
        </w:tabs>
        <w:spacing w:line="240" w:lineRule="auto" w:before="40" w:after="0"/>
        <w:ind w:left="557" w:right="0" w:hanging="249"/>
        <w:jc w:val="both"/>
        <w:rPr>
          <w:sz w:val="22"/>
        </w:rPr>
      </w:pPr>
      <w:r>
        <w:rPr>
          <w:sz w:val="22"/>
        </w:rPr>
        <w:t>Criatividade como</w:t>
      </w:r>
      <w:r>
        <w:rPr>
          <w:spacing w:val="-16"/>
          <w:sz w:val="22"/>
        </w:rPr>
        <w:t> </w:t>
      </w:r>
      <w:r>
        <w:rPr>
          <w:sz w:val="22"/>
        </w:rPr>
        <w:t>Valor</w:t>
      </w:r>
    </w:p>
    <w:p>
      <w:pPr>
        <w:spacing w:before="40"/>
        <w:ind w:left="308" w:right="0" w:firstLine="0"/>
        <w:jc w:val="both"/>
        <w:rPr>
          <w:sz w:val="22"/>
        </w:rPr>
      </w:pPr>
      <w:r>
        <w:rPr>
          <w:sz w:val="22"/>
        </w:rPr>
        <w:t>6. Visão Transdisciplinar no Projeto Educativo</w:t>
      </w:r>
    </w:p>
    <w:p>
      <w:pPr>
        <w:spacing w:before="35"/>
        <w:ind w:left="308" w:right="0" w:firstLine="0"/>
        <w:jc w:val="both"/>
        <w:rPr>
          <w:sz w:val="22"/>
        </w:rPr>
      </w:pPr>
      <w:r>
        <w:rPr>
          <w:sz w:val="22"/>
        </w:rPr>
        <w:t>10. Valores Humanos, Sociais, Meio-ambientais</w:t>
      </w:r>
    </w:p>
    <w:p>
      <w:pPr>
        <w:pStyle w:val="BodyText"/>
        <w:spacing w:before="5"/>
        <w:rPr>
          <w:sz w:val="28"/>
        </w:rPr>
      </w:pPr>
    </w:p>
    <w:p>
      <w:pPr>
        <w:pStyle w:val="ListParagraph"/>
        <w:numPr>
          <w:ilvl w:val="0"/>
          <w:numId w:val="31"/>
        </w:numPr>
        <w:tabs>
          <w:tab w:pos="616" w:val="left" w:leader="none"/>
        </w:tabs>
        <w:spacing w:line="278" w:lineRule="auto" w:before="0" w:after="0"/>
        <w:ind w:left="308" w:right="115" w:firstLine="0"/>
        <w:jc w:val="both"/>
        <w:rPr>
          <w:sz w:val="22"/>
        </w:rPr>
      </w:pPr>
      <w:r>
        <w:rPr>
          <w:sz w:val="22"/>
        </w:rPr>
        <w:t>Os que se referem ao potencial e recursos humanos. O que há de valioso nas  pessoas que compõem a instituição e tudo o que podem desenvolver com a consciência criativa.</w:t>
      </w:r>
    </w:p>
    <w:p>
      <w:pPr>
        <w:pStyle w:val="ListParagraph"/>
        <w:numPr>
          <w:ilvl w:val="0"/>
          <w:numId w:val="33"/>
        </w:numPr>
        <w:tabs>
          <w:tab w:pos="669" w:val="left" w:leader="none"/>
        </w:tabs>
        <w:spacing w:line="255" w:lineRule="exact" w:before="0" w:after="0"/>
        <w:ind w:left="668" w:right="0" w:hanging="360"/>
        <w:jc w:val="both"/>
        <w:rPr>
          <w:sz w:val="22"/>
        </w:rPr>
      </w:pPr>
      <w:r>
        <w:rPr>
          <w:sz w:val="22"/>
        </w:rPr>
        <w:t>Liderança</w:t>
      </w:r>
      <w:r>
        <w:rPr>
          <w:spacing w:val="-14"/>
          <w:sz w:val="22"/>
        </w:rPr>
        <w:t> </w:t>
      </w:r>
      <w:r>
        <w:rPr>
          <w:sz w:val="22"/>
        </w:rPr>
        <w:t>estimulante</w:t>
      </w:r>
    </w:p>
    <w:p>
      <w:pPr>
        <w:pStyle w:val="ListParagraph"/>
        <w:numPr>
          <w:ilvl w:val="0"/>
          <w:numId w:val="33"/>
        </w:numPr>
        <w:tabs>
          <w:tab w:pos="669" w:val="left" w:leader="none"/>
        </w:tabs>
        <w:spacing w:line="254" w:lineRule="exact" w:before="0" w:after="0"/>
        <w:ind w:left="668" w:right="0" w:hanging="360"/>
        <w:jc w:val="both"/>
        <w:rPr>
          <w:sz w:val="22"/>
        </w:rPr>
      </w:pPr>
      <w:r>
        <w:rPr>
          <w:sz w:val="22"/>
        </w:rPr>
        <w:t>Professores</w:t>
      </w:r>
      <w:r>
        <w:rPr>
          <w:spacing w:val="-8"/>
          <w:sz w:val="22"/>
        </w:rPr>
        <w:t> </w:t>
      </w:r>
      <w:r>
        <w:rPr>
          <w:sz w:val="22"/>
        </w:rPr>
        <w:t>criativos</w:t>
      </w:r>
    </w:p>
    <w:p>
      <w:pPr>
        <w:spacing w:line="248" w:lineRule="exact" w:before="0"/>
        <w:ind w:left="308" w:right="0" w:firstLine="0"/>
        <w:jc w:val="both"/>
        <w:rPr>
          <w:sz w:val="22"/>
        </w:rPr>
      </w:pPr>
      <w:r>
        <w:rPr>
          <w:sz w:val="22"/>
        </w:rPr>
        <w:t>5. Espírito empreendedor</w:t>
      </w:r>
    </w:p>
    <w:p>
      <w:pPr>
        <w:pStyle w:val="BodyText"/>
        <w:spacing w:before="6"/>
        <w:rPr>
          <w:sz w:val="28"/>
        </w:rPr>
      </w:pPr>
    </w:p>
    <w:p>
      <w:pPr>
        <w:pStyle w:val="ListParagraph"/>
        <w:numPr>
          <w:ilvl w:val="0"/>
          <w:numId w:val="31"/>
        </w:numPr>
        <w:tabs>
          <w:tab w:pos="645" w:val="left" w:leader="none"/>
        </w:tabs>
        <w:spacing w:line="273" w:lineRule="auto" w:before="0" w:after="0"/>
        <w:ind w:left="308" w:right="114" w:firstLine="0"/>
        <w:jc w:val="left"/>
        <w:rPr>
          <w:sz w:val="22"/>
        </w:rPr>
      </w:pPr>
      <w:r>
        <w:rPr>
          <w:sz w:val="22"/>
        </w:rPr>
        <w:t>Os que se referem a um plano estratégico e de ação. A criatividade como potencial transformador do currículo. Consciência no planejamento e</w:t>
      </w:r>
      <w:r>
        <w:rPr>
          <w:spacing w:val="-35"/>
          <w:sz w:val="22"/>
        </w:rPr>
        <w:t> </w:t>
      </w:r>
      <w:r>
        <w:rPr>
          <w:sz w:val="22"/>
        </w:rPr>
        <w:t>ação.</w:t>
      </w:r>
    </w:p>
    <w:p>
      <w:pPr>
        <w:pStyle w:val="ListParagraph"/>
        <w:numPr>
          <w:ilvl w:val="0"/>
          <w:numId w:val="34"/>
        </w:numPr>
        <w:tabs>
          <w:tab w:pos="558" w:val="left" w:leader="none"/>
        </w:tabs>
        <w:spacing w:line="240" w:lineRule="auto" w:before="5" w:after="0"/>
        <w:ind w:left="557" w:right="0" w:hanging="249"/>
        <w:jc w:val="both"/>
        <w:rPr>
          <w:sz w:val="22"/>
        </w:rPr>
      </w:pPr>
      <w:r>
        <w:rPr>
          <w:sz w:val="22"/>
        </w:rPr>
        <w:t>Currículo</w:t>
      </w:r>
      <w:r>
        <w:rPr>
          <w:spacing w:val="-16"/>
          <w:sz w:val="22"/>
        </w:rPr>
        <w:t> </w:t>
      </w:r>
      <w:r>
        <w:rPr>
          <w:sz w:val="22"/>
        </w:rPr>
        <w:t>polivalente</w:t>
      </w:r>
    </w:p>
    <w:p>
      <w:pPr>
        <w:pStyle w:val="ListParagraph"/>
        <w:numPr>
          <w:ilvl w:val="0"/>
          <w:numId w:val="34"/>
        </w:numPr>
        <w:tabs>
          <w:tab w:pos="558" w:val="left" w:leader="none"/>
        </w:tabs>
        <w:spacing w:line="240" w:lineRule="auto" w:before="40" w:after="0"/>
        <w:ind w:left="557" w:right="0" w:hanging="249"/>
        <w:jc w:val="both"/>
        <w:rPr>
          <w:sz w:val="22"/>
        </w:rPr>
      </w:pPr>
      <w:r>
        <w:rPr>
          <w:sz w:val="22"/>
        </w:rPr>
        <w:t>Metodologia e estratégias</w:t>
      </w:r>
      <w:r>
        <w:rPr>
          <w:spacing w:val="-28"/>
          <w:sz w:val="22"/>
        </w:rPr>
        <w:t> </w:t>
      </w:r>
      <w:r>
        <w:rPr>
          <w:sz w:val="22"/>
        </w:rPr>
        <w:t>diversificadas</w:t>
      </w:r>
    </w:p>
    <w:p>
      <w:pPr>
        <w:pStyle w:val="ListParagraph"/>
        <w:numPr>
          <w:ilvl w:val="0"/>
          <w:numId w:val="34"/>
        </w:numPr>
        <w:tabs>
          <w:tab w:pos="558" w:val="left" w:leader="none"/>
        </w:tabs>
        <w:spacing w:line="240" w:lineRule="auto" w:before="35" w:after="0"/>
        <w:ind w:left="557" w:right="0" w:hanging="249"/>
        <w:jc w:val="both"/>
        <w:rPr>
          <w:sz w:val="22"/>
        </w:rPr>
      </w:pPr>
      <w:r>
        <w:rPr>
          <w:sz w:val="22"/>
        </w:rPr>
        <w:t>Avaliação. Formadora e</w:t>
      </w:r>
      <w:r>
        <w:rPr>
          <w:spacing w:val="-22"/>
          <w:sz w:val="22"/>
        </w:rPr>
        <w:t> </w:t>
      </w:r>
      <w:r>
        <w:rPr>
          <w:sz w:val="22"/>
        </w:rPr>
        <w:t>emergente</w:t>
      </w:r>
    </w:p>
    <w:p>
      <w:pPr>
        <w:spacing w:after="0" w:line="240" w:lineRule="auto"/>
        <w:jc w:val="both"/>
        <w:rPr>
          <w:sz w:val="22"/>
        </w:rPr>
        <w:sectPr>
          <w:pgSz w:w="11910" w:h="16840"/>
          <w:pgMar w:header="1133" w:footer="0" w:top="1340" w:bottom="280" w:left="1680" w:right="1020"/>
        </w:sectPr>
      </w:pPr>
    </w:p>
    <w:p>
      <w:pPr>
        <w:pStyle w:val="BodyText"/>
        <w:spacing w:before="10"/>
        <w:rPr>
          <w:sz w:val="20"/>
        </w:rPr>
      </w:pPr>
    </w:p>
    <w:p>
      <w:pPr>
        <w:pStyle w:val="Heading3"/>
        <w:ind w:left="3334" w:right="3161"/>
        <w:jc w:val="center"/>
      </w:pPr>
      <w:r>
        <w:rPr/>
        <w:t>ANEXO</w:t>
      </w:r>
      <w:r>
        <w:rPr>
          <w:spacing w:val="60"/>
        </w:rPr>
        <w:t> </w:t>
      </w:r>
      <w:r>
        <w:rPr/>
        <w:t>C</w:t>
      </w:r>
    </w:p>
    <w:p>
      <w:pPr>
        <w:spacing w:line="240" w:lineRule="auto" w:before="232"/>
        <w:ind w:left="1124" w:right="943" w:hanging="4"/>
        <w:jc w:val="center"/>
        <w:rPr>
          <w:b/>
          <w:sz w:val="24"/>
        </w:rPr>
      </w:pPr>
      <w:r>
        <w:rPr>
          <w:b/>
          <w:sz w:val="24"/>
        </w:rPr>
        <w:t>INSTRUMENTO DIAGNÓSTICO PARA IDENTIFICAÇÃO DO DESENVOLVIMENTO CRIATIVO DE INSTITUIÇÕES DE ENSINO QUESTIONÁRIO ADAPTADO</w:t>
      </w:r>
    </w:p>
    <w:p>
      <w:pPr>
        <w:pStyle w:val="BodyText"/>
        <w:rPr>
          <w:b/>
          <w:sz w:val="20"/>
        </w:rPr>
      </w:pPr>
    </w:p>
    <w:p>
      <w:pPr>
        <w:pStyle w:val="BodyText"/>
        <w:rPr>
          <w:b/>
          <w:sz w:val="20"/>
        </w:rPr>
      </w:pPr>
    </w:p>
    <w:p>
      <w:pPr>
        <w:pStyle w:val="BodyText"/>
        <w:spacing w:before="6"/>
        <w:rPr>
          <w:b/>
          <w:sz w:val="23"/>
        </w:rPr>
      </w:pPr>
    </w:p>
    <w:tbl>
      <w:tblPr>
        <w:tblW w:w="0" w:type="auto"/>
        <w:jc w:val="left"/>
        <w:tblInd w:w="2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56"/>
        <w:gridCol w:w="485"/>
        <w:gridCol w:w="485"/>
        <w:gridCol w:w="485"/>
        <w:gridCol w:w="481"/>
        <w:gridCol w:w="494"/>
        <w:gridCol w:w="490"/>
        <w:gridCol w:w="494"/>
        <w:gridCol w:w="509"/>
        <w:gridCol w:w="509"/>
        <w:gridCol w:w="514"/>
      </w:tblGrid>
      <w:tr>
        <w:trPr>
          <w:trHeight w:val="302" w:hRule="exact"/>
        </w:trPr>
        <w:tc>
          <w:tcPr>
            <w:tcW w:w="3856" w:type="dxa"/>
            <w:shd w:val="clear" w:color="auto" w:fill="D9D9D9"/>
          </w:tcPr>
          <w:p>
            <w:pPr>
              <w:pStyle w:val="TableParagraph"/>
              <w:spacing w:line="243" w:lineRule="exact"/>
              <w:ind w:left="1574" w:right="1584"/>
              <w:rPr>
                <w:b/>
                <w:sz w:val="22"/>
              </w:rPr>
            </w:pPr>
            <w:r>
              <w:rPr>
                <w:b/>
                <w:sz w:val="22"/>
              </w:rPr>
              <w:t>ITENS</w:t>
            </w:r>
          </w:p>
        </w:tc>
        <w:tc>
          <w:tcPr>
            <w:tcW w:w="485" w:type="dxa"/>
            <w:shd w:val="clear" w:color="auto" w:fill="D9D9D9"/>
          </w:tcPr>
          <w:p>
            <w:pPr>
              <w:pStyle w:val="TableParagraph"/>
              <w:spacing w:line="243" w:lineRule="exact"/>
              <w:ind w:left="93" w:right="96"/>
              <w:rPr>
                <w:b/>
                <w:sz w:val="22"/>
              </w:rPr>
            </w:pPr>
            <w:r>
              <w:rPr>
                <w:b/>
                <w:sz w:val="22"/>
              </w:rPr>
              <w:t>01</w:t>
            </w:r>
          </w:p>
        </w:tc>
        <w:tc>
          <w:tcPr>
            <w:tcW w:w="485" w:type="dxa"/>
            <w:shd w:val="clear" w:color="auto" w:fill="D9D9D9"/>
          </w:tcPr>
          <w:p>
            <w:pPr>
              <w:pStyle w:val="TableParagraph"/>
              <w:spacing w:line="243" w:lineRule="exact"/>
              <w:ind w:left="94" w:right="96"/>
              <w:rPr>
                <w:b/>
                <w:sz w:val="22"/>
              </w:rPr>
            </w:pPr>
            <w:r>
              <w:rPr>
                <w:b/>
                <w:sz w:val="22"/>
              </w:rPr>
              <w:t>02</w:t>
            </w:r>
          </w:p>
        </w:tc>
        <w:tc>
          <w:tcPr>
            <w:tcW w:w="485" w:type="dxa"/>
            <w:shd w:val="clear" w:color="auto" w:fill="D9D9D9"/>
          </w:tcPr>
          <w:p>
            <w:pPr>
              <w:pStyle w:val="TableParagraph"/>
              <w:spacing w:line="243" w:lineRule="exact"/>
              <w:ind w:right="113"/>
              <w:jc w:val="right"/>
              <w:rPr>
                <w:b/>
                <w:sz w:val="22"/>
              </w:rPr>
            </w:pPr>
            <w:r>
              <w:rPr>
                <w:b/>
                <w:sz w:val="22"/>
              </w:rPr>
              <w:t>03</w:t>
            </w:r>
          </w:p>
        </w:tc>
        <w:tc>
          <w:tcPr>
            <w:tcW w:w="481" w:type="dxa"/>
            <w:shd w:val="clear" w:color="auto" w:fill="D9D9D9"/>
          </w:tcPr>
          <w:p>
            <w:pPr>
              <w:pStyle w:val="TableParagraph"/>
              <w:spacing w:line="243" w:lineRule="exact"/>
              <w:ind w:right="108"/>
              <w:jc w:val="right"/>
              <w:rPr>
                <w:b/>
                <w:sz w:val="22"/>
              </w:rPr>
            </w:pPr>
            <w:r>
              <w:rPr>
                <w:b/>
                <w:sz w:val="22"/>
              </w:rPr>
              <w:t>04</w:t>
            </w:r>
          </w:p>
        </w:tc>
        <w:tc>
          <w:tcPr>
            <w:tcW w:w="494" w:type="dxa"/>
            <w:shd w:val="clear" w:color="auto" w:fill="D9D9D9"/>
          </w:tcPr>
          <w:p>
            <w:pPr>
              <w:pStyle w:val="TableParagraph"/>
              <w:spacing w:line="243" w:lineRule="exact"/>
              <w:ind w:right="119"/>
              <w:jc w:val="right"/>
              <w:rPr>
                <w:b/>
                <w:sz w:val="22"/>
              </w:rPr>
            </w:pPr>
            <w:r>
              <w:rPr>
                <w:b/>
                <w:sz w:val="22"/>
              </w:rPr>
              <w:t>05</w:t>
            </w:r>
          </w:p>
        </w:tc>
        <w:tc>
          <w:tcPr>
            <w:tcW w:w="490" w:type="dxa"/>
            <w:shd w:val="clear" w:color="auto" w:fill="D9D9D9"/>
          </w:tcPr>
          <w:p>
            <w:pPr>
              <w:pStyle w:val="TableParagraph"/>
              <w:spacing w:line="243" w:lineRule="exact"/>
              <w:ind w:right="113"/>
              <w:jc w:val="right"/>
              <w:rPr>
                <w:b/>
                <w:sz w:val="22"/>
              </w:rPr>
            </w:pPr>
            <w:r>
              <w:rPr>
                <w:b/>
                <w:sz w:val="22"/>
              </w:rPr>
              <w:t>06</w:t>
            </w:r>
          </w:p>
        </w:tc>
        <w:tc>
          <w:tcPr>
            <w:tcW w:w="494" w:type="dxa"/>
            <w:shd w:val="clear" w:color="auto" w:fill="D9D9D9"/>
          </w:tcPr>
          <w:p>
            <w:pPr>
              <w:pStyle w:val="TableParagraph"/>
              <w:spacing w:line="243" w:lineRule="exact"/>
              <w:ind w:left="99" w:right="101"/>
              <w:rPr>
                <w:b/>
                <w:sz w:val="22"/>
              </w:rPr>
            </w:pPr>
            <w:r>
              <w:rPr>
                <w:b/>
                <w:sz w:val="22"/>
              </w:rPr>
              <w:t>07</w:t>
            </w:r>
          </w:p>
        </w:tc>
        <w:tc>
          <w:tcPr>
            <w:tcW w:w="509" w:type="dxa"/>
            <w:shd w:val="clear" w:color="auto" w:fill="D9D9D9"/>
          </w:tcPr>
          <w:p>
            <w:pPr>
              <w:pStyle w:val="TableParagraph"/>
              <w:spacing w:line="243" w:lineRule="exact"/>
              <w:ind w:left="124"/>
              <w:jc w:val="left"/>
              <w:rPr>
                <w:b/>
                <w:sz w:val="22"/>
              </w:rPr>
            </w:pPr>
            <w:r>
              <w:rPr>
                <w:b/>
                <w:sz w:val="22"/>
              </w:rPr>
              <w:t>08</w:t>
            </w:r>
          </w:p>
        </w:tc>
        <w:tc>
          <w:tcPr>
            <w:tcW w:w="509" w:type="dxa"/>
            <w:shd w:val="clear" w:color="auto" w:fill="D9D9D9"/>
          </w:tcPr>
          <w:p>
            <w:pPr>
              <w:pStyle w:val="TableParagraph"/>
              <w:spacing w:line="243" w:lineRule="exact"/>
              <w:ind w:right="122"/>
              <w:jc w:val="right"/>
              <w:rPr>
                <w:b/>
                <w:sz w:val="22"/>
              </w:rPr>
            </w:pPr>
            <w:r>
              <w:rPr>
                <w:b/>
                <w:sz w:val="22"/>
              </w:rPr>
              <w:t>09</w:t>
            </w:r>
          </w:p>
        </w:tc>
        <w:tc>
          <w:tcPr>
            <w:tcW w:w="514" w:type="dxa"/>
            <w:shd w:val="clear" w:color="auto" w:fill="D9D9D9"/>
          </w:tcPr>
          <w:p>
            <w:pPr>
              <w:pStyle w:val="TableParagraph"/>
              <w:spacing w:line="243" w:lineRule="exact"/>
              <w:ind w:left="108" w:right="111"/>
              <w:rPr>
                <w:b/>
                <w:sz w:val="22"/>
              </w:rPr>
            </w:pPr>
            <w:r>
              <w:rPr>
                <w:b/>
                <w:sz w:val="22"/>
              </w:rPr>
              <w:t>10</w:t>
            </w:r>
          </w:p>
        </w:tc>
      </w:tr>
      <w:tr>
        <w:trPr>
          <w:trHeight w:val="768" w:hRule="exact"/>
        </w:trPr>
        <w:tc>
          <w:tcPr>
            <w:tcW w:w="3856" w:type="dxa"/>
          </w:tcPr>
          <w:p>
            <w:pPr>
              <w:pStyle w:val="TableParagraph"/>
              <w:ind w:left="643" w:right="102" w:hanging="543"/>
              <w:jc w:val="both"/>
              <w:rPr>
                <w:sz w:val="22"/>
              </w:rPr>
            </w:pPr>
            <w:r>
              <w:rPr>
                <w:sz w:val="22"/>
              </w:rPr>
              <w:t>101. Os objetivos da instituição são claros e compartilhados por todos.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2" w:hRule="exact"/>
        </w:trPr>
        <w:tc>
          <w:tcPr>
            <w:tcW w:w="3856" w:type="dxa"/>
          </w:tcPr>
          <w:p>
            <w:pPr>
              <w:pStyle w:val="TableParagraph"/>
              <w:ind w:left="643" w:right="103" w:hanging="543"/>
              <w:jc w:val="both"/>
              <w:rPr>
                <w:sz w:val="22"/>
              </w:rPr>
            </w:pPr>
            <w:r>
              <w:rPr>
                <w:sz w:val="22"/>
              </w:rPr>
              <w:t>102. A instituição reconhece suas debilidades e procura meios de superá-las, aprendendo com os erros.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69" w:hRule="exact"/>
        </w:trPr>
        <w:tc>
          <w:tcPr>
            <w:tcW w:w="3856" w:type="dxa"/>
          </w:tcPr>
          <w:p>
            <w:pPr>
              <w:pStyle w:val="TableParagraph"/>
              <w:ind w:left="643" w:right="103" w:hanging="543"/>
              <w:jc w:val="both"/>
              <w:rPr>
                <w:sz w:val="22"/>
              </w:rPr>
            </w:pPr>
            <w:r>
              <w:rPr>
                <w:sz w:val="22"/>
              </w:rPr>
              <w:t>103. A escola valoriza  e  aproveita as potencialidades  das pessoas que nela trabalham.</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518" w:hRule="exact"/>
        </w:trPr>
        <w:tc>
          <w:tcPr>
            <w:tcW w:w="3856" w:type="dxa"/>
          </w:tcPr>
          <w:p>
            <w:pPr>
              <w:pStyle w:val="TableParagraph"/>
              <w:spacing w:line="242" w:lineRule="auto"/>
              <w:ind w:left="643" w:hanging="543"/>
              <w:jc w:val="left"/>
              <w:rPr>
                <w:sz w:val="22"/>
              </w:rPr>
            </w:pPr>
            <w:r>
              <w:rPr>
                <w:sz w:val="22"/>
              </w:rPr>
              <w:t>104. A escola promove a formação continuada do seu pessoal.</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68" w:hRule="exact"/>
        </w:trPr>
        <w:tc>
          <w:tcPr>
            <w:tcW w:w="3856" w:type="dxa"/>
          </w:tcPr>
          <w:p>
            <w:pPr>
              <w:pStyle w:val="TableParagraph"/>
              <w:ind w:left="643" w:right="106" w:hanging="543"/>
              <w:jc w:val="both"/>
              <w:rPr>
                <w:sz w:val="22"/>
              </w:rPr>
            </w:pPr>
            <w:r>
              <w:rPr>
                <w:sz w:val="22"/>
              </w:rPr>
              <w:t>105. A direção acredita e impulsiona a inovação e o trabalho cooperativo dentro da escola.</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68" w:hRule="exact"/>
        </w:trPr>
        <w:tc>
          <w:tcPr>
            <w:tcW w:w="3856" w:type="dxa"/>
          </w:tcPr>
          <w:p>
            <w:pPr>
              <w:pStyle w:val="TableParagraph"/>
              <w:ind w:left="643" w:right="105" w:hanging="543"/>
              <w:jc w:val="both"/>
              <w:rPr>
                <w:sz w:val="22"/>
              </w:rPr>
            </w:pPr>
            <w:r>
              <w:rPr>
                <w:sz w:val="22"/>
              </w:rPr>
              <w:t>106. A avaliação é vista como oportunidade para atingir melhoras.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302" w:hRule="exact"/>
        </w:trPr>
        <w:tc>
          <w:tcPr>
            <w:tcW w:w="3856" w:type="dxa"/>
            <w:shd w:val="clear" w:color="auto" w:fill="D9D9D9"/>
          </w:tcPr>
          <w:p>
            <w:pPr>
              <w:pStyle w:val="TableParagraph"/>
              <w:spacing w:line="243" w:lineRule="exact"/>
              <w:ind w:left="1574" w:right="1584"/>
              <w:rPr>
                <w:b/>
                <w:sz w:val="22"/>
              </w:rPr>
            </w:pPr>
            <w:r>
              <w:rPr>
                <w:b/>
                <w:sz w:val="22"/>
              </w:rPr>
              <w:t>ITENS</w:t>
            </w:r>
          </w:p>
        </w:tc>
        <w:tc>
          <w:tcPr>
            <w:tcW w:w="485" w:type="dxa"/>
            <w:shd w:val="clear" w:color="auto" w:fill="D9D9D9"/>
          </w:tcPr>
          <w:p>
            <w:pPr>
              <w:pStyle w:val="TableParagraph"/>
              <w:spacing w:line="243" w:lineRule="exact"/>
              <w:ind w:left="93" w:right="96"/>
              <w:rPr>
                <w:b/>
                <w:sz w:val="22"/>
              </w:rPr>
            </w:pPr>
            <w:r>
              <w:rPr>
                <w:b/>
                <w:sz w:val="22"/>
              </w:rPr>
              <w:t>01</w:t>
            </w:r>
          </w:p>
        </w:tc>
        <w:tc>
          <w:tcPr>
            <w:tcW w:w="485" w:type="dxa"/>
            <w:shd w:val="clear" w:color="auto" w:fill="D9D9D9"/>
          </w:tcPr>
          <w:p>
            <w:pPr>
              <w:pStyle w:val="TableParagraph"/>
              <w:spacing w:line="243" w:lineRule="exact"/>
              <w:ind w:left="94" w:right="96"/>
              <w:rPr>
                <w:b/>
                <w:sz w:val="22"/>
              </w:rPr>
            </w:pPr>
            <w:r>
              <w:rPr>
                <w:b/>
                <w:sz w:val="22"/>
              </w:rPr>
              <w:t>02</w:t>
            </w:r>
          </w:p>
        </w:tc>
        <w:tc>
          <w:tcPr>
            <w:tcW w:w="485" w:type="dxa"/>
            <w:shd w:val="clear" w:color="auto" w:fill="D9D9D9"/>
          </w:tcPr>
          <w:p>
            <w:pPr>
              <w:pStyle w:val="TableParagraph"/>
              <w:spacing w:line="243" w:lineRule="exact"/>
              <w:ind w:right="113"/>
              <w:jc w:val="right"/>
              <w:rPr>
                <w:b/>
                <w:sz w:val="22"/>
              </w:rPr>
            </w:pPr>
            <w:r>
              <w:rPr>
                <w:b/>
                <w:sz w:val="22"/>
              </w:rPr>
              <w:t>03</w:t>
            </w:r>
          </w:p>
        </w:tc>
        <w:tc>
          <w:tcPr>
            <w:tcW w:w="481" w:type="dxa"/>
            <w:shd w:val="clear" w:color="auto" w:fill="D9D9D9"/>
          </w:tcPr>
          <w:p>
            <w:pPr>
              <w:pStyle w:val="TableParagraph"/>
              <w:spacing w:line="243" w:lineRule="exact"/>
              <w:ind w:right="108"/>
              <w:jc w:val="right"/>
              <w:rPr>
                <w:b/>
                <w:sz w:val="22"/>
              </w:rPr>
            </w:pPr>
            <w:r>
              <w:rPr>
                <w:b/>
                <w:sz w:val="22"/>
              </w:rPr>
              <w:t>04</w:t>
            </w:r>
          </w:p>
        </w:tc>
        <w:tc>
          <w:tcPr>
            <w:tcW w:w="494" w:type="dxa"/>
            <w:shd w:val="clear" w:color="auto" w:fill="D9D9D9"/>
          </w:tcPr>
          <w:p>
            <w:pPr>
              <w:pStyle w:val="TableParagraph"/>
              <w:spacing w:line="243" w:lineRule="exact"/>
              <w:ind w:right="119"/>
              <w:jc w:val="right"/>
              <w:rPr>
                <w:b/>
                <w:sz w:val="22"/>
              </w:rPr>
            </w:pPr>
            <w:r>
              <w:rPr>
                <w:b/>
                <w:sz w:val="22"/>
              </w:rPr>
              <w:t>05</w:t>
            </w:r>
          </w:p>
        </w:tc>
        <w:tc>
          <w:tcPr>
            <w:tcW w:w="490" w:type="dxa"/>
            <w:shd w:val="clear" w:color="auto" w:fill="D9D9D9"/>
          </w:tcPr>
          <w:p>
            <w:pPr>
              <w:pStyle w:val="TableParagraph"/>
              <w:spacing w:line="243" w:lineRule="exact"/>
              <w:ind w:right="113"/>
              <w:jc w:val="right"/>
              <w:rPr>
                <w:b/>
                <w:sz w:val="22"/>
              </w:rPr>
            </w:pPr>
            <w:r>
              <w:rPr>
                <w:b/>
                <w:sz w:val="22"/>
              </w:rPr>
              <w:t>06</w:t>
            </w:r>
          </w:p>
        </w:tc>
        <w:tc>
          <w:tcPr>
            <w:tcW w:w="494" w:type="dxa"/>
            <w:shd w:val="clear" w:color="auto" w:fill="D9D9D9"/>
          </w:tcPr>
          <w:p>
            <w:pPr>
              <w:pStyle w:val="TableParagraph"/>
              <w:spacing w:line="243" w:lineRule="exact"/>
              <w:ind w:left="99" w:right="101"/>
              <w:rPr>
                <w:b/>
                <w:sz w:val="22"/>
              </w:rPr>
            </w:pPr>
            <w:r>
              <w:rPr>
                <w:b/>
                <w:sz w:val="22"/>
              </w:rPr>
              <w:t>07</w:t>
            </w:r>
          </w:p>
        </w:tc>
        <w:tc>
          <w:tcPr>
            <w:tcW w:w="509" w:type="dxa"/>
            <w:shd w:val="clear" w:color="auto" w:fill="D9D9D9"/>
          </w:tcPr>
          <w:p>
            <w:pPr>
              <w:pStyle w:val="TableParagraph"/>
              <w:spacing w:line="243" w:lineRule="exact"/>
              <w:ind w:left="124"/>
              <w:jc w:val="left"/>
              <w:rPr>
                <w:b/>
                <w:sz w:val="22"/>
              </w:rPr>
            </w:pPr>
            <w:r>
              <w:rPr>
                <w:b/>
                <w:sz w:val="22"/>
              </w:rPr>
              <w:t>08</w:t>
            </w:r>
          </w:p>
        </w:tc>
        <w:tc>
          <w:tcPr>
            <w:tcW w:w="509" w:type="dxa"/>
            <w:shd w:val="clear" w:color="auto" w:fill="D9D9D9"/>
          </w:tcPr>
          <w:p>
            <w:pPr>
              <w:pStyle w:val="TableParagraph"/>
              <w:spacing w:line="243" w:lineRule="exact"/>
              <w:ind w:right="122"/>
              <w:jc w:val="right"/>
              <w:rPr>
                <w:b/>
                <w:sz w:val="22"/>
              </w:rPr>
            </w:pPr>
            <w:r>
              <w:rPr>
                <w:b/>
                <w:sz w:val="22"/>
              </w:rPr>
              <w:t>09</w:t>
            </w:r>
          </w:p>
        </w:tc>
        <w:tc>
          <w:tcPr>
            <w:tcW w:w="514" w:type="dxa"/>
            <w:shd w:val="clear" w:color="auto" w:fill="D9D9D9"/>
          </w:tcPr>
          <w:p>
            <w:pPr>
              <w:pStyle w:val="TableParagraph"/>
              <w:spacing w:line="243" w:lineRule="exact"/>
              <w:ind w:left="108" w:right="111"/>
              <w:rPr>
                <w:b/>
                <w:sz w:val="22"/>
              </w:rPr>
            </w:pPr>
            <w:r>
              <w:rPr>
                <w:b/>
                <w:sz w:val="22"/>
              </w:rPr>
              <w:t>10</w:t>
            </w:r>
          </w:p>
        </w:tc>
      </w:tr>
      <w:tr>
        <w:trPr>
          <w:trHeight w:val="768" w:hRule="exact"/>
        </w:trPr>
        <w:tc>
          <w:tcPr>
            <w:tcW w:w="3856" w:type="dxa"/>
          </w:tcPr>
          <w:p>
            <w:pPr>
              <w:pStyle w:val="TableParagraph"/>
              <w:ind w:left="643" w:right="98" w:hanging="543"/>
              <w:jc w:val="both"/>
              <w:rPr>
                <w:sz w:val="22"/>
              </w:rPr>
            </w:pPr>
            <w:r>
              <w:rPr>
                <w:sz w:val="22"/>
              </w:rPr>
              <w:t>107. A emoção e o diálogo são recursos para entusiasmar meus alunos à aprendizagem.</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68" w:hRule="exact"/>
        </w:trPr>
        <w:tc>
          <w:tcPr>
            <w:tcW w:w="3856" w:type="dxa"/>
          </w:tcPr>
          <w:p>
            <w:pPr>
              <w:pStyle w:val="TableParagraph"/>
              <w:ind w:left="643" w:right="102" w:hanging="543"/>
              <w:jc w:val="both"/>
              <w:rPr>
                <w:sz w:val="22"/>
              </w:rPr>
            </w:pPr>
            <w:r>
              <w:rPr>
                <w:sz w:val="22"/>
              </w:rPr>
              <w:t>108. Acredito que ensinar é ajudar a desenvolver a consciência com foco em valores.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3" w:hRule="exact"/>
        </w:trPr>
        <w:tc>
          <w:tcPr>
            <w:tcW w:w="3856" w:type="dxa"/>
          </w:tcPr>
          <w:p>
            <w:pPr>
              <w:pStyle w:val="TableParagraph"/>
              <w:tabs>
                <w:tab w:pos="2427" w:val="left" w:leader="none"/>
                <w:tab w:pos="3617" w:val="left" w:leader="none"/>
              </w:tabs>
              <w:ind w:left="643" w:right="103" w:hanging="543"/>
              <w:jc w:val="both"/>
              <w:rPr>
                <w:sz w:val="22"/>
              </w:rPr>
            </w:pPr>
            <w:r>
              <w:rPr>
                <w:sz w:val="22"/>
              </w:rPr>
              <w:t>109. Encontro sentidos  novos  ao que acontece, conectando o conhecido</w:t>
              <w:tab/>
              <w:t>com</w:t>
              <w:tab/>
              <w:t>o desconhecido.</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2" w:hRule="exact"/>
        </w:trPr>
        <w:tc>
          <w:tcPr>
            <w:tcW w:w="3856" w:type="dxa"/>
          </w:tcPr>
          <w:p>
            <w:pPr>
              <w:pStyle w:val="TableParagraph"/>
              <w:ind w:left="643" w:right="102" w:hanging="543"/>
              <w:jc w:val="both"/>
              <w:rPr>
                <w:sz w:val="22"/>
              </w:rPr>
            </w:pPr>
            <w:r>
              <w:rPr>
                <w:sz w:val="22"/>
              </w:rPr>
              <w:t>110. Meu ensino está  conectado com a vida e com os  problemas percebidos na realidade.</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68" w:hRule="exact"/>
        </w:trPr>
        <w:tc>
          <w:tcPr>
            <w:tcW w:w="3856" w:type="dxa"/>
          </w:tcPr>
          <w:p>
            <w:pPr>
              <w:pStyle w:val="TableParagraph"/>
              <w:ind w:left="643" w:right="104" w:hanging="543"/>
              <w:jc w:val="both"/>
              <w:rPr>
                <w:sz w:val="22"/>
              </w:rPr>
            </w:pPr>
            <w:r>
              <w:rPr>
                <w:sz w:val="22"/>
              </w:rPr>
              <w:t>111. Invento e construo situações atrativas, originais e divergentes para a</w:t>
            </w:r>
            <w:r>
              <w:rPr>
                <w:spacing w:val="-11"/>
                <w:sz w:val="22"/>
              </w:rPr>
              <w:t> </w:t>
            </w:r>
            <w:r>
              <w:rPr>
                <w:sz w:val="22"/>
              </w:rPr>
              <w:t>aula.</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2" w:hRule="exact"/>
        </w:trPr>
        <w:tc>
          <w:tcPr>
            <w:tcW w:w="3856" w:type="dxa"/>
          </w:tcPr>
          <w:p>
            <w:pPr>
              <w:pStyle w:val="TableParagraph"/>
              <w:tabs>
                <w:tab w:pos="3492" w:val="left" w:leader="none"/>
              </w:tabs>
              <w:ind w:left="643" w:right="104" w:hanging="543"/>
              <w:jc w:val="both"/>
              <w:rPr>
                <w:sz w:val="22"/>
              </w:rPr>
            </w:pPr>
            <w:r>
              <w:rPr>
                <w:sz w:val="22"/>
              </w:rPr>
              <w:t>112. Faço a mediação do desenvolvimento</w:t>
              <w:tab/>
              <w:t>da consciência de valores como respeito, escuta e</w:t>
            </w:r>
            <w:r>
              <w:rPr>
                <w:spacing w:val="-11"/>
                <w:sz w:val="22"/>
              </w:rPr>
              <w:t> </w:t>
            </w:r>
            <w:r>
              <w:rPr>
                <w:sz w:val="22"/>
              </w:rPr>
              <w:t>tolerância.</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303" w:hRule="exact"/>
        </w:trPr>
        <w:tc>
          <w:tcPr>
            <w:tcW w:w="3856" w:type="dxa"/>
            <w:shd w:val="clear" w:color="auto" w:fill="D0CECE"/>
          </w:tcPr>
          <w:p>
            <w:pPr>
              <w:pStyle w:val="TableParagraph"/>
              <w:spacing w:line="244" w:lineRule="exact"/>
              <w:ind w:left="1574" w:right="1584"/>
              <w:rPr>
                <w:b/>
                <w:sz w:val="22"/>
              </w:rPr>
            </w:pPr>
            <w:r>
              <w:rPr>
                <w:b/>
                <w:sz w:val="22"/>
              </w:rPr>
              <w:t>ITENS</w:t>
            </w:r>
          </w:p>
        </w:tc>
        <w:tc>
          <w:tcPr>
            <w:tcW w:w="485" w:type="dxa"/>
            <w:shd w:val="clear" w:color="auto" w:fill="D0CECE"/>
          </w:tcPr>
          <w:p>
            <w:pPr>
              <w:pStyle w:val="TableParagraph"/>
              <w:spacing w:line="244" w:lineRule="exact"/>
              <w:ind w:left="93" w:right="96"/>
              <w:rPr>
                <w:b/>
                <w:sz w:val="22"/>
              </w:rPr>
            </w:pPr>
            <w:r>
              <w:rPr>
                <w:b/>
                <w:sz w:val="22"/>
              </w:rPr>
              <w:t>01</w:t>
            </w:r>
          </w:p>
        </w:tc>
        <w:tc>
          <w:tcPr>
            <w:tcW w:w="485" w:type="dxa"/>
            <w:shd w:val="clear" w:color="auto" w:fill="D0CECE"/>
          </w:tcPr>
          <w:p>
            <w:pPr>
              <w:pStyle w:val="TableParagraph"/>
              <w:spacing w:line="244" w:lineRule="exact"/>
              <w:ind w:left="94" w:right="96"/>
              <w:rPr>
                <w:b/>
                <w:sz w:val="22"/>
              </w:rPr>
            </w:pPr>
            <w:r>
              <w:rPr>
                <w:b/>
                <w:sz w:val="22"/>
              </w:rPr>
              <w:t>02</w:t>
            </w:r>
          </w:p>
        </w:tc>
        <w:tc>
          <w:tcPr>
            <w:tcW w:w="485" w:type="dxa"/>
            <w:shd w:val="clear" w:color="auto" w:fill="D0CECE"/>
          </w:tcPr>
          <w:p>
            <w:pPr>
              <w:pStyle w:val="TableParagraph"/>
              <w:spacing w:line="244" w:lineRule="exact"/>
              <w:ind w:right="113"/>
              <w:jc w:val="right"/>
              <w:rPr>
                <w:b/>
                <w:sz w:val="22"/>
              </w:rPr>
            </w:pPr>
            <w:r>
              <w:rPr>
                <w:b/>
                <w:sz w:val="22"/>
              </w:rPr>
              <w:t>03</w:t>
            </w:r>
          </w:p>
        </w:tc>
        <w:tc>
          <w:tcPr>
            <w:tcW w:w="481" w:type="dxa"/>
            <w:shd w:val="clear" w:color="auto" w:fill="D0CECE"/>
          </w:tcPr>
          <w:p>
            <w:pPr>
              <w:pStyle w:val="TableParagraph"/>
              <w:spacing w:line="244" w:lineRule="exact"/>
              <w:ind w:right="108"/>
              <w:jc w:val="right"/>
              <w:rPr>
                <w:b/>
                <w:sz w:val="22"/>
              </w:rPr>
            </w:pPr>
            <w:r>
              <w:rPr>
                <w:b/>
                <w:sz w:val="22"/>
              </w:rPr>
              <w:t>04</w:t>
            </w:r>
          </w:p>
        </w:tc>
        <w:tc>
          <w:tcPr>
            <w:tcW w:w="494" w:type="dxa"/>
            <w:shd w:val="clear" w:color="auto" w:fill="D0CECE"/>
          </w:tcPr>
          <w:p>
            <w:pPr>
              <w:pStyle w:val="TableParagraph"/>
              <w:spacing w:line="244" w:lineRule="exact"/>
              <w:ind w:right="119"/>
              <w:jc w:val="right"/>
              <w:rPr>
                <w:b/>
                <w:sz w:val="22"/>
              </w:rPr>
            </w:pPr>
            <w:r>
              <w:rPr>
                <w:b/>
                <w:sz w:val="22"/>
              </w:rPr>
              <w:t>05</w:t>
            </w:r>
          </w:p>
        </w:tc>
        <w:tc>
          <w:tcPr>
            <w:tcW w:w="490" w:type="dxa"/>
            <w:shd w:val="clear" w:color="auto" w:fill="D0CECE"/>
          </w:tcPr>
          <w:p>
            <w:pPr>
              <w:pStyle w:val="TableParagraph"/>
              <w:spacing w:line="244" w:lineRule="exact"/>
              <w:ind w:right="113"/>
              <w:jc w:val="right"/>
              <w:rPr>
                <w:b/>
                <w:sz w:val="22"/>
              </w:rPr>
            </w:pPr>
            <w:r>
              <w:rPr>
                <w:b/>
                <w:sz w:val="22"/>
              </w:rPr>
              <w:t>06</w:t>
            </w:r>
          </w:p>
        </w:tc>
        <w:tc>
          <w:tcPr>
            <w:tcW w:w="494" w:type="dxa"/>
            <w:shd w:val="clear" w:color="auto" w:fill="D0CECE"/>
          </w:tcPr>
          <w:p>
            <w:pPr>
              <w:pStyle w:val="TableParagraph"/>
              <w:spacing w:line="244" w:lineRule="exact"/>
              <w:ind w:left="99" w:right="101"/>
              <w:rPr>
                <w:b/>
                <w:sz w:val="22"/>
              </w:rPr>
            </w:pPr>
            <w:r>
              <w:rPr>
                <w:b/>
                <w:sz w:val="22"/>
              </w:rPr>
              <w:t>07</w:t>
            </w:r>
          </w:p>
        </w:tc>
        <w:tc>
          <w:tcPr>
            <w:tcW w:w="509" w:type="dxa"/>
            <w:shd w:val="clear" w:color="auto" w:fill="D0CECE"/>
          </w:tcPr>
          <w:p>
            <w:pPr>
              <w:pStyle w:val="TableParagraph"/>
              <w:spacing w:line="244" w:lineRule="exact"/>
              <w:ind w:left="124"/>
              <w:jc w:val="left"/>
              <w:rPr>
                <w:b/>
                <w:sz w:val="22"/>
              </w:rPr>
            </w:pPr>
            <w:r>
              <w:rPr>
                <w:b/>
                <w:sz w:val="22"/>
              </w:rPr>
              <w:t>08</w:t>
            </w:r>
          </w:p>
        </w:tc>
        <w:tc>
          <w:tcPr>
            <w:tcW w:w="509" w:type="dxa"/>
            <w:shd w:val="clear" w:color="auto" w:fill="D0CECE"/>
          </w:tcPr>
          <w:p>
            <w:pPr>
              <w:pStyle w:val="TableParagraph"/>
              <w:spacing w:line="244" w:lineRule="exact"/>
              <w:ind w:right="122"/>
              <w:jc w:val="right"/>
              <w:rPr>
                <w:b/>
                <w:sz w:val="22"/>
              </w:rPr>
            </w:pPr>
            <w:r>
              <w:rPr>
                <w:b/>
                <w:sz w:val="22"/>
              </w:rPr>
              <w:t>09</w:t>
            </w:r>
          </w:p>
        </w:tc>
        <w:tc>
          <w:tcPr>
            <w:tcW w:w="514" w:type="dxa"/>
            <w:shd w:val="clear" w:color="auto" w:fill="D0CECE"/>
          </w:tcPr>
          <w:p>
            <w:pPr>
              <w:pStyle w:val="TableParagraph"/>
              <w:spacing w:line="244" w:lineRule="exact"/>
              <w:ind w:left="108" w:right="111"/>
              <w:rPr>
                <w:b/>
                <w:sz w:val="22"/>
              </w:rPr>
            </w:pPr>
            <w:r>
              <w:rPr>
                <w:b/>
                <w:sz w:val="22"/>
              </w:rPr>
              <w:t>10</w:t>
            </w:r>
          </w:p>
        </w:tc>
      </w:tr>
      <w:tr>
        <w:trPr>
          <w:trHeight w:val="1022" w:hRule="exact"/>
        </w:trPr>
        <w:tc>
          <w:tcPr>
            <w:tcW w:w="3856" w:type="dxa"/>
          </w:tcPr>
          <w:p>
            <w:pPr>
              <w:pStyle w:val="TableParagraph"/>
              <w:ind w:left="643" w:right="105" w:hanging="543"/>
              <w:jc w:val="both"/>
              <w:rPr>
                <w:sz w:val="22"/>
              </w:rPr>
            </w:pPr>
            <w:r>
              <w:rPr>
                <w:sz w:val="22"/>
              </w:rPr>
              <w:t>113. A escola promove hábitos, atitudes e valores de respeito e conservação do  meio ambiente.</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bl>
    <w:p>
      <w:pPr>
        <w:spacing w:after="0"/>
        <w:sectPr>
          <w:pgSz w:w="11910" w:h="16840"/>
          <w:pgMar w:header="1133" w:footer="0" w:top="1340" w:bottom="280" w:left="1680" w:right="1000"/>
        </w:sectPr>
      </w:pPr>
    </w:p>
    <w:p>
      <w:pPr>
        <w:pStyle w:val="BodyText"/>
        <w:spacing w:before="7" w:after="1"/>
        <w:rPr>
          <w:rFonts w:ascii="Times New Roman"/>
          <w:sz w:val="29"/>
        </w:rPr>
      </w:pPr>
    </w:p>
    <w:tbl>
      <w:tblPr>
        <w:tblW w:w="0" w:type="auto"/>
        <w:jc w:val="left"/>
        <w:tblInd w:w="2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56"/>
        <w:gridCol w:w="485"/>
        <w:gridCol w:w="485"/>
        <w:gridCol w:w="485"/>
        <w:gridCol w:w="481"/>
        <w:gridCol w:w="494"/>
        <w:gridCol w:w="490"/>
        <w:gridCol w:w="494"/>
        <w:gridCol w:w="509"/>
        <w:gridCol w:w="509"/>
        <w:gridCol w:w="514"/>
      </w:tblGrid>
      <w:tr>
        <w:trPr>
          <w:trHeight w:val="773" w:hRule="exact"/>
        </w:trPr>
        <w:tc>
          <w:tcPr>
            <w:tcW w:w="3856" w:type="dxa"/>
          </w:tcPr>
          <w:p>
            <w:pPr>
              <w:pStyle w:val="TableParagraph"/>
              <w:spacing w:line="242" w:lineRule="auto"/>
              <w:ind w:left="643" w:right="103" w:hanging="543"/>
              <w:jc w:val="both"/>
              <w:rPr>
                <w:sz w:val="22"/>
              </w:rPr>
            </w:pPr>
            <w:r>
              <w:rPr>
                <w:sz w:val="22"/>
              </w:rPr>
              <w:t>114. A escola utiliza as falhas e os conflitos para evoluir, aprender e melhorar.</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18" w:hRule="exact"/>
        </w:trPr>
        <w:tc>
          <w:tcPr>
            <w:tcW w:w="3856" w:type="dxa"/>
          </w:tcPr>
          <w:p>
            <w:pPr>
              <w:pStyle w:val="TableParagraph"/>
              <w:tabs>
                <w:tab w:pos="1598" w:val="left" w:leader="none"/>
                <w:tab w:pos="3044" w:val="left" w:leader="none"/>
              </w:tabs>
              <w:spacing w:line="247" w:lineRule="exact"/>
              <w:ind w:left="100"/>
              <w:jc w:val="left"/>
              <w:rPr>
                <w:sz w:val="22"/>
              </w:rPr>
            </w:pPr>
            <w:r>
              <w:rPr>
                <w:sz w:val="22"/>
              </w:rPr>
              <w:t>115.</w:t>
            </w:r>
            <w:r>
              <w:rPr>
                <w:spacing w:val="50"/>
                <w:sz w:val="22"/>
              </w:rPr>
              <w:t> </w:t>
            </w:r>
            <w:r>
              <w:rPr>
                <w:sz w:val="22"/>
              </w:rPr>
              <w:t>A</w:t>
              <w:tab/>
              <w:t>escola</w:t>
              <w:tab/>
              <w:t>possui,</w:t>
            </w:r>
          </w:p>
          <w:p>
            <w:pPr>
              <w:pStyle w:val="TableParagraph"/>
              <w:tabs>
                <w:tab w:pos="3151" w:val="left" w:leader="none"/>
              </w:tabs>
              <w:ind w:left="643" w:right="101"/>
              <w:jc w:val="both"/>
              <w:rPr>
                <w:sz w:val="22"/>
              </w:rPr>
            </w:pPr>
            <w:r>
              <w:rPr>
                <w:sz w:val="22"/>
              </w:rPr>
              <w:t>constantemente,</w:t>
              <w:tab/>
              <w:t>novos projetos inovadores em  marcha.</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73" w:hRule="exact"/>
        </w:trPr>
        <w:tc>
          <w:tcPr>
            <w:tcW w:w="3856" w:type="dxa"/>
          </w:tcPr>
          <w:p>
            <w:pPr>
              <w:pStyle w:val="TableParagraph"/>
              <w:ind w:left="643" w:right="104" w:hanging="543"/>
              <w:jc w:val="both"/>
              <w:rPr>
                <w:sz w:val="22"/>
              </w:rPr>
            </w:pPr>
            <w:r>
              <w:rPr>
                <w:sz w:val="22"/>
              </w:rPr>
              <w:t>116. Os membros da escola conhecem e compartilham as metas e a missão da mesma.</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2" w:hRule="exact"/>
        </w:trPr>
        <w:tc>
          <w:tcPr>
            <w:tcW w:w="3856" w:type="dxa"/>
          </w:tcPr>
          <w:p>
            <w:pPr>
              <w:pStyle w:val="TableParagraph"/>
              <w:ind w:left="643" w:right="103" w:hanging="543"/>
              <w:jc w:val="both"/>
              <w:rPr>
                <w:sz w:val="22"/>
              </w:rPr>
            </w:pPr>
            <w:r>
              <w:rPr>
                <w:sz w:val="22"/>
              </w:rPr>
              <w:t>117. A estrutura pedagógica é  flexível para os docentes atuarem de forma criativa e responsável.</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1" w:hRule="exact"/>
        </w:trPr>
        <w:tc>
          <w:tcPr>
            <w:tcW w:w="3856" w:type="dxa"/>
          </w:tcPr>
          <w:p>
            <w:pPr>
              <w:pStyle w:val="TableParagraph"/>
              <w:ind w:left="643" w:right="104" w:hanging="543"/>
              <w:jc w:val="both"/>
              <w:rPr>
                <w:sz w:val="22"/>
              </w:rPr>
            </w:pPr>
            <w:r>
              <w:rPr>
                <w:sz w:val="22"/>
              </w:rPr>
              <w:t>118. Há a valorização  da diversidade de culturas, crenças e diferenças pessoais como</w:t>
            </w:r>
            <w:r>
              <w:rPr>
                <w:spacing w:val="-3"/>
                <w:sz w:val="22"/>
              </w:rPr>
              <w:t> </w:t>
            </w:r>
            <w:r>
              <w:rPr>
                <w:sz w:val="22"/>
              </w:rPr>
              <w:t>riquezas.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300" w:hRule="exact"/>
        </w:trPr>
        <w:tc>
          <w:tcPr>
            <w:tcW w:w="3856" w:type="dxa"/>
            <w:shd w:val="clear" w:color="auto" w:fill="D9D9D9"/>
          </w:tcPr>
          <w:p>
            <w:pPr>
              <w:pStyle w:val="TableParagraph"/>
              <w:spacing w:line="246" w:lineRule="exact"/>
              <w:ind w:left="1574" w:right="1584"/>
              <w:rPr>
                <w:b/>
                <w:sz w:val="22"/>
              </w:rPr>
            </w:pPr>
            <w:r>
              <w:rPr>
                <w:b/>
                <w:sz w:val="22"/>
              </w:rPr>
              <w:t>ITENS</w:t>
            </w:r>
          </w:p>
        </w:tc>
        <w:tc>
          <w:tcPr>
            <w:tcW w:w="485" w:type="dxa"/>
            <w:shd w:val="clear" w:color="auto" w:fill="D9D9D9"/>
          </w:tcPr>
          <w:p>
            <w:pPr>
              <w:pStyle w:val="TableParagraph"/>
              <w:spacing w:line="246" w:lineRule="exact"/>
              <w:ind w:left="93" w:right="96"/>
              <w:rPr>
                <w:b/>
                <w:sz w:val="22"/>
              </w:rPr>
            </w:pPr>
            <w:r>
              <w:rPr>
                <w:b/>
                <w:sz w:val="22"/>
              </w:rPr>
              <w:t>01</w:t>
            </w:r>
          </w:p>
        </w:tc>
        <w:tc>
          <w:tcPr>
            <w:tcW w:w="485" w:type="dxa"/>
            <w:shd w:val="clear" w:color="auto" w:fill="D9D9D9"/>
          </w:tcPr>
          <w:p>
            <w:pPr>
              <w:pStyle w:val="TableParagraph"/>
              <w:spacing w:line="246" w:lineRule="exact"/>
              <w:ind w:left="94" w:right="96"/>
              <w:rPr>
                <w:b/>
                <w:sz w:val="22"/>
              </w:rPr>
            </w:pPr>
            <w:r>
              <w:rPr>
                <w:b/>
                <w:sz w:val="22"/>
              </w:rPr>
              <w:t>02</w:t>
            </w:r>
          </w:p>
        </w:tc>
        <w:tc>
          <w:tcPr>
            <w:tcW w:w="485" w:type="dxa"/>
            <w:shd w:val="clear" w:color="auto" w:fill="D9D9D9"/>
          </w:tcPr>
          <w:p>
            <w:pPr>
              <w:pStyle w:val="TableParagraph"/>
              <w:spacing w:line="246" w:lineRule="exact"/>
              <w:ind w:right="113"/>
              <w:jc w:val="right"/>
              <w:rPr>
                <w:b/>
                <w:sz w:val="22"/>
              </w:rPr>
            </w:pPr>
            <w:r>
              <w:rPr>
                <w:b/>
                <w:sz w:val="22"/>
              </w:rPr>
              <w:t>03</w:t>
            </w:r>
          </w:p>
        </w:tc>
        <w:tc>
          <w:tcPr>
            <w:tcW w:w="481" w:type="dxa"/>
            <w:shd w:val="clear" w:color="auto" w:fill="D9D9D9"/>
          </w:tcPr>
          <w:p>
            <w:pPr>
              <w:pStyle w:val="TableParagraph"/>
              <w:spacing w:line="246" w:lineRule="exact"/>
              <w:ind w:right="108"/>
              <w:jc w:val="right"/>
              <w:rPr>
                <w:b/>
                <w:sz w:val="22"/>
              </w:rPr>
            </w:pPr>
            <w:r>
              <w:rPr>
                <w:b/>
                <w:sz w:val="22"/>
              </w:rPr>
              <w:t>04</w:t>
            </w:r>
          </w:p>
        </w:tc>
        <w:tc>
          <w:tcPr>
            <w:tcW w:w="494" w:type="dxa"/>
            <w:shd w:val="clear" w:color="auto" w:fill="D9D9D9"/>
          </w:tcPr>
          <w:p>
            <w:pPr>
              <w:pStyle w:val="TableParagraph"/>
              <w:spacing w:line="246" w:lineRule="exact"/>
              <w:ind w:right="119"/>
              <w:jc w:val="right"/>
              <w:rPr>
                <w:b/>
                <w:sz w:val="22"/>
              </w:rPr>
            </w:pPr>
            <w:r>
              <w:rPr>
                <w:b/>
                <w:sz w:val="22"/>
              </w:rPr>
              <w:t>05</w:t>
            </w:r>
          </w:p>
        </w:tc>
        <w:tc>
          <w:tcPr>
            <w:tcW w:w="490" w:type="dxa"/>
            <w:shd w:val="clear" w:color="auto" w:fill="D9D9D9"/>
          </w:tcPr>
          <w:p>
            <w:pPr>
              <w:pStyle w:val="TableParagraph"/>
              <w:spacing w:line="246" w:lineRule="exact"/>
              <w:ind w:right="113"/>
              <w:jc w:val="right"/>
              <w:rPr>
                <w:b/>
                <w:sz w:val="22"/>
              </w:rPr>
            </w:pPr>
            <w:r>
              <w:rPr>
                <w:b/>
                <w:sz w:val="22"/>
              </w:rPr>
              <w:t>06</w:t>
            </w:r>
          </w:p>
        </w:tc>
        <w:tc>
          <w:tcPr>
            <w:tcW w:w="494" w:type="dxa"/>
            <w:shd w:val="clear" w:color="auto" w:fill="D9D9D9"/>
          </w:tcPr>
          <w:p>
            <w:pPr>
              <w:pStyle w:val="TableParagraph"/>
              <w:spacing w:line="246" w:lineRule="exact"/>
              <w:ind w:left="99" w:right="101"/>
              <w:rPr>
                <w:b/>
                <w:sz w:val="22"/>
              </w:rPr>
            </w:pPr>
            <w:r>
              <w:rPr>
                <w:b/>
                <w:sz w:val="22"/>
              </w:rPr>
              <w:t>07</w:t>
            </w:r>
          </w:p>
        </w:tc>
        <w:tc>
          <w:tcPr>
            <w:tcW w:w="509" w:type="dxa"/>
            <w:shd w:val="clear" w:color="auto" w:fill="D9D9D9"/>
          </w:tcPr>
          <w:p>
            <w:pPr>
              <w:pStyle w:val="TableParagraph"/>
              <w:spacing w:line="246" w:lineRule="exact"/>
              <w:ind w:left="124"/>
              <w:jc w:val="left"/>
              <w:rPr>
                <w:b/>
                <w:sz w:val="22"/>
              </w:rPr>
            </w:pPr>
            <w:r>
              <w:rPr>
                <w:b/>
                <w:sz w:val="22"/>
              </w:rPr>
              <w:t>08</w:t>
            </w:r>
          </w:p>
        </w:tc>
        <w:tc>
          <w:tcPr>
            <w:tcW w:w="509" w:type="dxa"/>
            <w:shd w:val="clear" w:color="auto" w:fill="D9D9D9"/>
          </w:tcPr>
          <w:p>
            <w:pPr>
              <w:pStyle w:val="TableParagraph"/>
              <w:spacing w:line="246" w:lineRule="exact"/>
              <w:ind w:right="122"/>
              <w:jc w:val="right"/>
              <w:rPr>
                <w:b/>
                <w:sz w:val="22"/>
              </w:rPr>
            </w:pPr>
            <w:r>
              <w:rPr>
                <w:b/>
                <w:sz w:val="22"/>
              </w:rPr>
              <w:t>09</w:t>
            </w:r>
          </w:p>
        </w:tc>
        <w:tc>
          <w:tcPr>
            <w:tcW w:w="514" w:type="dxa"/>
            <w:shd w:val="clear" w:color="auto" w:fill="D9D9D9"/>
          </w:tcPr>
          <w:p>
            <w:pPr>
              <w:pStyle w:val="TableParagraph"/>
              <w:spacing w:line="246" w:lineRule="exact"/>
              <w:ind w:left="108" w:right="111"/>
              <w:rPr>
                <w:b/>
                <w:sz w:val="22"/>
              </w:rPr>
            </w:pPr>
            <w:r>
              <w:rPr>
                <w:b/>
                <w:sz w:val="22"/>
              </w:rPr>
              <w:t>10</w:t>
            </w:r>
          </w:p>
        </w:tc>
      </w:tr>
      <w:tr>
        <w:trPr>
          <w:trHeight w:val="1022" w:hRule="exact"/>
        </w:trPr>
        <w:tc>
          <w:tcPr>
            <w:tcW w:w="3856" w:type="dxa"/>
          </w:tcPr>
          <w:p>
            <w:pPr>
              <w:pStyle w:val="TableParagraph"/>
              <w:ind w:left="643" w:right="105" w:hanging="543"/>
              <w:jc w:val="both"/>
              <w:rPr>
                <w:sz w:val="22"/>
              </w:rPr>
            </w:pPr>
            <w:r>
              <w:rPr>
                <w:sz w:val="22"/>
              </w:rPr>
              <w:t>119. A aprendizagem de cada aluno é uma construção pessoal e leva em conta atitudes e interesses.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3" w:hRule="exact"/>
        </w:trPr>
        <w:tc>
          <w:tcPr>
            <w:tcW w:w="3856" w:type="dxa"/>
          </w:tcPr>
          <w:p>
            <w:pPr>
              <w:pStyle w:val="TableParagraph"/>
              <w:ind w:left="643" w:right="101" w:hanging="543"/>
              <w:jc w:val="both"/>
              <w:rPr>
                <w:sz w:val="22"/>
              </w:rPr>
            </w:pPr>
            <w:r>
              <w:rPr>
                <w:sz w:val="22"/>
              </w:rPr>
              <w:t>120. A criatividade é um valor considerado no planejamento de atividades dentro e fora da sala de aula.</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68" w:hRule="exact"/>
        </w:trPr>
        <w:tc>
          <w:tcPr>
            <w:tcW w:w="3856" w:type="dxa"/>
          </w:tcPr>
          <w:p>
            <w:pPr>
              <w:pStyle w:val="TableParagraph"/>
              <w:ind w:left="643" w:right="104" w:hanging="543"/>
              <w:jc w:val="both"/>
              <w:rPr>
                <w:sz w:val="22"/>
              </w:rPr>
            </w:pPr>
            <w:r>
              <w:rPr>
                <w:sz w:val="22"/>
              </w:rPr>
              <w:t>121. A gestão é facilitadora dos processos ao invés de complicadora.</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68" w:hRule="exact"/>
        </w:trPr>
        <w:tc>
          <w:tcPr>
            <w:tcW w:w="3856" w:type="dxa"/>
          </w:tcPr>
          <w:p>
            <w:pPr>
              <w:pStyle w:val="TableParagraph"/>
              <w:spacing w:line="242" w:lineRule="auto"/>
              <w:ind w:left="643" w:right="103" w:hanging="543"/>
              <w:jc w:val="both"/>
              <w:rPr>
                <w:sz w:val="22"/>
              </w:rPr>
            </w:pPr>
            <w:r>
              <w:rPr>
                <w:sz w:val="22"/>
              </w:rPr>
              <w:t>122. A criatividade das atividades da escola é reconhecida pelos alunos e seus pais.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73" w:hRule="exact"/>
        </w:trPr>
        <w:tc>
          <w:tcPr>
            <w:tcW w:w="3856" w:type="dxa"/>
          </w:tcPr>
          <w:p>
            <w:pPr>
              <w:pStyle w:val="TableParagraph"/>
              <w:spacing w:line="242" w:lineRule="auto"/>
              <w:ind w:left="643" w:right="104" w:hanging="543"/>
              <w:jc w:val="both"/>
              <w:rPr>
                <w:sz w:val="22"/>
              </w:rPr>
            </w:pPr>
            <w:r>
              <w:rPr>
                <w:sz w:val="22"/>
              </w:rPr>
              <w:t>123. Há espaços de diálogo, discussão e exposições de habilidades psicossociais.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69" w:hRule="exact"/>
        </w:trPr>
        <w:tc>
          <w:tcPr>
            <w:tcW w:w="3856" w:type="dxa"/>
          </w:tcPr>
          <w:p>
            <w:pPr>
              <w:pStyle w:val="TableParagraph"/>
              <w:ind w:left="643" w:right="105" w:hanging="543"/>
              <w:jc w:val="both"/>
              <w:rPr>
                <w:sz w:val="22"/>
              </w:rPr>
            </w:pPr>
            <w:r>
              <w:rPr>
                <w:sz w:val="22"/>
              </w:rPr>
              <w:t>124. Há o estabelecimento de vínculos de colaboração com a comunidade externa à escola.</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298" w:hRule="exact"/>
        </w:trPr>
        <w:tc>
          <w:tcPr>
            <w:tcW w:w="3856" w:type="dxa"/>
            <w:shd w:val="clear" w:color="auto" w:fill="D0CECE"/>
          </w:tcPr>
          <w:p>
            <w:pPr>
              <w:pStyle w:val="TableParagraph"/>
              <w:spacing w:line="243" w:lineRule="exact"/>
              <w:ind w:left="1574" w:right="1584"/>
              <w:rPr>
                <w:b/>
                <w:sz w:val="22"/>
              </w:rPr>
            </w:pPr>
            <w:r>
              <w:rPr>
                <w:b/>
                <w:sz w:val="22"/>
              </w:rPr>
              <w:t>ITENS</w:t>
            </w:r>
          </w:p>
        </w:tc>
        <w:tc>
          <w:tcPr>
            <w:tcW w:w="485" w:type="dxa"/>
            <w:shd w:val="clear" w:color="auto" w:fill="D0CECE"/>
          </w:tcPr>
          <w:p>
            <w:pPr>
              <w:pStyle w:val="TableParagraph"/>
              <w:spacing w:line="243" w:lineRule="exact"/>
              <w:ind w:left="93" w:right="96"/>
              <w:rPr>
                <w:b/>
                <w:sz w:val="22"/>
              </w:rPr>
            </w:pPr>
            <w:r>
              <w:rPr>
                <w:b/>
                <w:sz w:val="22"/>
              </w:rPr>
              <w:t>01</w:t>
            </w:r>
          </w:p>
        </w:tc>
        <w:tc>
          <w:tcPr>
            <w:tcW w:w="485" w:type="dxa"/>
            <w:shd w:val="clear" w:color="auto" w:fill="D0CECE"/>
          </w:tcPr>
          <w:p>
            <w:pPr>
              <w:pStyle w:val="TableParagraph"/>
              <w:spacing w:line="243" w:lineRule="exact"/>
              <w:ind w:left="94" w:right="96"/>
              <w:rPr>
                <w:b/>
                <w:sz w:val="22"/>
              </w:rPr>
            </w:pPr>
            <w:r>
              <w:rPr>
                <w:b/>
                <w:sz w:val="22"/>
              </w:rPr>
              <w:t>02</w:t>
            </w:r>
          </w:p>
        </w:tc>
        <w:tc>
          <w:tcPr>
            <w:tcW w:w="485" w:type="dxa"/>
            <w:shd w:val="clear" w:color="auto" w:fill="D0CECE"/>
          </w:tcPr>
          <w:p>
            <w:pPr>
              <w:pStyle w:val="TableParagraph"/>
              <w:spacing w:line="243" w:lineRule="exact"/>
              <w:ind w:right="113"/>
              <w:jc w:val="right"/>
              <w:rPr>
                <w:b/>
                <w:sz w:val="22"/>
              </w:rPr>
            </w:pPr>
            <w:r>
              <w:rPr>
                <w:b/>
                <w:sz w:val="22"/>
              </w:rPr>
              <w:t>03</w:t>
            </w:r>
          </w:p>
        </w:tc>
        <w:tc>
          <w:tcPr>
            <w:tcW w:w="481" w:type="dxa"/>
            <w:shd w:val="clear" w:color="auto" w:fill="D0CECE"/>
          </w:tcPr>
          <w:p>
            <w:pPr>
              <w:pStyle w:val="TableParagraph"/>
              <w:spacing w:line="243" w:lineRule="exact"/>
              <w:ind w:right="108"/>
              <w:jc w:val="right"/>
              <w:rPr>
                <w:b/>
                <w:sz w:val="22"/>
              </w:rPr>
            </w:pPr>
            <w:r>
              <w:rPr>
                <w:b/>
                <w:sz w:val="22"/>
              </w:rPr>
              <w:t>04</w:t>
            </w:r>
          </w:p>
        </w:tc>
        <w:tc>
          <w:tcPr>
            <w:tcW w:w="494" w:type="dxa"/>
            <w:shd w:val="clear" w:color="auto" w:fill="D0CECE"/>
          </w:tcPr>
          <w:p>
            <w:pPr>
              <w:pStyle w:val="TableParagraph"/>
              <w:spacing w:line="243" w:lineRule="exact"/>
              <w:ind w:right="119"/>
              <w:jc w:val="right"/>
              <w:rPr>
                <w:b/>
                <w:sz w:val="22"/>
              </w:rPr>
            </w:pPr>
            <w:r>
              <w:rPr>
                <w:b/>
                <w:sz w:val="22"/>
              </w:rPr>
              <w:t>05</w:t>
            </w:r>
          </w:p>
        </w:tc>
        <w:tc>
          <w:tcPr>
            <w:tcW w:w="490" w:type="dxa"/>
            <w:shd w:val="clear" w:color="auto" w:fill="D0CECE"/>
          </w:tcPr>
          <w:p>
            <w:pPr>
              <w:pStyle w:val="TableParagraph"/>
              <w:spacing w:line="243" w:lineRule="exact"/>
              <w:ind w:right="113"/>
              <w:jc w:val="right"/>
              <w:rPr>
                <w:b/>
                <w:sz w:val="22"/>
              </w:rPr>
            </w:pPr>
            <w:r>
              <w:rPr>
                <w:b/>
                <w:sz w:val="22"/>
              </w:rPr>
              <w:t>06</w:t>
            </w:r>
          </w:p>
        </w:tc>
        <w:tc>
          <w:tcPr>
            <w:tcW w:w="494" w:type="dxa"/>
            <w:shd w:val="clear" w:color="auto" w:fill="D0CECE"/>
          </w:tcPr>
          <w:p>
            <w:pPr>
              <w:pStyle w:val="TableParagraph"/>
              <w:spacing w:line="243" w:lineRule="exact"/>
              <w:ind w:left="99" w:right="101"/>
              <w:rPr>
                <w:b/>
                <w:sz w:val="22"/>
              </w:rPr>
            </w:pPr>
            <w:r>
              <w:rPr>
                <w:b/>
                <w:sz w:val="22"/>
              </w:rPr>
              <w:t>07</w:t>
            </w:r>
          </w:p>
        </w:tc>
        <w:tc>
          <w:tcPr>
            <w:tcW w:w="509" w:type="dxa"/>
            <w:shd w:val="clear" w:color="auto" w:fill="D0CECE"/>
          </w:tcPr>
          <w:p>
            <w:pPr>
              <w:pStyle w:val="TableParagraph"/>
              <w:spacing w:line="243" w:lineRule="exact"/>
              <w:ind w:left="124"/>
              <w:jc w:val="left"/>
              <w:rPr>
                <w:b/>
                <w:sz w:val="22"/>
              </w:rPr>
            </w:pPr>
            <w:r>
              <w:rPr>
                <w:b/>
                <w:sz w:val="22"/>
              </w:rPr>
              <w:t>08</w:t>
            </w:r>
          </w:p>
        </w:tc>
        <w:tc>
          <w:tcPr>
            <w:tcW w:w="509" w:type="dxa"/>
            <w:shd w:val="clear" w:color="auto" w:fill="D0CECE"/>
          </w:tcPr>
          <w:p>
            <w:pPr>
              <w:pStyle w:val="TableParagraph"/>
              <w:spacing w:line="243" w:lineRule="exact"/>
              <w:ind w:right="122"/>
              <w:jc w:val="right"/>
              <w:rPr>
                <w:b/>
                <w:sz w:val="22"/>
              </w:rPr>
            </w:pPr>
            <w:r>
              <w:rPr>
                <w:b/>
                <w:sz w:val="22"/>
              </w:rPr>
              <w:t>09</w:t>
            </w:r>
          </w:p>
        </w:tc>
        <w:tc>
          <w:tcPr>
            <w:tcW w:w="514" w:type="dxa"/>
            <w:shd w:val="clear" w:color="auto" w:fill="D0CECE"/>
          </w:tcPr>
          <w:p>
            <w:pPr>
              <w:pStyle w:val="TableParagraph"/>
              <w:spacing w:line="243" w:lineRule="exact"/>
              <w:ind w:left="108" w:right="111"/>
              <w:rPr>
                <w:b/>
                <w:sz w:val="22"/>
              </w:rPr>
            </w:pPr>
            <w:r>
              <w:rPr>
                <w:b/>
                <w:sz w:val="22"/>
              </w:rPr>
              <w:t>10</w:t>
            </w:r>
          </w:p>
        </w:tc>
      </w:tr>
      <w:tr>
        <w:trPr>
          <w:trHeight w:val="1023" w:hRule="exact"/>
        </w:trPr>
        <w:tc>
          <w:tcPr>
            <w:tcW w:w="3856" w:type="dxa"/>
          </w:tcPr>
          <w:p>
            <w:pPr>
              <w:pStyle w:val="TableParagraph"/>
              <w:ind w:left="643" w:right="101" w:hanging="543"/>
              <w:jc w:val="both"/>
              <w:rPr>
                <w:sz w:val="22"/>
              </w:rPr>
            </w:pPr>
            <w:r>
              <w:rPr>
                <w:sz w:val="22"/>
              </w:rPr>
              <w:t>125. Sou confiante na minha habilidade de fazer o necessário para alcançar os objetivos.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2" w:hRule="exact"/>
        </w:trPr>
        <w:tc>
          <w:tcPr>
            <w:tcW w:w="3856" w:type="dxa"/>
          </w:tcPr>
          <w:p>
            <w:pPr>
              <w:pStyle w:val="TableParagraph"/>
              <w:spacing w:line="242" w:lineRule="auto"/>
              <w:ind w:left="643" w:right="104" w:hanging="543"/>
              <w:jc w:val="both"/>
              <w:rPr>
                <w:sz w:val="22"/>
              </w:rPr>
            </w:pPr>
            <w:r>
              <w:rPr>
                <w:sz w:val="22"/>
              </w:rPr>
              <w:t>126. Sou motivado para atuar frente a um grande desafio me adaptando com flexibilidade às mudanças.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519" w:hRule="exact"/>
        </w:trPr>
        <w:tc>
          <w:tcPr>
            <w:tcW w:w="3856" w:type="dxa"/>
          </w:tcPr>
          <w:p>
            <w:pPr>
              <w:pStyle w:val="TableParagraph"/>
              <w:spacing w:line="242" w:lineRule="auto"/>
              <w:ind w:left="643" w:hanging="543"/>
              <w:jc w:val="left"/>
              <w:rPr>
                <w:sz w:val="22"/>
              </w:rPr>
            </w:pPr>
            <w:r>
              <w:rPr>
                <w:sz w:val="22"/>
              </w:rPr>
              <w:t>127. Calculo os riscos de maneira cuidadosa e avalio alternativas.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2" w:hRule="exact"/>
        </w:trPr>
        <w:tc>
          <w:tcPr>
            <w:tcW w:w="3856" w:type="dxa"/>
          </w:tcPr>
          <w:p>
            <w:pPr>
              <w:pStyle w:val="TableParagraph"/>
              <w:tabs>
                <w:tab w:pos="2307" w:val="left" w:leader="none"/>
              </w:tabs>
              <w:ind w:left="643" w:right="104" w:hanging="543"/>
              <w:jc w:val="both"/>
              <w:rPr>
                <w:sz w:val="22"/>
              </w:rPr>
            </w:pPr>
            <w:r>
              <w:rPr>
                <w:sz w:val="22"/>
              </w:rPr>
              <w:t>128.</w:t>
            </w:r>
            <w:r>
              <w:rPr>
                <w:spacing w:val="49"/>
                <w:sz w:val="22"/>
              </w:rPr>
              <w:t> </w:t>
            </w:r>
            <w:r>
              <w:rPr>
                <w:sz w:val="22"/>
              </w:rPr>
              <w:t>Procuro,</w:t>
              <w:tab/>
            </w:r>
            <w:r>
              <w:rPr>
                <w:spacing w:val="-1"/>
                <w:sz w:val="22"/>
              </w:rPr>
              <w:t>pessoalmente, </w:t>
            </w:r>
            <w:r>
              <w:rPr>
                <w:sz w:val="22"/>
              </w:rPr>
              <w:t>informações sobre os alunos, colegas e processos que melhore a minha</w:t>
            </w:r>
            <w:r>
              <w:rPr>
                <w:spacing w:val="-14"/>
                <w:sz w:val="22"/>
              </w:rPr>
              <w:t> </w:t>
            </w:r>
            <w:r>
              <w:rPr>
                <w:sz w:val="22"/>
              </w:rPr>
              <w:t>prática.</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bl>
    <w:p>
      <w:pPr>
        <w:spacing w:after="0"/>
        <w:sectPr>
          <w:pgSz w:w="11910" w:h="16840"/>
          <w:pgMar w:header="1133" w:footer="0" w:top="1340" w:bottom="280" w:left="1680" w:right="1000"/>
        </w:sectPr>
      </w:pPr>
    </w:p>
    <w:p>
      <w:pPr>
        <w:pStyle w:val="BodyText"/>
        <w:spacing w:before="7" w:after="1"/>
        <w:rPr>
          <w:rFonts w:ascii="Times New Roman"/>
          <w:sz w:val="29"/>
        </w:rPr>
      </w:pPr>
    </w:p>
    <w:tbl>
      <w:tblPr>
        <w:tblW w:w="0" w:type="auto"/>
        <w:jc w:val="left"/>
        <w:tblInd w:w="2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56"/>
        <w:gridCol w:w="485"/>
        <w:gridCol w:w="485"/>
        <w:gridCol w:w="485"/>
        <w:gridCol w:w="481"/>
        <w:gridCol w:w="494"/>
        <w:gridCol w:w="490"/>
        <w:gridCol w:w="494"/>
        <w:gridCol w:w="509"/>
        <w:gridCol w:w="509"/>
        <w:gridCol w:w="514"/>
      </w:tblGrid>
      <w:tr>
        <w:trPr>
          <w:trHeight w:val="773" w:hRule="exact"/>
        </w:trPr>
        <w:tc>
          <w:tcPr>
            <w:tcW w:w="3856" w:type="dxa"/>
          </w:tcPr>
          <w:p>
            <w:pPr>
              <w:pStyle w:val="TableParagraph"/>
              <w:spacing w:line="242" w:lineRule="auto"/>
              <w:ind w:left="643" w:right="102" w:hanging="543"/>
              <w:jc w:val="both"/>
              <w:rPr>
                <w:sz w:val="22"/>
              </w:rPr>
            </w:pPr>
            <w:r>
              <w:rPr>
                <w:sz w:val="22"/>
              </w:rPr>
              <w:t>129. Procuro  objetivos  ambiciosos, a longo prazo, porém exequíveis.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1" w:hRule="exact"/>
        </w:trPr>
        <w:tc>
          <w:tcPr>
            <w:tcW w:w="3856" w:type="dxa"/>
          </w:tcPr>
          <w:p>
            <w:pPr>
              <w:pStyle w:val="TableParagraph"/>
              <w:ind w:left="643" w:right="98" w:hanging="543"/>
              <w:jc w:val="both"/>
              <w:rPr>
                <w:sz w:val="22"/>
              </w:rPr>
            </w:pPr>
            <w:r>
              <w:rPr>
                <w:sz w:val="22"/>
              </w:rPr>
              <w:t>130. Reviso meus planos constantemente para atingir os objetivos e antecipar mudanças.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300" w:hRule="exact"/>
        </w:trPr>
        <w:tc>
          <w:tcPr>
            <w:tcW w:w="3856" w:type="dxa"/>
            <w:shd w:val="clear" w:color="auto" w:fill="D0CECE"/>
          </w:tcPr>
          <w:p>
            <w:pPr>
              <w:pStyle w:val="TableParagraph"/>
              <w:spacing w:line="246" w:lineRule="exact"/>
              <w:ind w:left="1574" w:right="1584"/>
              <w:rPr>
                <w:b/>
                <w:sz w:val="22"/>
              </w:rPr>
            </w:pPr>
            <w:r>
              <w:rPr>
                <w:b/>
                <w:sz w:val="22"/>
              </w:rPr>
              <w:t>ITENS</w:t>
            </w:r>
          </w:p>
        </w:tc>
        <w:tc>
          <w:tcPr>
            <w:tcW w:w="485" w:type="dxa"/>
            <w:shd w:val="clear" w:color="auto" w:fill="D0CECE"/>
          </w:tcPr>
          <w:p>
            <w:pPr>
              <w:pStyle w:val="TableParagraph"/>
              <w:spacing w:line="246" w:lineRule="exact"/>
              <w:ind w:left="93" w:right="96"/>
              <w:rPr>
                <w:b/>
                <w:sz w:val="22"/>
              </w:rPr>
            </w:pPr>
            <w:r>
              <w:rPr>
                <w:b/>
                <w:sz w:val="22"/>
              </w:rPr>
              <w:t>01</w:t>
            </w:r>
          </w:p>
        </w:tc>
        <w:tc>
          <w:tcPr>
            <w:tcW w:w="485" w:type="dxa"/>
            <w:shd w:val="clear" w:color="auto" w:fill="D0CECE"/>
          </w:tcPr>
          <w:p>
            <w:pPr>
              <w:pStyle w:val="TableParagraph"/>
              <w:spacing w:line="246" w:lineRule="exact"/>
              <w:ind w:left="94" w:right="96"/>
              <w:rPr>
                <w:b/>
                <w:sz w:val="22"/>
              </w:rPr>
            </w:pPr>
            <w:r>
              <w:rPr>
                <w:b/>
                <w:sz w:val="22"/>
              </w:rPr>
              <w:t>02</w:t>
            </w:r>
          </w:p>
        </w:tc>
        <w:tc>
          <w:tcPr>
            <w:tcW w:w="485" w:type="dxa"/>
            <w:shd w:val="clear" w:color="auto" w:fill="D0CECE"/>
          </w:tcPr>
          <w:p>
            <w:pPr>
              <w:pStyle w:val="TableParagraph"/>
              <w:spacing w:line="246" w:lineRule="exact"/>
              <w:ind w:right="113"/>
              <w:jc w:val="right"/>
              <w:rPr>
                <w:b/>
                <w:sz w:val="22"/>
              </w:rPr>
            </w:pPr>
            <w:r>
              <w:rPr>
                <w:b/>
                <w:sz w:val="22"/>
              </w:rPr>
              <w:t>03</w:t>
            </w:r>
          </w:p>
        </w:tc>
        <w:tc>
          <w:tcPr>
            <w:tcW w:w="481" w:type="dxa"/>
            <w:shd w:val="clear" w:color="auto" w:fill="D0CECE"/>
          </w:tcPr>
          <w:p>
            <w:pPr>
              <w:pStyle w:val="TableParagraph"/>
              <w:spacing w:line="246" w:lineRule="exact"/>
              <w:ind w:right="108"/>
              <w:jc w:val="right"/>
              <w:rPr>
                <w:b/>
                <w:sz w:val="22"/>
              </w:rPr>
            </w:pPr>
            <w:r>
              <w:rPr>
                <w:b/>
                <w:sz w:val="22"/>
              </w:rPr>
              <w:t>04</w:t>
            </w:r>
          </w:p>
        </w:tc>
        <w:tc>
          <w:tcPr>
            <w:tcW w:w="494" w:type="dxa"/>
            <w:shd w:val="clear" w:color="auto" w:fill="D0CECE"/>
          </w:tcPr>
          <w:p>
            <w:pPr>
              <w:pStyle w:val="TableParagraph"/>
              <w:spacing w:line="246" w:lineRule="exact"/>
              <w:ind w:right="119"/>
              <w:jc w:val="right"/>
              <w:rPr>
                <w:b/>
                <w:sz w:val="22"/>
              </w:rPr>
            </w:pPr>
            <w:r>
              <w:rPr>
                <w:b/>
                <w:sz w:val="22"/>
              </w:rPr>
              <w:t>05</w:t>
            </w:r>
          </w:p>
        </w:tc>
        <w:tc>
          <w:tcPr>
            <w:tcW w:w="490" w:type="dxa"/>
            <w:shd w:val="clear" w:color="auto" w:fill="D0CECE"/>
          </w:tcPr>
          <w:p>
            <w:pPr>
              <w:pStyle w:val="TableParagraph"/>
              <w:spacing w:line="246" w:lineRule="exact"/>
              <w:ind w:right="113"/>
              <w:jc w:val="right"/>
              <w:rPr>
                <w:b/>
                <w:sz w:val="22"/>
              </w:rPr>
            </w:pPr>
            <w:r>
              <w:rPr>
                <w:b/>
                <w:sz w:val="22"/>
              </w:rPr>
              <w:t>06</w:t>
            </w:r>
          </w:p>
        </w:tc>
        <w:tc>
          <w:tcPr>
            <w:tcW w:w="494" w:type="dxa"/>
            <w:shd w:val="clear" w:color="auto" w:fill="D0CECE"/>
          </w:tcPr>
          <w:p>
            <w:pPr>
              <w:pStyle w:val="TableParagraph"/>
              <w:spacing w:line="246" w:lineRule="exact"/>
              <w:ind w:left="99" w:right="101"/>
              <w:rPr>
                <w:b/>
                <w:sz w:val="22"/>
              </w:rPr>
            </w:pPr>
            <w:r>
              <w:rPr>
                <w:b/>
                <w:sz w:val="22"/>
              </w:rPr>
              <w:t>07</w:t>
            </w:r>
          </w:p>
        </w:tc>
        <w:tc>
          <w:tcPr>
            <w:tcW w:w="509" w:type="dxa"/>
            <w:shd w:val="clear" w:color="auto" w:fill="D0CECE"/>
          </w:tcPr>
          <w:p>
            <w:pPr>
              <w:pStyle w:val="TableParagraph"/>
              <w:spacing w:line="246" w:lineRule="exact"/>
              <w:ind w:left="124"/>
              <w:jc w:val="left"/>
              <w:rPr>
                <w:b/>
                <w:sz w:val="22"/>
              </w:rPr>
            </w:pPr>
            <w:r>
              <w:rPr>
                <w:b/>
                <w:sz w:val="22"/>
              </w:rPr>
              <w:t>08</w:t>
            </w:r>
          </w:p>
        </w:tc>
        <w:tc>
          <w:tcPr>
            <w:tcW w:w="509" w:type="dxa"/>
            <w:shd w:val="clear" w:color="auto" w:fill="D0CECE"/>
          </w:tcPr>
          <w:p>
            <w:pPr>
              <w:pStyle w:val="TableParagraph"/>
              <w:spacing w:line="246" w:lineRule="exact"/>
              <w:ind w:right="122"/>
              <w:jc w:val="right"/>
              <w:rPr>
                <w:b/>
                <w:sz w:val="22"/>
              </w:rPr>
            </w:pPr>
            <w:r>
              <w:rPr>
                <w:b/>
                <w:sz w:val="22"/>
              </w:rPr>
              <w:t>09</w:t>
            </w:r>
          </w:p>
        </w:tc>
        <w:tc>
          <w:tcPr>
            <w:tcW w:w="514" w:type="dxa"/>
            <w:shd w:val="clear" w:color="auto" w:fill="D0CECE"/>
          </w:tcPr>
          <w:p>
            <w:pPr>
              <w:pStyle w:val="TableParagraph"/>
              <w:spacing w:line="246" w:lineRule="exact"/>
              <w:ind w:left="108" w:right="111"/>
              <w:rPr>
                <w:b/>
                <w:sz w:val="22"/>
              </w:rPr>
            </w:pPr>
            <w:r>
              <w:rPr>
                <w:b/>
                <w:sz w:val="22"/>
              </w:rPr>
              <w:t>10</w:t>
            </w:r>
          </w:p>
        </w:tc>
      </w:tr>
      <w:tr>
        <w:trPr>
          <w:trHeight w:val="768" w:hRule="exact"/>
        </w:trPr>
        <w:tc>
          <w:tcPr>
            <w:tcW w:w="3856" w:type="dxa"/>
          </w:tcPr>
          <w:p>
            <w:pPr>
              <w:pStyle w:val="TableParagraph"/>
              <w:spacing w:line="242" w:lineRule="auto"/>
              <w:ind w:left="643" w:right="104" w:hanging="543"/>
              <w:jc w:val="both"/>
              <w:rPr>
                <w:sz w:val="22"/>
              </w:rPr>
            </w:pPr>
            <w:r>
              <w:rPr>
                <w:sz w:val="22"/>
              </w:rPr>
              <w:t>131. A ética está presente em todas as ações e relações humanas dentro da escola.</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518" w:hRule="exact"/>
        </w:trPr>
        <w:tc>
          <w:tcPr>
            <w:tcW w:w="3856" w:type="dxa"/>
          </w:tcPr>
          <w:p>
            <w:pPr>
              <w:pStyle w:val="TableParagraph"/>
              <w:spacing w:line="242" w:lineRule="auto"/>
              <w:ind w:left="643" w:hanging="543"/>
              <w:jc w:val="left"/>
              <w:rPr>
                <w:sz w:val="22"/>
              </w:rPr>
            </w:pPr>
            <w:r>
              <w:rPr>
                <w:sz w:val="22"/>
              </w:rPr>
              <w:t>132. O saber é uma construção integrada e compartilhada.</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3" w:hRule="exact"/>
        </w:trPr>
        <w:tc>
          <w:tcPr>
            <w:tcW w:w="3856" w:type="dxa"/>
          </w:tcPr>
          <w:p>
            <w:pPr>
              <w:pStyle w:val="TableParagraph"/>
              <w:ind w:left="643" w:right="102" w:hanging="543"/>
              <w:jc w:val="both"/>
              <w:rPr>
                <w:sz w:val="22"/>
              </w:rPr>
            </w:pPr>
            <w:r>
              <w:rPr>
                <w:sz w:val="22"/>
              </w:rPr>
              <w:t>133. Os processos de ensino e aprendizagem não  são lineares, mas emergentes e contextualizados.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272" w:hRule="exact"/>
        </w:trPr>
        <w:tc>
          <w:tcPr>
            <w:tcW w:w="3856" w:type="dxa"/>
          </w:tcPr>
          <w:p>
            <w:pPr>
              <w:pStyle w:val="TableParagraph"/>
              <w:ind w:left="643" w:right="102" w:hanging="543"/>
              <w:jc w:val="both"/>
              <w:rPr>
                <w:sz w:val="22"/>
              </w:rPr>
            </w:pPr>
            <w:r>
              <w:rPr>
                <w:sz w:val="22"/>
              </w:rPr>
              <w:t>134. A escola favorece o crescimento pessoal, os encontros de estudo, as relações sociais e com a natureza.</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73" w:hRule="exact"/>
        </w:trPr>
        <w:tc>
          <w:tcPr>
            <w:tcW w:w="3856" w:type="dxa"/>
          </w:tcPr>
          <w:p>
            <w:pPr>
              <w:pStyle w:val="TableParagraph"/>
              <w:spacing w:line="242" w:lineRule="auto"/>
              <w:ind w:left="643" w:right="105" w:hanging="543"/>
              <w:jc w:val="both"/>
              <w:rPr>
                <w:sz w:val="22"/>
              </w:rPr>
            </w:pPr>
            <w:r>
              <w:rPr>
                <w:sz w:val="22"/>
              </w:rPr>
              <w:t>135. A prática docente  é  integradora, sensível, criativa e transformadora.</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68" w:hRule="exact"/>
        </w:trPr>
        <w:tc>
          <w:tcPr>
            <w:tcW w:w="3856" w:type="dxa"/>
          </w:tcPr>
          <w:p>
            <w:pPr>
              <w:pStyle w:val="TableParagraph"/>
              <w:ind w:left="643" w:right="104" w:hanging="543"/>
              <w:jc w:val="both"/>
              <w:rPr>
                <w:sz w:val="22"/>
              </w:rPr>
            </w:pPr>
            <w:r>
              <w:rPr>
                <w:sz w:val="22"/>
              </w:rPr>
              <w:t>136. A escola assume as relações entre o sujeito, a sociedade e a natureza.</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298" w:hRule="exact"/>
        </w:trPr>
        <w:tc>
          <w:tcPr>
            <w:tcW w:w="3856" w:type="dxa"/>
            <w:shd w:val="clear" w:color="auto" w:fill="D0CECE"/>
          </w:tcPr>
          <w:p>
            <w:pPr>
              <w:pStyle w:val="TableParagraph"/>
              <w:spacing w:line="243" w:lineRule="exact"/>
              <w:ind w:left="1574" w:right="1584"/>
              <w:rPr>
                <w:b/>
                <w:sz w:val="22"/>
              </w:rPr>
            </w:pPr>
            <w:r>
              <w:rPr>
                <w:b/>
                <w:sz w:val="22"/>
              </w:rPr>
              <w:t>ITENS</w:t>
            </w:r>
          </w:p>
        </w:tc>
        <w:tc>
          <w:tcPr>
            <w:tcW w:w="485" w:type="dxa"/>
            <w:shd w:val="clear" w:color="auto" w:fill="D0CECE"/>
          </w:tcPr>
          <w:p>
            <w:pPr>
              <w:pStyle w:val="TableParagraph"/>
              <w:spacing w:line="243" w:lineRule="exact"/>
              <w:ind w:left="93" w:right="96"/>
              <w:rPr>
                <w:b/>
                <w:sz w:val="22"/>
              </w:rPr>
            </w:pPr>
            <w:r>
              <w:rPr>
                <w:b/>
                <w:sz w:val="22"/>
              </w:rPr>
              <w:t>01</w:t>
            </w:r>
          </w:p>
        </w:tc>
        <w:tc>
          <w:tcPr>
            <w:tcW w:w="485" w:type="dxa"/>
            <w:shd w:val="clear" w:color="auto" w:fill="D0CECE"/>
          </w:tcPr>
          <w:p>
            <w:pPr>
              <w:pStyle w:val="TableParagraph"/>
              <w:spacing w:line="243" w:lineRule="exact"/>
              <w:ind w:left="94" w:right="96"/>
              <w:rPr>
                <w:b/>
                <w:sz w:val="22"/>
              </w:rPr>
            </w:pPr>
            <w:r>
              <w:rPr>
                <w:b/>
                <w:sz w:val="22"/>
              </w:rPr>
              <w:t>02</w:t>
            </w:r>
          </w:p>
        </w:tc>
        <w:tc>
          <w:tcPr>
            <w:tcW w:w="485" w:type="dxa"/>
            <w:shd w:val="clear" w:color="auto" w:fill="D0CECE"/>
          </w:tcPr>
          <w:p>
            <w:pPr>
              <w:pStyle w:val="TableParagraph"/>
              <w:spacing w:line="243" w:lineRule="exact"/>
              <w:ind w:right="113"/>
              <w:jc w:val="right"/>
              <w:rPr>
                <w:b/>
                <w:sz w:val="22"/>
              </w:rPr>
            </w:pPr>
            <w:r>
              <w:rPr>
                <w:b/>
                <w:sz w:val="22"/>
              </w:rPr>
              <w:t>03</w:t>
            </w:r>
          </w:p>
        </w:tc>
        <w:tc>
          <w:tcPr>
            <w:tcW w:w="481" w:type="dxa"/>
            <w:shd w:val="clear" w:color="auto" w:fill="D0CECE"/>
          </w:tcPr>
          <w:p>
            <w:pPr>
              <w:pStyle w:val="TableParagraph"/>
              <w:spacing w:line="243" w:lineRule="exact"/>
              <w:ind w:right="108"/>
              <w:jc w:val="right"/>
              <w:rPr>
                <w:b/>
                <w:sz w:val="22"/>
              </w:rPr>
            </w:pPr>
            <w:r>
              <w:rPr>
                <w:b/>
                <w:sz w:val="22"/>
              </w:rPr>
              <w:t>04</w:t>
            </w:r>
          </w:p>
        </w:tc>
        <w:tc>
          <w:tcPr>
            <w:tcW w:w="494" w:type="dxa"/>
            <w:shd w:val="clear" w:color="auto" w:fill="D0CECE"/>
          </w:tcPr>
          <w:p>
            <w:pPr>
              <w:pStyle w:val="TableParagraph"/>
              <w:spacing w:line="243" w:lineRule="exact"/>
              <w:ind w:right="119"/>
              <w:jc w:val="right"/>
              <w:rPr>
                <w:b/>
                <w:sz w:val="22"/>
              </w:rPr>
            </w:pPr>
            <w:r>
              <w:rPr>
                <w:b/>
                <w:sz w:val="22"/>
              </w:rPr>
              <w:t>05</w:t>
            </w:r>
          </w:p>
        </w:tc>
        <w:tc>
          <w:tcPr>
            <w:tcW w:w="490" w:type="dxa"/>
            <w:shd w:val="clear" w:color="auto" w:fill="D0CECE"/>
          </w:tcPr>
          <w:p>
            <w:pPr>
              <w:pStyle w:val="TableParagraph"/>
              <w:spacing w:line="243" w:lineRule="exact"/>
              <w:ind w:right="113"/>
              <w:jc w:val="right"/>
              <w:rPr>
                <w:b/>
                <w:sz w:val="22"/>
              </w:rPr>
            </w:pPr>
            <w:r>
              <w:rPr>
                <w:b/>
                <w:sz w:val="22"/>
              </w:rPr>
              <w:t>06</w:t>
            </w:r>
          </w:p>
        </w:tc>
        <w:tc>
          <w:tcPr>
            <w:tcW w:w="494" w:type="dxa"/>
            <w:shd w:val="clear" w:color="auto" w:fill="D0CECE"/>
          </w:tcPr>
          <w:p>
            <w:pPr>
              <w:pStyle w:val="TableParagraph"/>
              <w:spacing w:line="243" w:lineRule="exact"/>
              <w:ind w:left="99" w:right="101"/>
              <w:rPr>
                <w:b/>
                <w:sz w:val="22"/>
              </w:rPr>
            </w:pPr>
            <w:r>
              <w:rPr>
                <w:b/>
                <w:sz w:val="22"/>
              </w:rPr>
              <w:t>07</w:t>
            </w:r>
          </w:p>
        </w:tc>
        <w:tc>
          <w:tcPr>
            <w:tcW w:w="509" w:type="dxa"/>
            <w:shd w:val="clear" w:color="auto" w:fill="D0CECE"/>
          </w:tcPr>
          <w:p>
            <w:pPr>
              <w:pStyle w:val="TableParagraph"/>
              <w:spacing w:line="243" w:lineRule="exact"/>
              <w:ind w:left="124"/>
              <w:jc w:val="left"/>
              <w:rPr>
                <w:b/>
                <w:sz w:val="22"/>
              </w:rPr>
            </w:pPr>
            <w:r>
              <w:rPr>
                <w:b/>
                <w:sz w:val="22"/>
              </w:rPr>
              <w:t>08</w:t>
            </w:r>
          </w:p>
        </w:tc>
        <w:tc>
          <w:tcPr>
            <w:tcW w:w="509" w:type="dxa"/>
            <w:shd w:val="clear" w:color="auto" w:fill="D0CECE"/>
          </w:tcPr>
          <w:p>
            <w:pPr>
              <w:pStyle w:val="TableParagraph"/>
              <w:spacing w:line="243" w:lineRule="exact"/>
              <w:ind w:right="122"/>
              <w:jc w:val="right"/>
              <w:rPr>
                <w:b/>
                <w:sz w:val="22"/>
              </w:rPr>
            </w:pPr>
            <w:r>
              <w:rPr>
                <w:b/>
                <w:sz w:val="22"/>
              </w:rPr>
              <w:t>09</w:t>
            </w:r>
          </w:p>
        </w:tc>
        <w:tc>
          <w:tcPr>
            <w:tcW w:w="514" w:type="dxa"/>
            <w:shd w:val="clear" w:color="auto" w:fill="D0CECE"/>
          </w:tcPr>
          <w:p>
            <w:pPr>
              <w:pStyle w:val="TableParagraph"/>
              <w:spacing w:line="243" w:lineRule="exact"/>
              <w:ind w:left="108" w:right="111"/>
              <w:rPr>
                <w:b/>
                <w:sz w:val="22"/>
              </w:rPr>
            </w:pPr>
            <w:r>
              <w:rPr>
                <w:b/>
                <w:sz w:val="22"/>
              </w:rPr>
              <w:t>10</w:t>
            </w:r>
          </w:p>
        </w:tc>
      </w:tr>
      <w:tr>
        <w:trPr>
          <w:trHeight w:val="1023" w:hRule="exact"/>
        </w:trPr>
        <w:tc>
          <w:tcPr>
            <w:tcW w:w="3856" w:type="dxa"/>
          </w:tcPr>
          <w:p>
            <w:pPr>
              <w:pStyle w:val="TableParagraph"/>
              <w:ind w:left="643" w:right="104" w:hanging="543"/>
              <w:jc w:val="both"/>
              <w:rPr>
                <w:sz w:val="22"/>
              </w:rPr>
            </w:pPr>
            <w:r>
              <w:rPr>
                <w:sz w:val="22"/>
              </w:rPr>
              <w:t>137. O currículo base orienta, mas tem abertura e flexibilidade  para transversalidade e interculturalidade.</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3" w:hRule="exact"/>
        </w:trPr>
        <w:tc>
          <w:tcPr>
            <w:tcW w:w="3856" w:type="dxa"/>
          </w:tcPr>
          <w:p>
            <w:pPr>
              <w:pStyle w:val="TableParagraph"/>
              <w:spacing w:line="242" w:lineRule="auto"/>
              <w:ind w:left="643" w:right="102" w:hanging="543"/>
              <w:jc w:val="both"/>
              <w:rPr>
                <w:sz w:val="22"/>
              </w:rPr>
            </w:pPr>
            <w:r>
              <w:rPr>
                <w:sz w:val="22"/>
              </w:rPr>
              <w:t>138. O planejamento se  conecta com outras formas de saber a partir da comunicação e escuta sensível.</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2" w:hRule="exact"/>
        </w:trPr>
        <w:tc>
          <w:tcPr>
            <w:tcW w:w="3856" w:type="dxa"/>
          </w:tcPr>
          <w:p>
            <w:pPr>
              <w:pStyle w:val="TableParagraph"/>
              <w:ind w:left="643" w:right="104" w:hanging="543"/>
              <w:jc w:val="both"/>
              <w:rPr>
                <w:sz w:val="22"/>
              </w:rPr>
            </w:pPr>
            <w:r>
              <w:rPr>
                <w:sz w:val="22"/>
              </w:rPr>
              <w:t>139. A escola  promove  a criatividade do aluno facilitando a manipulação e criação de materiais.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68" w:hRule="exact"/>
        </w:trPr>
        <w:tc>
          <w:tcPr>
            <w:tcW w:w="3856" w:type="dxa"/>
          </w:tcPr>
          <w:p>
            <w:pPr>
              <w:pStyle w:val="TableParagraph"/>
              <w:spacing w:line="242" w:lineRule="auto"/>
              <w:ind w:left="643" w:right="101" w:hanging="543"/>
              <w:jc w:val="both"/>
              <w:rPr>
                <w:sz w:val="22"/>
              </w:rPr>
            </w:pPr>
            <w:r>
              <w:rPr>
                <w:sz w:val="22"/>
              </w:rPr>
              <w:t>140. Os conteúdos integram  diversos saberes, interesses particulares e</w:t>
            </w:r>
            <w:r>
              <w:rPr>
                <w:spacing w:val="-15"/>
                <w:sz w:val="22"/>
              </w:rPr>
              <w:t> </w:t>
            </w:r>
            <w:r>
              <w:rPr>
                <w:sz w:val="22"/>
              </w:rPr>
              <w:t>socioculturais.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73" w:hRule="exact"/>
        </w:trPr>
        <w:tc>
          <w:tcPr>
            <w:tcW w:w="3856" w:type="dxa"/>
          </w:tcPr>
          <w:p>
            <w:pPr>
              <w:pStyle w:val="TableParagraph"/>
              <w:spacing w:line="242" w:lineRule="auto"/>
              <w:ind w:left="643" w:right="101" w:hanging="543"/>
              <w:jc w:val="both"/>
              <w:rPr>
                <w:sz w:val="22"/>
              </w:rPr>
            </w:pPr>
            <w:r>
              <w:rPr>
                <w:sz w:val="22"/>
              </w:rPr>
              <w:t>141. As atividades fomentam desafios e a resolução de problemas.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69" w:hRule="exact"/>
        </w:trPr>
        <w:tc>
          <w:tcPr>
            <w:tcW w:w="3856" w:type="dxa"/>
          </w:tcPr>
          <w:p>
            <w:pPr>
              <w:pStyle w:val="TableParagraph"/>
              <w:ind w:left="643" w:right="105" w:hanging="543"/>
              <w:jc w:val="both"/>
              <w:rPr>
                <w:sz w:val="22"/>
              </w:rPr>
            </w:pPr>
            <w:r>
              <w:rPr>
                <w:sz w:val="22"/>
              </w:rPr>
              <w:t>142. O currículo vem marcado pela iniciativa, a criatividade e a inovação.</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298" w:hRule="exact"/>
        </w:trPr>
        <w:tc>
          <w:tcPr>
            <w:tcW w:w="3856" w:type="dxa"/>
            <w:shd w:val="clear" w:color="auto" w:fill="D9D9D9"/>
          </w:tcPr>
          <w:p>
            <w:pPr>
              <w:pStyle w:val="TableParagraph"/>
              <w:spacing w:line="243" w:lineRule="exact"/>
              <w:ind w:left="1574" w:right="1584"/>
              <w:rPr>
                <w:b/>
                <w:sz w:val="22"/>
              </w:rPr>
            </w:pPr>
            <w:r>
              <w:rPr>
                <w:b/>
                <w:sz w:val="22"/>
              </w:rPr>
              <w:t>ITENS</w:t>
            </w:r>
          </w:p>
        </w:tc>
        <w:tc>
          <w:tcPr>
            <w:tcW w:w="485" w:type="dxa"/>
            <w:shd w:val="clear" w:color="auto" w:fill="D9D9D9"/>
          </w:tcPr>
          <w:p>
            <w:pPr>
              <w:pStyle w:val="TableParagraph"/>
              <w:spacing w:line="243" w:lineRule="exact"/>
              <w:ind w:left="93" w:right="96"/>
              <w:rPr>
                <w:b/>
                <w:sz w:val="22"/>
              </w:rPr>
            </w:pPr>
            <w:r>
              <w:rPr>
                <w:b/>
                <w:sz w:val="22"/>
              </w:rPr>
              <w:t>01</w:t>
            </w:r>
          </w:p>
        </w:tc>
        <w:tc>
          <w:tcPr>
            <w:tcW w:w="485" w:type="dxa"/>
            <w:shd w:val="clear" w:color="auto" w:fill="D9D9D9"/>
          </w:tcPr>
          <w:p>
            <w:pPr>
              <w:pStyle w:val="TableParagraph"/>
              <w:spacing w:line="243" w:lineRule="exact"/>
              <w:ind w:left="94" w:right="96"/>
              <w:rPr>
                <w:b/>
                <w:sz w:val="22"/>
              </w:rPr>
            </w:pPr>
            <w:r>
              <w:rPr>
                <w:b/>
                <w:sz w:val="22"/>
              </w:rPr>
              <w:t>02</w:t>
            </w:r>
          </w:p>
        </w:tc>
        <w:tc>
          <w:tcPr>
            <w:tcW w:w="485" w:type="dxa"/>
            <w:shd w:val="clear" w:color="auto" w:fill="D9D9D9"/>
          </w:tcPr>
          <w:p>
            <w:pPr>
              <w:pStyle w:val="TableParagraph"/>
              <w:spacing w:line="243" w:lineRule="exact"/>
              <w:ind w:right="113"/>
              <w:jc w:val="right"/>
              <w:rPr>
                <w:b/>
                <w:sz w:val="22"/>
              </w:rPr>
            </w:pPr>
            <w:r>
              <w:rPr>
                <w:b/>
                <w:sz w:val="22"/>
              </w:rPr>
              <w:t>03</w:t>
            </w:r>
          </w:p>
        </w:tc>
        <w:tc>
          <w:tcPr>
            <w:tcW w:w="481" w:type="dxa"/>
            <w:shd w:val="clear" w:color="auto" w:fill="D9D9D9"/>
          </w:tcPr>
          <w:p>
            <w:pPr>
              <w:pStyle w:val="TableParagraph"/>
              <w:spacing w:line="243" w:lineRule="exact"/>
              <w:ind w:right="108"/>
              <w:jc w:val="right"/>
              <w:rPr>
                <w:b/>
                <w:sz w:val="22"/>
              </w:rPr>
            </w:pPr>
            <w:r>
              <w:rPr>
                <w:b/>
                <w:sz w:val="22"/>
              </w:rPr>
              <w:t>04</w:t>
            </w:r>
          </w:p>
        </w:tc>
        <w:tc>
          <w:tcPr>
            <w:tcW w:w="494" w:type="dxa"/>
            <w:shd w:val="clear" w:color="auto" w:fill="D9D9D9"/>
          </w:tcPr>
          <w:p>
            <w:pPr>
              <w:pStyle w:val="TableParagraph"/>
              <w:spacing w:line="243" w:lineRule="exact"/>
              <w:ind w:right="119"/>
              <w:jc w:val="right"/>
              <w:rPr>
                <w:b/>
                <w:sz w:val="22"/>
              </w:rPr>
            </w:pPr>
            <w:r>
              <w:rPr>
                <w:b/>
                <w:sz w:val="22"/>
              </w:rPr>
              <w:t>05</w:t>
            </w:r>
          </w:p>
        </w:tc>
        <w:tc>
          <w:tcPr>
            <w:tcW w:w="490" w:type="dxa"/>
            <w:shd w:val="clear" w:color="auto" w:fill="D9D9D9"/>
          </w:tcPr>
          <w:p>
            <w:pPr>
              <w:pStyle w:val="TableParagraph"/>
              <w:spacing w:line="243" w:lineRule="exact"/>
              <w:ind w:right="113"/>
              <w:jc w:val="right"/>
              <w:rPr>
                <w:b/>
                <w:sz w:val="22"/>
              </w:rPr>
            </w:pPr>
            <w:r>
              <w:rPr>
                <w:b/>
                <w:sz w:val="22"/>
              </w:rPr>
              <w:t>06</w:t>
            </w:r>
          </w:p>
        </w:tc>
        <w:tc>
          <w:tcPr>
            <w:tcW w:w="494" w:type="dxa"/>
            <w:shd w:val="clear" w:color="auto" w:fill="D9D9D9"/>
          </w:tcPr>
          <w:p>
            <w:pPr>
              <w:pStyle w:val="TableParagraph"/>
              <w:spacing w:line="243" w:lineRule="exact"/>
              <w:ind w:left="99" w:right="101"/>
              <w:rPr>
                <w:b/>
                <w:sz w:val="22"/>
              </w:rPr>
            </w:pPr>
            <w:r>
              <w:rPr>
                <w:b/>
                <w:sz w:val="22"/>
              </w:rPr>
              <w:t>07</w:t>
            </w:r>
          </w:p>
        </w:tc>
        <w:tc>
          <w:tcPr>
            <w:tcW w:w="509" w:type="dxa"/>
            <w:shd w:val="clear" w:color="auto" w:fill="D9D9D9"/>
          </w:tcPr>
          <w:p>
            <w:pPr>
              <w:pStyle w:val="TableParagraph"/>
              <w:spacing w:line="243" w:lineRule="exact"/>
              <w:ind w:left="124"/>
              <w:jc w:val="left"/>
              <w:rPr>
                <w:b/>
                <w:sz w:val="22"/>
              </w:rPr>
            </w:pPr>
            <w:r>
              <w:rPr>
                <w:b/>
                <w:sz w:val="22"/>
              </w:rPr>
              <w:t>08</w:t>
            </w:r>
          </w:p>
        </w:tc>
        <w:tc>
          <w:tcPr>
            <w:tcW w:w="509" w:type="dxa"/>
            <w:shd w:val="clear" w:color="auto" w:fill="D9D9D9"/>
          </w:tcPr>
          <w:p>
            <w:pPr>
              <w:pStyle w:val="TableParagraph"/>
              <w:spacing w:line="243" w:lineRule="exact"/>
              <w:ind w:right="122"/>
              <w:jc w:val="right"/>
              <w:rPr>
                <w:b/>
                <w:sz w:val="22"/>
              </w:rPr>
            </w:pPr>
            <w:r>
              <w:rPr>
                <w:b/>
                <w:sz w:val="22"/>
              </w:rPr>
              <w:t>09</w:t>
            </w:r>
          </w:p>
        </w:tc>
        <w:tc>
          <w:tcPr>
            <w:tcW w:w="514" w:type="dxa"/>
            <w:shd w:val="clear" w:color="auto" w:fill="D9D9D9"/>
          </w:tcPr>
          <w:p>
            <w:pPr>
              <w:pStyle w:val="TableParagraph"/>
              <w:spacing w:line="243" w:lineRule="exact"/>
              <w:ind w:left="108" w:right="111"/>
              <w:rPr>
                <w:b/>
                <w:sz w:val="22"/>
              </w:rPr>
            </w:pPr>
            <w:r>
              <w:rPr>
                <w:b/>
                <w:sz w:val="22"/>
              </w:rPr>
              <w:t>10</w:t>
            </w:r>
          </w:p>
        </w:tc>
      </w:tr>
      <w:tr>
        <w:trPr>
          <w:trHeight w:val="773" w:hRule="exact"/>
        </w:trPr>
        <w:tc>
          <w:tcPr>
            <w:tcW w:w="3856" w:type="dxa"/>
          </w:tcPr>
          <w:p>
            <w:pPr>
              <w:pStyle w:val="TableParagraph"/>
              <w:spacing w:line="242" w:lineRule="auto"/>
              <w:ind w:left="643" w:right="104" w:hanging="543"/>
              <w:jc w:val="both"/>
              <w:rPr>
                <w:sz w:val="22"/>
              </w:rPr>
            </w:pPr>
            <w:r>
              <w:rPr>
                <w:sz w:val="22"/>
              </w:rPr>
              <w:t>143. O planejamento  representa uma consciência ampliada a respeito da educação.</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bl>
    <w:p>
      <w:pPr>
        <w:spacing w:after="0"/>
        <w:sectPr>
          <w:pgSz w:w="11910" w:h="16840"/>
          <w:pgMar w:header="1133" w:footer="0" w:top="1340" w:bottom="280" w:left="1680" w:right="1000"/>
        </w:sectPr>
      </w:pPr>
    </w:p>
    <w:p>
      <w:pPr>
        <w:pStyle w:val="BodyText"/>
        <w:spacing w:before="7" w:after="1"/>
        <w:rPr>
          <w:rFonts w:ascii="Times New Roman"/>
          <w:sz w:val="29"/>
        </w:rPr>
      </w:pPr>
    </w:p>
    <w:tbl>
      <w:tblPr>
        <w:tblW w:w="0" w:type="auto"/>
        <w:jc w:val="left"/>
        <w:tblInd w:w="2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56"/>
        <w:gridCol w:w="485"/>
        <w:gridCol w:w="485"/>
        <w:gridCol w:w="485"/>
        <w:gridCol w:w="481"/>
        <w:gridCol w:w="494"/>
        <w:gridCol w:w="490"/>
        <w:gridCol w:w="494"/>
        <w:gridCol w:w="509"/>
        <w:gridCol w:w="509"/>
        <w:gridCol w:w="514"/>
      </w:tblGrid>
      <w:tr>
        <w:trPr>
          <w:trHeight w:val="1023" w:hRule="exact"/>
        </w:trPr>
        <w:tc>
          <w:tcPr>
            <w:tcW w:w="3856" w:type="dxa"/>
          </w:tcPr>
          <w:p>
            <w:pPr>
              <w:pStyle w:val="TableParagraph"/>
              <w:spacing w:line="242" w:lineRule="auto"/>
              <w:ind w:left="643" w:right="102" w:hanging="543"/>
              <w:jc w:val="both"/>
              <w:rPr>
                <w:sz w:val="22"/>
              </w:rPr>
            </w:pPr>
            <w:r>
              <w:rPr>
                <w:sz w:val="22"/>
              </w:rPr>
              <w:t>144. O sistema de ensino e de aprendizagem busca um ser autônomo, transformador e colaborativo.</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68" w:hRule="exact"/>
        </w:trPr>
        <w:tc>
          <w:tcPr>
            <w:tcW w:w="3856" w:type="dxa"/>
          </w:tcPr>
          <w:p>
            <w:pPr>
              <w:pStyle w:val="TableParagraph"/>
              <w:spacing w:line="242" w:lineRule="auto"/>
              <w:ind w:left="643" w:right="102" w:hanging="543"/>
              <w:jc w:val="both"/>
              <w:rPr>
                <w:sz w:val="22"/>
              </w:rPr>
            </w:pPr>
            <w:r>
              <w:rPr>
                <w:sz w:val="22"/>
              </w:rPr>
              <w:t>145. Busco alternativas de soluções de problemas no ensino  com os alunos.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73" w:hRule="exact"/>
        </w:trPr>
        <w:tc>
          <w:tcPr>
            <w:tcW w:w="3856" w:type="dxa"/>
          </w:tcPr>
          <w:p>
            <w:pPr>
              <w:pStyle w:val="TableParagraph"/>
              <w:ind w:left="643" w:right="99" w:hanging="543"/>
              <w:jc w:val="both"/>
              <w:rPr>
                <w:sz w:val="22"/>
              </w:rPr>
            </w:pPr>
            <w:r>
              <w:rPr>
                <w:sz w:val="22"/>
              </w:rPr>
              <w:t>146. Arte, música e teatro surgem como recursos didáticos utilizados.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68" w:hRule="exact"/>
        </w:trPr>
        <w:tc>
          <w:tcPr>
            <w:tcW w:w="3856" w:type="dxa"/>
          </w:tcPr>
          <w:p>
            <w:pPr>
              <w:pStyle w:val="TableParagraph"/>
              <w:ind w:left="643" w:right="106" w:hanging="543"/>
              <w:jc w:val="both"/>
              <w:rPr>
                <w:sz w:val="22"/>
              </w:rPr>
            </w:pPr>
            <w:r>
              <w:rPr>
                <w:sz w:val="22"/>
              </w:rPr>
              <w:t>147. A colaboração é trabalhada dentro e fora da sala de aula, inclusive na avaliação.</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3" w:hRule="exact"/>
        </w:trPr>
        <w:tc>
          <w:tcPr>
            <w:tcW w:w="3856" w:type="dxa"/>
          </w:tcPr>
          <w:p>
            <w:pPr>
              <w:pStyle w:val="TableParagraph"/>
              <w:ind w:left="643" w:right="104" w:hanging="543"/>
              <w:jc w:val="both"/>
              <w:rPr>
                <w:sz w:val="22"/>
              </w:rPr>
            </w:pPr>
            <w:r>
              <w:rPr>
                <w:sz w:val="22"/>
              </w:rPr>
              <w:t>148. Relaciono recursos analógicos com as tecnologias virtuais no processo de aprendizagem dos alunos.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298" w:hRule="exact"/>
        </w:trPr>
        <w:tc>
          <w:tcPr>
            <w:tcW w:w="3856" w:type="dxa"/>
            <w:shd w:val="clear" w:color="auto" w:fill="D0CECE"/>
          </w:tcPr>
          <w:p>
            <w:pPr>
              <w:pStyle w:val="TableParagraph"/>
              <w:spacing w:line="243" w:lineRule="exact"/>
              <w:ind w:left="1574" w:right="1584"/>
              <w:rPr>
                <w:b/>
                <w:sz w:val="22"/>
              </w:rPr>
            </w:pPr>
            <w:r>
              <w:rPr>
                <w:b/>
                <w:sz w:val="22"/>
              </w:rPr>
              <w:t>ITENS</w:t>
            </w:r>
          </w:p>
        </w:tc>
        <w:tc>
          <w:tcPr>
            <w:tcW w:w="485" w:type="dxa"/>
            <w:shd w:val="clear" w:color="auto" w:fill="D0CECE"/>
          </w:tcPr>
          <w:p>
            <w:pPr>
              <w:pStyle w:val="TableParagraph"/>
              <w:spacing w:line="243" w:lineRule="exact"/>
              <w:ind w:left="93" w:right="96"/>
              <w:rPr>
                <w:b/>
                <w:sz w:val="22"/>
              </w:rPr>
            </w:pPr>
            <w:r>
              <w:rPr>
                <w:b/>
                <w:sz w:val="22"/>
              </w:rPr>
              <w:t>01</w:t>
            </w:r>
          </w:p>
        </w:tc>
        <w:tc>
          <w:tcPr>
            <w:tcW w:w="485" w:type="dxa"/>
            <w:shd w:val="clear" w:color="auto" w:fill="D0CECE"/>
          </w:tcPr>
          <w:p>
            <w:pPr>
              <w:pStyle w:val="TableParagraph"/>
              <w:spacing w:line="243" w:lineRule="exact"/>
              <w:ind w:left="94" w:right="96"/>
              <w:rPr>
                <w:b/>
                <w:sz w:val="22"/>
              </w:rPr>
            </w:pPr>
            <w:r>
              <w:rPr>
                <w:b/>
                <w:sz w:val="22"/>
              </w:rPr>
              <w:t>02</w:t>
            </w:r>
          </w:p>
        </w:tc>
        <w:tc>
          <w:tcPr>
            <w:tcW w:w="485" w:type="dxa"/>
            <w:shd w:val="clear" w:color="auto" w:fill="D0CECE"/>
          </w:tcPr>
          <w:p>
            <w:pPr>
              <w:pStyle w:val="TableParagraph"/>
              <w:spacing w:line="243" w:lineRule="exact"/>
              <w:ind w:right="113"/>
              <w:jc w:val="right"/>
              <w:rPr>
                <w:b/>
                <w:sz w:val="22"/>
              </w:rPr>
            </w:pPr>
            <w:r>
              <w:rPr>
                <w:b/>
                <w:sz w:val="22"/>
              </w:rPr>
              <w:t>03</w:t>
            </w:r>
          </w:p>
        </w:tc>
        <w:tc>
          <w:tcPr>
            <w:tcW w:w="481" w:type="dxa"/>
            <w:shd w:val="clear" w:color="auto" w:fill="D0CECE"/>
          </w:tcPr>
          <w:p>
            <w:pPr>
              <w:pStyle w:val="TableParagraph"/>
              <w:spacing w:line="243" w:lineRule="exact"/>
              <w:ind w:right="108"/>
              <w:jc w:val="right"/>
              <w:rPr>
                <w:b/>
                <w:sz w:val="22"/>
              </w:rPr>
            </w:pPr>
            <w:r>
              <w:rPr>
                <w:b/>
                <w:sz w:val="22"/>
              </w:rPr>
              <w:t>04</w:t>
            </w:r>
          </w:p>
        </w:tc>
        <w:tc>
          <w:tcPr>
            <w:tcW w:w="494" w:type="dxa"/>
            <w:shd w:val="clear" w:color="auto" w:fill="D0CECE"/>
          </w:tcPr>
          <w:p>
            <w:pPr>
              <w:pStyle w:val="TableParagraph"/>
              <w:spacing w:line="243" w:lineRule="exact"/>
              <w:ind w:right="119"/>
              <w:jc w:val="right"/>
              <w:rPr>
                <w:b/>
                <w:sz w:val="22"/>
              </w:rPr>
            </w:pPr>
            <w:r>
              <w:rPr>
                <w:b/>
                <w:sz w:val="22"/>
              </w:rPr>
              <w:t>05</w:t>
            </w:r>
          </w:p>
        </w:tc>
        <w:tc>
          <w:tcPr>
            <w:tcW w:w="490" w:type="dxa"/>
            <w:shd w:val="clear" w:color="auto" w:fill="D0CECE"/>
          </w:tcPr>
          <w:p>
            <w:pPr>
              <w:pStyle w:val="TableParagraph"/>
              <w:spacing w:line="243" w:lineRule="exact"/>
              <w:ind w:right="113"/>
              <w:jc w:val="right"/>
              <w:rPr>
                <w:b/>
                <w:sz w:val="22"/>
              </w:rPr>
            </w:pPr>
            <w:r>
              <w:rPr>
                <w:b/>
                <w:sz w:val="22"/>
              </w:rPr>
              <w:t>06</w:t>
            </w:r>
          </w:p>
        </w:tc>
        <w:tc>
          <w:tcPr>
            <w:tcW w:w="494" w:type="dxa"/>
            <w:shd w:val="clear" w:color="auto" w:fill="D0CECE"/>
          </w:tcPr>
          <w:p>
            <w:pPr>
              <w:pStyle w:val="TableParagraph"/>
              <w:spacing w:line="243" w:lineRule="exact"/>
              <w:ind w:left="99" w:right="101"/>
              <w:rPr>
                <w:b/>
                <w:sz w:val="22"/>
              </w:rPr>
            </w:pPr>
            <w:r>
              <w:rPr>
                <w:b/>
                <w:sz w:val="22"/>
              </w:rPr>
              <w:t>07</w:t>
            </w:r>
          </w:p>
        </w:tc>
        <w:tc>
          <w:tcPr>
            <w:tcW w:w="509" w:type="dxa"/>
            <w:shd w:val="clear" w:color="auto" w:fill="D0CECE"/>
          </w:tcPr>
          <w:p>
            <w:pPr>
              <w:pStyle w:val="TableParagraph"/>
              <w:spacing w:line="243" w:lineRule="exact"/>
              <w:ind w:left="124"/>
              <w:jc w:val="left"/>
              <w:rPr>
                <w:b/>
                <w:sz w:val="22"/>
              </w:rPr>
            </w:pPr>
            <w:r>
              <w:rPr>
                <w:b/>
                <w:sz w:val="22"/>
              </w:rPr>
              <w:t>08</w:t>
            </w:r>
          </w:p>
        </w:tc>
        <w:tc>
          <w:tcPr>
            <w:tcW w:w="509" w:type="dxa"/>
            <w:shd w:val="clear" w:color="auto" w:fill="D0CECE"/>
          </w:tcPr>
          <w:p>
            <w:pPr>
              <w:pStyle w:val="TableParagraph"/>
              <w:spacing w:line="243" w:lineRule="exact"/>
              <w:ind w:right="122"/>
              <w:jc w:val="right"/>
              <w:rPr>
                <w:b/>
                <w:sz w:val="22"/>
              </w:rPr>
            </w:pPr>
            <w:r>
              <w:rPr>
                <w:b/>
                <w:sz w:val="22"/>
              </w:rPr>
              <w:t>09</w:t>
            </w:r>
          </w:p>
        </w:tc>
        <w:tc>
          <w:tcPr>
            <w:tcW w:w="514" w:type="dxa"/>
            <w:shd w:val="clear" w:color="auto" w:fill="D0CECE"/>
          </w:tcPr>
          <w:p>
            <w:pPr>
              <w:pStyle w:val="TableParagraph"/>
              <w:spacing w:line="243" w:lineRule="exact"/>
              <w:ind w:left="108" w:right="111"/>
              <w:rPr>
                <w:b/>
                <w:sz w:val="22"/>
              </w:rPr>
            </w:pPr>
            <w:r>
              <w:rPr>
                <w:b/>
                <w:sz w:val="22"/>
              </w:rPr>
              <w:t>10</w:t>
            </w:r>
          </w:p>
        </w:tc>
      </w:tr>
      <w:tr>
        <w:trPr>
          <w:trHeight w:val="1022" w:hRule="exact"/>
        </w:trPr>
        <w:tc>
          <w:tcPr>
            <w:tcW w:w="3856" w:type="dxa"/>
          </w:tcPr>
          <w:p>
            <w:pPr>
              <w:pStyle w:val="TableParagraph"/>
              <w:tabs>
                <w:tab w:pos="2834" w:val="left" w:leader="none"/>
                <w:tab w:pos="3277" w:val="left" w:leader="none"/>
              </w:tabs>
              <w:ind w:left="643" w:right="101" w:hanging="543"/>
              <w:jc w:val="both"/>
              <w:rPr>
                <w:sz w:val="22"/>
              </w:rPr>
            </w:pPr>
            <w:r>
              <w:rPr>
                <w:sz w:val="22"/>
              </w:rPr>
              <w:t>149. Os alunos saem da avaliação reforçados         </w:t>
            </w:r>
            <w:r>
              <w:rPr>
                <w:spacing w:val="30"/>
                <w:sz w:val="22"/>
              </w:rPr>
              <w:t> </w:t>
            </w:r>
            <w:r>
              <w:rPr>
                <w:sz w:val="22"/>
              </w:rPr>
              <w:t>em</w:t>
              <w:tab/>
              <w:tab/>
              <w:t>suas aprendizagens</w:t>
              <w:tab/>
            </w:r>
            <w:r>
              <w:rPr>
                <w:spacing w:val="-1"/>
                <w:sz w:val="22"/>
              </w:rPr>
              <w:t>mediante </w:t>
            </w:r>
            <w:r>
              <w:rPr>
                <w:sz w:val="22"/>
              </w:rPr>
              <w:t>reflexões dos</w:t>
            </w:r>
            <w:r>
              <w:rPr>
                <w:spacing w:val="-8"/>
                <w:sz w:val="22"/>
              </w:rPr>
              <w:t> </w:t>
            </w:r>
            <w:r>
              <w:rPr>
                <w:sz w:val="22"/>
              </w:rPr>
              <w:t>processos.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73" w:hRule="exact"/>
        </w:trPr>
        <w:tc>
          <w:tcPr>
            <w:tcW w:w="3856" w:type="dxa"/>
          </w:tcPr>
          <w:p>
            <w:pPr>
              <w:pStyle w:val="TableParagraph"/>
              <w:spacing w:line="242" w:lineRule="auto"/>
              <w:ind w:left="643" w:right="104" w:hanging="543"/>
              <w:jc w:val="both"/>
              <w:rPr>
                <w:sz w:val="22"/>
              </w:rPr>
            </w:pPr>
            <w:r>
              <w:rPr>
                <w:sz w:val="22"/>
              </w:rPr>
              <w:t>150. A criatividade, os talentos e as qualidades dos alunos são levadas em conta na avaliação.</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68" w:hRule="exact"/>
        </w:trPr>
        <w:tc>
          <w:tcPr>
            <w:tcW w:w="3856" w:type="dxa"/>
          </w:tcPr>
          <w:p>
            <w:pPr>
              <w:pStyle w:val="TableParagraph"/>
              <w:ind w:left="643" w:right="104" w:hanging="543"/>
              <w:jc w:val="both"/>
              <w:rPr>
                <w:sz w:val="22"/>
              </w:rPr>
            </w:pPr>
            <w:r>
              <w:rPr>
                <w:sz w:val="22"/>
              </w:rPr>
              <w:t>151. A avaliação é integrada e realizada pelos docentes, discentes e gestão.</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68" w:hRule="exact"/>
        </w:trPr>
        <w:tc>
          <w:tcPr>
            <w:tcW w:w="3856" w:type="dxa"/>
          </w:tcPr>
          <w:p>
            <w:pPr>
              <w:pStyle w:val="TableParagraph"/>
              <w:ind w:left="643" w:right="106" w:hanging="543"/>
              <w:jc w:val="both"/>
              <w:rPr>
                <w:sz w:val="22"/>
              </w:rPr>
            </w:pPr>
            <w:r>
              <w:rPr>
                <w:sz w:val="22"/>
              </w:rPr>
              <w:t>152. Todos na escola são abertos a avaliação no sentido de reconhecimento e melhora.</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68" w:hRule="exact"/>
        </w:trPr>
        <w:tc>
          <w:tcPr>
            <w:tcW w:w="3856" w:type="dxa"/>
          </w:tcPr>
          <w:p>
            <w:pPr>
              <w:pStyle w:val="TableParagraph"/>
              <w:ind w:left="643" w:right="104" w:hanging="543"/>
              <w:jc w:val="both"/>
              <w:rPr>
                <w:sz w:val="22"/>
              </w:rPr>
            </w:pPr>
            <w:r>
              <w:rPr>
                <w:sz w:val="22"/>
              </w:rPr>
              <w:t>153. Na avaliação são utilizados recursos, estratégias e instrumentos diversificados.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769" w:hRule="exact"/>
        </w:trPr>
        <w:tc>
          <w:tcPr>
            <w:tcW w:w="3856" w:type="dxa"/>
          </w:tcPr>
          <w:p>
            <w:pPr>
              <w:pStyle w:val="TableParagraph"/>
              <w:spacing w:line="242" w:lineRule="auto"/>
              <w:ind w:left="643" w:right="105" w:hanging="543"/>
              <w:jc w:val="both"/>
              <w:rPr>
                <w:sz w:val="22"/>
              </w:rPr>
            </w:pPr>
            <w:r>
              <w:rPr>
                <w:sz w:val="22"/>
              </w:rPr>
              <w:t>154. A avaliação vai mais além dos objetivos previstos ou programados.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302" w:hRule="exact"/>
        </w:trPr>
        <w:tc>
          <w:tcPr>
            <w:tcW w:w="3856" w:type="dxa"/>
            <w:shd w:val="clear" w:color="auto" w:fill="D0CECE"/>
          </w:tcPr>
          <w:p>
            <w:pPr>
              <w:pStyle w:val="TableParagraph"/>
              <w:spacing w:line="243" w:lineRule="exact"/>
              <w:ind w:left="1574" w:right="1584"/>
              <w:rPr>
                <w:b/>
                <w:sz w:val="22"/>
              </w:rPr>
            </w:pPr>
            <w:r>
              <w:rPr>
                <w:b/>
                <w:sz w:val="22"/>
              </w:rPr>
              <w:t>ITENS</w:t>
            </w:r>
          </w:p>
        </w:tc>
        <w:tc>
          <w:tcPr>
            <w:tcW w:w="485" w:type="dxa"/>
            <w:shd w:val="clear" w:color="auto" w:fill="D0CECE"/>
          </w:tcPr>
          <w:p>
            <w:pPr>
              <w:pStyle w:val="TableParagraph"/>
              <w:spacing w:line="243" w:lineRule="exact"/>
              <w:ind w:left="93" w:right="96"/>
              <w:rPr>
                <w:b/>
                <w:sz w:val="22"/>
              </w:rPr>
            </w:pPr>
            <w:r>
              <w:rPr>
                <w:b/>
                <w:sz w:val="22"/>
              </w:rPr>
              <w:t>01</w:t>
            </w:r>
          </w:p>
        </w:tc>
        <w:tc>
          <w:tcPr>
            <w:tcW w:w="485" w:type="dxa"/>
            <w:shd w:val="clear" w:color="auto" w:fill="D0CECE"/>
          </w:tcPr>
          <w:p>
            <w:pPr>
              <w:pStyle w:val="TableParagraph"/>
              <w:spacing w:line="243" w:lineRule="exact"/>
              <w:ind w:left="94" w:right="96"/>
              <w:rPr>
                <w:b/>
                <w:sz w:val="22"/>
              </w:rPr>
            </w:pPr>
            <w:r>
              <w:rPr>
                <w:b/>
                <w:sz w:val="22"/>
              </w:rPr>
              <w:t>02</w:t>
            </w:r>
          </w:p>
        </w:tc>
        <w:tc>
          <w:tcPr>
            <w:tcW w:w="485" w:type="dxa"/>
            <w:shd w:val="clear" w:color="auto" w:fill="D0CECE"/>
          </w:tcPr>
          <w:p>
            <w:pPr>
              <w:pStyle w:val="TableParagraph"/>
              <w:spacing w:line="243" w:lineRule="exact"/>
              <w:ind w:right="113"/>
              <w:jc w:val="right"/>
              <w:rPr>
                <w:b/>
                <w:sz w:val="22"/>
              </w:rPr>
            </w:pPr>
            <w:r>
              <w:rPr>
                <w:b/>
                <w:sz w:val="22"/>
              </w:rPr>
              <w:t>03</w:t>
            </w:r>
          </w:p>
        </w:tc>
        <w:tc>
          <w:tcPr>
            <w:tcW w:w="481" w:type="dxa"/>
            <w:shd w:val="clear" w:color="auto" w:fill="D0CECE"/>
          </w:tcPr>
          <w:p>
            <w:pPr>
              <w:pStyle w:val="TableParagraph"/>
              <w:spacing w:line="243" w:lineRule="exact"/>
              <w:ind w:right="108"/>
              <w:jc w:val="right"/>
              <w:rPr>
                <w:b/>
                <w:sz w:val="22"/>
              </w:rPr>
            </w:pPr>
            <w:r>
              <w:rPr>
                <w:b/>
                <w:sz w:val="22"/>
              </w:rPr>
              <w:t>04</w:t>
            </w:r>
          </w:p>
        </w:tc>
        <w:tc>
          <w:tcPr>
            <w:tcW w:w="494" w:type="dxa"/>
            <w:shd w:val="clear" w:color="auto" w:fill="D0CECE"/>
          </w:tcPr>
          <w:p>
            <w:pPr>
              <w:pStyle w:val="TableParagraph"/>
              <w:spacing w:line="243" w:lineRule="exact"/>
              <w:ind w:right="119"/>
              <w:jc w:val="right"/>
              <w:rPr>
                <w:b/>
                <w:sz w:val="22"/>
              </w:rPr>
            </w:pPr>
            <w:r>
              <w:rPr>
                <w:b/>
                <w:sz w:val="22"/>
              </w:rPr>
              <w:t>05</w:t>
            </w:r>
          </w:p>
        </w:tc>
        <w:tc>
          <w:tcPr>
            <w:tcW w:w="490" w:type="dxa"/>
            <w:shd w:val="clear" w:color="auto" w:fill="D0CECE"/>
          </w:tcPr>
          <w:p>
            <w:pPr>
              <w:pStyle w:val="TableParagraph"/>
              <w:spacing w:line="243" w:lineRule="exact"/>
              <w:ind w:right="113"/>
              <w:jc w:val="right"/>
              <w:rPr>
                <w:b/>
                <w:sz w:val="22"/>
              </w:rPr>
            </w:pPr>
            <w:r>
              <w:rPr>
                <w:b/>
                <w:sz w:val="22"/>
              </w:rPr>
              <w:t>06</w:t>
            </w:r>
          </w:p>
        </w:tc>
        <w:tc>
          <w:tcPr>
            <w:tcW w:w="494" w:type="dxa"/>
            <w:shd w:val="clear" w:color="auto" w:fill="D0CECE"/>
          </w:tcPr>
          <w:p>
            <w:pPr>
              <w:pStyle w:val="TableParagraph"/>
              <w:spacing w:line="243" w:lineRule="exact"/>
              <w:ind w:left="99" w:right="101"/>
              <w:rPr>
                <w:b/>
                <w:sz w:val="22"/>
              </w:rPr>
            </w:pPr>
            <w:r>
              <w:rPr>
                <w:b/>
                <w:sz w:val="22"/>
              </w:rPr>
              <w:t>07</w:t>
            </w:r>
          </w:p>
        </w:tc>
        <w:tc>
          <w:tcPr>
            <w:tcW w:w="509" w:type="dxa"/>
            <w:shd w:val="clear" w:color="auto" w:fill="D0CECE"/>
          </w:tcPr>
          <w:p>
            <w:pPr>
              <w:pStyle w:val="TableParagraph"/>
              <w:spacing w:line="243" w:lineRule="exact"/>
              <w:ind w:left="124"/>
              <w:jc w:val="left"/>
              <w:rPr>
                <w:b/>
                <w:sz w:val="22"/>
              </w:rPr>
            </w:pPr>
            <w:r>
              <w:rPr>
                <w:b/>
                <w:sz w:val="22"/>
              </w:rPr>
              <w:t>08</w:t>
            </w:r>
          </w:p>
        </w:tc>
        <w:tc>
          <w:tcPr>
            <w:tcW w:w="509" w:type="dxa"/>
            <w:shd w:val="clear" w:color="auto" w:fill="D0CECE"/>
          </w:tcPr>
          <w:p>
            <w:pPr>
              <w:pStyle w:val="TableParagraph"/>
              <w:spacing w:line="243" w:lineRule="exact"/>
              <w:ind w:right="122"/>
              <w:jc w:val="right"/>
              <w:rPr>
                <w:b/>
                <w:sz w:val="22"/>
              </w:rPr>
            </w:pPr>
            <w:r>
              <w:rPr>
                <w:b/>
                <w:sz w:val="22"/>
              </w:rPr>
              <w:t>09</w:t>
            </w:r>
          </w:p>
        </w:tc>
        <w:tc>
          <w:tcPr>
            <w:tcW w:w="514" w:type="dxa"/>
            <w:shd w:val="clear" w:color="auto" w:fill="D0CECE"/>
          </w:tcPr>
          <w:p>
            <w:pPr>
              <w:pStyle w:val="TableParagraph"/>
              <w:spacing w:line="243" w:lineRule="exact"/>
              <w:ind w:left="108" w:right="111"/>
              <w:rPr>
                <w:b/>
                <w:sz w:val="22"/>
              </w:rPr>
            </w:pPr>
            <w:r>
              <w:rPr>
                <w:b/>
                <w:sz w:val="22"/>
              </w:rPr>
              <w:t>10</w:t>
            </w:r>
          </w:p>
        </w:tc>
      </w:tr>
      <w:tr>
        <w:trPr>
          <w:trHeight w:val="1022" w:hRule="exact"/>
        </w:trPr>
        <w:tc>
          <w:tcPr>
            <w:tcW w:w="3856" w:type="dxa"/>
          </w:tcPr>
          <w:p>
            <w:pPr>
              <w:pStyle w:val="TableParagraph"/>
              <w:ind w:left="643" w:right="103" w:hanging="567"/>
              <w:jc w:val="both"/>
              <w:rPr>
                <w:sz w:val="22"/>
              </w:rPr>
            </w:pPr>
            <w:r>
              <w:rPr>
                <w:sz w:val="22"/>
              </w:rPr>
              <w:t>155. Há a promoção de  valores como justiça, igualdade, democracia, paz e verdade  com os</w:t>
            </w:r>
            <w:r>
              <w:rPr>
                <w:spacing w:val="-5"/>
                <w:sz w:val="22"/>
              </w:rPr>
              <w:t> </w:t>
            </w:r>
            <w:r>
              <w:rPr>
                <w:sz w:val="22"/>
              </w:rPr>
              <w:t>alunos.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3" w:hRule="exact"/>
        </w:trPr>
        <w:tc>
          <w:tcPr>
            <w:tcW w:w="3856" w:type="dxa"/>
          </w:tcPr>
          <w:p>
            <w:pPr>
              <w:pStyle w:val="TableParagraph"/>
              <w:ind w:left="643" w:right="104" w:hanging="567"/>
              <w:jc w:val="both"/>
              <w:rPr>
                <w:sz w:val="22"/>
              </w:rPr>
            </w:pPr>
            <w:r>
              <w:rPr>
                <w:sz w:val="22"/>
              </w:rPr>
              <w:t>156. A escola auxilia o aluno a perceber, dentro de si, suas potencialidades, talentos e atributos.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3" w:hRule="exact"/>
        </w:trPr>
        <w:tc>
          <w:tcPr>
            <w:tcW w:w="3856" w:type="dxa"/>
          </w:tcPr>
          <w:p>
            <w:pPr>
              <w:pStyle w:val="TableParagraph"/>
              <w:ind w:left="643" w:right="104" w:hanging="567"/>
              <w:jc w:val="both"/>
              <w:rPr>
                <w:sz w:val="22"/>
              </w:rPr>
            </w:pPr>
            <w:r>
              <w:rPr>
                <w:sz w:val="22"/>
              </w:rPr>
              <w:t>157. A escola objetiva a sensibilidade, a competência afetivo-social e a ampliação da consciência dos alunos.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2" w:hRule="exact"/>
        </w:trPr>
        <w:tc>
          <w:tcPr>
            <w:tcW w:w="3856" w:type="dxa"/>
          </w:tcPr>
          <w:p>
            <w:pPr>
              <w:pStyle w:val="TableParagraph"/>
              <w:tabs>
                <w:tab w:pos="2686" w:val="left" w:leader="none"/>
              </w:tabs>
              <w:ind w:left="643" w:right="100" w:hanging="567"/>
              <w:jc w:val="both"/>
              <w:rPr>
                <w:sz w:val="22"/>
              </w:rPr>
            </w:pPr>
            <w:r>
              <w:rPr>
                <w:sz w:val="22"/>
              </w:rPr>
              <w:t>158. Há o atendimento às necessidades</w:t>
              <w:tab/>
              <w:t>educativas especiais como apoio aos alunos.</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bl>
    <w:p>
      <w:pPr>
        <w:spacing w:after="0"/>
        <w:sectPr>
          <w:pgSz w:w="11910" w:h="16840"/>
          <w:pgMar w:header="1133" w:footer="0" w:top="1340" w:bottom="280" w:left="1680" w:right="1000"/>
        </w:sectPr>
      </w:pPr>
    </w:p>
    <w:p>
      <w:pPr>
        <w:pStyle w:val="BodyText"/>
        <w:spacing w:before="7" w:after="1"/>
        <w:rPr>
          <w:rFonts w:ascii="Times New Roman"/>
          <w:sz w:val="29"/>
        </w:rPr>
      </w:pPr>
    </w:p>
    <w:tbl>
      <w:tblPr>
        <w:tblW w:w="0" w:type="auto"/>
        <w:jc w:val="left"/>
        <w:tblInd w:w="2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56"/>
        <w:gridCol w:w="485"/>
        <w:gridCol w:w="485"/>
        <w:gridCol w:w="485"/>
        <w:gridCol w:w="481"/>
        <w:gridCol w:w="494"/>
        <w:gridCol w:w="490"/>
        <w:gridCol w:w="494"/>
        <w:gridCol w:w="509"/>
        <w:gridCol w:w="509"/>
        <w:gridCol w:w="514"/>
      </w:tblGrid>
      <w:tr>
        <w:trPr>
          <w:trHeight w:val="773" w:hRule="exact"/>
        </w:trPr>
        <w:tc>
          <w:tcPr>
            <w:tcW w:w="3856" w:type="dxa"/>
          </w:tcPr>
          <w:p>
            <w:pPr>
              <w:pStyle w:val="TableParagraph"/>
              <w:spacing w:line="242" w:lineRule="auto"/>
              <w:ind w:left="643" w:right="104" w:hanging="567"/>
              <w:jc w:val="both"/>
              <w:rPr>
                <w:sz w:val="22"/>
              </w:rPr>
            </w:pPr>
            <w:r>
              <w:rPr>
                <w:sz w:val="22"/>
              </w:rPr>
              <w:t>159. São trabalhados com os alunos a ética ecológica e  planetária de maneira ampla.</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1021" w:hRule="exact"/>
        </w:trPr>
        <w:tc>
          <w:tcPr>
            <w:tcW w:w="3856" w:type="dxa"/>
          </w:tcPr>
          <w:p>
            <w:pPr>
              <w:pStyle w:val="TableParagraph"/>
              <w:ind w:left="643" w:right="104" w:hanging="567"/>
              <w:jc w:val="both"/>
              <w:rPr>
                <w:sz w:val="22"/>
              </w:rPr>
            </w:pPr>
            <w:r>
              <w:rPr>
                <w:sz w:val="22"/>
              </w:rPr>
              <w:t>160. A aceitação da pluralidade de crenças e valores espirituais  faz parte do cotidiano da escola.</w:t>
            </w:r>
          </w:p>
        </w:tc>
        <w:tc>
          <w:tcPr>
            <w:tcW w:w="485" w:type="dxa"/>
          </w:tcPr>
          <w:p>
            <w:pPr/>
          </w:p>
        </w:tc>
        <w:tc>
          <w:tcPr>
            <w:tcW w:w="485" w:type="dxa"/>
          </w:tcPr>
          <w:p>
            <w:pPr/>
          </w:p>
        </w:tc>
        <w:tc>
          <w:tcPr>
            <w:tcW w:w="485" w:type="dxa"/>
          </w:tcPr>
          <w:p>
            <w:pPr/>
          </w:p>
        </w:tc>
        <w:tc>
          <w:tcPr>
            <w:tcW w:w="481" w:type="dxa"/>
          </w:tcPr>
          <w:p>
            <w:pPr/>
          </w:p>
        </w:tc>
        <w:tc>
          <w:tcPr>
            <w:tcW w:w="494" w:type="dxa"/>
          </w:tcPr>
          <w:p>
            <w:pPr/>
          </w:p>
        </w:tc>
        <w:tc>
          <w:tcPr>
            <w:tcW w:w="490" w:type="dxa"/>
          </w:tcPr>
          <w:p>
            <w:pPr/>
          </w:p>
        </w:tc>
        <w:tc>
          <w:tcPr>
            <w:tcW w:w="494" w:type="dxa"/>
          </w:tcPr>
          <w:p>
            <w:pPr/>
          </w:p>
        </w:tc>
        <w:tc>
          <w:tcPr>
            <w:tcW w:w="509" w:type="dxa"/>
          </w:tcPr>
          <w:p>
            <w:pPr/>
          </w:p>
        </w:tc>
        <w:tc>
          <w:tcPr>
            <w:tcW w:w="509" w:type="dxa"/>
          </w:tcPr>
          <w:p>
            <w:pPr/>
          </w:p>
        </w:tc>
        <w:tc>
          <w:tcPr>
            <w:tcW w:w="514" w:type="dxa"/>
          </w:tcPr>
          <w:p>
            <w:pPr/>
          </w:p>
        </w:tc>
      </w:tr>
      <w:tr>
        <w:trPr>
          <w:trHeight w:val="300" w:hRule="exact"/>
        </w:trPr>
        <w:tc>
          <w:tcPr>
            <w:tcW w:w="3856" w:type="dxa"/>
            <w:shd w:val="clear" w:color="auto" w:fill="D0CECE"/>
          </w:tcPr>
          <w:p>
            <w:pPr/>
          </w:p>
        </w:tc>
        <w:tc>
          <w:tcPr>
            <w:tcW w:w="485" w:type="dxa"/>
            <w:shd w:val="clear" w:color="auto" w:fill="D0CECE"/>
          </w:tcPr>
          <w:p>
            <w:pPr/>
          </w:p>
        </w:tc>
        <w:tc>
          <w:tcPr>
            <w:tcW w:w="485" w:type="dxa"/>
            <w:shd w:val="clear" w:color="auto" w:fill="D0CECE"/>
          </w:tcPr>
          <w:p>
            <w:pPr/>
          </w:p>
        </w:tc>
        <w:tc>
          <w:tcPr>
            <w:tcW w:w="485" w:type="dxa"/>
            <w:shd w:val="clear" w:color="auto" w:fill="D0CECE"/>
          </w:tcPr>
          <w:p>
            <w:pPr/>
          </w:p>
        </w:tc>
        <w:tc>
          <w:tcPr>
            <w:tcW w:w="481" w:type="dxa"/>
            <w:shd w:val="clear" w:color="auto" w:fill="D0CECE"/>
          </w:tcPr>
          <w:p>
            <w:pPr/>
          </w:p>
        </w:tc>
        <w:tc>
          <w:tcPr>
            <w:tcW w:w="494" w:type="dxa"/>
            <w:shd w:val="clear" w:color="auto" w:fill="D0CECE"/>
          </w:tcPr>
          <w:p>
            <w:pPr/>
          </w:p>
        </w:tc>
        <w:tc>
          <w:tcPr>
            <w:tcW w:w="490" w:type="dxa"/>
            <w:shd w:val="clear" w:color="auto" w:fill="D0CECE"/>
          </w:tcPr>
          <w:p>
            <w:pPr/>
          </w:p>
        </w:tc>
        <w:tc>
          <w:tcPr>
            <w:tcW w:w="494" w:type="dxa"/>
            <w:shd w:val="clear" w:color="auto" w:fill="D0CECE"/>
          </w:tcPr>
          <w:p>
            <w:pPr/>
          </w:p>
        </w:tc>
        <w:tc>
          <w:tcPr>
            <w:tcW w:w="509" w:type="dxa"/>
            <w:shd w:val="clear" w:color="auto" w:fill="D0CECE"/>
          </w:tcPr>
          <w:p>
            <w:pPr/>
          </w:p>
        </w:tc>
        <w:tc>
          <w:tcPr>
            <w:tcW w:w="509" w:type="dxa"/>
            <w:shd w:val="clear" w:color="auto" w:fill="D0CECE"/>
          </w:tcPr>
          <w:p>
            <w:pPr/>
          </w:p>
        </w:tc>
        <w:tc>
          <w:tcPr>
            <w:tcW w:w="514" w:type="dxa"/>
            <w:shd w:val="clear" w:color="auto" w:fill="D0CECE"/>
          </w:tcPr>
          <w:p>
            <w:pPr/>
          </w:p>
        </w:tc>
      </w:tr>
    </w:tbl>
    <w:p>
      <w:pPr>
        <w:pStyle w:val="BodyText"/>
        <w:rPr>
          <w:rFonts w:ascii="Times New Roman"/>
          <w:sz w:val="20"/>
        </w:rPr>
      </w:pPr>
    </w:p>
    <w:p>
      <w:pPr>
        <w:pStyle w:val="BodyText"/>
        <w:rPr>
          <w:rFonts w:ascii="Times New Roman"/>
          <w:sz w:val="20"/>
        </w:rPr>
      </w:pPr>
    </w:p>
    <w:p>
      <w:pPr>
        <w:pStyle w:val="BodyText"/>
        <w:spacing w:before="5"/>
        <w:rPr>
          <w:rFonts w:ascii="Times New Roman"/>
          <w:sz w:val="23"/>
        </w:rPr>
      </w:pPr>
    </w:p>
    <w:p>
      <w:pPr>
        <w:spacing w:line="276" w:lineRule="auto" w:before="92"/>
        <w:ind w:left="308" w:right="129" w:firstLine="0"/>
        <w:jc w:val="both"/>
        <w:rPr>
          <w:b/>
          <w:sz w:val="24"/>
        </w:rPr>
      </w:pPr>
      <w:r>
        <w:rPr>
          <w:b/>
          <w:sz w:val="24"/>
        </w:rPr>
        <w:t>TABELA DE VALORIZAÇÃO QUALITATIVA E NUMÉRICA-CRITERIOSA DE 1 A 10 EM FUNÇÃO DA PRESENÇA OU AUSÊNCIA DO INDICADOR VALORIZADO</w:t>
      </w:r>
    </w:p>
    <w:p>
      <w:pPr>
        <w:pStyle w:val="BodyText"/>
        <w:rPr>
          <w:b/>
          <w:sz w:val="20"/>
        </w:rPr>
      </w:pPr>
    </w:p>
    <w:p>
      <w:pPr>
        <w:pStyle w:val="BodyText"/>
        <w:spacing w:before="6"/>
        <w:rPr>
          <w:b/>
          <w:sz w:val="11"/>
        </w:rPr>
      </w:pPr>
    </w:p>
    <w:tbl>
      <w:tblPr>
        <w:tblW w:w="0" w:type="auto"/>
        <w:jc w:val="left"/>
        <w:tblInd w:w="679" w:type="dxa"/>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CellMar>
          <w:top w:w="0" w:type="dxa"/>
          <w:left w:w="0" w:type="dxa"/>
          <w:bottom w:w="0" w:type="dxa"/>
          <w:right w:w="0" w:type="dxa"/>
        </w:tblCellMar>
        <w:tblLook w:val="01E0"/>
      </w:tblPr>
      <w:tblGrid>
        <w:gridCol w:w="4273"/>
        <w:gridCol w:w="1767"/>
        <w:gridCol w:w="1981"/>
      </w:tblGrid>
      <w:tr>
        <w:trPr>
          <w:trHeight w:val="617" w:hRule="exact"/>
        </w:trPr>
        <w:tc>
          <w:tcPr>
            <w:tcW w:w="4273" w:type="dxa"/>
            <w:tcBorders>
              <w:left w:val="thickThinMediumGap" w:sz="9" w:space="0" w:color="000000"/>
              <w:bottom w:val="single" w:sz="4" w:space="0" w:color="000000"/>
              <w:right w:val="single" w:sz="4" w:space="0" w:color="000000"/>
            </w:tcBorders>
          </w:tcPr>
          <w:p>
            <w:pPr>
              <w:pStyle w:val="TableParagraph"/>
              <w:spacing w:line="296" w:lineRule="exact" w:before="7"/>
              <w:ind w:left="1537" w:hanging="1252"/>
              <w:jc w:val="left"/>
              <w:rPr>
                <w:b/>
                <w:sz w:val="25"/>
              </w:rPr>
            </w:pPr>
            <w:r>
              <w:rPr>
                <w:b/>
                <w:sz w:val="25"/>
              </w:rPr>
              <w:t>Presença da característica ou indicador</w:t>
            </w:r>
          </w:p>
        </w:tc>
        <w:tc>
          <w:tcPr>
            <w:tcW w:w="1767" w:type="dxa"/>
            <w:tcBorders>
              <w:left w:val="single" w:sz="4" w:space="0" w:color="000000"/>
              <w:bottom w:val="single" w:sz="4" w:space="0" w:color="000000"/>
              <w:right w:val="single" w:sz="4" w:space="0" w:color="000000"/>
            </w:tcBorders>
          </w:tcPr>
          <w:p>
            <w:pPr>
              <w:pStyle w:val="TableParagraph"/>
              <w:spacing w:line="296" w:lineRule="exact" w:before="7"/>
              <w:ind w:left="266" w:hanging="58"/>
              <w:jc w:val="left"/>
              <w:rPr>
                <w:b/>
                <w:sz w:val="25"/>
              </w:rPr>
            </w:pPr>
            <w:r>
              <w:rPr>
                <w:b/>
                <w:sz w:val="25"/>
              </w:rPr>
              <w:t>Valorização Qualitativa</w:t>
            </w:r>
          </w:p>
        </w:tc>
        <w:tc>
          <w:tcPr>
            <w:tcW w:w="1981" w:type="dxa"/>
            <w:tcBorders>
              <w:left w:val="single" w:sz="4" w:space="0" w:color="000000"/>
              <w:bottom w:val="single" w:sz="4" w:space="0" w:color="000000"/>
              <w:right w:val="single" w:sz="6" w:space="0" w:color="000000"/>
            </w:tcBorders>
          </w:tcPr>
          <w:p>
            <w:pPr>
              <w:pStyle w:val="TableParagraph"/>
              <w:spacing w:line="296" w:lineRule="exact" w:before="7"/>
              <w:ind w:left="393" w:hanging="130"/>
              <w:jc w:val="left"/>
              <w:rPr>
                <w:b/>
                <w:sz w:val="25"/>
              </w:rPr>
            </w:pPr>
            <w:r>
              <w:rPr>
                <w:b/>
                <w:sz w:val="25"/>
              </w:rPr>
              <w:t>Valorização Numérica</w:t>
            </w:r>
          </w:p>
        </w:tc>
      </w:tr>
      <w:tr>
        <w:trPr>
          <w:trHeight w:val="308" w:hRule="exact"/>
        </w:trPr>
        <w:tc>
          <w:tcPr>
            <w:tcW w:w="4273" w:type="dxa"/>
            <w:tcBorders>
              <w:top w:val="single" w:sz="4" w:space="0" w:color="000000"/>
              <w:left w:val="thickThinMediumGap" w:sz="9" w:space="0" w:color="000000"/>
              <w:bottom w:val="single" w:sz="4" w:space="0" w:color="000000"/>
              <w:right w:val="single" w:sz="4" w:space="0" w:color="000000"/>
            </w:tcBorders>
          </w:tcPr>
          <w:p>
            <w:pPr>
              <w:pStyle w:val="TableParagraph"/>
              <w:spacing w:line="297" w:lineRule="exact"/>
              <w:ind w:left="103"/>
              <w:jc w:val="left"/>
              <w:rPr>
                <w:sz w:val="25"/>
              </w:rPr>
            </w:pPr>
            <w:r>
              <w:rPr>
                <w:sz w:val="25"/>
              </w:rPr>
              <w:t>Nunca ou quase nunca</w:t>
            </w:r>
          </w:p>
        </w:tc>
        <w:tc>
          <w:tcPr>
            <w:tcW w:w="1767" w:type="dxa"/>
            <w:tcBorders>
              <w:top w:val="single" w:sz="4" w:space="0" w:color="000000"/>
              <w:left w:val="single" w:sz="4" w:space="0" w:color="000000"/>
              <w:bottom w:val="single" w:sz="4" w:space="0" w:color="000000"/>
              <w:right w:val="single" w:sz="4" w:space="0" w:color="000000"/>
            </w:tcBorders>
          </w:tcPr>
          <w:p>
            <w:pPr>
              <w:pStyle w:val="TableParagraph"/>
              <w:spacing w:line="297" w:lineRule="exact"/>
              <w:ind w:right="730"/>
              <w:jc w:val="right"/>
              <w:rPr>
                <w:sz w:val="25"/>
              </w:rPr>
            </w:pPr>
            <w:r>
              <w:rPr>
                <w:w w:val="99"/>
                <w:sz w:val="25"/>
              </w:rPr>
              <w:t>D</w:t>
            </w:r>
          </w:p>
        </w:tc>
        <w:tc>
          <w:tcPr>
            <w:tcW w:w="1981" w:type="dxa"/>
            <w:tcBorders>
              <w:top w:val="single" w:sz="4" w:space="0" w:color="000000"/>
              <w:left w:val="single" w:sz="4" w:space="0" w:color="000000"/>
              <w:bottom w:val="single" w:sz="4" w:space="0" w:color="000000"/>
              <w:right w:val="single" w:sz="6" w:space="0" w:color="000000"/>
            </w:tcBorders>
          </w:tcPr>
          <w:p>
            <w:pPr>
              <w:pStyle w:val="TableParagraph"/>
              <w:spacing w:line="297" w:lineRule="exact"/>
              <w:ind w:left="675" w:right="670"/>
              <w:rPr>
                <w:sz w:val="25"/>
              </w:rPr>
            </w:pPr>
            <w:r>
              <w:rPr>
                <w:sz w:val="25"/>
              </w:rPr>
              <w:t>1-2</w:t>
            </w:r>
          </w:p>
        </w:tc>
      </w:tr>
      <w:tr>
        <w:trPr>
          <w:trHeight w:val="308" w:hRule="exact"/>
        </w:trPr>
        <w:tc>
          <w:tcPr>
            <w:tcW w:w="4273" w:type="dxa"/>
            <w:tcBorders>
              <w:top w:val="single" w:sz="4" w:space="0" w:color="000000"/>
              <w:left w:val="thickThinMediumGap" w:sz="9" w:space="0" w:color="000000"/>
              <w:bottom w:val="single" w:sz="4" w:space="0" w:color="000000"/>
              <w:right w:val="single" w:sz="4" w:space="0" w:color="000000"/>
            </w:tcBorders>
          </w:tcPr>
          <w:p>
            <w:pPr>
              <w:pStyle w:val="TableParagraph"/>
              <w:spacing w:line="296" w:lineRule="exact"/>
              <w:ind w:left="103"/>
              <w:jc w:val="left"/>
              <w:rPr>
                <w:sz w:val="25"/>
              </w:rPr>
            </w:pPr>
            <w:r>
              <w:rPr>
                <w:sz w:val="25"/>
              </w:rPr>
              <w:t>Às vezes. Ocasionalmente</w:t>
            </w:r>
          </w:p>
        </w:tc>
        <w:tc>
          <w:tcPr>
            <w:tcW w:w="1767" w:type="dxa"/>
            <w:tcBorders>
              <w:top w:val="single" w:sz="4" w:space="0" w:color="000000"/>
              <w:left w:val="single" w:sz="4" w:space="0" w:color="000000"/>
              <w:bottom w:val="single" w:sz="4" w:space="0" w:color="000000"/>
              <w:right w:val="single" w:sz="4" w:space="0" w:color="000000"/>
            </w:tcBorders>
          </w:tcPr>
          <w:p>
            <w:pPr>
              <w:pStyle w:val="TableParagraph"/>
              <w:spacing w:line="296" w:lineRule="exact"/>
              <w:ind w:right="730"/>
              <w:jc w:val="right"/>
              <w:rPr>
                <w:sz w:val="25"/>
              </w:rPr>
            </w:pPr>
            <w:r>
              <w:rPr>
                <w:w w:val="99"/>
                <w:sz w:val="25"/>
              </w:rPr>
              <w:t>C</w:t>
            </w:r>
          </w:p>
        </w:tc>
        <w:tc>
          <w:tcPr>
            <w:tcW w:w="1981" w:type="dxa"/>
            <w:tcBorders>
              <w:top w:val="single" w:sz="4" w:space="0" w:color="000000"/>
              <w:left w:val="single" w:sz="4" w:space="0" w:color="000000"/>
              <w:bottom w:val="single" w:sz="4" w:space="0" w:color="000000"/>
              <w:right w:val="single" w:sz="6" w:space="0" w:color="000000"/>
            </w:tcBorders>
          </w:tcPr>
          <w:p>
            <w:pPr>
              <w:pStyle w:val="TableParagraph"/>
              <w:spacing w:line="296" w:lineRule="exact"/>
              <w:ind w:left="675" w:right="670"/>
              <w:rPr>
                <w:sz w:val="25"/>
              </w:rPr>
            </w:pPr>
            <w:r>
              <w:rPr>
                <w:sz w:val="25"/>
              </w:rPr>
              <w:t>3-4-5</w:t>
            </w:r>
          </w:p>
        </w:tc>
      </w:tr>
      <w:tr>
        <w:trPr>
          <w:trHeight w:val="605" w:hRule="exact"/>
        </w:trPr>
        <w:tc>
          <w:tcPr>
            <w:tcW w:w="4273" w:type="dxa"/>
            <w:tcBorders>
              <w:top w:val="single" w:sz="4" w:space="0" w:color="000000"/>
              <w:left w:val="thickThinMediumGap" w:sz="9" w:space="0" w:color="000000"/>
              <w:bottom w:val="single" w:sz="4" w:space="0" w:color="000000"/>
              <w:right w:val="single" w:sz="4" w:space="0" w:color="000000"/>
            </w:tcBorders>
          </w:tcPr>
          <w:p>
            <w:pPr>
              <w:pStyle w:val="TableParagraph"/>
              <w:spacing w:line="296" w:lineRule="exact" w:before="4"/>
              <w:ind w:left="103" w:right="411"/>
              <w:jc w:val="left"/>
              <w:rPr>
                <w:sz w:val="25"/>
              </w:rPr>
            </w:pPr>
            <w:r>
              <w:rPr>
                <w:sz w:val="25"/>
              </w:rPr>
              <w:t>Muitas vezes ou ocasiões Existem evidências do indicador</w:t>
            </w:r>
          </w:p>
        </w:tc>
        <w:tc>
          <w:tcPr>
            <w:tcW w:w="1767" w:type="dxa"/>
            <w:tcBorders>
              <w:top w:val="single" w:sz="4" w:space="0" w:color="000000"/>
              <w:left w:val="single" w:sz="4" w:space="0" w:color="000000"/>
              <w:bottom w:val="single" w:sz="4" w:space="0" w:color="000000"/>
              <w:right w:val="single" w:sz="4" w:space="0" w:color="000000"/>
            </w:tcBorders>
          </w:tcPr>
          <w:p>
            <w:pPr>
              <w:pStyle w:val="TableParagraph"/>
              <w:spacing w:line="296" w:lineRule="exact"/>
              <w:ind w:right="737"/>
              <w:jc w:val="right"/>
              <w:rPr>
                <w:sz w:val="25"/>
              </w:rPr>
            </w:pPr>
            <w:r>
              <w:rPr>
                <w:w w:val="99"/>
                <w:sz w:val="25"/>
              </w:rPr>
              <w:t>B</w:t>
            </w:r>
          </w:p>
        </w:tc>
        <w:tc>
          <w:tcPr>
            <w:tcW w:w="1981" w:type="dxa"/>
            <w:tcBorders>
              <w:top w:val="single" w:sz="4" w:space="0" w:color="000000"/>
              <w:left w:val="single" w:sz="4" w:space="0" w:color="000000"/>
              <w:bottom w:val="single" w:sz="4" w:space="0" w:color="000000"/>
              <w:right w:val="single" w:sz="6" w:space="0" w:color="000000"/>
            </w:tcBorders>
          </w:tcPr>
          <w:p>
            <w:pPr>
              <w:pStyle w:val="TableParagraph"/>
              <w:spacing w:line="296" w:lineRule="exact"/>
              <w:ind w:left="675" w:right="670"/>
              <w:rPr>
                <w:sz w:val="25"/>
              </w:rPr>
            </w:pPr>
            <w:r>
              <w:rPr>
                <w:sz w:val="25"/>
              </w:rPr>
              <w:t>6-7-8</w:t>
            </w:r>
          </w:p>
        </w:tc>
      </w:tr>
      <w:tr>
        <w:trPr>
          <w:trHeight w:val="906" w:hRule="exact"/>
        </w:trPr>
        <w:tc>
          <w:tcPr>
            <w:tcW w:w="4273" w:type="dxa"/>
            <w:tcBorders>
              <w:top w:val="single" w:sz="4" w:space="0" w:color="000000"/>
              <w:left w:val="thickThinMediumGap" w:sz="9" w:space="0" w:color="000000"/>
              <w:bottom w:val="single" w:sz="6" w:space="0" w:color="000000"/>
              <w:right w:val="single" w:sz="4" w:space="0" w:color="000000"/>
            </w:tcBorders>
          </w:tcPr>
          <w:p>
            <w:pPr>
              <w:pStyle w:val="TableParagraph"/>
              <w:ind w:left="103" w:right="106"/>
              <w:jc w:val="both"/>
              <w:rPr>
                <w:sz w:val="25"/>
              </w:rPr>
            </w:pPr>
            <w:r>
              <w:rPr>
                <w:sz w:val="25"/>
              </w:rPr>
              <w:t>De continuo. Evidências claras de aparição do indicador ou característica.</w:t>
            </w:r>
          </w:p>
        </w:tc>
        <w:tc>
          <w:tcPr>
            <w:tcW w:w="1767" w:type="dxa"/>
            <w:tcBorders>
              <w:top w:val="single" w:sz="4" w:space="0" w:color="000000"/>
              <w:left w:val="single" w:sz="4" w:space="0" w:color="000000"/>
              <w:bottom w:val="single" w:sz="6" w:space="0" w:color="000000"/>
              <w:right w:val="single" w:sz="4" w:space="0" w:color="000000"/>
            </w:tcBorders>
          </w:tcPr>
          <w:p>
            <w:pPr>
              <w:pStyle w:val="TableParagraph"/>
              <w:spacing w:line="296" w:lineRule="exact"/>
              <w:ind w:right="737"/>
              <w:jc w:val="right"/>
              <w:rPr>
                <w:sz w:val="25"/>
              </w:rPr>
            </w:pPr>
            <w:r>
              <w:rPr>
                <w:w w:val="99"/>
                <w:sz w:val="25"/>
              </w:rPr>
              <w:t>A</w:t>
            </w:r>
          </w:p>
        </w:tc>
        <w:tc>
          <w:tcPr>
            <w:tcW w:w="1981" w:type="dxa"/>
            <w:tcBorders>
              <w:top w:val="single" w:sz="4" w:space="0" w:color="000000"/>
              <w:left w:val="single" w:sz="4" w:space="0" w:color="000000"/>
              <w:bottom w:val="single" w:sz="6" w:space="0" w:color="000000"/>
              <w:right w:val="single" w:sz="6" w:space="0" w:color="000000"/>
            </w:tcBorders>
          </w:tcPr>
          <w:p>
            <w:pPr>
              <w:pStyle w:val="TableParagraph"/>
              <w:spacing w:line="296" w:lineRule="exact"/>
              <w:ind w:left="674" w:right="670"/>
              <w:rPr>
                <w:sz w:val="25"/>
              </w:rPr>
            </w:pPr>
            <w:r>
              <w:rPr>
                <w:sz w:val="25"/>
              </w:rPr>
              <w:t>9-10</w:t>
            </w:r>
          </w:p>
        </w:tc>
      </w:tr>
    </w:tbl>
    <w:p>
      <w:pPr>
        <w:pStyle w:val="BodyText"/>
        <w:rPr>
          <w:b/>
          <w:sz w:val="26"/>
        </w:rPr>
      </w:pPr>
    </w:p>
    <w:p>
      <w:pPr>
        <w:pStyle w:val="BodyText"/>
        <w:rPr>
          <w:b/>
          <w:sz w:val="26"/>
        </w:rPr>
      </w:pPr>
    </w:p>
    <w:p>
      <w:pPr>
        <w:tabs>
          <w:tab w:pos="6003" w:val="left" w:leader="none"/>
        </w:tabs>
        <w:spacing w:line="273" w:lineRule="auto" w:before="150"/>
        <w:ind w:left="308" w:right="128" w:firstLine="710"/>
        <w:jc w:val="left"/>
        <w:rPr>
          <w:sz w:val="26"/>
        </w:rPr>
      </w:pPr>
      <w:r>
        <w:rPr>
          <w:sz w:val="26"/>
        </w:rPr>
        <w:t>Os   indicadores   estão </w:t>
      </w:r>
      <w:r>
        <w:rPr>
          <w:spacing w:val="4"/>
          <w:sz w:val="26"/>
        </w:rPr>
        <w:t> </w:t>
      </w:r>
      <w:r>
        <w:rPr>
          <w:sz w:val="26"/>
        </w:rPr>
        <w:t>organizados </w:t>
      </w:r>
      <w:r>
        <w:rPr>
          <w:spacing w:val="49"/>
          <w:sz w:val="26"/>
        </w:rPr>
        <w:t> </w:t>
      </w:r>
      <w:r>
        <w:rPr>
          <w:sz w:val="26"/>
        </w:rPr>
        <w:t>ao</w:t>
        <w:tab/>
        <w:t>redor   de </w:t>
      </w:r>
      <w:r>
        <w:rPr>
          <w:spacing w:val="30"/>
          <w:sz w:val="26"/>
        </w:rPr>
        <w:t> </w:t>
      </w:r>
      <w:r>
        <w:rPr>
          <w:sz w:val="26"/>
        </w:rPr>
        <w:t>parâmetros </w:t>
      </w:r>
      <w:r>
        <w:rPr>
          <w:spacing w:val="51"/>
          <w:sz w:val="26"/>
        </w:rPr>
        <w:t> </w:t>
      </w:r>
      <w:r>
        <w:rPr>
          <w:sz w:val="26"/>
        </w:rPr>
        <w:t>ou</w:t>
      </w:r>
      <w:r>
        <w:rPr>
          <w:w w:val="99"/>
          <w:sz w:val="26"/>
        </w:rPr>
        <w:t> </w:t>
      </w:r>
      <w:r>
        <w:rPr>
          <w:sz w:val="26"/>
        </w:rPr>
        <w:t>categorias constitutivas de uma instituição educacional. São</w:t>
      </w:r>
      <w:r>
        <w:rPr>
          <w:spacing w:val="-21"/>
          <w:sz w:val="26"/>
        </w:rPr>
        <w:t> </w:t>
      </w:r>
      <w:r>
        <w:rPr>
          <w:sz w:val="26"/>
        </w:rPr>
        <w:t>eles:</w:t>
      </w:r>
    </w:p>
    <w:p>
      <w:pPr>
        <w:pStyle w:val="BodyText"/>
        <w:spacing w:before="1"/>
        <w:rPr>
          <w:sz w:val="30"/>
        </w:rPr>
      </w:pPr>
    </w:p>
    <w:p>
      <w:pPr>
        <w:pStyle w:val="ListParagraph"/>
        <w:numPr>
          <w:ilvl w:val="0"/>
          <w:numId w:val="35"/>
        </w:numPr>
        <w:tabs>
          <w:tab w:pos="697" w:val="left" w:leader="none"/>
        </w:tabs>
        <w:spacing w:line="240" w:lineRule="auto" w:before="0" w:after="0"/>
        <w:ind w:left="696" w:right="0" w:hanging="388"/>
        <w:jc w:val="both"/>
        <w:rPr>
          <w:sz w:val="26"/>
        </w:rPr>
      </w:pPr>
      <w:r>
        <w:rPr>
          <w:sz w:val="26"/>
        </w:rPr>
        <w:t>Liderança estimuladora e</w:t>
      </w:r>
      <w:r>
        <w:rPr>
          <w:spacing w:val="-3"/>
          <w:sz w:val="26"/>
        </w:rPr>
        <w:t> </w:t>
      </w:r>
      <w:r>
        <w:rPr>
          <w:sz w:val="26"/>
        </w:rPr>
        <w:t>criativa;</w:t>
      </w:r>
    </w:p>
    <w:p>
      <w:pPr>
        <w:pStyle w:val="ListParagraph"/>
        <w:numPr>
          <w:ilvl w:val="0"/>
          <w:numId w:val="35"/>
        </w:numPr>
        <w:tabs>
          <w:tab w:pos="697" w:val="left" w:leader="none"/>
        </w:tabs>
        <w:spacing w:line="240" w:lineRule="auto" w:before="152" w:after="0"/>
        <w:ind w:left="696" w:right="0" w:hanging="388"/>
        <w:jc w:val="both"/>
        <w:rPr>
          <w:sz w:val="26"/>
        </w:rPr>
      </w:pPr>
      <w:r>
        <w:rPr>
          <w:sz w:val="26"/>
        </w:rPr>
        <w:t>Professores</w:t>
      </w:r>
      <w:r>
        <w:rPr>
          <w:spacing w:val="-1"/>
          <w:sz w:val="26"/>
        </w:rPr>
        <w:t> </w:t>
      </w:r>
      <w:r>
        <w:rPr>
          <w:sz w:val="26"/>
        </w:rPr>
        <w:t>criativos;</w:t>
      </w:r>
    </w:p>
    <w:p>
      <w:pPr>
        <w:pStyle w:val="ListParagraph"/>
        <w:numPr>
          <w:ilvl w:val="0"/>
          <w:numId w:val="35"/>
        </w:numPr>
        <w:tabs>
          <w:tab w:pos="697" w:val="left" w:leader="none"/>
        </w:tabs>
        <w:spacing w:line="240" w:lineRule="auto" w:before="147" w:after="0"/>
        <w:ind w:left="696" w:right="0" w:hanging="388"/>
        <w:jc w:val="both"/>
        <w:rPr>
          <w:sz w:val="26"/>
        </w:rPr>
      </w:pPr>
      <w:r>
        <w:rPr>
          <w:sz w:val="26"/>
        </w:rPr>
        <w:t>Cultura</w:t>
      </w:r>
      <w:r>
        <w:rPr>
          <w:spacing w:val="-7"/>
          <w:sz w:val="26"/>
        </w:rPr>
        <w:t> </w:t>
      </w:r>
      <w:r>
        <w:rPr>
          <w:sz w:val="26"/>
        </w:rPr>
        <w:t>inovadora;</w:t>
      </w:r>
    </w:p>
    <w:p>
      <w:pPr>
        <w:pStyle w:val="ListParagraph"/>
        <w:numPr>
          <w:ilvl w:val="0"/>
          <w:numId w:val="35"/>
        </w:numPr>
        <w:tabs>
          <w:tab w:pos="697" w:val="left" w:leader="none"/>
        </w:tabs>
        <w:spacing w:line="240" w:lineRule="auto" w:before="152" w:after="0"/>
        <w:ind w:left="696" w:right="0" w:hanging="388"/>
        <w:jc w:val="both"/>
        <w:rPr>
          <w:sz w:val="26"/>
        </w:rPr>
      </w:pPr>
      <w:r>
        <w:rPr>
          <w:sz w:val="26"/>
        </w:rPr>
        <w:t>Criatividade como</w:t>
      </w:r>
      <w:r>
        <w:rPr>
          <w:spacing w:val="-1"/>
          <w:sz w:val="26"/>
        </w:rPr>
        <w:t> </w:t>
      </w:r>
      <w:r>
        <w:rPr>
          <w:sz w:val="26"/>
        </w:rPr>
        <w:t>valor;</w:t>
      </w:r>
    </w:p>
    <w:p>
      <w:pPr>
        <w:pStyle w:val="ListParagraph"/>
        <w:numPr>
          <w:ilvl w:val="0"/>
          <w:numId w:val="35"/>
        </w:numPr>
        <w:tabs>
          <w:tab w:pos="697" w:val="left" w:leader="none"/>
        </w:tabs>
        <w:spacing w:line="240" w:lineRule="auto" w:before="147" w:after="0"/>
        <w:ind w:left="696" w:right="0" w:hanging="388"/>
        <w:jc w:val="both"/>
        <w:rPr>
          <w:sz w:val="26"/>
        </w:rPr>
      </w:pPr>
      <w:r>
        <w:rPr>
          <w:sz w:val="26"/>
        </w:rPr>
        <w:t>Espírito</w:t>
      </w:r>
      <w:r>
        <w:rPr>
          <w:spacing w:val="-7"/>
          <w:sz w:val="26"/>
        </w:rPr>
        <w:t> </w:t>
      </w:r>
      <w:r>
        <w:rPr>
          <w:sz w:val="26"/>
        </w:rPr>
        <w:t>empreendedor;</w:t>
      </w:r>
    </w:p>
    <w:p>
      <w:pPr>
        <w:pStyle w:val="ListParagraph"/>
        <w:numPr>
          <w:ilvl w:val="0"/>
          <w:numId w:val="35"/>
        </w:numPr>
        <w:tabs>
          <w:tab w:pos="697" w:val="left" w:leader="none"/>
        </w:tabs>
        <w:spacing w:line="240" w:lineRule="auto" w:before="152" w:after="0"/>
        <w:ind w:left="696" w:right="0" w:hanging="388"/>
        <w:jc w:val="both"/>
        <w:rPr>
          <w:sz w:val="26"/>
        </w:rPr>
      </w:pPr>
      <w:r>
        <w:rPr>
          <w:sz w:val="26"/>
        </w:rPr>
        <w:t>Visão transdisciplinar e</w:t>
      </w:r>
      <w:r>
        <w:rPr>
          <w:spacing w:val="-10"/>
          <w:sz w:val="26"/>
        </w:rPr>
        <w:t> </w:t>
      </w:r>
      <w:r>
        <w:rPr>
          <w:sz w:val="26"/>
        </w:rPr>
        <w:t>transformadora;</w:t>
      </w:r>
    </w:p>
    <w:p>
      <w:pPr>
        <w:pStyle w:val="ListParagraph"/>
        <w:numPr>
          <w:ilvl w:val="0"/>
          <w:numId w:val="35"/>
        </w:numPr>
        <w:tabs>
          <w:tab w:pos="697" w:val="left" w:leader="none"/>
        </w:tabs>
        <w:spacing w:line="240" w:lineRule="auto" w:before="147" w:after="0"/>
        <w:ind w:left="696" w:right="0" w:hanging="388"/>
        <w:jc w:val="both"/>
        <w:rPr>
          <w:sz w:val="26"/>
        </w:rPr>
      </w:pPr>
      <w:r>
        <w:rPr>
          <w:sz w:val="26"/>
        </w:rPr>
        <w:t>Currículo</w:t>
      </w:r>
      <w:r>
        <w:rPr>
          <w:spacing w:val="-3"/>
          <w:sz w:val="26"/>
        </w:rPr>
        <w:t> </w:t>
      </w:r>
      <w:r>
        <w:rPr>
          <w:sz w:val="26"/>
        </w:rPr>
        <w:t>polivalente;</w:t>
      </w:r>
    </w:p>
    <w:p>
      <w:pPr>
        <w:pStyle w:val="ListParagraph"/>
        <w:numPr>
          <w:ilvl w:val="0"/>
          <w:numId w:val="35"/>
        </w:numPr>
        <w:tabs>
          <w:tab w:pos="697" w:val="left" w:leader="none"/>
        </w:tabs>
        <w:spacing w:line="240" w:lineRule="auto" w:before="147" w:after="0"/>
        <w:ind w:left="696" w:right="0" w:hanging="388"/>
        <w:jc w:val="both"/>
        <w:rPr>
          <w:sz w:val="26"/>
        </w:rPr>
      </w:pPr>
      <w:r>
        <w:rPr>
          <w:sz w:val="26"/>
        </w:rPr>
        <w:t>Metodologia</w:t>
      </w:r>
      <w:r>
        <w:rPr>
          <w:spacing w:val="-8"/>
          <w:sz w:val="26"/>
        </w:rPr>
        <w:t> </w:t>
      </w:r>
      <w:r>
        <w:rPr>
          <w:sz w:val="26"/>
        </w:rPr>
        <w:t>inovadora;</w:t>
      </w:r>
    </w:p>
    <w:p>
      <w:pPr>
        <w:pStyle w:val="ListParagraph"/>
        <w:numPr>
          <w:ilvl w:val="0"/>
          <w:numId w:val="35"/>
        </w:numPr>
        <w:tabs>
          <w:tab w:pos="697" w:val="left" w:leader="none"/>
        </w:tabs>
        <w:spacing w:line="240" w:lineRule="auto" w:before="151" w:after="0"/>
        <w:ind w:left="697" w:right="0" w:hanging="389"/>
        <w:jc w:val="both"/>
        <w:rPr>
          <w:sz w:val="26"/>
        </w:rPr>
      </w:pPr>
      <w:r>
        <w:rPr>
          <w:sz w:val="26"/>
        </w:rPr>
        <w:t>Avaliação formadora e</w:t>
      </w:r>
      <w:r>
        <w:rPr>
          <w:spacing w:val="-10"/>
          <w:sz w:val="26"/>
        </w:rPr>
        <w:t> </w:t>
      </w:r>
      <w:r>
        <w:rPr>
          <w:sz w:val="26"/>
        </w:rPr>
        <w:t>transformadora;</w:t>
      </w:r>
    </w:p>
    <w:p>
      <w:pPr>
        <w:pStyle w:val="ListParagraph"/>
        <w:numPr>
          <w:ilvl w:val="0"/>
          <w:numId w:val="35"/>
        </w:numPr>
        <w:tabs>
          <w:tab w:pos="842" w:val="left" w:leader="none"/>
        </w:tabs>
        <w:spacing w:line="240" w:lineRule="auto" w:before="147" w:after="0"/>
        <w:ind w:left="841" w:right="0" w:hanging="533"/>
        <w:jc w:val="both"/>
        <w:rPr>
          <w:sz w:val="26"/>
        </w:rPr>
      </w:pPr>
      <w:r>
        <w:rPr>
          <w:sz w:val="26"/>
        </w:rPr>
        <w:t>Valores humanos, sociais e</w:t>
      </w:r>
      <w:r>
        <w:rPr>
          <w:spacing w:val="-7"/>
          <w:sz w:val="26"/>
        </w:rPr>
        <w:t> </w:t>
      </w:r>
      <w:r>
        <w:rPr>
          <w:sz w:val="26"/>
        </w:rPr>
        <w:t>meio-ambientais.</w:t>
      </w:r>
    </w:p>
    <w:p>
      <w:pPr>
        <w:spacing w:after="0" w:line="240" w:lineRule="auto"/>
        <w:jc w:val="both"/>
        <w:rPr>
          <w:sz w:val="26"/>
        </w:rPr>
        <w:sectPr>
          <w:pgSz w:w="11910" w:h="16840"/>
          <w:pgMar w:header="1133" w:footer="0" w:top="1340" w:bottom="280" w:left="1680" w:right="1000"/>
        </w:sectPr>
      </w:pPr>
    </w:p>
    <w:p>
      <w:pPr>
        <w:pStyle w:val="BodyText"/>
        <w:spacing w:before="2"/>
        <w:rPr>
          <w:sz w:val="21"/>
        </w:rPr>
      </w:pPr>
    </w:p>
    <w:p>
      <w:pPr>
        <w:spacing w:before="89"/>
        <w:ind w:left="485" w:right="332" w:firstLine="0"/>
        <w:jc w:val="center"/>
        <w:rPr>
          <w:b/>
          <w:sz w:val="28"/>
        </w:rPr>
      </w:pPr>
      <w:r>
        <w:rPr>
          <w:b/>
          <w:sz w:val="28"/>
        </w:rPr>
        <w:t>ANEXO D</w:t>
      </w:r>
    </w:p>
    <w:p>
      <w:pPr>
        <w:pStyle w:val="BodyText"/>
        <w:spacing w:before="5"/>
        <w:rPr>
          <w:b/>
          <w:sz w:val="23"/>
        </w:rPr>
      </w:pPr>
      <w:r>
        <w:rPr/>
        <w:drawing>
          <wp:anchor distT="0" distB="0" distL="0" distR="0" allowOverlap="1" layoutInCell="1" locked="0" behindDoc="0" simplePos="0" relativeHeight="1960">
            <wp:simplePos x="0" y="0"/>
            <wp:positionH relativeFrom="page">
              <wp:posOffset>3808984</wp:posOffset>
            </wp:positionH>
            <wp:positionV relativeFrom="paragraph">
              <wp:posOffset>195907</wp:posOffset>
            </wp:positionV>
            <wp:extent cx="696442" cy="642937"/>
            <wp:effectExtent l="0" t="0" r="0" b="0"/>
            <wp:wrapTopAndBottom/>
            <wp:docPr id="13" name="image10.jpeg" descr=""/>
            <wp:cNvGraphicFramePr>
              <a:graphicFrameLocks noChangeAspect="1"/>
            </wp:cNvGraphicFramePr>
            <a:graphic>
              <a:graphicData uri="http://schemas.openxmlformats.org/drawingml/2006/picture">
                <pic:pic>
                  <pic:nvPicPr>
                    <pic:cNvPr id="14" name="image10.jpeg"/>
                    <pic:cNvPicPr/>
                  </pic:nvPicPr>
                  <pic:blipFill>
                    <a:blip r:embed="rId46" cstate="print"/>
                    <a:stretch>
                      <a:fillRect/>
                    </a:stretch>
                  </pic:blipFill>
                  <pic:spPr>
                    <a:xfrm>
                      <a:off x="0" y="0"/>
                      <a:ext cx="696442" cy="642937"/>
                    </a:xfrm>
                    <a:prstGeom prst="rect">
                      <a:avLst/>
                    </a:prstGeom>
                  </pic:spPr>
                </pic:pic>
              </a:graphicData>
            </a:graphic>
          </wp:anchor>
        </w:drawing>
      </w:r>
    </w:p>
    <w:p>
      <w:pPr>
        <w:spacing w:before="0"/>
        <w:ind w:left="2502" w:right="2251" w:hanging="98"/>
        <w:jc w:val="center"/>
        <w:rPr>
          <w:b/>
          <w:sz w:val="22"/>
        </w:rPr>
      </w:pPr>
      <w:r>
        <w:rPr>
          <w:b/>
          <w:sz w:val="22"/>
        </w:rPr>
        <w:t>SERVIÇO PÚBLICO FEDERAL UNIVERSIDADE FEDERAL DO</w:t>
      </w:r>
      <w:r>
        <w:rPr>
          <w:b/>
          <w:spacing w:val="-23"/>
          <w:sz w:val="22"/>
        </w:rPr>
        <w:t> </w:t>
      </w:r>
      <w:r>
        <w:rPr>
          <w:b/>
          <w:sz w:val="22"/>
        </w:rPr>
        <w:t>TOCANTINS PRÓ-REITORIA DE</w:t>
      </w:r>
      <w:r>
        <w:rPr>
          <w:b/>
          <w:spacing w:val="-20"/>
          <w:sz w:val="22"/>
        </w:rPr>
        <w:t> </w:t>
      </w:r>
      <w:r>
        <w:rPr>
          <w:b/>
          <w:sz w:val="22"/>
        </w:rPr>
        <w:t>GRADUAÇÃO</w:t>
      </w:r>
    </w:p>
    <w:p>
      <w:pPr>
        <w:spacing w:line="250" w:lineRule="exact" w:before="0"/>
        <w:ind w:left="500" w:right="304" w:firstLine="0"/>
        <w:jc w:val="center"/>
        <w:rPr>
          <w:b/>
          <w:sz w:val="22"/>
        </w:rPr>
      </w:pPr>
      <w:r>
        <w:rPr>
          <w:b/>
          <w:sz w:val="22"/>
        </w:rPr>
        <w:t>PROGRAMA DE PÓS - GRADUAÇÃO EM EDUCAÇÃO /PPGE</w:t>
      </w:r>
    </w:p>
    <w:p>
      <w:pPr>
        <w:pStyle w:val="BodyText"/>
        <w:rPr>
          <w:b/>
        </w:rPr>
      </w:pPr>
    </w:p>
    <w:p>
      <w:pPr>
        <w:pStyle w:val="BodyText"/>
        <w:spacing w:before="7"/>
        <w:rPr>
          <w:b/>
          <w:sz w:val="31"/>
        </w:rPr>
      </w:pPr>
    </w:p>
    <w:p>
      <w:pPr>
        <w:spacing w:before="0"/>
        <w:ind w:left="483" w:right="332" w:firstLine="0"/>
        <w:jc w:val="center"/>
        <w:rPr>
          <w:b/>
          <w:sz w:val="22"/>
        </w:rPr>
      </w:pPr>
      <w:r>
        <w:rPr>
          <w:b/>
          <w:sz w:val="22"/>
        </w:rPr>
        <w:t>TERMO DE CONSENTIMENTO LIVRE E ESCLARECIDO</w:t>
      </w:r>
    </w:p>
    <w:p>
      <w:pPr>
        <w:pStyle w:val="BodyText"/>
        <w:rPr>
          <w:b/>
        </w:rPr>
      </w:pPr>
    </w:p>
    <w:p>
      <w:pPr>
        <w:pStyle w:val="BodyText"/>
        <w:spacing w:before="6"/>
        <w:rPr>
          <w:b/>
          <w:sz w:val="19"/>
        </w:rPr>
      </w:pPr>
    </w:p>
    <w:p>
      <w:pPr>
        <w:pStyle w:val="Heading3"/>
        <w:spacing w:before="1"/>
        <w:ind w:left="308"/>
        <w:jc w:val="both"/>
      </w:pPr>
      <w:r>
        <w:rPr/>
        <w:t>Dados de identificação</w:t>
      </w:r>
    </w:p>
    <w:p>
      <w:pPr>
        <w:pStyle w:val="BodyText"/>
        <w:spacing w:before="6"/>
        <w:rPr>
          <w:b/>
          <w:sz w:val="31"/>
        </w:rPr>
      </w:pPr>
    </w:p>
    <w:p>
      <w:pPr>
        <w:pStyle w:val="BodyText"/>
        <w:spacing w:line="278" w:lineRule="auto"/>
        <w:ind w:left="308" w:right="151"/>
        <w:jc w:val="both"/>
      </w:pPr>
      <w:r>
        <w:rPr/>
        <w:t>Título do Projeto: PRÁTICA EDUCATIVA CRIATIVA E INOVADORA NA ESCOLA DOS ANOS INICIAIS DO ENSINO FUNDAMENTAL: UM ESTUDO DE CASO EM GURUPI – TOCANTINS</w:t>
      </w:r>
    </w:p>
    <w:p>
      <w:pPr>
        <w:pStyle w:val="BodyText"/>
        <w:spacing w:before="4"/>
        <w:rPr>
          <w:sz w:val="27"/>
        </w:rPr>
      </w:pPr>
    </w:p>
    <w:p>
      <w:pPr>
        <w:pStyle w:val="BodyText"/>
        <w:ind w:left="308"/>
        <w:jc w:val="both"/>
      </w:pPr>
      <w:r>
        <w:rPr/>
        <w:t>Pesquisador Responsável: MARIA JOSÉ DE PINHO</w:t>
      </w:r>
    </w:p>
    <w:p>
      <w:pPr>
        <w:pStyle w:val="BodyText"/>
        <w:rPr>
          <w:sz w:val="26"/>
        </w:rPr>
      </w:pPr>
    </w:p>
    <w:p>
      <w:pPr>
        <w:pStyle w:val="BodyText"/>
        <w:spacing w:before="8"/>
        <w:rPr>
          <w:sz w:val="21"/>
        </w:rPr>
      </w:pPr>
    </w:p>
    <w:p>
      <w:pPr>
        <w:pStyle w:val="BodyText"/>
        <w:spacing w:line="360" w:lineRule="auto"/>
        <w:ind w:left="308" w:right="145"/>
        <w:jc w:val="both"/>
      </w:pPr>
      <w:r>
        <w:rPr/>
        <w:t>Instituição a que pertence o Pesquisador Responsável: UNIVERSIDADE FEDERAL DO TOCANTINS</w:t>
      </w:r>
    </w:p>
    <w:p>
      <w:pPr>
        <w:pStyle w:val="BodyText"/>
        <w:spacing w:before="7"/>
        <w:ind w:left="308"/>
        <w:jc w:val="both"/>
      </w:pPr>
      <w:r>
        <w:rPr/>
        <w:t>Telefones para contato: (63) 3232-8121 - (63) 8404-1722 - (63) 8409-4538</w:t>
      </w:r>
    </w:p>
    <w:p>
      <w:pPr>
        <w:pStyle w:val="BodyText"/>
        <w:tabs>
          <w:tab w:pos="2836" w:val="left" w:leader="none"/>
          <w:tab w:pos="4496" w:val="left" w:leader="none"/>
          <w:tab w:pos="9111" w:val="left" w:leader="none"/>
        </w:tabs>
        <w:spacing w:line="360" w:lineRule="auto" w:before="136"/>
        <w:ind w:left="308" w:right="101"/>
        <w:jc w:val="both"/>
      </w:pPr>
      <w:r>
        <w:rPr/>
        <w:t>Nome</w:t>
      </w:r>
      <w:r>
        <w:rPr>
          <w:spacing w:val="-2"/>
        </w:rPr>
        <w:t> </w:t>
      </w:r>
      <w:r>
        <w:rPr/>
        <w:t>do</w:t>
      </w:r>
      <w:r>
        <w:rPr>
          <w:spacing w:val="-2"/>
        </w:rPr>
        <w:t> </w:t>
      </w:r>
      <w:r>
        <w:rPr/>
        <w:t>voluntário: </w:t>
      </w:r>
      <w:r>
        <w:rPr>
          <w:w w:val="100"/>
          <w:u w:val="single"/>
        </w:rPr>
        <w:t> </w:t>
      </w:r>
      <w:r>
        <w:rPr>
          <w:u w:val="single"/>
        </w:rPr>
        <w:tab/>
        <w:tab/>
        <w:tab/>
      </w:r>
      <w:r>
        <w:rPr>
          <w:w w:val="1"/>
          <w:u w:val="single"/>
        </w:rPr>
        <w:t> </w:t>
      </w:r>
      <w:r>
        <w:rPr/>
        <w:t>                                                                                            Idade:</w:t>
      </w:r>
      <w:r>
        <w:rPr>
          <w:u w:val="single"/>
        </w:rPr>
        <w:tab/>
      </w:r>
      <w:r>
        <w:rPr/>
        <w:t>anos</w:t>
        <w:tab/>
        <w:t>R.G.</w:t>
      </w:r>
      <w:r>
        <w:rPr>
          <w:u w:val="single"/>
        </w:rPr>
        <w:tab/>
      </w:r>
      <w:r>
        <w:rPr/>
        <w:t> Responsável legal (quando for o</w:t>
      </w:r>
      <w:r>
        <w:rPr>
          <w:spacing w:val="-16"/>
        </w:rPr>
        <w:t> </w:t>
      </w:r>
      <w:r>
        <w:rPr/>
        <w:t>caso): </w:t>
      </w:r>
      <w:r>
        <w:rPr>
          <w:w w:val="100"/>
          <w:u w:val="single"/>
        </w:rPr>
        <w:t> </w:t>
      </w:r>
      <w:r>
        <w:rPr>
          <w:u w:val="single"/>
        </w:rPr>
        <w:tab/>
      </w:r>
      <w:r>
        <w:rPr>
          <w:w w:val="17"/>
          <w:u w:val="single"/>
        </w:rPr>
        <w:t> </w:t>
      </w:r>
    </w:p>
    <w:p>
      <w:pPr>
        <w:pStyle w:val="BodyText"/>
        <w:tabs>
          <w:tab w:pos="3111" w:val="left" w:leader="none"/>
          <w:tab w:pos="9026" w:val="left" w:leader="none"/>
        </w:tabs>
        <w:spacing w:before="7"/>
        <w:ind w:left="308"/>
        <w:jc w:val="both"/>
      </w:pPr>
      <w:r>
        <w:rPr>
          <w:w w:val="100"/>
          <w:u w:val="single"/>
        </w:rPr>
        <w:t> </w:t>
      </w:r>
      <w:r>
        <w:rPr>
          <w:u w:val="single"/>
        </w:rPr>
        <w:tab/>
      </w:r>
      <w:r>
        <w:rPr/>
        <w:t>R.G. Responsável</w:t>
      </w:r>
      <w:r>
        <w:rPr>
          <w:spacing w:val="-10"/>
        </w:rPr>
        <w:t> </w:t>
      </w:r>
      <w:r>
        <w:rPr/>
        <w:t>legal: </w:t>
      </w:r>
      <w:r>
        <w:rPr>
          <w:w w:val="100"/>
          <w:u w:val="single"/>
        </w:rPr>
        <w:t> </w:t>
      </w:r>
      <w:r>
        <w:rPr>
          <w:u w:val="single"/>
        </w:rPr>
        <w:tab/>
      </w:r>
    </w:p>
    <w:p>
      <w:pPr>
        <w:pStyle w:val="BodyText"/>
        <w:rPr>
          <w:sz w:val="20"/>
        </w:rPr>
      </w:pPr>
    </w:p>
    <w:p>
      <w:pPr>
        <w:pStyle w:val="BodyText"/>
        <w:spacing w:before="8"/>
        <w:rPr>
          <w:sz w:val="19"/>
        </w:rPr>
      </w:pPr>
    </w:p>
    <w:p>
      <w:pPr>
        <w:spacing w:line="360" w:lineRule="auto" w:before="92"/>
        <w:ind w:left="308" w:right="148" w:firstLine="710"/>
        <w:jc w:val="both"/>
        <w:rPr>
          <w:b/>
          <w:sz w:val="24"/>
        </w:rPr>
      </w:pPr>
      <w:r>
        <w:rPr>
          <w:sz w:val="24"/>
        </w:rPr>
        <w:t>O senhor (a) está sendo convidado (a) como voluntário(a) a participar da pesquisa: </w:t>
      </w:r>
      <w:r>
        <w:rPr>
          <w:b/>
          <w:sz w:val="24"/>
        </w:rPr>
        <w:t>PRÁTICA EDUCATIVA CRIATIVA E INOVADORA NA ESCOLA DOS ANOS  INICIAIS  DO  ENSINO  FUNDAMENTAL:  UM  ESTUDO  DE  CASO EM</w:t>
      </w:r>
    </w:p>
    <w:p>
      <w:pPr>
        <w:pStyle w:val="BodyText"/>
        <w:spacing w:line="360" w:lineRule="auto" w:before="2"/>
        <w:ind w:left="308" w:right="140"/>
        <w:jc w:val="both"/>
      </w:pPr>
      <w:r>
        <w:rPr>
          <w:b/>
        </w:rPr>
        <w:t>GURUPI – TOCANTINS </w:t>
      </w:r>
      <w:r>
        <w:rPr/>
        <w:t>do Programa de Pós–Graduação </w:t>
      </w:r>
      <w:r>
        <w:rPr>
          <w:spacing w:val="2"/>
        </w:rPr>
        <w:t>em  </w:t>
      </w:r>
      <w:r>
        <w:rPr/>
        <w:t>Educação/Mestrado em Educação que tem como orientadora e pesquisadora responsável a professora doutora </w:t>
      </w:r>
      <w:r>
        <w:rPr>
          <w:b/>
        </w:rPr>
        <w:t>Maria José de Pinho</w:t>
      </w:r>
      <w:r>
        <w:rPr/>
        <w:t>, professora da Universidade Federal do Tocantins e como pesquisadora a mestranda  </w:t>
      </w:r>
      <w:r>
        <w:rPr>
          <w:b/>
        </w:rPr>
        <w:t>Edna Maria Cruz Pinho</w:t>
      </w:r>
      <w:r>
        <w:rPr/>
        <w:t>, aluna do PPGE/UFT </w:t>
      </w:r>
      <w:r>
        <w:rPr>
          <w:spacing w:val="-3"/>
        </w:rPr>
        <w:t>/Campus</w:t>
      </w:r>
      <w:r>
        <w:rPr>
          <w:spacing w:val="-9"/>
        </w:rPr>
        <w:t> </w:t>
      </w:r>
      <w:r>
        <w:rPr/>
        <w:t>Palmas.</w:t>
      </w:r>
    </w:p>
    <w:p>
      <w:pPr>
        <w:spacing w:after="0" w:line="360" w:lineRule="auto"/>
        <w:jc w:val="both"/>
        <w:sectPr>
          <w:pgSz w:w="11910" w:h="16840"/>
          <w:pgMar w:header="1133" w:footer="0" w:top="1340" w:bottom="280" w:left="1680" w:right="980"/>
        </w:sectPr>
      </w:pPr>
    </w:p>
    <w:p>
      <w:pPr>
        <w:pStyle w:val="BodyText"/>
        <w:spacing w:before="10"/>
        <w:rPr>
          <w:sz w:val="20"/>
        </w:rPr>
      </w:pPr>
    </w:p>
    <w:p>
      <w:pPr>
        <w:pStyle w:val="BodyText"/>
        <w:spacing w:line="360" w:lineRule="auto" w:before="92"/>
        <w:ind w:left="308" w:right="121"/>
        <w:jc w:val="both"/>
      </w:pPr>
      <w:r>
        <w:rPr>
          <w:b/>
        </w:rPr>
        <w:t>Justificativa: </w:t>
      </w:r>
      <w:r>
        <w:rPr/>
        <w:t>o motivo que nos leva a estudar o problema é a percepção de que  a escola como instituição social possui um espaço privilegiado para construção de novos conceitos que podem proporcionar desenvolvimento cultural e social é, portanto, um lugar com capacidade para desenvolver potenciais criativos e inovadores nos professores e nos alunos por meio de práticas educativas que respeitam as iniciativas, fomentam o diálogo, incentivam atitudes colaborativas e buscam alternativas e soluções para os problemas gerados pelas demandas pessoais, sociais e ambientais deste início de século. A pesquisa se justifica porque </w:t>
      </w:r>
      <w:r>
        <w:rPr>
          <w:spacing w:val="-3"/>
        </w:rPr>
        <w:t>mesmo </w:t>
      </w:r>
      <w:r>
        <w:rPr/>
        <w:t>com todo esse potencial, a escola da atualidade ainda mantém formas de transmissão de conhecimento distanciadas do mundo e da vida, o que requer </w:t>
      </w:r>
      <w:r>
        <w:rPr>
          <w:spacing w:val="-3"/>
        </w:rPr>
        <w:t>uma </w:t>
      </w:r>
      <w:r>
        <w:rPr/>
        <w:t>profunda revisão na maneira de ensinar e aprender. Identificar  indícios de criatividade e inovação na prática educativa da escola dos  anos iniciais do Ensino Fundamental em Gurupi pode contribuir para superação da fragmentação do conhecimento disciplinar e com a reorganização do saber, assim como auxiliará na divulgação das práticas identificadas como potencial para gerar novas ideias, projetos inovadores e práticas educativas</w:t>
      </w:r>
      <w:r>
        <w:rPr>
          <w:spacing w:val="-32"/>
        </w:rPr>
        <w:t> </w:t>
      </w:r>
      <w:r>
        <w:rPr/>
        <w:t>colaborativas.</w:t>
      </w:r>
    </w:p>
    <w:p>
      <w:pPr>
        <w:pStyle w:val="BodyText"/>
        <w:spacing w:before="1"/>
        <w:rPr>
          <w:sz w:val="36"/>
        </w:rPr>
      </w:pPr>
    </w:p>
    <w:p>
      <w:pPr>
        <w:pStyle w:val="BodyText"/>
        <w:spacing w:line="360" w:lineRule="auto"/>
        <w:ind w:left="308" w:right="117"/>
        <w:jc w:val="both"/>
      </w:pPr>
      <w:r>
        <w:rPr>
          <w:b/>
        </w:rPr>
        <w:t>Objetivos: </w:t>
      </w:r>
      <w:r>
        <w:rPr/>
        <w:t>a pesquisa tem como objetivo principal analisar a prática educativa da escola dos anos iniciais do ensino fundamental, compreendendo-a á luz do paradigma educacional emergente; e busca situar e compreender a prática educativa e a escola dos anos iniciais do ensino fundamental no processo de transição do paradigma educacional conservador e dominante para o paradigma educacional emergente, bem como, conhecer as práticas educativas desenvolvidas pela escola de ensino fundamental em Gurupi–TO, identificando-as com base nos indicadores de criatividade que fundamentam e definem instituições escolares como organizações inovadoras e criativas.</w:t>
      </w:r>
    </w:p>
    <w:p>
      <w:pPr>
        <w:pStyle w:val="BodyText"/>
        <w:spacing w:before="1"/>
        <w:rPr>
          <w:sz w:val="36"/>
        </w:rPr>
      </w:pPr>
    </w:p>
    <w:p>
      <w:pPr>
        <w:spacing w:line="362" w:lineRule="auto" w:before="0"/>
        <w:ind w:left="308" w:right="127" w:firstLine="67"/>
        <w:jc w:val="both"/>
        <w:rPr>
          <w:sz w:val="24"/>
        </w:rPr>
      </w:pPr>
      <w:r>
        <w:rPr>
          <w:b/>
          <w:sz w:val="24"/>
        </w:rPr>
        <w:t>Procedimentos metodológicos: </w:t>
      </w:r>
      <w:r>
        <w:rPr>
          <w:sz w:val="24"/>
        </w:rPr>
        <w:t>Nessa pesquisa os procedimentos de coleta de dados se darão da seguinte forma:</w:t>
      </w:r>
    </w:p>
    <w:p>
      <w:pPr>
        <w:pStyle w:val="ListParagraph"/>
        <w:numPr>
          <w:ilvl w:val="0"/>
          <w:numId w:val="12"/>
        </w:numPr>
        <w:tabs>
          <w:tab w:pos="563" w:val="left" w:leader="none"/>
        </w:tabs>
        <w:spacing w:line="360" w:lineRule="auto" w:before="0" w:after="0"/>
        <w:ind w:left="308" w:right="131" w:firstLine="0"/>
        <w:jc w:val="both"/>
        <w:rPr>
          <w:sz w:val="24"/>
        </w:rPr>
      </w:pPr>
      <w:r>
        <w:rPr>
          <w:sz w:val="24"/>
        </w:rPr>
        <w:t>a pesquisadora investigará junto a Secretaria Municipal de Educação a indicação de nomes das escolas que durante o ano de 2012 se destacaram nas suas atividades desenvolvendo trabalho de equipe e ações como projetos, programas</w:t>
      </w:r>
      <w:r>
        <w:rPr>
          <w:spacing w:val="22"/>
          <w:sz w:val="24"/>
        </w:rPr>
        <w:t> </w:t>
      </w:r>
      <w:r>
        <w:rPr>
          <w:sz w:val="24"/>
        </w:rPr>
        <w:t>ou</w:t>
      </w:r>
      <w:r>
        <w:rPr>
          <w:spacing w:val="23"/>
          <w:sz w:val="24"/>
        </w:rPr>
        <w:t> </w:t>
      </w:r>
      <w:r>
        <w:rPr>
          <w:sz w:val="24"/>
        </w:rPr>
        <w:t>campanhas</w:t>
      </w:r>
      <w:r>
        <w:rPr>
          <w:spacing w:val="22"/>
          <w:sz w:val="24"/>
        </w:rPr>
        <w:t> </w:t>
      </w:r>
      <w:r>
        <w:rPr>
          <w:sz w:val="24"/>
        </w:rPr>
        <w:t>voltadas</w:t>
      </w:r>
      <w:r>
        <w:rPr>
          <w:spacing w:val="22"/>
          <w:sz w:val="24"/>
        </w:rPr>
        <w:t> </w:t>
      </w:r>
      <w:r>
        <w:rPr>
          <w:sz w:val="24"/>
        </w:rPr>
        <w:t>para</w:t>
      </w:r>
      <w:r>
        <w:rPr>
          <w:spacing w:val="23"/>
          <w:sz w:val="24"/>
        </w:rPr>
        <w:t> </w:t>
      </w:r>
      <w:r>
        <w:rPr>
          <w:sz w:val="24"/>
        </w:rPr>
        <w:t>melhoria</w:t>
      </w:r>
      <w:r>
        <w:rPr>
          <w:spacing w:val="23"/>
          <w:sz w:val="24"/>
        </w:rPr>
        <w:t> </w:t>
      </w:r>
      <w:r>
        <w:rPr>
          <w:sz w:val="24"/>
        </w:rPr>
        <w:t>da</w:t>
      </w:r>
      <w:r>
        <w:rPr>
          <w:spacing w:val="23"/>
          <w:sz w:val="24"/>
        </w:rPr>
        <w:t> </w:t>
      </w:r>
      <w:r>
        <w:rPr>
          <w:sz w:val="24"/>
        </w:rPr>
        <w:t>qualidade</w:t>
      </w:r>
      <w:r>
        <w:rPr>
          <w:spacing w:val="23"/>
          <w:sz w:val="24"/>
        </w:rPr>
        <w:t> </w:t>
      </w:r>
      <w:r>
        <w:rPr>
          <w:sz w:val="24"/>
        </w:rPr>
        <w:t>do</w:t>
      </w:r>
      <w:r>
        <w:rPr>
          <w:spacing w:val="23"/>
          <w:sz w:val="24"/>
        </w:rPr>
        <w:t> </w:t>
      </w:r>
      <w:r>
        <w:rPr>
          <w:sz w:val="24"/>
        </w:rPr>
        <w:t>ensino</w:t>
      </w:r>
      <w:r>
        <w:rPr>
          <w:spacing w:val="23"/>
          <w:sz w:val="24"/>
        </w:rPr>
        <w:t> </w:t>
      </w:r>
      <w:r>
        <w:rPr>
          <w:sz w:val="24"/>
        </w:rPr>
        <w:t>e</w:t>
      </w:r>
      <w:r>
        <w:rPr>
          <w:spacing w:val="23"/>
          <w:sz w:val="24"/>
        </w:rPr>
        <w:t> </w:t>
      </w:r>
      <w:r>
        <w:rPr>
          <w:sz w:val="24"/>
        </w:rPr>
        <w:t>que</w:t>
      </w:r>
    </w:p>
    <w:p>
      <w:pPr>
        <w:spacing w:after="0" w:line="360" w:lineRule="auto"/>
        <w:jc w:val="both"/>
        <w:rPr>
          <w:sz w:val="24"/>
        </w:rPr>
        <w:sectPr>
          <w:pgSz w:w="11910" w:h="16840"/>
          <w:pgMar w:header="1133" w:footer="0" w:top="1340" w:bottom="280" w:left="1680" w:right="1000"/>
        </w:sectPr>
      </w:pPr>
    </w:p>
    <w:p>
      <w:pPr>
        <w:pStyle w:val="BodyText"/>
        <w:spacing w:before="3"/>
        <w:rPr>
          <w:sz w:val="21"/>
        </w:rPr>
      </w:pPr>
    </w:p>
    <w:p>
      <w:pPr>
        <w:pStyle w:val="BodyText"/>
        <w:spacing w:line="362" w:lineRule="auto" w:before="92"/>
        <w:ind w:left="308" w:right="192"/>
        <w:jc w:val="both"/>
      </w:pPr>
      <w:r>
        <w:rPr/>
        <w:t>tenham sido consideradas de sucesso. Das indicações feitas fará </w:t>
      </w:r>
      <w:r>
        <w:rPr>
          <w:spacing w:val="-3"/>
        </w:rPr>
        <w:t>uma </w:t>
      </w:r>
      <w:r>
        <w:rPr/>
        <w:t>lista com no mínimo duas e no </w:t>
      </w:r>
      <w:r>
        <w:rPr>
          <w:spacing w:val="-3"/>
        </w:rPr>
        <w:t>máximo </w:t>
      </w:r>
      <w:r>
        <w:rPr/>
        <w:t>cinco</w:t>
      </w:r>
      <w:r>
        <w:rPr>
          <w:spacing w:val="8"/>
        </w:rPr>
        <w:t> </w:t>
      </w:r>
      <w:r>
        <w:rPr/>
        <w:t>escolas.</w:t>
      </w:r>
    </w:p>
    <w:p>
      <w:pPr>
        <w:pStyle w:val="ListParagraph"/>
        <w:numPr>
          <w:ilvl w:val="0"/>
          <w:numId w:val="12"/>
        </w:numPr>
        <w:tabs>
          <w:tab w:pos="544" w:val="left" w:leader="none"/>
        </w:tabs>
        <w:spacing w:line="360" w:lineRule="auto" w:before="0" w:after="0"/>
        <w:ind w:left="308" w:right="185" w:firstLine="0"/>
        <w:jc w:val="both"/>
        <w:rPr>
          <w:sz w:val="24"/>
        </w:rPr>
      </w:pPr>
      <w:r>
        <w:rPr>
          <w:sz w:val="24"/>
        </w:rPr>
        <w:t>das escolas listadas a pesquisadora fará a escolha de </w:t>
      </w:r>
      <w:r>
        <w:rPr>
          <w:spacing w:val="-3"/>
          <w:sz w:val="24"/>
        </w:rPr>
        <w:t>uma </w:t>
      </w:r>
      <w:r>
        <w:rPr>
          <w:sz w:val="24"/>
        </w:rPr>
        <w:t>escola para aplicação do questionário diagnóstico (adaptado do Instrumento diagnóstico para identificação do desenvolvimento criativo de instituições de ensino da Rede Internacional de Escolas Criativas-RIEC) sobre dez indicadores: 1) Liderança estimuladora e criativa; (2) Professores criativos; (3) Cultura inovadora; (4) Criatividade como valor; (5) Espírito empreendedor; (6) Visão transdisciplinar e transformadora; (7) Currículo polivalente; (8) Metodologia inovadora; (9) Avaliação formadora e transformadora; (10) Valores</w:t>
      </w:r>
      <w:r>
        <w:rPr>
          <w:spacing w:val="-33"/>
          <w:sz w:val="24"/>
        </w:rPr>
        <w:t> </w:t>
      </w:r>
      <w:r>
        <w:rPr>
          <w:sz w:val="24"/>
        </w:rPr>
        <w:t>humanos.</w:t>
      </w:r>
    </w:p>
    <w:p>
      <w:pPr>
        <w:pStyle w:val="BodyText"/>
        <w:spacing w:line="360" w:lineRule="auto" w:before="3"/>
        <w:ind w:left="308" w:right="191"/>
        <w:jc w:val="both"/>
      </w:pPr>
      <w:r>
        <w:rPr/>
        <w:t>O questionário será aplicado com todos os gestores, todos os professores dos anos iniciais da escola, e com os pais ou responsáveis de alunos na mesma quantidade de gestores e professores juntos. Aos gestores e professores o questionário com uma carta explicativa será entregue na escola, e aos pais ou representantes de alunos, será enviado pelo aluno, com carta explicativa, anexados ao material de tarefas de casa para que respondam e devolvam na escola ou diretamente para pesquisadora em contato prévio para esse fim. A escolha dos pais ou representantes de aluno se dará de forma aleatória dentre as turmas dos anos iniciais da escola. Será considerada válida a amostra de no mínimo dois terços dos questionários distribuídos para cada uma das categorias escolhidas.</w:t>
      </w:r>
    </w:p>
    <w:p>
      <w:pPr>
        <w:pStyle w:val="ListParagraph"/>
        <w:numPr>
          <w:ilvl w:val="0"/>
          <w:numId w:val="12"/>
        </w:numPr>
        <w:tabs>
          <w:tab w:pos="529" w:val="left" w:leader="none"/>
        </w:tabs>
        <w:spacing w:line="360" w:lineRule="auto" w:before="2" w:after="0"/>
        <w:ind w:left="308" w:right="187" w:firstLine="0"/>
        <w:jc w:val="both"/>
        <w:rPr>
          <w:sz w:val="24"/>
        </w:rPr>
      </w:pPr>
      <w:r>
        <w:rPr>
          <w:sz w:val="24"/>
        </w:rPr>
        <w:t>após aplicação, os questionários serão analisados com base na tabela de valorização qualitativa e numérica (RIEC) que possibilitará identificar </w:t>
      </w:r>
      <w:r>
        <w:rPr>
          <w:spacing w:val="-3"/>
          <w:sz w:val="24"/>
        </w:rPr>
        <w:t>se </w:t>
      </w:r>
      <w:r>
        <w:rPr>
          <w:sz w:val="24"/>
        </w:rPr>
        <w:t>a escola escolhida apresenta os indícios de inovação e criatividade mínimos para ser o local da pesquisa. Caso as respostas obtidas no questionário não atinjam  o padrão mínimo de pontuação desejado (nível B ou 06 sobre 10 dos indicadores), será escolhida outra escola da lista para realização do diagnóstico, e assim sucessivamente até que se obtenha a escola com padrão de resposta mínimo desejável para</w:t>
      </w:r>
      <w:r>
        <w:rPr>
          <w:spacing w:val="-9"/>
          <w:sz w:val="24"/>
        </w:rPr>
        <w:t> </w:t>
      </w:r>
      <w:r>
        <w:rPr>
          <w:sz w:val="24"/>
        </w:rPr>
        <w:t>pesquisa;</w:t>
      </w:r>
    </w:p>
    <w:p>
      <w:pPr>
        <w:pStyle w:val="ListParagraph"/>
        <w:numPr>
          <w:ilvl w:val="0"/>
          <w:numId w:val="12"/>
        </w:numPr>
        <w:tabs>
          <w:tab w:pos="510" w:val="left" w:leader="none"/>
        </w:tabs>
        <w:spacing w:line="360" w:lineRule="auto" w:before="2" w:after="0"/>
        <w:ind w:left="308" w:right="110" w:firstLine="0"/>
        <w:jc w:val="both"/>
        <w:rPr>
          <w:sz w:val="24"/>
        </w:rPr>
      </w:pPr>
      <w:r>
        <w:rPr>
          <w:sz w:val="24"/>
        </w:rPr>
        <w:t>selecionada a escola, será realizada entrevistas com roteiro semiestruturado. Participarão da entrevista todos os gestores e todos os professores da escola em local e horário previamente definido e em comum acordo pesquisadora; e alunos e pais ou representantes de alunos também </w:t>
      </w:r>
      <w:r>
        <w:rPr>
          <w:spacing w:val="2"/>
          <w:sz w:val="24"/>
        </w:rPr>
        <w:t>em </w:t>
      </w:r>
      <w:r>
        <w:rPr>
          <w:sz w:val="24"/>
        </w:rPr>
        <w:t>local e horário previamente definido e em comum acordo pesquisadora. A elaboração do roteiro de entrevista será</w:t>
      </w:r>
      <w:r>
        <w:rPr>
          <w:spacing w:val="15"/>
          <w:sz w:val="24"/>
        </w:rPr>
        <w:t> </w:t>
      </w:r>
      <w:r>
        <w:rPr>
          <w:sz w:val="24"/>
        </w:rPr>
        <w:t>feita</w:t>
      </w:r>
    </w:p>
    <w:p>
      <w:pPr>
        <w:spacing w:after="0" w:line="360" w:lineRule="auto"/>
        <w:jc w:val="both"/>
        <w:rPr>
          <w:sz w:val="24"/>
        </w:rPr>
        <w:sectPr>
          <w:pgSz w:w="11910" w:h="16840"/>
          <w:pgMar w:header="1133" w:footer="0" w:top="1340" w:bottom="280" w:left="1680" w:right="940"/>
        </w:sectPr>
      </w:pPr>
    </w:p>
    <w:p>
      <w:pPr>
        <w:pStyle w:val="BodyText"/>
        <w:spacing w:before="3"/>
        <w:rPr>
          <w:sz w:val="21"/>
        </w:rPr>
      </w:pPr>
    </w:p>
    <w:p>
      <w:pPr>
        <w:pStyle w:val="BodyText"/>
        <w:spacing w:line="362" w:lineRule="auto" w:before="92"/>
        <w:ind w:left="308" w:right="109"/>
        <w:jc w:val="both"/>
      </w:pPr>
      <w:r>
        <w:rPr/>
        <w:t>com base nas categorias e nível de práticas inovadoras e criativas diagnosticadas na análise do questionário da escola selecionada (conforme instrumento para valorizar o desenvolvimento criativo de instituições educacionais - VADECRIE).</w:t>
      </w:r>
    </w:p>
    <w:p>
      <w:pPr>
        <w:pStyle w:val="BodyText"/>
        <w:spacing w:line="360" w:lineRule="auto"/>
        <w:ind w:left="308" w:right="179"/>
        <w:jc w:val="both"/>
      </w:pPr>
      <w:r>
        <w:rPr/>
        <w:t>A representatividade de alunos e pais ou representantes de alunos para entrevistas será definida após identificação dessas categorias e níveis. As entrevistas com todos os sujeitos serão gravada com equipamento digital de voz e só acontecerão mediante assinatura do Termo de Consentimento Livre e Esclarecido, no caso dos adultos, e quando realizadas com alunos, assinatura do Termo de Consentimento Livre e Esclarecido e do documento de Autorização  para trabalhar com menor </w:t>
      </w:r>
      <w:r>
        <w:rPr>
          <w:spacing w:val="3"/>
        </w:rPr>
        <w:t>em </w:t>
      </w:r>
      <w:r>
        <w:rPr/>
        <w:t>projeto de pesquisa, pelos pais ou</w:t>
      </w:r>
      <w:r>
        <w:rPr>
          <w:spacing w:val="-45"/>
        </w:rPr>
        <w:t> </w:t>
      </w:r>
      <w:r>
        <w:rPr/>
        <w:t>responsáveis;</w:t>
      </w:r>
    </w:p>
    <w:p>
      <w:pPr>
        <w:pStyle w:val="ListParagraph"/>
        <w:numPr>
          <w:ilvl w:val="0"/>
          <w:numId w:val="12"/>
        </w:numPr>
        <w:tabs>
          <w:tab w:pos="520" w:val="left" w:leader="none"/>
        </w:tabs>
        <w:spacing w:line="360" w:lineRule="auto" w:before="3" w:after="0"/>
        <w:ind w:left="346" w:right="192" w:firstLine="0"/>
        <w:jc w:val="both"/>
        <w:rPr>
          <w:sz w:val="24"/>
        </w:rPr>
      </w:pPr>
      <w:r>
        <w:rPr>
          <w:sz w:val="24"/>
        </w:rPr>
        <w:t>as informações coletadas nas entrevistas serão organizadas e analisadas com ética, respeito ao entrevistado e primará pelo caráter científico na interpretação e análise;</w:t>
      </w:r>
    </w:p>
    <w:p>
      <w:pPr>
        <w:pStyle w:val="ListParagraph"/>
        <w:numPr>
          <w:ilvl w:val="0"/>
          <w:numId w:val="12"/>
        </w:numPr>
        <w:tabs>
          <w:tab w:pos="525" w:val="left" w:leader="none"/>
        </w:tabs>
        <w:spacing w:line="360" w:lineRule="auto" w:before="6" w:after="0"/>
        <w:ind w:left="346" w:right="189" w:firstLine="0"/>
        <w:jc w:val="both"/>
        <w:rPr>
          <w:sz w:val="24"/>
        </w:rPr>
      </w:pPr>
      <w:r>
        <w:rPr>
          <w:sz w:val="24"/>
        </w:rPr>
        <w:t>durante o processo de coleta, os dados gerados serão utilizados na produção de relatórios parciais, artigos científicos para fins de publicação em eventos e revistas científicas, assim como para produção do texto da dissertação de mestrado.</w:t>
      </w:r>
    </w:p>
    <w:p>
      <w:pPr>
        <w:pStyle w:val="BodyText"/>
        <w:spacing w:before="1"/>
        <w:rPr>
          <w:sz w:val="36"/>
        </w:rPr>
      </w:pPr>
    </w:p>
    <w:p>
      <w:pPr>
        <w:pStyle w:val="BodyText"/>
        <w:spacing w:line="360" w:lineRule="auto"/>
        <w:ind w:left="308" w:right="186"/>
        <w:jc w:val="both"/>
      </w:pPr>
      <w:r>
        <w:rPr>
          <w:b/>
        </w:rPr>
        <w:t>Desconfortos e riscos associados: </w:t>
      </w:r>
      <w:r>
        <w:rPr/>
        <w:t>a pesquisa não traz nenhum desconforto ou risco para escola ou participantes da coleta de dados, considerando que não serão tratados de assuntos de natureza pessoal ou de caráter perigoso. Ainda assim, o participante é livre para interromper a entrevista, encerrar participação na coleta de dados ou manifestar-se contrário á publicação das informações fornecidas, caso sinta-se desconfortáveis com qualquer situação durante o processo, será respeitada sua vontade e indisponibilidade de continuar colaborando com o</w:t>
      </w:r>
      <w:r>
        <w:rPr>
          <w:spacing w:val="-8"/>
        </w:rPr>
        <w:t> </w:t>
      </w:r>
      <w:r>
        <w:rPr/>
        <w:t>estudo.</w:t>
      </w:r>
    </w:p>
    <w:p>
      <w:pPr>
        <w:pStyle w:val="BodyText"/>
        <w:spacing w:before="1"/>
        <w:rPr>
          <w:sz w:val="36"/>
        </w:rPr>
      </w:pPr>
    </w:p>
    <w:p>
      <w:pPr>
        <w:pStyle w:val="BodyText"/>
        <w:spacing w:line="360" w:lineRule="auto"/>
        <w:ind w:left="308" w:right="187"/>
        <w:jc w:val="both"/>
      </w:pPr>
      <w:r>
        <w:rPr>
          <w:b/>
        </w:rPr>
        <w:t>Benefícios esperados</w:t>
      </w:r>
      <w:r>
        <w:rPr/>
        <w:t>: os benefícios para o participante nesse estudo é a colaboração na identificação dos indícios das práticas educativas inovadoras e criativas na escola, auxiliando na definição da instituição como sendo a que se aproxima das características de </w:t>
      </w:r>
      <w:r>
        <w:rPr>
          <w:spacing w:val="-3"/>
        </w:rPr>
        <w:t>uma </w:t>
      </w:r>
      <w:r>
        <w:rPr/>
        <w:t>escola criativa segundo os  parâmetros  RIEC. E para escola o reconhecimento e a divulgação do trabalho desenvolvido e a possibilidade de fazer brotar </w:t>
      </w:r>
      <w:r>
        <w:rPr>
          <w:spacing w:val="-3"/>
        </w:rPr>
        <w:t>uma </w:t>
      </w:r>
      <w:r>
        <w:rPr/>
        <w:t>nova consciência em torno da inovação e   </w:t>
      </w:r>
      <w:r>
        <w:rPr>
          <w:spacing w:val="2"/>
        </w:rPr>
        <w:t> </w:t>
      </w:r>
      <w:r>
        <w:rPr/>
        <w:t>da</w:t>
      </w:r>
    </w:p>
    <w:p>
      <w:pPr>
        <w:spacing w:after="0" w:line="360" w:lineRule="auto"/>
        <w:jc w:val="both"/>
        <w:sectPr>
          <w:headerReference w:type="default" r:id="rId49"/>
          <w:pgSz w:w="11910" w:h="16840"/>
          <w:pgMar w:header="1133" w:footer="0" w:top="1340" w:bottom="280" w:left="1680" w:right="940"/>
        </w:sectPr>
      </w:pPr>
    </w:p>
    <w:p>
      <w:pPr>
        <w:pStyle w:val="BodyText"/>
        <w:spacing w:before="3"/>
        <w:rPr>
          <w:sz w:val="21"/>
        </w:rPr>
      </w:pPr>
    </w:p>
    <w:p>
      <w:pPr>
        <w:pStyle w:val="BodyText"/>
        <w:spacing w:line="362" w:lineRule="auto" w:before="92"/>
        <w:ind w:left="308" w:right="138"/>
        <w:jc w:val="both"/>
      </w:pPr>
      <w:r>
        <w:rPr/>
        <w:t>criatividade no sentido de ampliar as ações e seus efeitos no âmbito interno e externo da instituição.</w:t>
      </w:r>
    </w:p>
    <w:p>
      <w:pPr>
        <w:pStyle w:val="BodyText"/>
        <w:spacing w:line="360" w:lineRule="auto"/>
        <w:ind w:left="308" w:right="125"/>
        <w:jc w:val="both"/>
      </w:pPr>
      <w:r>
        <w:rPr>
          <w:b/>
        </w:rPr>
        <w:t>Forma de acompanhamento e assistência</w:t>
      </w:r>
      <w:r>
        <w:rPr/>
        <w:t>: na fase diagnóstica o questionário será entregue aos participantes com carta explicativa sobre os procedimentos responder o instrumento. Na fase seguinte, a entrevista semiestruturada será realizada em dia, hora e local previamente agendado e acordado entre a pesquisadora e o (a) participante. Em ambas as fases, em caso de dúvida a pesquisadora prestará esclarecimentos, podendo inclusive interromper atividade e retomá-la em data oportuna.</w:t>
      </w:r>
    </w:p>
    <w:p>
      <w:pPr>
        <w:pStyle w:val="BodyText"/>
        <w:spacing w:before="6"/>
        <w:rPr>
          <w:sz w:val="36"/>
        </w:rPr>
      </w:pPr>
    </w:p>
    <w:p>
      <w:pPr>
        <w:pStyle w:val="BodyText"/>
        <w:spacing w:line="360" w:lineRule="auto"/>
        <w:ind w:left="308" w:right="117"/>
        <w:jc w:val="both"/>
      </w:pPr>
      <w:r>
        <w:rPr>
          <w:b/>
        </w:rPr>
        <w:t>Garantia de esclarecimento, liberdade de recusa e garantia de </w:t>
      </w:r>
      <w:r>
        <w:rPr>
          <w:b/>
          <w:spacing w:val="2"/>
        </w:rPr>
        <w:t>sigilo</w:t>
      </w:r>
      <w:r>
        <w:rPr>
          <w:spacing w:val="2"/>
        </w:rPr>
        <w:t>: </w:t>
      </w:r>
      <w:r>
        <w:rPr/>
        <w:t>durante a pesquisa ou </w:t>
      </w:r>
      <w:r>
        <w:rPr>
          <w:spacing w:val="-3"/>
        </w:rPr>
        <w:t>mesmo </w:t>
      </w:r>
      <w:r>
        <w:rPr/>
        <w:t>depois do seu encerramento, será garantido ao participante esclarecido de dúvidas sobre qualquer aspecto que desejar, bem como a  liberdade para recusar-se a participar, retirar seu consentimento ou interromper a participação a qualquer momento. Por ser voluntária, a recusa na participação  não acarretará penalidade ou perda de benefícios. As pesquisadoras mantêm o compromisso de preservação do sigilo da identidade do participante nos documentos de publicação de resultados parcial e final, assim como a garantia de que não haverá divulgação dos resultados do questionário e entrevista sem a devida permissão do participante. Esse documento terá </w:t>
      </w:r>
      <w:r>
        <w:rPr>
          <w:spacing w:val="-3"/>
        </w:rPr>
        <w:t>uma </w:t>
      </w:r>
      <w:r>
        <w:rPr/>
        <w:t>cópia arquivada no Curso de Mestrado em Educação /PPGE da Universidade Federal do Tocantins – Campus – Palmas, e outra cópia fornecida para</w:t>
      </w:r>
      <w:r>
        <w:rPr>
          <w:spacing w:val="-20"/>
        </w:rPr>
        <w:t> </w:t>
      </w:r>
      <w:r>
        <w:rPr/>
        <w:t>você.</w:t>
      </w:r>
    </w:p>
    <w:p>
      <w:pPr>
        <w:pStyle w:val="BodyText"/>
        <w:spacing w:before="1"/>
        <w:rPr>
          <w:sz w:val="36"/>
        </w:rPr>
      </w:pPr>
    </w:p>
    <w:p>
      <w:pPr>
        <w:pStyle w:val="BodyText"/>
        <w:spacing w:line="360" w:lineRule="auto"/>
        <w:ind w:left="308" w:right="120"/>
        <w:jc w:val="both"/>
      </w:pPr>
      <w:r>
        <w:rPr>
          <w:b/>
        </w:rPr>
        <w:t>Custos da participação, ressarcimento e indenização por eventuais </w:t>
      </w:r>
      <w:r>
        <w:rPr>
          <w:b/>
          <w:spacing w:val="2"/>
        </w:rPr>
        <w:t>danos</w:t>
      </w:r>
      <w:r>
        <w:rPr>
          <w:spacing w:val="2"/>
        </w:rPr>
        <w:t>: </w:t>
      </w:r>
      <w:r>
        <w:rPr/>
        <w:t>A participação na pesquisa não acarretará nenhum custo aos sujeitos assim como não haverá despesas com ressarcimento e indenização, </w:t>
      </w:r>
      <w:r>
        <w:rPr>
          <w:spacing w:val="-3"/>
        </w:rPr>
        <w:t>uma </w:t>
      </w:r>
      <w:r>
        <w:rPr/>
        <w:t>vez que a participação se dará de forma voluntária em dois momentos específicos, a saber: leitura e resposta ao questionário e concessão de entrevista á pesquisadora.   Será garantindo aos voluntários a </w:t>
      </w:r>
      <w:r>
        <w:rPr>
          <w:spacing w:val="-2"/>
        </w:rPr>
        <w:t>máxima </w:t>
      </w:r>
      <w:r>
        <w:rPr/>
        <w:t>confidencialidade aos dados  fornecidos, a preservação da identidade nas respostas dadas, assim como  acesso a qualquer esclarecimento pertinente ao estudo, para a solução de suas eventuais</w:t>
      </w:r>
      <w:r>
        <w:rPr>
          <w:spacing w:val="-2"/>
        </w:rPr>
        <w:t> </w:t>
      </w:r>
      <w:r>
        <w:rPr/>
        <w:t>dúvidas.</w:t>
      </w:r>
    </w:p>
    <w:p>
      <w:pPr>
        <w:pStyle w:val="BodyText"/>
        <w:spacing w:line="360" w:lineRule="auto" w:before="2"/>
        <w:ind w:left="308" w:right="132"/>
        <w:jc w:val="both"/>
      </w:pPr>
      <w:r>
        <w:rPr/>
        <w:t>Certos de contarmos com a sua colaboração para a concretização desta investigação,  agradecemos     antecipadamente     a     atenção     dispensada   e</w:t>
      </w:r>
    </w:p>
    <w:p>
      <w:pPr>
        <w:spacing w:after="0" w:line="360" w:lineRule="auto"/>
        <w:jc w:val="both"/>
        <w:sectPr>
          <w:headerReference w:type="default" r:id="rId50"/>
          <w:pgSz w:w="11910" w:h="16840"/>
          <w:pgMar w:header="1133" w:footer="0" w:top="1340" w:bottom="280" w:left="1680" w:right="1000"/>
          <w:pgNumType w:start="201"/>
        </w:sectPr>
      </w:pPr>
    </w:p>
    <w:p>
      <w:pPr>
        <w:pStyle w:val="BodyText"/>
        <w:spacing w:before="3"/>
        <w:rPr>
          <w:sz w:val="21"/>
        </w:rPr>
      </w:pPr>
    </w:p>
    <w:p>
      <w:pPr>
        <w:pStyle w:val="BodyText"/>
        <w:tabs>
          <w:tab w:pos="5065" w:val="left" w:leader="none"/>
        </w:tabs>
        <w:spacing w:line="362" w:lineRule="auto" w:before="92"/>
        <w:ind w:left="308" w:right="362"/>
        <w:jc w:val="both"/>
      </w:pPr>
      <w:r>
        <w:rPr/>
        <w:t>colocamo-nos à sua  inteira  disposição  para  quaisquer  esclarecimentos </w:t>
      </w:r>
      <w:r>
        <w:rPr>
          <w:spacing w:val="5"/>
        </w:rPr>
        <w:t>[e- </w:t>
      </w:r>
      <w:r>
        <w:rPr/>
        <w:t>mails:    </w:t>
      </w:r>
      <w:r>
        <w:rPr>
          <w:spacing w:val="32"/>
        </w:rPr>
        <w:t> </w:t>
      </w:r>
      <w:hyperlink r:id="rId47">
        <w:r>
          <w:rPr>
            <w:u w:val="single"/>
          </w:rPr>
          <w:t>ednapinho@uft.edu.br</w:t>
        </w:r>
      </w:hyperlink>
      <w:r>
        <w:rPr>
          <w:u w:val="single"/>
        </w:rPr>
        <w:t>    </w:t>
      </w:r>
      <w:r>
        <w:rPr>
          <w:spacing w:val="36"/>
          <w:u w:val="single"/>
        </w:rPr>
        <w:t> </w:t>
      </w:r>
      <w:r>
        <w:rPr/>
        <w:t>ou</w:t>
        <w:tab/>
        <w:t>(63)     3314-2522     e     </w:t>
      </w:r>
      <w:r>
        <w:rPr>
          <w:spacing w:val="30"/>
        </w:rPr>
        <w:t> </w:t>
      </w:r>
      <w:r>
        <w:rPr/>
        <w:t>8409-4538;</w:t>
      </w:r>
    </w:p>
    <w:p>
      <w:pPr>
        <w:pStyle w:val="BodyText"/>
        <w:spacing w:line="360" w:lineRule="auto"/>
        <w:ind w:left="308" w:right="363"/>
        <w:jc w:val="both"/>
      </w:pPr>
      <w:hyperlink r:id="rId51">
        <w:r>
          <w:rPr>
            <w:u w:val="single"/>
          </w:rPr>
          <w:t>mjpgon@mail.uft.edu.br </w:t>
        </w:r>
      </w:hyperlink>
      <w:r>
        <w:rPr/>
        <w:t>ou (63) 3232-8121 e (63) 8404-1722]. Essa pesquisa foi aprovada pelo Comitê de Ética em Pesquisas cujo contato é: (63) 3232-8023 e 8021ou e-mail: </w:t>
      </w:r>
      <w:hyperlink r:id="rId52">
        <w:r>
          <w:rPr>
            <w:u w:val="single"/>
          </w:rPr>
          <w:t>cep_uft@uft.edu.br</w:t>
        </w:r>
      </w:hyperlink>
    </w:p>
    <w:p>
      <w:pPr>
        <w:pStyle w:val="BodyText"/>
        <w:spacing w:before="1"/>
        <w:rPr>
          <w:sz w:val="28"/>
        </w:rPr>
      </w:pPr>
    </w:p>
    <w:p>
      <w:pPr>
        <w:pStyle w:val="Heading3"/>
        <w:tabs>
          <w:tab w:pos="9147" w:val="left" w:leader="none"/>
        </w:tabs>
        <w:spacing w:line="360" w:lineRule="auto"/>
        <w:ind w:left="308" w:right="315"/>
        <w:jc w:val="both"/>
        <w:rPr>
          <w:b w:val="0"/>
        </w:rPr>
      </w:pPr>
      <w:r>
        <w:rPr/>
        <w:t>DECLARAÇÃO DO (A) PARTICIPANTE OU DO (A) RESPONSÁVEL PELO (A) PARTICIPANTE</w:t>
      </w:r>
      <w:r>
        <w:rPr>
          <w:b w:val="0"/>
        </w:rPr>
        <w:t>: </w:t>
      </w:r>
      <w:r>
        <w:rPr>
          <w:b w:val="0"/>
          <w:spacing w:val="21"/>
        </w:rPr>
        <w:t> </w:t>
      </w:r>
      <w:r>
        <w:rPr>
          <w:b w:val="0"/>
        </w:rPr>
        <w:t>Eu, </w:t>
      </w:r>
      <w:r>
        <w:rPr>
          <w:b w:val="0"/>
          <w:spacing w:val="20"/>
        </w:rPr>
        <w:t> </w:t>
      </w:r>
      <w:r>
        <w:rPr>
          <w:b w:val="0"/>
          <w:w w:val="100"/>
          <w:u w:val="single"/>
        </w:rPr>
        <w:t> </w:t>
      </w:r>
      <w:r>
        <w:rPr>
          <w:b w:val="0"/>
          <w:u w:val="single"/>
        </w:rPr>
        <w:tab/>
      </w:r>
    </w:p>
    <w:p>
      <w:pPr>
        <w:pStyle w:val="BodyText"/>
        <w:spacing w:line="360" w:lineRule="auto" w:before="6"/>
        <w:ind w:left="308" w:right="370"/>
        <w:jc w:val="both"/>
      </w:pPr>
      <w:r>
        <w:rPr/>
        <w:t>fui informada (o) dos objetivos da pesquisa acima de maneira clara e detalhada e esclareci minhas dúvidas. Sei que em qualquer momento poderei solicitar novas informações e motivar minha decisão se assim o desejar.  A  professora orientadora </w:t>
      </w:r>
      <w:r>
        <w:rPr>
          <w:b/>
        </w:rPr>
        <w:t>Maria José de Pinho </w:t>
      </w:r>
      <w:r>
        <w:rPr/>
        <w:t>e a pesquisadora </w:t>
      </w:r>
      <w:r>
        <w:rPr>
          <w:b/>
        </w:rPr>
        <w:t>Edna Maria Cruz Pinho </w:t>
      </w:r>
      <w:r>
        <w:rPr/>
        <w:t>certificaram-me de que todos os dados desta pesquisa serão confidenciais.</w:t>
      </w:r>
    </w:p>
    <w:p>
      <w:pPr>
        <w:pStyle w:val="BodyText"/>
        <w:spacing w:line="357" w:lineRule="auto" w:before="6"/>
        <w:ind w:left="308" w:right="358"/>
        <w:jc w:val="both"/>
      </w:pPr>
      <w:r>
        <w:rPr/>
        <w:t>Também sei que caso existam gastos adicionais, estes serão absorvidos pelo orçamento da pesquisa. Em caso de dúvidas poderei chamar a mestranda </w:t>
      </w:r>
      <w:r>
        <w:rPr>
          <w:b/>
        </w:rPr>
        <w:t>Edna Maria Cruz Pinho, </w:t>
      </w:r>
      <w:r>
        <w:rPr/>
        <w:t>a professora orientadora </w:t>
      </w:r>
      <w:r>
        <w:rPr>
          <w:b/>
        </w:rPr>
        <w:t>Maria José de Pinho </w:t>
      </w:r>
      <w:r>
        <w:rPr/>
        <w:t>no telefone</w:t>
      </w:r>
    </w:p>
    <w:p>
      <w:pPr>
        <w:spacing w:line="362" w:lineRule="auto" w:before="4"/>
        <w:ind w:left="308" w:right="362" w:firstLine="0"/>
        <w:jc w:val="both"/>
        <w:rPr>
          <w:sz w:val="24"/>
        </w:rPr>
      </w:pPr>
      <w:r>
        <w:rPr>
          <w:b/>
          <w:sz w:val="24"/>
        </w:rPr>
        <w:t>(63) 8409-4538 / (63) 3232-8121 ou e-mails: </w:t>
      </w:r>
      <w:hyperlink r:id="rId47">
        <w:r>
          <w:rPr>
            <w:b/>
            <w:sz w:val="24"/>
            <w:u w:val="thick"/>
          </w:rPr>
          <w:t>ednapinho@uft.edu.br</w:t>
        </w:r>
      </w:hyperlink>
      <w:r>
        <w:rPr>
          <w:b/>
          <w:sz w:val="24"/>
          <w:u w:val="thick"/>
        </w:rPr>
        <w:t> </w:t>
      </w:r>
      <w:r>
        <w:rPr>
          <w:b/>
          <w:sz w:val="24"/>
        </w:rPr>
        <w:t>e </w:t>
      </w:r>
      <w:hyperlink r:id="rId51">
        <w:r>
          <w:rPr>
            <w:b/>
            <w:sz w:val="24"/>
            <w:u w:val="thick"/>
          </w:rPr>
          <w:t>mjpgon@mail.uft.edu.br</w:t>
        </w:r>
      </w:hyperlink>
      <w:r>
        <w:rPr>
          <w:b/>
          <w:sz w:val="24"/>
        </w:rPr>
        <w:t>. </w:t>
      </w:r>
      <w:r>
        <w:rPr>
          <w:sz w:val="24"/>
        </w:rPr>
        <w:t>Declaro que concordo em participar desse estudo. Recebi uma cópia deste termo de consentimento livre e esclarecido e me foi dada a oportunidade de ler e esclarecer as minhas dúvidas.</w:t>
      </w:r>
    </w:p>
    <w:p>
      <w:pPr>
        <w:pStyle w:val="BodyText"/>
        <w:spacing w:before="9"/>
        <w:rPr>
          <w:sz w:val="35"/>
        </w:rPr>
      </w:pPr>
    </w:p>
    <w:p>
      <w:pPr>
        <w:pStyle w:val="BodyText"/>
        <w:tabs>
          <w:tab w:pos="5954" w:val="left" w:leader="none"/>
          <w:tab w:pos="8020" w:val="left" w:leader="none"/>
        </w:tabs>
        <w:ind w:left="4092"/>
      </w:pPr>
      <w:r>
        <w:rPr/>
        <w:t>Palmas,</w:t>
      </w:r>
      <w:r>
        <w:rPr>
          <w:u w:val="single"/>
        </w:rPr>
        <w:t> </w:t>
        <w:tab/>
      </w:r>
      <w:r>
        <w:rPr/>
        <w:t>de</w:t>
      </w:r>
      <w:r>
        <w:rPr>
          <w:u w:val="single"/>
        </w:rPr>
        <w:tab/>
      </w:r>
      <w:r>
        <w:rPr/>
        <w:t>de</w:t>
      </w:r>
      <w:r>
        <w:rPr>
          <w:spacing w:val="62"/>
        </w:rPr>
        <w:t> </w:t>
      </w:r>
      <w:r>
        <w:rPr/>
        <w:t>2013.</w:t>
      </w:r>
    </w:p>
    <w:p>
      <w:pPr>
        <w:pStyle w:val="BodyText"/>
        <w:rPr>
          <w:sz w:val="20"/>
        </w:rPr>
      </w:pPr>
    </w:p>
    <w:p>
      <w:pPr>
        <w:pStyle w:val="BodyText"/>
        <w:rPr>
          <w:sz w:val="20"/>
        </w:rPr>
      </w:pPr>
    </w:p>
    <w:p>
      <w:pPr>
        <w:pStyle w:val="BodyText"/>
        <w:spacing w:before="9"/>
        <w:rPr>
          <w:sz w:val="19"/>
        </w:rPr>
      </w:pPr>
    </w:p>
    <w:tbl>
      <w:tblPr>
        <w:tblW w:w="0" w:type="auto"/>
        <w:jc w:val="left"/>
        <w:tblInd w:w="1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48"/>
        <w:gridCol w:w="1686"/>
        <w:gridCol w:w="4444"/>
        <w:gridCol w:w="1974"/>
      </w:tblGrid>
      <w:tr>
        <w:trPr>
          <w:trHeight w:val="835" w:hRule="exact"/>
        </w:trPr>
        <w:tc>
          <w:tcPr>
            <w:tcW w:w="1048" w:type="dxa"/>
            <w:vMerge w:val="restart"/>
            <w:tcBorders>
              <w:top w:val="single" w:sz="4" w:space="0" w:color="000000"/>
            </w:tcBorders>
          </w:tcPr>
          <w:p>
            <w:pPr/>
          </w:p>
        </w:tc>
        <w:tc>
          <w:tcPr>
            <w:tcW w:w="1686" w:type="dxa"/>
            <w:tcBorders>
              <w:top w:val="single" w:sz="4" w:space="0" w:color="000000"/>
              <w:bottom w:val="single" w:sz="4" w:space="0" w:color="000000"/>
            </w:tcBorders>
          </w:tcPr>
          <w:p>
            <w:pPr>
              <w:pStyle w:val="TableParagraph"/>
              <w:spacing w:line="272" w:lineRule="exact"/>
              <w:ind w:left="300"/>
              <w:jc w:val="left"/>
              <w:rPr>
                <w:sz w:val="24"/>
              </w:rPr>
            </w:pPr>
            <w:r>
              <w:rPr>
                <w:sz w:val="24"/>
              </w:rPr>
              <w:t>Nome</w:t>
            </w:r>
          </w:p>
        </w:tc>
        <w:tc>
          <w:tcPr>
            <w:tcW w:w="4444" w:type="dxa"/>
            <w:tcBorders>
              <w:top w:val="single" w:sz="4" w:space="0" w:color="000000"/>
              <w:bottom w:val="single" w:sz="4" w:space="0" w:color="000000"/>
            </w:tcBorders>
          </w:tcPr>
          <w:p>
            <w:pPr>
              <w:pStyle w:val="TableParagraph"/>
              <w:spacing w:line="272" w:lineRule="exact"/>
              <w:ind w:left="727" w:right="514"/>
              <w:rPr>
                <w:sz w:val="24"/>
              </w:rPr>
            </w:pPr>
            <w:r>
              <w:rPr>
                <w:sz w:val="24"/>
              </w:rPr>
              <w:t>Assinatura do (a) Participante</w:t>
            </w:r>
          </w:p>
        </w:tc>
        <w:tc>
          <w:tcPr>
            <w:tcW w:w="1974" w:type="dxa"/>
            <w:tcBorders>
              <w:top w:val="single" w:sz="4" w:space="0" w:color="000000"/>
              <w:bottom w:val="single" w:sz="4" w:space="0" w:color="000000"/>
            </w:tcBorders>
          </w:tcPr>
          <w:p>
            <w:pPr>
              <w:pStyle w:val="TableParagraph"/>
              <w:spacing w:line="272" w:lineRule="exact"/>
              <w:ind w:left="534"/>
              <w:jc w:val="left"/>
              <w:rPr>
                <w:sz w:val="24"/>
              </w:rPr>
            </w:pPr>
            <w:r>
              <w:rPr>
                <w:sz w:val="24"/>
              </w:rPr>
              <w:t>Data</w:t>
            </w:r>
          </w:p>
        </w:tc>
      </w:tr>
      <w:tr>
        <w:trPr>
          <w:trHeight w:val="840" w:hRule="exact"/>
        </w:trPr>
        <w:tc>
          <w:tcPr>
            <w:tcW w:w="1048" w:type="dxa"/>
            <w:vMerge/>
            <w:tcBorders>
              <w:bottom w:val="single" w:sz="4" w:space="0" w:color="000000"/>
            </w:tcBorders>
          </w:tcPr>
          <w:p>
            <w:pPr/>
          </w:p>
        </w:tc>
        <w:tc>
          <w:tcPr>
            <w:tcW w:w="1686" w:type="dxa"/>
            <w:tcBorders>
              <w:top w:val="single" w:sz="4" w:space="0" w:color="000000"/>
              <w:bottom w:val="single" w:sz="4" w:space="0" w:color="000000"/>
            </w:tcBorders>
          </w:tcPr>
          <w:p>
            <w:pPr>
              <w:pStyle w:val="TableParagraph"/>
              <w:spacing w:line="272" w:lineRule="exact"/>
              <w:ind w:left="300"/>
              <w:jc w:val="left"/>
              <w:rPr>
                <w:sz w:val="24"/>
              </w:rPr>
            </w:pPr>
            <w:r>
              <w:rPr>
                <w:sz w:val="24"/>
              </w:rPr>
              <w:t>Nome</w:t>
            </w:r>
          </w:p>
        </w:tc>
        <w:tc>
          <w:tcPr>
            <w:tcW w:w="4444" w:type="dxa"/>
            <w:tcBorders>
              <w:top w:val="single" w:sz="4" w:space="0" w:color="000000"/>
              <w:bottom w:val="single" w:sz="4" w:space="0" w:color="000000"/>
            </w:tcBorders>
          </w:tcPr>
          <w:p>
            <w:pPr>
              <w:pStyle w:val="TableParagraph"/>
              <w:spacing w:line="272" w:lineRule="exact"/>
              <w:ind w:left="719" w:right="514"/>
              <w:rPr>
                <w:sz w:val="24"/>
              </w:rPr>
            </w:pPr>
            <w:r>
              <w:rPr>
                <w:sz w:val="24"/>
              </w:rPr>
              <w:t>Assinatura da Pesquisadora</w:t>
            </w:r>
          </w:p>
        </w:tc>
        <w:tc>
          <w:tcPr>
            <w:tcW w:w="1974" w:type="dxa"/>
            <w:tcBorders>
              <w:top w:val="single" w:sz="4" w:space="0" w:color="000000"/>
              <w:bottom w:val="single" w:sz="4" w:space="0" w:color="000000"/>
            </w:tcBorders>
          </w:tcPr>
          <w:p>
            <w:pPr>
              <w:pStyle w:val="TableParagraph"/>
              <w:spacing w:line="272" w:lineRule="exact"/>
              <w:ind w:left="534"/>
              <w:jc w:val="left"/>
              <w:rPr>
                <w:sz w:val="24"/>
              </w:rPr>
            </w:pPr>
            <w:r>
              <w:rPr>
                <w:sz w:val="24"/>
              </w:rPr>
              <w:t>Data</w:t>
            </w:r>
          </w:p>
        </w:tc>
      </w:tr>
      <w:tr>
        <w:trPr>
          <w:trHeight w:val="276" w:hRule="exact"/>
        </w:trPr>
        <w:tc>
          <w:tcPr>
            <w:tcW w:w="1048" w:type="dxa"/>
            <w:tcBorders>
              <w:top w:val="single" w:sz="4" w:space="0" w:color="000000"/>
            </w:tcBorders>
          </w:tcPr>
          <w:p>
            <w:pPr>
              <w:pStyle w:val="TableParagraph"/>
              <w:spacing w:line="272" w:lineRule="exact"/>
              <w:ind w:left="110"/>
              <w:jc w:val="left"/>
              <w:rPr>
                <w:sz w:val="24"/>
              </w:rPr>
            </w:pPr>
            <w:r>
              <w:rPr>
                <w:sz w:val="24"/>
              </w:rPr>
              <w:t>Nome</w:t>
            </w:r>
          </w:p>
        </w:tc>
        <w:tc>
          <w:tcPr>
            <w:tcW w:w="1686" w:type="dxa"/>
            <w:tcBorders>
              <w:top w:val="single" w:sz="4" w:space="0" w:color="000000"/>
            </w:tcBorders>
          </w:tcPr>
          <w:p>
            <w:pPr/>
          </w:p>
        </w:tc>
        <w:tc>
          <w:tcPr>
            <w:tcW w:w="4444" w:type="dxa"/>
            <w:tcBorders>
              <w:top w:val="single" w:sz="4" w:space="0" w:color="000000"/>
            </w:tcBorders>
          </w:tcPr>
          <w:p>
            <w:pPr>
              <w:pStyle w:val="TableParagraph"/>
              <w:spacing w:line="272" w:lineRule="exact"/>
              <w:ind w:left="727" w:right="513"/>
              <w:rPr>
                <w:sz w:val="24"/>
              </w:rPr>
            </w:pPr>
            <w:r>
              <w:rPr>
                <w:sz w:val="24"/>
              </w:rPr>
              <w:t>Assinatura da Testemunha</w:t>
            </w:r>
          </w:p>
        </w:tc>
        <w:tc>
          <w:tcPr>
            <w:tcW w:w="1974" w:type="dxa"/>
            <w:tcBorders>
              <w:top w:val="single" w:sz="4" w:space="0" w:color="000000"/>
            </w:tcBorders>
          </w:tcPr>
          <w:p>
            <w:pPr>
              <w:pStyle w:val="TableParagraph"/>
              <w:spacing w:line="272" w:lineRule="exact"/>
              <w:ind w:left="534"/>
              <w:jc w:val="left"/>
              <w:rPr>
                <w:sz w:val="24"/>
              </w:rPr>
            </w:pPr>
            <w:r>
              <w:rPr>
                <w:sz w:val="24"/>
              </w:rPr>
              <w:t>Data</w:t>
            </w:r>
          </w:p>
        </w:tc>
      </w:tr>
    </w:tbl>
    <w:p>
      <w:pPr>
        <w:spacing w:after="0" w:line="272" w:lineRule="exact"/>
        <w:jc w:val="left"/>
        <w:rPr>
          <w:sz w:val="24"/>
        </w:rPr>
        <w:sectPr>
          <w:pgSz w:w="11910" w:h="16840"/>
          <w:pgMar w:header="1133" w:footer="0" w:top="1340" w:bottom="280" w:left="1680" w:right="760"/>
        </w:sectPr>
      </w:pPr>
    </w:p>
    <w:p>
      <w:pPr>
        <w:pStyle w:val="BodyText"/>
        <w:spacing w:before="2"/>
        <w:rPr>
          <w:sz w:val="21"/>
        </w:rPr>
      </w:pPr>
    </w:p>
    <w:p>
      <w:pPr>
        <w:pStyle w:val="Heading1"/>
      </w:pPr>
      <w:r>
        <w:rPr/>
        <w:t>ANEXO E</w:t>
      </w:r>
    </w:p>
    <w:p>
      <w:pPr>
        <w:pStyle w:val="BodyText"/>
        <w:rPr>
          <w:b/>
          <w:sz w:val="20"/>
        </w:rPr>
      </w:pPr>
    </w:p>
    <w:p>
      <w:pPr>
        <w:pStyle w:val="BodyText"/>
        <w:spacing w:before="5"/>
        <w:rPr>
          <w:b/>
          <w:sz w:val="14"/>
        </w:rPr>
      </w:pPr>
      <w:r>
        <w:rPr/>
        <w:drawing>
          <wp:anchor distT="0" distB="0" distL="0" distR="0" allowOverlap="1" layoutInCell="1" locked="0" behindDoc="0" simplePos="0" relativeHeight="1984">
            <wp:simplePos x="0" y="0"/>
            <wp:positionH relativeFrom="page">
              <wp:posOffset>3666109</wp:posOffset>
            </wp:positionH>
            <wp:positionV relativeFrom="paragraph">
              <wp:posOffset>130505</wp:posOffset>
            </wp:positionV>
            <wp:extent cx="696432" cy="642937"/>
            <wp:effectExtent l="0" t="0" r="0" b="0"/>
            <wp:wrapTopAndBottom/>
            <wp:docPr id="15" name="image10.jpeg" descr=""/>
            <wp:cNvGraphicFramePr>
              <a:graphicFrameLocks noChangeAspect="1"/>
            </wp:cNvGraphicFramePr>
            <a:graphic>
              <a:graphicData uri="http://schemas.openxmlformats.org/drawingml/2006/picture">
                <pic:pic>
                  <pic:nvPicPr>
                    <pic:cNvPr id="16" name="image10.jpeg"/>
                    <pic:cNvPicPr/>
                  </pic:nvPicPr>
                  <pic:blipFill>
                    <a:blip r:embed="rId46" cstate="print"/>
                    <a:stretch>
                      <a:fillRect/>
                    </a:stretch>
                  </pic:blipFill>
                  <pic:spPr>
                    <a:xfrm>
                      <a:off x="0" y="0"/>
                      <a:ext cx="696432" cy="642937"/>
                    </a:xfrm>
                    <a:prstGeom prst="rect">
                      <a:avLst/>
                    </a:prstGeom>
                  </pic:spPr>
                </pic:pic>
              </a:graphicData>
            </a:graphic>
          </wp:anchor>
        </w:drawing>
      </w:r>
    </w:p>
    <w:p>
      <w:pPr>
        <w:spacing w:line="240" w:lineRule="auto" w:before="110"/>
        <w:ind w:left="2502" w:right="2211" w:hanging="98"/>
        <w:jc w:val="center"/>
        <w:rPr>
          <w:b/>
          <w:sz w:val="22"/>
        </w:rPr>
      </w:pPr>
      <w:r>
        <w:rPr>
          <w:b/>
          <w:sz w:val="22"/>
        </w:rPr>
        <w:t>SERVIÇO PÚBLICO FEDERAL UNIVERSIDADE FEDERAL DO</w:t>
      </w:r>
      <w:r>
        <w:rPr>
          <w:b/>
          <w:spacing w:val="-23"/>
          <w:sz w:val="22"/>
        </w:rPr>
        <w:t> </w:t>
      </w:r>
      <w:r>
        <w:rPr>
          <w:b/>
          <w:sz w:val="22"/>
        </w:rPr>
        <w:t>TOCANTINS PRÓ-REITORIA DE</w:t>
      </w:r>
      <w:r>
        <w:rPr>
          <w:b/>
          <w:spacing w:val="-20"/>
          <w:sz w:val="22"/>
        </w:rPr>
        <w:t> </w:t>
      </w:r>
      <w:r>
        <w:rPr>
          <w:b/>
          <w:sz w:val="22"/>
        </w:rPr>
        <w:t>GRADUAÇÃO</w:t>
      </w:r>
    </w:p>
    <w:p>
      <w:pPr>
        <w:spacing w:before="1"/>
        <w:ind w:left="391" w:right="159" w:firstLine="0"/>
        <w:jc w:val="center"/>
        <w:rPr>
          <w:b/>
          <w:sz w:val="22"/>
        </w:rPr>
      </w:pPr>
      <w:r>
        <w:rPr>
          <w:b/>
          <w:sz w:val="22"/>
        </w:rPr>
        <w:t>PROGRAMA DE PÓS- GRADUAÇÃO EM EDUCAÇÃO /PPGE</w:t>
      </w:r>
    </w:p>
    <w:p>
      <w:pPr>
        <w:pStyle w:val="BodyText"/>
        <w:rPr>
          <w:b/>
        </w:rPr>
      </w:pPr>
    </w:p>
    <w:p>
      <w:pPr>
        <w:pStyle w:val="BodyText"/>
        <w:spacing w:before="4"/>
        <w:rPr>
          <w:b/>
          <w:sz w:val="20"/>
        </w:rPr>
      </w:pPr>
    </w:p>
    <w:p>
      <w:pPr>
        <w:pStyle w:val="Heading2"/>
        <w:spacing w:line="242" w:lineRule="auto" w:before="1"/>
        <w:ind w:left="391" w:right="156" w:firstLine="0"/>
        <w:jc w:val="center"/>
      </w:pPr>
      <w:r>
        <w:rPr>
          <w:u w:val="single"/>
        </w:rPr>
        <w:t>AUTORIZAÇÃO PARA TRABALHAR COM MENOR EM PROJETO DE PESQUISA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tabs>
          <w:tab w:pos="7602" w:val="left" w:leader="none"/>
        </w:tabs>
        <w:spacing w:before="93"/>
        <w:ind w:left="308" w:right="0" w:firstLine="0"/>
        <w:jc w:val="left"/>
        <w:rPr>
          <w:sz w:val="22"/>
        </w:rPr>
      </w:pPr>
      <w:r>
        <w:rPr>
          <w:sz w:val="22"/>
        </w:rPr>
        <w:t>Eu,</w:t>
        <w:tab/>
        <w:t>,   portador </w:t>
      </w:r>
      <w:r>
        <w:rPr>
          <w:spacing w:val="47"/>
          <w:sz w:val="22"/>
        </w:rPr>
        <w:t> </w:t>
      </w:r>
      <w:r>
        <w:rPr>
          <w:sz w:val="22"/>
        </w:rPr>
        <w:t>do</w:t>
      </w:r>
    </w:p>
    <w:p>
      <w:pPr>
        <w:pStyle w:val="BodyText"/>
        <w:spacing w:line="20" w:lineRule="exact"/>
        <w:ind w:left="631"/>
        <w:rPr>
          <w:sz w:val="2"/>
        </w:rPr>
      </w:pPr>
      <w:r>
        <w:rPr>
          <w:sz w:val="2"/>
        </w:rPr>
        <w:pict>
          <v:group style="width:349.05pt;height:.7pt;mso-position-horizontal-relative:char;mso-position-vertical-relative:line" coordorigin="0,0" coordsize="6981,14">
            <v:line style="position:absolute" from="7,7" to="6974,7" stroked="true" strokeweight=".69552pt" strokecolor="#000000">
              <v:stroke dashstyle="solid"/>
            </v:line>
          </v:group>
        </w:pict>
      </w:r>
      <w:r>
        <w:rPr>
          <w:sz w:val="2"/>
        </w:rPr>
      </w:r>
    </w:p>
    <w:p>
      <w:pPr>
        <w:tabs>
          <w:tab w:pos="3960" w:val="left" w:leader="none"/>
          <w:tab w:pos="7851" w:val="left" w:leader="none"/>
        </w:tabs>
        <w:spacing w:before="126"/>
        <w:ind w:left="308" w:right="0" w:firstLine="0"/>
        <w:jc w:val="left"/>
        <w:rPr>
          <w:sz w:val="22"/>
        </w:rPr>
      </w:pPr>
      <w:r>
        <w:rPr>
          <w:sz w:val="22"/>
        </w:rPr>
        <w:t>RG: </w:t>
      </w:r>
      <w:r>
        <w:rPr>
          <w:spacing w:val="1"/>
          <w:sz w:val="22"/>
        </w:rPr>
        <w:t> </w:t>
      </w:r>
      <w:r>
        <w:rPr>
          <w:sz w:val="22"/>
        </w:rPr>
        <w:t>nº</w:t>
      </w:r>
      <w:r>
        <w:rPr>
          <w:sz w:val="22"/>
          <w:u w:val="single"/>
        </w:rPr>
        <w:t> </w:t>
        <w:tab/>
      </w:r>
      <w:r>
        <w:rPr>
          <w:sz w:val="22"/>
        </w:rPr>
        <w:t>e </w:t>
      </w:r>
      <w:r>
        <w:rPr>
          <w:spacing w:val="2"/>
          <w:sz w:val="22"/>
        </w:rPr>
        <w:t> </w:t>
      </w:r>
      <w:r>
        <w:rPr>
          <w:sz w:val="22"/>
        </w:rPr>
        <w:t>CPF: </w:t>
      </w:r>
      <w:r>
        <w:rPr>
          <w:spacing w:val="1"/>
          <w:sz w:val="22"/>
        </w:rPr>
        <w:t> </w:t>
      </w:r>
      <w:r>
        <w:rPr>
          <w:sz w:val="22"/>
        </w:rPr>
        <w:t>nº</w:t>
      </w:r>
      <w:r>
        <w:rPr>
          <w:sz w:val="22"/>
          <w:u w:val="single"/>
        </w:rPr>
        <w:t> </w:t>
        <w:tab/>
      </w:r>
      <w:r>
        <w:rPr>
          <w:sz w:val="22"/>
        </w:rPr>
        <w:t>Residente</w:t>
      </w:r>
      <w:r>
        <w:rPr>
          <w:spacing w:val="56"/>
          <w:sz w:val="22"/>
        </w:rPr>
        <w:t> </w:t>
      </w:r>
      <w:r>
        <w:rPr>
          <w:sz w:val="22"/>
        </w:rPr>
        <w:t>a</w:t>
      </w:r>
    </w:p>
    <w:p>
      <w:pPr>
        <w:pStyle w:val="BodyText"/>
        <w:spacing w:before="1"/>
        <w:rPr>
          <w:sz w:val="28"/>
        </w:rPr>
      </w:pPr>
      <w:r>
        <w:rPr/>
        <w:pict>
          <v:line style="position:absolute;mso-position-horizontal-relative:page;mso-position-vertical-relative:paragraph;z-index:2032;mso-wrap-distance-left:0;mso-wrap-distance-right:0" from="99.407997pt,18.486845pt" to="533.059218pt,18.486845pt" stroked="true" strokeweight=".69552pt" strokecolor="#000000">
            <v:stroke dashstyle="solid"/>
            <w10:wrap type="topAndBottom"/>
          </v:line>
        </w:pict>
      </w:r>
    </w:p>
    <w:p>
      <w:pPr>
        <w:tabs>
          <w:tab w:pos="701" w:val="left" w:leader="none"/>
          <w:tab w:pos="2007" w:val="left" w:leader="none"/>
          <w:tab w:pos="2895" w:val="left" w:leader="none"/>
          <w:tab w:pos="3878" w:val="left" w:leader="none"/>
          <w:tab w:pos="4756" w:val="left" w:leader="none"/>
          <w:tab w:pos="5786" w:val="left" w:leader="none"/>
          <w:tab w:pos="6179" w:val="left" w:leader="none"/>
          <w:tab w:pos="7315" w:val="left" w:leader="none"/>
          <w:tab w:pos="7996" w:val="left" w:leader="none"/>
          <w:tab w:pos="8258" w:val="left" w:leader="none"/>
          <w:tab w:pos="8686" w:val="left" w:leader="none"/>
        </w:tabs>
        <w:spacing w:line="357" w:lineRule="auto" w:before="100"/>
        <w:ind w:left="308" w:right="108" w:firstLine="0"/>
        <w:jc w:val="left"/>
        <w:rPr>
          <w:sz w:val="22"/>
        </w:rPr>
      </w:pPr>
      <w:r>
        <w:rPr>
          <w:w w:val="100"/>
          <w:sz w:val="22"/>
          <w:u w:val="single"/>
        </w:rPr>
        <w:t> </w:t>
      </w:r>
      <w:r>
        <w:rPr>
          <w:sz w:val="22"/>
          <w:u w:val="single"/>
        </w:rPr>
        <w:tab/>
        <w:tab/>
        <w:tab/>
        <w:tab/>
        <w:tab/>
        <w:tab/>
        <w:tab/>
        <w:tab/>
        <w:tab/>
        <w:tab/>
      </w:r>
      <w:r>
        <w:rPr>
          <w:sz w:val="22"/>
        </w:rPr>
        <w:t>,autoriz o a professora da UFT - Universidade Federal do Tocantins, </w:t>
      </w:r>
      <w:r>
        <w:rPr>
          <w:b/>
          <w:sz w:val="22"/>
        </w:rPr>
        <w:t>MARIA JOSÉ DE PINHO </w:t>
      </w:r>
      <w:r>
        <w:rPr>
          <w:sz w:val="22"/>
        </w:rPr>
        <w:t>e  a</w:t>
        <w:tab/>
        <w:t>mestranda</w:t>
        <w:tab/>
      </w:r>
      <w:r>
        <w:rPr>
          <w:b/>
          <w:sz w:val="22"/>
        </w:rPr>
        <w:t>EDNA</w:t>
        <w:tab/>
        <w:t>MARIA</w:t>
        <w:tab/>
        <w:t>CRUZ</w:t>
        <w:tab/>
        <w:t>PINHO</w:t>
      </w:r>
      <w:r>
        <w:rPr>
          <w:sz w:val="22"/>
        </w:rPr>
        <w:t>,</w:t>
        <w:tab/>
        <w:t>a</w:t>
        <w:tab/>
        <w:t>trabalhar</w:t>
        <w:tab/>
        <w:t>com</w:t>
        <w:tab/>
        <w:t>meu</w:t>
        <w:tab/>
        <w:t>filho</w:t>
      </w:r>
    </w:p>
    <w:p>
      <w:pPr>
        <w:tabs>
          <w:tab w:pos="6294" w:val="left" w:leader="none"/>
        </w:tabs>
        <w:spacing w:line="360" w:lineRule="auto" w:before="10"/>
        <w:ind w:left="308" w:right="108" w:firstLine="0"/>
        <w:jc w:val="both"/>
        <w:rPr>
          <w:b/>
          <w:sz w:val="22"/>
        </w:rPr>
      </w:pPr>
      <w:r>
        <w:rPr>
          <w:w w:val="100"/>
          <w:sz w:val="22"/>
          <w:u w:val="single"/>
        </w:rPr>
        <w:t> </w:t>
      </w:r>
      <w:r>
        <w:rPr>
          <w:sz w:val="22"/>
          <w:u w:val="single"/>
        </w:rPr>
        <w:tab/>
      </w:r>
      <w:r>
        <w:rPr>
          <w:sz w:val="22"/>
        </w:rPr>
        <w:t>,  e  declaro  estar</w:t>
      </w:r>
      <w:r>
        <w:rPr>
          <w:spacing w:val="13"/>
          <w:sz w:val="22"/>
        </w:rPr>
        <w:t> </w:t>
      </w:r>
      <w:r>
        <w:rPr>
          <w:sz w:val="22"/>
        </w:rPr>
        <w:t>ciente</w:t>
      </w:r>
      <w:r>
        <w:rPr>
          <w:spacing w:val="48"/>
          <w:sz w:val="22"/>
        </w:rPr>
        <w:t> </w:t>
      </w:r>
      <w:r>
        <w:rPr>
          <w:sz w:val="22"/>
        </w:rPr>
        <w:t>do</w:t>
      </w:r>
      <w:r>
        <w:rPr>
          <w:w w:val="100"/>
          <w:sz w:val="22"/>
        </w:rPr>
        <w:t> </w:t>
      </w:r>
      <w:r>
        <w:rPr>
          <w:sz w:val="22"/>
        </w:rPr>
        <w:t>objeto do trabalho, concordando com o mesmo. A professora é responsável pelo projeto de pesquisa </w:t>
      </w:r>
      <w:r>
        <w:rPr>
          <w:b/>
          <w:sz w:val="22"/>
        </w:rPr>
        <w:t>PRÁTICA EDUCATIVA CRIATIVA E INOVADORA NA ESCOLA DOS ANOS INICIAIS DO ENSINO FUNDAMENTAL: UM ESTUDO DE CASO EM GURUPI  </w:t>
      </w:r>
      <w:r>
        <w:rPr>
          <w:b/>
          <w:spacing w:val="20"/>
          <w:sz w:val="22"/>
        </w:rPr>
        <w:t> </w:t>
      </w:r>
      <w:r>
        <w:rPr>
          <w:b/>
          <w:sz w:val="22"/>
        </w:rPr>
        <w:t>–</w:t>
      </w:r>
    </w:p>
    <w:p>
      <w:pPr>
        <w:spacing w:before="3"/>
        <w:ind w:left="308" w:right="0" w:firstLine="0"/>
        <w:jc w:val="left"/>
        <w:rPr>
          <w:sz w:val="22"/>
        </w:rPr>
      </w:pPr>
      <w:r>
        <w:rPr>
          <w:b/>
          <w:sz w:val="22"/>
        </w:rPr>
        <w:t>TOCANTINS</w:t>
      </w:r>
      <w:r>
        <w:rPr>
          <w:sz w:val="22"/>
        </w:rPr>
        <w:t>, pelo período de 01 ano.</w:t>
      </w:r>
    </w:p>
    <w:p>
      <w:pPr>
        <w:pStyle w:val="BodyText"/>
      </w:pPr>
    </w:p>
    <w:p>
      <w:pPr>
        <w:pStyle w:val="BodyText"/>
        <w:spacing w:before="9"/>
        <w:rPr>
          <w:sz w:val="30"/>
        </w:rPr>
      </w:pPr>
    </w:p>
    <w:p>
      <w:pPr>
        <w:tabs>
          <w:tab w:pos="6832" w:val="left" w:leader="none"/>
          <w:tab w:pos="8120" w:val="left" w:leader="none"/>
        </w:tabs>
        <w:spacing w:before="0"/>
        <w:ind w:left="5306" w:right="0" w:firstLine="0"/>
        <w:jc w:val="left"/>
        <w:rPr>
          <w:sz w:val="22"/>
        </w:rPr>
      </w:pPr>
      <w:r>
        <w:rPr>
          <w:sz w:val="22"/>
        </w:rPr>
        <w:t>Palmas,</w:t>
      </w:r>
      <w:r>
        <w:rPr>
          <w:sz w:val="22"/>
          <w:u w:val="single"/>
        </w:rPr>
        <w:t> </w:t>
        <w:tab/>
      </w:r>
      <w:r>
        <w:rPr>
          <w:sz w:val="22"/>
        </w:rPr>
        <w:t>de</w:t>
      </w:r>
      <w:r>
        <w:rPr>
          <w:sz w:val="22"/>
          <w:u w:val="single"/>
        </w:rPr>
        <w:t> </w:t>
        <w:tab/>
      </w:r>
      <w:r>
        <w:rPr>
          <w:sz w:val="22"/>
        </w:rPr>
        <w:t>de</w:t>
      </w:r>
      <w:r>
        <w:rPr>
          <w:spacing w:val="-7"/>
          <w:sz w:val="22"/>
        </w:rPr>
        <w:t> </w:t>
      </w:r>
      <w:r>
        <w:rPr>
          <w:sz w:val="22"/>
        </w:rPr>
        <w:t>201.....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5"/>
        </w:rPr>
      </w:pPr>
      <w:r>
        <w:rPr/>
        <w:pict>
          <v:group style="position:absolute;margin-left:224.389999pt;margin-top:16.548349pt;width:245.45pt;height:.7pt;mso-position-horizontal-relative:page;mso-position-vertical-relative:paragraph;z-index:2056;mso-wrap-distance-left:0;mso-wrap-distance-right:0" coordorigin="4488,331" coordsize="4909,14">
            <v:line style="position:absolute" from="4495,338" to="8528,338" stroked="true" strokeweight=".69552pt" strokecolor="#000000">
              <v:stroke dashstyle="solid"/>
            </v:line>
            <v:line style="position:absolute" from="8533,338" to="9389,338" stroked="true" strokeweight=".69552pt" strokecolor="#000000">
              <v:stroke dashstyle="solid"/>
            </v:line>
            <w10:wrap type="topAndBottom"/>
          </v:group>
        </w:pict>
      </w:r>
    </w:p>
    <w:p>
      <w:pPr>
        <w:spacing w:before="8"/>
        <w:ind w:left="3141" w:right="0" w:firstLine="0"/>
        <w:jc w:val="left"/>
        <w:rPr>
          <w:sz w:val="22"/>
        </w:rPr>
      </w:pPr>
      <w:r>
        <w:rPr>
          <w:sz w:val="22"/>
        </w:rPr>
        <w:t>Assinatura do pai/ mãe ou responsável</w:t>
      </w:r>
    </w:p>
    <w:p>
      <w:pPr>
        <w:spacing w:after="0"/>
        <w:jc w:val="left"/>
        <w:rPr>
          <w:sz w:val="22"/>
        </w:rPr>
        <w:sectPr>
          <w:pgSz w:w="11910" w:h="16840"/>
          <w:pgMar w:header="1133" w:footer="0" w:top="1340" w:bottom="280" w:left="1680" w:right="1020"/>
        </w:sectPr>
      </w:pPr>
    </w:p>
    <w:p>
      <w:pPr>
        <w:pStyle w:val="BodyText"/>
        <w:spacing w:before="2"/>
        <w:rPr>
          <w:sz w:val="21"/>
        </w:rPr>
      </w:pPr>
    </w:p>
    <w:p>
      <w:pPr>
        <w:pStyle w:val="Heading1"/>
        <w:ind w:left="391"/>
      </w:pPr>
      <w:r>
        <w:rPr/>
        <w:t>ANEXO F</w:t>
      </w:r>
    </w:p>
    <w:p>
      <w:pPr>
        <w:pStyle w:val="BodyText"/>
        <w:spacing w:before="9"/>
        <w:rPr>
          <w:b/>
          <w:sz w:val="28"/>
        </w:rPr>
      </w:pPr>
    </w:p>
    <w:p>
      <w:pPr>
        <w:pStyle w:val="Heading3"/>
        <w:spacing w:line="274" w:lineRule="exact" w:before="0" w:after="4"/>
        <w:ind w:left="391" w:right="188"/>
        <w:jc w:val="center"/>
      </w:pPr>
      <w:r>
        <w:rPr/>
        <w:t>PARECER CONSUBSTANCIADO DE PROJETO DE PESQUISA COM SERES HUMANOS</w:t>
      </w:r>
    </w:p>
    <w:p>
      <w:pPr>
        <w:pStyle w:val="BodyText"/>
        <w:ind w:left="333"/>
        <w:rPr>
          <w:sz w:val="20"/>
        </w:rPr>
      </w:pPr>
      <w:r>
        <w:rPr>
          <w:sz w:val="20"/>
        </w:rPr>
        <w:drawing>
          <wp:inline distT="0" distB="0" distL="0" distR="0">
            <wp:extent cx="5505874" cy="7238238"/>
            <wp:effectExtent l="0" t="0" r="0" b="0"/>
            <wp:docPr id="17" name="image12.png" descr=""/>
            <wp:cNvGraphicFramePr>
              <a:graphicFrameLocks noChangeAspect="1"/>
            </wp:cNvGraphicFramePr>
            <a:graphic>
              <a:graphicData uri="http://schemas.openxmlformats.org/drawingml/2006/picture">
                <pic:pic>
                  <pic:nvPicPr>
                    <pic:cNvPr id="18" name="image12.png"/>
                    <pic:cNvPicPr/>
                  </pic:nvPicPr>
                  <pic:blipFill>
                    <a:blip r:embed="rId53" cstate="print"/>
                    <a:stretch>
                      <a:fillRect/>
                    </a:stretch>
                  </pic:blipFill>
                  <pic:spPr>
                    <a:xfrm>
                      <a:off x="0" y="0"/>
                      <a:ext cx="5505874" cy="7238238"/>
                    </a:xfrm>
                    <a:prstGeom prst="rect">
                      <a:avLst/>
                    </a:prstGeom>
                  </pic:spPr>
                </pic:pic>
              </a:graphicData>
            </a:graphic>
          </wp:inline>
        </w:drawing>
      </w:r>
      <w:r>
        <w:rPr>
          <w:sz w:val="20"/>
        </w:rPr>
      </w:r>
    </w:p>
    <w:p>
      <w:pPr>
        <w:spacing w:after="0"/>
        <w:rPr>
          <w:sz w:val="20"/>
        </w:rPr>
        <w:sectPr>
          <w:pgSz w:w="11910" w:h="16840"/>
          <w:pgMar w:header="1133" w:footer="0" w:top="1340" w:bottom="280" w:left="1680" w:right="1020"/>
        </w:sectPr>
      </w:pPr>
    </w:p>
    <w:p>
      <w:pPr>
        <w:pStyle w:val="BodyText"/>
        <w:spacing w:before="9"/>
        <w:rPr>
          <w:rFonts w:ascii="Times New Roman"/>
          <w:sz w:val="29"/>
        </w:rPr>
      </w:pPr>
    </w:p>
    <w:p>
      <w:pPr>
        <w:pStyle w:val="BodyText"/>
        <w:ind w:left="305"/>
        <w:rPr>
          <w:rFonts w:ascii="Times New Roman"/>
          <w:sz w:val="20"/>
        </w:rPr>
      </w:pPr>
      <w:r>
        <w:rPr>
          <w:rFonts w:ascii="Times New Roman"/>
          <w:sz w:val="20"/>
        </w:rPr>
        <w:pict>
          <v:group style="width:440.95pt;height:591.65pt;mso-position-horizontal-relative:char;mso-position-vertical-relative:line" coordorigin="0,0" coordsize="8819,11833">
            <v:shape style="position:absolute;left:0;top:0;width:8819;height:7439" type="#_x0000_t75" stroked="false">
              <v:imagedata r:id="rId54" o:title=""/>
            </v:shape>
            <v:shape style="position:absolute;left:0;top:7440;width:8786;height:4393" type="#_x0000_t75" stroked="false">
              <v:imagedata r:id="rId55" o:title=""/>
            </v:shape>
          </v:group>
        </w:pict>
      </w:r>
      <w:r>
        <w:rPr>
          <w:rFonts w:ascii="Times New Roman"/>
          <w:sz w:val="20"/>
        </w:rPr>
      </w:r>
    </w:p>
    <w:sectPr>
      <w:pgSz w:w="11910" w:h="16840"/>
      <w:pgMar w:header="1133" w:footer="0" w:top="1340" w:bottom="280" w:left="1680" w:right="10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Garamond">
    <w:altName w:val="Garamond"/>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62.160004pt;margin-top:83.916702pt;width:113.9pt;height:15.45pt;mso-position-horizontal-relative:page;mso-position-vertical-relative:page;z-index:-299752" type="#_x0000_t202" filled="false" stroked="false">
          <v:textbox inset="0,0,0,0">
            <w:txbxContent>
              <w:p>
                <w:pPr>
                  <w:spacing w:before="12"/>
                  <w:ind w:left="20" w:right="0" w:firstLine="0"/>
                  <w:jc w:val="left"/>
                  <w:rPr>
                    <w:b/>
                    <w:sz w:val="24"/>
                  </w:rPr>
                </w:pPr>
                <w:r>
                  <w:rPr>
                    <w:b/>
                    <w:sz w:val="24"/>
                  </w:rPr>
                  <w:t>LISTA DE FIGURAS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19971pt;margin-top:55.654827pt;width:20.65pt;height:13.3pt;mso-position-horizontal-relative:page;mso-position-vertical-relative:page;z-index:-299584" type="#_x0000_t202" filled="false" stroked="false">
          <v:textbox inset="0,0,0,0">
            <w:txbxContent>
              <w:p>
                <w:pPr>
                  <w:spacing w:before="15"/>
                  <w:ind w:left="40" w:right="0" w:firstLine="0"/>
                  <w:jc w:val="left"/>
                  <w:rPr>
                    <w:sz w:val="20"/>
                  </w:rPr>
                </w:pPr>
                <w:r>
                  <w:rPr/>
                  <w:fldChar w:fldCharType="begin"/>
                </w:r>
                <w:r>
                  <w:rPr>
                    <w:sz w:val="20"/>
                  </w:rPr>
                  <w:instrText> PAGE </w:instrText>
                </w:r>
                <w:r>
                  <w:rPr/>
                  <w:fldChar w:fldCharType="separate"/>
                </w:r>
                <w:r>
                  <w:rPr/>
                  <w:t>103</w:t>
                </w:r>
                <w:r>
                  <w:rPr/>
                  <w:fldChar w:fldCharType="end"/>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219971pt;margin-top:55.654827pt;width:18.6pt;height:13.3pt;mso-position-horizontal-relative:page;mso-position-vertical-relative:page;z-index:-299560" type="#_x0000_t202" filled="false" stroked="false">
          <v:textbox inset="0,0,0,0">
            <w:txbxContent>
              <w:p>
                <w:pPr>
                  <w:spacing w:before="15"/>
                  <w:ind w:left="20" w:right="0" w:firstLine="0"/>
                  <w:jc w:val="left"/>
                  <w:rPr>
                    <w:sz w:val="20"/>
                  </w:rPr>
                </w:pPr>
                <w:r>
                  <w:rPr>
                    <w:sz w:val="20"/>
                  </w:rPr>
                  <w:t>200</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219971pt;margin-top:55.654827pt;width:20.6pt;height:13.3pt;mso-position-horizontal-relative:page;mso-position-vertical-relative:page;z-index:-299536" type="#_x0000_t202" filled="false" stroked="false">
          <v:textbox inset="0,0,0,0">
            <w:txbxContent>
              <w:p>
                <w:pPr>
                  <w:spacing w:before="15"/>
                  <w:ind w:left="40" w:right="0" w:firstLine="0"/>
                  <w:jc w:val="left"/>
                  <w:rPr>
                    <w:sz w:val="20"/>
                  </w:rPr>
                </w:pPr>
                <w:r>
                  <w:rPr/>
                  <w:fldChar w:fldCharType="begin"/>
                </w:r>
                <w:r>
                  <w:rPr>
                    <w:sz w:val="20"/>
                  </w:rPr>
                  <w:instrText> PAGE </w:instrText>
                </w:r>
                <w:r>
                  <w:rPr/>
                  <w:fldChar w:fldCharType="separate"/>
                </w:r>
                <w:r>
                  <w:rPr/>
                  <w:t>201</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7.600006pt;margin-top:83.916702pt;width:123pt;height:15.45pt;mso-position-horizontal-relative:page;mso-position-vertical-relative:page;z-index:-299728" type="#_x0000_t202" filled="false" stroked="false">
          <v:textbox inset="0,0,0,0">
            <w:txbxContent>
              <w:p>
                <w:pPr>
                  <w:spacing w:before="12"/>
                  <w:ind w:left="20" w:right="0" w:firstLine="0"/>
                  <w:jc w:val="left"/>
                  <w:rPr>
                    <w:b/>
                    <w:sz w:val="24"/>
                  </w:rPr>
                </w:pPr>
                <w:r>
                  <w:rPr>
                    <w:b/>
                    <w:sz w:val="24"/>
                  </w:rPr>
                  <w:t>LISTA DE GRÁFICOS</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8.559998pt;margin-top:83.916702pt;width:121.1pt;height:15.45pt;mso-position-horizontal-relative:page;mso-position-vertical-relative:page;z-index:-299704" type="#_x0000_t202" filled="false" stroked="false">
          <v:textbox inset="0,0,0,0">
            <w:txbxContent>
              <w:p>
                <w:pPr>
                  <w:spacing w:before="12"/>
                  <w:ind w:left="20" w:right="0" w:firstLine="0"/>
                  <w:jc w:val="left"/>
                  <w:rPr>
                    <w:b/>
                    <w:sz w:val="24"/>
                  </w:rPr>
                </w:pPr>
                <w:r>
                  <w:rPr>
                    <w:b/>
                    <w:sz w:val="24"/>
                  </w:rPr>
                  <w:t>LISTA DE QUADROS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0.720001pt;margin-top:83.916702pt;width:116.55pt;height:15.45pt;mso-position-horizontal-relative:page;mso-position-vertical-relative:page;z-index:-299680" type="#_x0000_t202" filled="false" stroked="false">
          <v:textbox inset="0,0,0,0">
            <w:txbxContent>
              <w:p>
                <w:pPr>
                  <w:spacing w:before="12"/>
                  <w:ind w:left="20" w:right="0" w:firstLine="0"/>
                  <w:jc w:val="left"/>
                  <w:rPr>
                    <w:b/>
                    <w:sz w:val="24"/>
                  </w:rPr>
                </w:pPr>
                <w:r>
                  <w:rPr>
                    <w:b/>
                    <w:sz w:val="24"/>
                  </w:rPr>
                  <w:t>LISTA DE TABELAS</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6.720001pt;margin-top:83.916702pt;width:104.55pt;height:15.45pt;mso-position-horizontal-relative:page;mso-position-vertical-relative:page;z-index:-299656" type="#_x0000_t202" filled="false" stroked="false">
          <v:textbox inset="0,0,0,0">
            <w:txbxContent>
              <w:p>
                <w:pPr>
                  <w:spacing w:before="12"/>
                  <w:ind w:left="20" w:right="0" w:firstLine="0"/>
                  <w:jc w:val="left"/>
                  <w:rPr>
                    <w:b/>
                    <w:sz w:val="24"/>
                  </w:rPr>
                </w:pPr>
                <w:r>
                  <w:rPr>
                    <w:b/>
                    <w:sz w:val="24"/>
                  </w:rPr>
                  <w:t>LISTA DE SIGLAS</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979980pt;margin-top:55.654827pt;width:15.05pt;height:13.3pt;mso-position-horizontal-relative:page;mso-position-vertical-relative:page;z-index:-299632" type="#_x0000_t202" filled="false" stroked="false">
          <v:textbox inset="0,0,0,0">
            <w:txbxContent>
              <w:p>
                <w:pPr>
                  <w:spacing w:before="15"/>
                  <w:ind w:left="40" w:right="0" w:firstLine="0"/>
                  <w:jc w:val="left"/>
                  <w:rPr>
                    <w:sz w:val="20"/>
                  </w:rPr>
                </w:pPr>
                <w:r>
                  <w:rPr/>
                  <w:fldChar w:fldCharType="begin"/>
                </w:r>
                <w:r>
                  <w:rPr>
                    <w:sz w:val="20"/>
                  </w:rPr>
                  <w:instrText> PAGE </w:instrText>
                </w:r>
                <w:r>
                  <w:rPr/>
                  <w:fldChar w:fldCharType="separate"/>
                </w:r>
                <w:r>
                  <w:rPr/>
                  <w:t>19</w:t>
                </w:r>
                <w:r>
                  <w:rPr/>
                  <w:fldChar w:fldCharType="end"/>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1.219971pt;margin-top:55.654827pt;width:18.6pt;height:13.3pt;mso-position-horizontal-relative:page;mso-position-vertical-relative:page;z-index:-299608" type="#_x0000_t202" filled="false" stroked="false">
          <v:textbox inset="0,0,0,0">
            <w:txbxContent>
              <w:p>
                <w:pPr>
                  <w:spacing w:before="15"/>
                  <w:ind w:left="20" w:right="0" w:firstLine="0"/>
                  <w:jc w:val="left"/>
                  <w:rPr>
                    <w:sz w:val="20"/>
                  </w:rPr>
                </w:pPr>
                <w:r>
                  <w:rPr>
                    <w:sz w:val="20"/>
                  </w:rPr>
                  <w:t>100</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1"/>
      <w:numFmt w:val="lowerLetter"/>
      <w:lvlText w:val="%1)"/>
      <w:lvlJc w:val="left"/>
      <w:pPr>
        <w:ind w:left="2862" w:hanging="288"/>
        <w:jc w:val="left"/>
      </w:pPr>
      <w:rPr>
        <w:rFonts w:hint="default" w:ascii="Arial" w:hAnsi="Arial" w:eastAsia="Arial" w:cs="Arial"/>
        <w:w w:val="99"/>
        <w:sz w:val="24"/>
        <w:szCs w:val="24"/>
      </w:rPr>
    </w:lvl>
    <w:lvl w:ilvl="1">
      <w:start w:val="0"/>
      <w:numFmt w:val="bullet"/>
      <w:lvlText w:val="•"/>
      <w:lvlJc w:val="left"/>
      <w:pPr>
        <w:ind w:left="3494" w:hanging="288"/>
      </w:pPr>
      <w:rPr>
        <w:rFonts w:hint="default"/>
      </w:rPr>
    </w:lvl>
    <w:lvl w:ilvl="2">
      <w:start w:val="0"/>
      <w:numFmt w:val="bullet"/>
      <w:lvlText w:val="•"/>
      <w:lvlJc w:val="left"/>
      <w:pPr>
        <w:ind w:left="4128" w:hanging="288"/>
      </w:pPr>
      <w:rPr>
        <w:rFonts w:hint="default"/>
      </w:rPr>
    </w:lvl>
    <w:lvl w:ilvl="3">
      <w:start w:val="0"/>
      <w:numFmt w:val="bullet"/>
      <w:lvlText w:val="•"/>
      <w:lvlJc w:val="left"/>
      <w:pPr>
        <w:ind w:left="4763" w:hanging="288"/>
      </w:pPr>
      <w:rPr>
        <w:rFonts w:hint="default"/>
      </w:rPr>
    </w:lvl>
    <w:lvl w:ilvl="4">
      <w:start w:val="0"/>
      <w:numFmt w:val="bullet"/>
      <w:lvlText w:val="•"/>
      <w:lvlJc w:val="left"/>
      <w:pPr>
        <w:ind w:left="5397" w:hanging="288"/>
      </w:pPr>
      <w:rPr>
        <w:rFonts w:hint="default"/>
      </w:rPr>
    </w:lvl>
    <w:lvl w:ilvl="5">
      <w:start w:val="0"/>
      <w:numFmt w:val="bullet"/>
      <w:lvlText w:val="•"/>
      <w:lvlJc w:val="left"/>
      <w:pPr>
        <w:ind w:left="6032" w:hanging="288"/>
      </w:pPr>
      <w:rPr>
        <w:rFonts w:hint="default"/>
      </w:rPr>
    </w:lvl>
    <w:lvl w:ilvl="6">
      <w:start w:val="0"/>
      <w:numFmt w:val="bullet"/>
      <w:lvlText w:val="•"/>
      <w:lvlJc w:val="left"/>
      <w:pPr>
        <w:ind w:left="6666" w:hanging="288"/>
      </w:pPr>
      <w:rPr>
        <w:rFonts w:hint="default"/>
      </w:rPr>
    </w:lvl>
    <w:lvl w:ilvl="7">
      <w:start w:val="0"/>
      <w:numFmt w:val="bullet"/>
      <w:lvlText w:val="•"/>
      <w:lvlJc w:val="left"/>
      <w:pPr>
        <w:ind w:left="7300" w:hanging="288"/>
      </w:pPr>
      <w:rPr>
        <w:rFonts w:hint="default"/>
      </w:rPr>
    </w:lvl>
    <w:lvl w:ilvl="8">
      <w:start w:val="0"/>
      <w:numFmt w:val="bullet"/>
      <w:lvlText w:val="•"/>
      <w:lvlJc w:val="left"/>
      <w:pPr>
        <w:ind w:left="7935" w:hanging="288"/>
      </w:pPr>
      <w:rPr>
        <w:rFonts w:hint="default"/>
      </w:rPr>
    </w:lvl>
  </w:abstractNum>
  <w:abstractNum w:abstractNumId="13">
    <w:multiLevelType w:val="hybridMultilevel"/>
    <w:lvl w:ilvl="0">
      <w:start w:val="1"/>
      <w:numFmt w:val="lowerLetter"/>
      <w:lvlText w:val="%1)"/>
      <w:lvlJc w:val="left"/>
      <w:pPr>
        <w:ind w:left="2862" w:hanging="288"/>
        <w:jc w:val="left"/>
      </w:pPr>
      <w:rPr>
        <w:rFonts w:hint="default" w:ascii="Arial" w:hAnsi="Arial" w:eastAsia="Arial" w:cs="Arial"/>
        <w:w w:val="99"/>
        <w:sz w:val="24"/>
        <w:szCs w:val="24"/>
      </w:rPr>
    </w:lvl>
    <w:lvl w:ilvl="1">
      <w:start w:val="0"/>
      <w:numFmt w:val="bullet"/>
      <w:lvlText w:val="•"/>
      <w:lvlJc w:val="left"/>
      <w:pPr>
        <w:ind w:left="3494" w:hanging="288"/>
      </w:pPr>
      <w:rPr>
        <w:rFonts w:hint="default"/>
      </w:rPr>
    </w:lvl>
    <w:lvl w:ilvl="2">
      <w:start w:val="0"/>
      <w:numFmt w:val="bullet"/>
      <w:lvlText w:val="•"/>
      <w:lvlJc w:val="left"/>
      <w:pPr>
        <w:ind w:left="4128" w:hanging="288"/>
      </w:pPr>
      <w:rPr>
        <w:rFonts w:hint="default"/>
      </w:rPr>
    </w:lvl>
    <w:lvl w:ilvl="3">
      <w:start w:val="0"/>
      <w:numFmt w:val="bullet"/>
      <w:lvlText w:val="•"/>
      <w:lvlJc w:val="left"/>
      <w:pPr>
        <w:ind w:left="4763" w:hanging="288"/>
      </w:pPr>
      <w:rPr>
        <w:rFonts w:hint="default"/>
      </w:rPr>
    </w:lvl>
    <w:lvl w:ilvl="4">
      <w:start w:val="0"/>
      <w:numFmt w:val="bullet"/>
      <w:lvlText w:val="•"/>
      <w:lvlJc w:val="left"/>
      <w:pPr>
        <w:ind w:left="5397" w:hanging="288"/>
      </w:pPr>
      <w:rPr>
        <w:rFonts w:hint="default"/>
      </w:rPr>
    </w:lvl>
    <w:lvl w:ilvl="5">
      <w:start w:val="0"/>
      <w:numFmt w:val="bullet"/>
      <w:lvlText w:val="•"/>
      <w:lvlJc w:val="left"/>
      <w:pPr>
        <w:ind w:left="6032" w:hanging="288"/>
      </w:pPr>
      <w:rPr>
        <w:rFonts w:hint="default"/>
      </w:rPr>
    </w:lvl>
    <w:lvl w:ilvl="6">
      <w:start w:val="0"/>
      <w:numFmt w:val="bullet"/>
      <w:lvlText w:val="•"/>
      <w:lvlJc w:val="left"/>
      <w:pPr>
        <w:ind w:left="6666" w:hanging="288"/>
      </w:pPr>
      <w:rPr>
        <w:rFonts w:hint="default"/>
      </w:rPr>
    </w:lvl>
    <w:lvl w:ilvl="7">
      <w:start w:val="0"/>
      <w:numFmt w:val="bullet"/>
      <w:lvlText w:val="•"/>
      <w:lvlJc w:val="left"/>
      <w:pPr>
        <w:ind w:left="7300" w:hanging="288"/>
      </w:pPr>
      <w:rPr>
        <w:rFonts w:hint="default"/>
      </w:rPr>
    </w:lvl>
    <w:lvl w:ilvl="8">
      <w:start w:val="0"/>
      <w:numFmt w:val="bullet"/>
      <w:lvlText w:val="•"/>
      <w:lvlJc w:val="left"/>
      <w:pPr>
        <w:ind w:left="7935" w:hanging="288"/>
      </w:pPr>
      <w:rPr>
        <w:rFonts w:hint="default"/>
      </w:rPr>
    </w:lvl>
  </w:abstractNum>
  <w:abstractNum w:abstractNumId="9">
    <w:multiLevelType w:val="hybridMultilevel"/>
    <w:lvl w:ilvl="0">
      <w:start w:val="1"/>
      <w:numFmt w:val="lowerLetter"/>
      <w:lvlText w:val="%1)"/>
      <w:lvlJc w:val="left"/>
      <w:pPr>
        <w:ind w:left="2574" w:hanging="394"/>
        <w:jc w:val="left"/>
      </w:pPr>
      <w:rPr>
        <w:rFonts w:hint="default" w:ascii="Arial" w:hAnsi="Arial" w:eastAsia="Arial" w:cs="Arial"/>
        <w:spacing w:val="-2"/>
        <w:w w:val="100"/>
        <w:sz w:val="20"/>
        <w:szCs w:val="20"/>
      </w:rPr>
    </w:lvl>
    <w:lvl w:ilvl="1">
      <w:start w:val="0"/>
      <w:numFmt w:val="bullet"/>
      <w:lvlText w:val="•"/>
      <w:lvlJc w:val="left"/>
      <w:pPr>
        <w:ind w:left="3242" w:hanging="394"/>
      </w:pPr>
      <w:rPr>
        <w:rFonts w:hint="default"/>
      </w:rPr>
    </w:lvl>
    <w:lvl w:ilvl="2">
      <w:start w:val="0"/>
      <w:numFmt w:val="bullet"/>
      <w:lvlText w:val="•"/>
      <w:lvlJc w:val="left"/>
      <w:pPr>
        <w:ind w:left="3904" w:hanging="394"/>
      </w:pPr>
      <w:rPr>
        <w:rFonts w:hint="default"/>
      </w:rPr>
    </w:lvl>
    <w:lvl w:ilvl="3">
      <w:start w:val="0"/>
      <w:numFmt w:val="bullet"/>
      <w:lvlText w:val="•"/>
      <w:lvlJc w:val="left"/>
      <w:pPr>
        <w:ind w:left="4567" w:hanging="394"/>
      </w:pPr>
      <w:rPr>
        <w:rFonts w:hint="default"/>
      </w:rPr>
    </w:lvl>
    <w:lvl w:ilvl="4">
      <w:start w:val="0"/>
      <w:numFmt w:val="bullet"/>
      <w:lvlText w:val="•"/>
      <w:lvlJc w:val="left"/>
      <w:pPr>
        <w:ind w:left="5229" w:hanging="394"/>
      </w:pPr>
      <w:rPr>
        <w:rFonts w:hint="default"/>
      </w:rPr>
    </w:lvl>
    <w:lvl w:ilvl="5">
      <w:start w:val="0"/>
      <w:numFmt w:val="bullet"/>
      <w:lvlText w:val="•"/>
      <w:lvlJc w:val="left"/>
      <w:pPr>
        <w:ind w:left="5892" w:hanging="394"/>
      </w:pPr>
      <w:rPr>
        <w:rFonts w:hint="default"/>
      </w:rPr>
    </w:lvl>
    <w:lvl w:ilvl="6">
      <w:start w:val="0"/>
      <w:numFmt w:val="bullet"/>
      <w:lvlText w:val="•"/>
      <w:lvlJc w:val="left"/>
      <w:pPr>
        <w:ind w:left="6554" w:hanging="394"/>
      </w:pPr>
      <w:rPr>
        <w:rFonts w:hint="default"/>
      </w:rPr>
    </w:lvl>
    <w:lvl w:ilvl="7">
      <w:start w:val="0"/>
      <w:numFmt w:val="bullet"/>
      <w:lvlText w:val="•"/>
      <w:lvlJc w:val="left"/>
      <w:pPr>
        <w:ind w:left="7216" w:hanging="394"/>
      </w:pPr>
      <w:rPr>
        <w:rFonts w:hint="default"/>
      </w:rPr>
    </w:lvl>
    <w:lvl w:ilvl="8">
      <w:start w:val="0"/>
      <w:numFmt w:val="bullet"/>
      <w:lvlText w:val="•"/>
      <w:lvlJc w:val="left"/>
      <w:pPr>
        <w:ind w:left="7879" w:hanging="394"/>
      </w:pPr>
      <w:rPr>
        <w:rFonts w:hint="default"/>
      </w:rPr>
    </w:lvl>
  </w:abstractNum>
  <w:abstractNum w:abstractNumId="8">
    <w:multiLevelType w:val="hybridMultilevel"/>
    <w:lvl w:ilvl="0">
      <w:start w:val="1"/>
      <w:numFmt w:val="lowerLetter"/>
      <w:lvlText w:val="%1)"/>
      <w:lvlJc w:val="left"/>
      <w:pPr>
        <w:ind w:left="2862" w:hanging="288"/>
        <w:jc w:val="left"/>
      </w:pPr>
      <w:rPr>
        <w:rFonts w:hint="default" w:ascii="Arial" w:hAnsi="Arial" w:eastAsia="Arial" w:cs="Arial"/>
        <w:w w:val="99"/>
        <w:sz w:val="24"/>
        <w:szCs w:val="24"/>
      </w:rPr>
    </w:lvl>
    <w:lvl w:ilvl="1">
      <w:start w:val="0"/>
      <w:numFmt w:val="bullet"/>
      <w:lvlText w:val="•"/>
      <w:lvlJc w:val="left"/>
      <w:pPr>
        <w:ind w:left="3494" w:hanging="288"/>
      </w:pPr>
      <w:rPr>
        <w:rFonts w:hint="default"/>
      </w:rPr>
    </w:lvl>
    <w:lvl w:ilvl="2">
      <w:start w:val="0"/>
      <w:numFmt w:val="bullet"/>
      <w:lvlText w:val="•"/>
      <w:lvlJc w:val="left"/>
      <w:pPr>
        <w:ind w:left="4128" w:hanging="288"/>
      </w:pPr>
      <w:rPr>
        <w:rFonts w:hint="default"/>
      </w:rPr>
    </w:lvl>
    <w:lvl w:ilvl="3">
      <w:start w:val="0"/>
      <w:numFmt w:val="bullet"/>
      <w:lvlText w:val="•"/>
      <w:lvlJc w:val="left"/>
      <w:pPr>
        <w:ind w:left="4763" w:hanging="288"/>
      </w:pPr>
      <w:rPr>
        <w:rFonts w:hint="default"/>
      </w:rPr>
    </w:lvl>
    <w:lvl w:ilvl="4">
      <w:start w:val="0"/>
      <w:numFmt w:val="bullet"/>
      <w:lvlText w:val="•"/>
      <w:lvlJc w:val="left"/>
      <w:pPr>
        <w:ind w:left="5397" w:hanging="288"/>
      </w:pPr>
      <w:rPr>
        <w:rFonts w:hint="default"/>
      </w:rPr>
    </w:lvl>
    <w:lvl w:ilvl="5">
      <w:start w:val="0"/>
      <w:numFmt w:val="bullet"/>
      <w:lvlText w:val="•"/>
      <w:lvlJc w:val="left"/>
      <w:pPr>
        <w:ind w:left="6032" w:hanging="288"/>
      </w:pPr>
      <w:rPr>
        <w:rFonts w:hint="default"/>
      </w:rPr>
    </w:lvl>
    <w:lvl w:ilvl="6">
      <w:start w:val="0"/>
      <w:numFmt w:val="bullet"/>
      <w:lvlText w:val="•"/>
      <w:lvlJc w:val="left"/>
      <w:pPr>
        <w:ind w:left="6666" w:hanging="288"/>
      </w:pPr>
      <w:rPr>
        <w:rFonts w:hint="default"/>
      </w:rPr>
    </w:lvl>
    <w:lvl w:ilvl="7">
      <w:start w:val="0"/>
      <w:numFmt w:val="bullet"/>
      <w:lvlText w:val="•"/>
      <w:lvlJc w:val="left"/>
      <w:pPr>
        <w:ind w:left="7300" w:hanging="288"/>
      </w:pPr>
      <w:rPr>
        <w:rFonts w:hint="default"/>
      </w:rPr>
    </w:lvl>
    <w:lvl w:ilvl="8">
      <w:start w:val="0"/>
      <w:numFmt w:val="bullet"/>
      <w:lvlText w:val="•"/>
      <w:lvlJc w:val="left"/>
      <w:pPr>
        <w:ind w:left="7935" w:hanging="288"/>
      </w:pPr>
      <w:rPr>
        <w:rFonts w:hint="default"/>
      </w:rPr>
    </w:lvl>
  </w:abstractNum>
  <w:abstractNum w:abstractNumId="5">
    <w:multiLevelType w:val="hybridMultilevel"/>
    <w:lvl w:ilvl="0">
      <w:start w:val="1"/>
      <w:numFmt w:val="lowerLetter"/>
      <w:lvlText w:val="%1)"/>
      <w:lvlJc w:val="left"/>
      <w:pPr>
        <w:ind w:left="3002" w:hanging="428"/>
        <w:jc w:val="left"/>
      </w:pPr>
      <w:rPr>
        <w:rFonts w:hint="default" w:ascii="Arial" w:hAnsi="Arial" w:eastAsia="Arial" w:cs="Arial"/>
        <w:w w:val="99"/>
        <w:sz w:val="24"/>
        <w:szCs w:val="24"/>
      </w:rPr>
    </w:lvl>
    <w:lvl w:ilvl="1">
      <w:start w:val="0"/>
      <w:numFmt w:val="bullet"/>
      <w:lvlText w:val="•"/>
      <w:lvlJc w:val="left"/>
      <w:pPr>
        <w:ind w:left="3620" w:hanging="428"/>
      </w:pPr>
      <w:rPr>
        <w:rFonts w:hint="default"/>
      </w:rPr>
    </w:lvl>
    <w:lvl w:ilvl="2">
      <w:start w:val="0"/>
      <w:numFmt w:val="bullet"/>
      <w:lvlText w:val="•"/>
      <w:lvlJc w:val="left"/>
      <w:pPr>
        <w:ind w:left="4240" w:hanging="428"/>
      </w:pPr>
      <w:rPr>
        <w:rFonts w:hint="default"/>
      </w:rPr>
    </w:lvl>
    <w:lvl w:ilvl="3">
      <w:start w:val="0"/>
      <w:numFmt w:val="bullet"/>
      <w:lvlText w:val="•"/>
      <w:lvlJc w:val="left"/>
      <w:pPr>
        <w:ind w:left="4861" w:hanging="428"/>
      </w:pPr>
      <w:rPr>
        <w:rFonts w:hint="default"/>
      </w:rPr>
    </w:lvl>
    <w:lvl w:ilvl="4">
      <w:start w:val="0"/>
      <w:numFmt w:val="bullet"/>
      <w:lvlText w:val="•"/>
      <w:lvlJc w:val="left"/>
      <w:pPr>
        <w:ind w:left="5481" w:hanging="428"/>
      </w:pPr>
      <w:rPr>
        <w:rFonts w:hint="default"/>
      </w:rPr>
    </w:lvl>
    <w:lvl w:ilvl="5">
      <w:start w:val="0"/>
      <w:numFmt w:val="bullet"/>
      <w:lvlText w:val="•"/>
      <w:lvlJc w:val="left"/>
      <w:pPr>
        <w:ind w:left="6102" w:hanging="428"/>
      </w:pPr>
      <w:rPr>
        <w:rFonts w:hint="default"/>
      </w:rPr>
    </w:lvl>
    <w:lvl w:ilvl="6">
      <w:start w:val="0"/>
      <w:numFmt w:val="bullet"/>
      <w:lvlText w:val="•"/>
      <w:lvlJc w:val="left"/>
      <w:pPr>
        <w:ind w:left="6722" w:hanging="428"/>
      </w:pPr>
      <w:rPr>
        <w:rFonts w:hint="default"/>
      </w:rPr>
    </w:lvl>
    <w:lvl w:ilvl="7">
      <w:start w:val="0"/>
      <w:numFmt w:val="bullet"/>
      <w:lvlText w:val="•"/>
      <w:lvlJc w:val="left"/>
      <w:pPr>
        <w:ind w:left="7342" w:hanging="428"/>
      </w:pPr>
      <w:rPr>
        <w:rFonts w:hint="default"/>
      </w:rPr>
    </w:lvl>
    <w:lvl w:ilvl="8">
      <w:start w:val="0"/>
      <w:numFmt w:val="bullet"/>
      <w:lvlText w:val="•"/>
      <w:lvlJc w:val="left"/>
      <w:pPr>
        <w:ind w:left="7963" w:hanging="428"/>
      </w:pPr>
      <w:rPr>
        <w:rFonts w:hint="default"/>
      </w:rPr>
    </w:lvl>
  </w:abstractNum>
  <w:abstractNum w:abstractNumId="34">
    <w:multiLevelType w:val="hybridMultilevel"/>
    <w:lvl w:ilvl="0">
      <w:start w:val="1"/>
      <w:numFmt w:val="decimal"/>
      <w:lvlText w:val="(%1)"/>
      <w:lvlJc w:val="left"/>
      <w:pPr>
        <w:ind w:left="696" w:hanging="389"/>
        <w:jc w:val="left"/>
      </w:pPr>
      <w:rPr>
        <w:rFonts w:hint="default" w:ascii="Arial" w:hAnsi="Arial" w:eastAsia="Arial" w:cs="Arial"/>
        <w:w w:val="99"/>
        <w:sz w:val="26"/>
        <w:szCs w:val="26"/>
      </w:rPr>
    </w:lvl>
    <w:lvl w:ilvl="1">
      <w:start w:val="0"/>
      <w:numFmt w:val="bullet"/>
      <w:lvlText w:val="•"/>
      <w:lvlJc w:val="left"/>
      <w:pPr>
        <w:ind w:left="1552" w:hanging="389"/>
      </w:pPr>
      <w:rPr>
        <w:rFonts w:hint="default"/>
      </w:rPr>
    </w:lvl>
    <w:lvl w:ilvl="2">
      <w:start w:val="0"/>
      <w:numFmt w:val="bullet"/>
      <w:lvlText w:val="•"/>
      <w:lvlJc w:val="left"/>
      <w:pPr>
        <w:ind w:left="2404" w:hanging="389"/>
      </w:pPr>
      <w:rPr>
        <w:rFonts w:hint="default"/>
      </w:rPr>
    </w:lvl>
    <w:lvl w:ilvl="3">
      <w:start w:val="0"/>
      <w:numFmt w:val="bullet"/>
      <w:lvlText w:val="•"/>
      <w:lvlJc w:val="left"/>
      <w:pPr>
        <w:ind w:left="3257" w:hanging="389"/>
      </w:pPr>
      <w:rPr>
        <w:rFonts w:hint="default"/>
      </w:rPr>
    </w:lvl>
    <w:lvl w:ilvl="4">
      <w:start w:val="0"/>
      <w:numFmt w:val="bullet"/>
      <w:lvlText w:val="•"/>
      <w:lvlJc w:val="left"/>
      <w:pPr>
        <w:ind w:left="4109" w:hanging="389"/>
      </w:pPr>
      <w:rPr>
        <w:rFonts w:hint="default"/>
      </w:rPr>
    </w:lvl>
    <w:lvl w:ilvl="5">
      <w:start w:val="0"/>
      <w:numFmt w:val="bullet"/>
      <w:lvlText w:val="•"/>
      <w:lvlJc w:val="left"/>
      <w:pPr>
        <w:ind w:left="4962" w:hanging="389"/>
      </w:pPr>
      <w:rPr>
        <w:rFonts w:hint="default"/>
      </w:rPr>
    </w:lvl>
    <w:lvl w:ilvl="6">
      <w:start w:val="0"/>
      <w:numFmt w:val="bullet"/>
      <w:lvlText w:val="•"/>
      <w:lvlJc w:val="left"/>
      <w:pPr>
        <w:ind w:left="5814" w:hanging="389"/>
      </w:pPr>
      <w:rPr>
        <w:rFonts w:hint="default"/>
      </w:rPr>
    </w:lvl>
    <w:lvl w:ilvl="7">
      <w:start w:val="0"/>
      <w:numFmt w:val="bullet"/>
      <w:lvlText w:val="•"/>
      <w:lvlJc w:val="left"/>
      <w:pPr>
        <w:ind w:left="6666" w:hanging="389"/>
      </w:pPr>
      <w:rPr>
        <w:rFonts w:hint="default"/>
      </w:rPr>
    </w:lvl>
    <w:lvl w:ilvl="8">
      <w:start w:val="0"/>
      <w:numFmt w:val="bullet"/>
      <w:lvlText w:val="•"/>
      <w:lvlJc w:val="left"/>
      <w:pPr>
        <w:ind w:left="7519" w:hanging="389"/>
      </w:pPr>
      <w:rPr>
        <w:rFonts w:hint="default"/>
      </w:rPr>
    </w:lvl>
  </w:abstractNum>
  <w:abstractNum w:abstractNumId="33">
    <w:multiLevelType w:val="hybridMultilevel"/>
    <w:lvl w:ilvl="0">
      <w:start w:val="7"/>
      <w:numFmt w:val="decimal"/>
      <w:lvlText w:val="%1."/>
      <w:lvlJc w:val="left"/>
      <w:pPr>
        <w:ind w:left="557" w:hanging="250"/>
        <w:jc w:val="left"/>
      </w:pPr>
      <w:rPr>
        <w:rFonts w:hint="default" w:ascii="Arial" w:hAnsi="Arial" w:eastAsia="Arial" w:cs="Arial"/>
        <w:spacing w:val="0"/>
        <w:w w:val="100"/>
        <w:sz w:val="22"/>
        <w:szCs w:val="22"/>
      </w:rPr>
    </w:lvl>
    <w:lvl w:ilvl="1">
      <w:start w:val="0"/>
      <w:numFmt w:val="bullet"/>
      <w:lvlText w:val="•"/>
      <w:lvlJc w:val="left"/>
      <w:pPr>
        <w:ind w:left="1424" w:hanging="250"/>
      </w:pPr>
      <w:rPr>
        <w:rFonts w:hint="default"/>
      </w:rPr>
    </w:lvl>
    <w:lvl w:ilvl="2">
      <w:start w:val="0"/>
      <w:numFmt w:val="bullet"/>
      <w:lvlText w:val="•"/>
      <w:lvlJc w:val="left"/>
      <w:pPr>
        <w:ind w:left="2288" w:hanging="250"/>
      </w:pPr>
      <w:rPr>
        <w:rFonts w:hint="default"/>
      </w:rPr>
    </w:lvl>
    <w:lvl w:ilvl="3">
      <w:start w:val="0"/>
      <w:numFmt w:val="bullet"/>
      <w:lvlText w:val="•"/>
      <w:lvlJc w:val="left"/>
      <w:pPr>
        <w:ind w:left="3153" w:hanging="250"/>
      </w:pPr>
      <w:rPr>
        <w:rFonts w:hint="default"/>
      </w:rPr>
    </w:lvl>
    <w:lvl w:ilvl="4">
      <w:start w:val="0"/>
      <w:numFmt w:val="bullet"/>
      <w:lvlText w:val="•"/>
      <w:lvlJc w:val="left"/>
      <w:pPr>
        <w:ind w:left="4017" w:hanging="250"/>
      </w:pPr>
      <w:rPr>
        <w:rFonts w:hint="default"/>
      </w:rPr>
    </w:lvl>
    <w:lvl w:ilvl="5">
      <w:start w:val="0"/>
      <w:numFmt w:val="bullet"/>
      <w:lvlText w:val="•"/>
      <w:lvlJc w:val="left"/>
      <w:pPr>
        <w:ind w:left="4882" w:hanging="250"/>
      </w:pPr>
      <w:rPr>
        <w:rFonts w:hint="default"/>
      </w:rPr>
    </w:lvl>
    <w:lvl w:ilvl="6">
      <w:start w:val="0"/>
      <w:numFmt w:val="bullet"/>
      <w:lvlText w:val="•"/>
      <w:lvlJc w:val="left"/>
      <w:pPr>
        <w:ind w:left="5746" w:hanging="250"/>
      </w:pPr>
      <w:rPr>
        <w:rFonts w:hint="default"/>
      </w:rPr>
    </w:lvl>
    <w:lvl w:ilvl="7">
      <w:start w:val="0"/>
      <w:numFmt w:val="bullet"/>
      <w:lvlText w:val="•"/>
      <w:lvlJc w:val="left"/>
      <w:pPr>
        <w:ind w:left="6610" w:hanging="250"/>
      </w:pPr>
      <w:rPr>
        <w:rFonts w:hint="default"/>
      </w:rPr>
    </w:lvl>
    <w:lvl w:ilvl="8">
      <w:start w:val="0"/>
      <w:numFmt w:val="bullet"/>
      <w:lvlText w:val="•"/>
      <w:lvlJc w:val="left"/>
      <w:pPr>
        <w:ind w:left="7475" w:hanging="250"/>
      </w:pPr>
      <w:rPr>
        <w:rFonts w:hint="default"/>
      </w:rPr>
    </w:lvl>
  </w:abstractNum>
  <w:abstractNum w:abstractNumId="32">
    <w:multiLevelType w:val="hybridMultilevel"/>
    <w:lvl w:ilvl="0">
      <w:start w:val="2"/>
      <w:numFmt w:val="decimal"/>
      <w:lvlText w:val="%1."/>
      <w:lvlJc w:val="left"/>
      <w:pPr>
        <w:ind w:left="668" w:hanging="361"/>
        <w:jc w:val="left"/>
      </w:pPr>
      <w:rPr>
        <w:rFonts w:hint="default" w:ascii="Garamond" w:hAnsi="Garamond" w:eastAsia="Garamond" w:cs="Garamond"/>
        <w:b/>
        <w:bCs/>
        <w:spacing w:val="0"/>
        <w:w w:val="100"/>
        <w:sz w:val="22"/>
        <w:szCs w:val="22"/>
      </w:rPr>
    </w:lvl>
    <w:lvl w:ilvl="1">
      <w:start w:val="0"/>
      <w:numFmt w:val="bullet"/>
      <w:lvlText w:val="•"/>
      <w:lvlJc w:val="left"/>
      <w:pPr>
        <w:ind w:left="1514" w:hanging="361"/>
      </w:pPr>
      <w:rPr>
        <w:rFonts w:hint="default"/>
      </w:rPr>
    </w:lvl>
    <w:lvl w:ilvl="2">
      <w:start w:val="0"/>
      <w:numFmt w:val="bullet"/>
      <w:lvlText w:val="•"/>
      <w:lvlJc w:val="left"/>
      <w:pPr>
        <w:ind w:left="2368" w:hanging="361"/>
      </w:pPr>
      <w:rPr>
        <w:rFonts w:hint="default"/>
      </w:rPr>
    </w:lvl>
    <w:lvl w:ilvl="3">
      <w:start w:val="0"/>
      <w:numFmt w:val="bullet"/>
      <w:lvlText w:val="•"/>
      <w:lvlJc w:val="left"/>
      <w:pPr>
        <w:ind w:left="3223" w:hanging="361"/>
      </w:pPr>
      <w:rPr>
        <w:rFonts w:hint="default"/>
      </w:rPr>
    </w:lvl>
    <w:lvl w:ilvl="4">
      <w:start w:val="0"/>
      <w:numFmt w:val="bullet"/>
      <w:lvlText w:val="•"/>
      <w:lvlJc w:val="left"/>
      <w:pPr>
        <w:ind w:left="4077" w:hanging="361"/>
      </w:pPr>
      <w:rPr>
        <w:rFonts w:hint="default"/>
      </w:rPr>
    </w:lvl>
    <w:lvl w:ilvl="5">
      <w:start w:val="0"/>
      <w:numFmt w:val="bullet"/>
      <w:lvlText w:val="•"/>
      <w:lvlJc w:val="left"/>
      <w:pPr>
        <w:ind w:left="4932" w:hanging="361"/>
      </w:pPr>
      <w:rPr>
        <w:rFonts w:hint="default"/>
      </w:rPr>
    </w:lvl>
    <w:lvl w:ilvl="6">
      <w:start w:val="0"/>
      <w:numFmt w:val="bullet"/>
      <w:lvlText w:val="•"/>
      <w:lvlJc w:val="left"/>
      <w:pPr>
        <w:ind w:left="5786" w:hanging="361"/>
      </w:pPr>
      <w:rPr>
        <w:rFonts w:hint="default"/>
      </w:rPr>
    </w:lvl>
    <w:lvl w:ilvl="7">
      <w:start w:val="0"/>
      <w:numFmt w:val="bullet"/>
      <w:lvlText w:val="•"/>
      <w:lvlJc w:val="left"/>
      <w:pPr>
        <w:ind w:left="6640" w:hanging="361"/>
      </w:pPr>
      <w:rPr>
        <w:rFonts w:hint="default"/>
      </w:rPr>
    </w:lvl>
    <w:lvl w:ilvl="8">
      <w:start w:val="0"/>
      <w:numFmt w:val="bullet"/>
      <w:lvlText w:val="•"/>
      <w:lvlJc w:val="left"/>
      <w:pPr>
        <w:ind w:left="7495" w:hanging="361"/>
      </w:pPr>
      <w:rPr>
        <w:rFonts w:hint="default"/>
      </w:rPr>
    </w:lvl>
  </w:abstractNum>
  <w:abstractNum w:abstractNumId="31">
    <w:multiLevelType w:val="hybridMultilevel"/>
    <w:lvl w:ilvl="0">
      <w:start w:val="3"/>
      <w:numFmt w:val="decimal"/>
      <w:lvlText w:val="%1."/>
      <w:lvlJc w:val="left"/>
      <w:pPr>
        <w:ind w:left="557" w:hanging="250"/>
        <w:jc w:val="left"/>
      </w:pPr>
      <w:rPr>
        <w:rFonts w:hint="default" w:ascii="Arial" w:hAnsi="Arial" w:eastAsia="Arial" w:cs="Arial"/>
        <w:spacing w:val="0"/>
        <w:w w:val="100"/>
        <w:sz w:val="22"/>
        <w:szCs w:val="22"/>
      </w:rPr>
    </w:lvl>
    <w:lvl w:ilvl="1">
      <w:start w:val="0"/>
      <w:numFmt w:val="bullet"/>
      <w:lvlText w:val="•"/>
      <w:lvlJc w:val="left"/>
      <w:pPr>
        <w:ind w:left="1424" w:hanging="250"/>
      </w:pPr>
      <w:rPr>
        <w:rFonts w:hint="default"/>
      </w:rPr>
    </w:lvl>
    <w:lvl w:ilvl="2">
      <w:start w:val="0"/>
      <w:numFmt w:val="bullet"/>
      <w:lvlText w:val="•"/>
      <w:lvlJc w:val="left"/>
      <w:pPr>
        <w:ind w:left="2288" w:hanging="250"/>
      </w:pPr>
      <w:rPr>
        <w:rFonts w:hint="default"/>
      </w:rPr>
    </w:lvl>
    <w:lvl w:ilvl="3">
      <w:start w:val="0"/>
      <w:numFmt w:val="bullet"/>
      <w:lvlText w:val="•"/>
      <w:lvlJc w:val="left"/>
      <w:pPr>
        <w:ind w:left="3153" w:hanging="250"/>
      </w:pPr>
      <w:rPr>
        <w:rFonts w:hint="default"/>
      </w:rPr>
    </w:lvl>
    <w:lvl w:ilvl="4">
      <w:start w:val="0"/>
      <w:numFmt w:val="bullet"/>
      <w:lvlText w:val="•"/>
      <w:lvlJc w:val="left"/>
      <w:pPr>
        <w:ind w:left="4017" w:hanging="250"/>
      </w:pPr>
      <w:rPr>
        <w:rFonts w:hint="default"/>
      </w:rPr>
    </w:lvl>
    <w:lvl w:ilvl="5">
      <w:start w:val="0"/>
      <w:numFmt w:val="bullet"/>
      <w:lvlText w:val="•"/>
      <w:lvlJc w:val="left"/>
      <w:pPr>
        <w:ind w:left="4882" w:hanging="250"/>
      </w:pPr>
      <w:rPr>
        <w:rFonts w:hint="default"/>
      </w:rPr>
    </w:lvl>
    <w:lvl w:ilvl="6">
      <w:start w:val="0"/>
      <w:numFmt w:val="bullet"/>
      <w:lvlText w:val="•"/>
      <w:lvlJc w:val="left"/>
      <w:pPr>
        <w:ind w:left="5746" w:hanging="250"/>
      </w:pPr>
      <w:rPr>
        <w:rFonts w:hint="default"/>
      </w:rPr>
    </w:lvl>
    <w:lvl w:ilvl="7">
      <w:start w:val="0"/>
      <w:numFmt w:val="bullet"/>
      <w:lvlText w:val="•"/>
      <w:lvlJc w:val="left"/>
      <w:pPr>
        <w:ind w:left="6610" w:hanging="250"/>
      </w:pPr>
      <w:rPr>
        <w:rFonts w:hint="default"/>
      </w:rPr>
    </w:lvl>
    <w:lvl w:ilvl="8">
      <w:start w:val="0"/>
      <w:numFmt w:val="bullet"/>
      <w:lvlText w:val="•"/>
      <w:lvlJc w:val="left"/>
      <w:pPr>
        <w:ind w:left="7475" w:hanging="250"/>
      </w:pPr>
      <w:rPr>
        <w:rFonts w:hint="default"/>
      </w:rPr>
    </w:lvl>
  </w:abstractNum>
  <w:abstractNum w:abstractNumId="30">
    <w:multiLevelType w:val="hybridMultilevel"/>
    <w:lvl w:ilvl="0">
      <w:start w:val="1"/>
      <w:numFmt w:val="upperRoman"/>
      <w:lvlText w:val="%1-"/>
      <w:lvlJc w:val="left"/>
      <w:pPr>
        <w:ind w:left="308" w:hanging="193"/>
        <w:jc w:val="left"/>
      </w:pPr>
      <w:rPr>
        <w:rFonts w:hint="default" w:ascii="Arial" w:hAnsi="Arial" w:eastAsia="Arial" w:cs="Arial"/>
        <w:spacing w:val="-4"/>
        <w:w w:val="100"/>
        <w:sz w:val="22"/>
        <w:szCs w:val="22"/>
      </w:rPr>
    </w:lvl>
    <w:lvl w:ilvl="1">
      <w:start w:val="0"/>
      <w:numFmt w:val="bullet"/>
      <w:lvlText w:val="•"/>
      <w:lvlJc w:val="left"/>
      <w:pPr>
        <w:ind w:left="1190" w:hanging="193"/>
      </w:pPr>
      <w:rPr>
        <w:rFonts w:hint="default"/>
      </w:rPr>
    </w:lvl>
    <w:lvl w:ilvl="2">
      <w:start w:val="0"/>
      <w:numFmt w:val="bullet"/>
      <w:lvlText w:val="•"/>
      <w:lvlJc w:val="left"/>
      <w:pPr>
        <w:ind w:left="2080" w:hanging="193"/>
      </w:pPr>
      <w:rPr>
        <w:rFonts w:hint="default"/>
      </w:rPr>
    </w:lvl>
    <w:lvl w:ilvl="3">
      <w:start w:val="0"/>
      <w:numFmt w:val="bullet"/>
      <w:lvlText w:val="•"/>
      <w:lvlJc w:val="left"/>
      <w:pPr>
        <w:ind w:left="2971" w:hanging="193"/>
      </w:pPr>
      <w:rPr>
        <w:rFonts w:hint="default"/>
      </w:rPr>
    </w:lvl>
    <w:lvl w:ilvl="4">
      <w:start w:val="0"/>
      <w:numFmt w:val="bullet"/>
      <w:lvlText w:val="•"/>
      <w:lvlJc w:val="left"/>
      <w:pPr>
        <w:ind w:left="3861" w:hanging="193"/>
      </w:pPr>
      <w:rPr>
        <w:rFonts w:hint="default"/>
      </w:rPr>
    </w:lvl>
    <w:lvl w:ilvl="5">
      <w:start w:val="0"/>
      <w:numFmt w:val="bullet"/>
      <w:lvlText w:val="•"/>
      <w:lvlJc w:val="left"/>
      <w:pPr>
        <w:ind w:left="4752" w:hanging="193"/>
      </w:pPr>
      <w:rPr>
        <w:rFonts w:hint="default"/>
      </w:rPr>
    </w:lvl>
    <w:lvl w:ilvl="6">
      <w:start w:val="0"/>
      <w:numFmt w:val="bullet"/>
      <w:lvlText w:val="•"/>
      <w:lvlJc w:val="left"/>
      <w:pPr>
        <w:ind w:left="5642" w:hanging="193"/>
      </w:pPr>
      <w:rPr>
        <w:rFonts w:hint="default"/>
      </w:rPr>
    </w:lvl>
    <w:lvl w:ilvl="7">
      <w:start w:val="0"/>
      <w:numFmt w:val="bullet"/>
      <w:lvlText w:val="•"/>
      <w:lvlJc w:val="left"/>
      <w:pPr>
        <w:ind w:left="6532" w:hanging="193"/>
      </w:pPr>
      <w:rPr>
        <w:rFonts w:hint="default"/>
      </w:rPr>
    </w:lvl>
    <w:lvl w:ilvl="8">
      <w:start w:val="0"/>
      <w:numFmt w:val="bullet"/>
      <w:lvlText w:val="•"/>
      <w:lvlJc w:val="left"/>
      <w:pPr>
        <w:ind w:left="7423" w:hanging="193"/>
      </w:pPr>
      <w:rPr>
        <w:rFonts w:hint="default"/>
      </w:rPr>
    </w:lvl>
  </w:abstractNum>
  <w:abstractNum w:abstractNumId="29">
    <w:multiLevelType w:val="hybridMultilevel"/>
    <w:lvl w:ilvl="0">
      <w:start w:val="10"/>
      <w:numFmt w:val="decimal"/>
      <w:lvlText w:val="%1."/>
      <w:lvlJc w:val="left"/>
      <w:pPr>
        <w:ind w:left="469" w:hanging="369"/>
        <w:jc w:val="left"/>
      </w:pPr>
      <w:rPr>
        <w:rFonts w:hint="default" w:ascii="Arial" w:hAnsi="Arial" w:eastAsia="Arial" w:cs="Arial"/>
        <w:b/>
        <w:bCs/>
        <w:spacing w:val="0"/>
        <w:w w:val="100"/>
        <w:sz w:val="22"/>
        <w:szCs w:val="22"/>
      </w:rPr>
    </w:lvl>
    <w:lvl w:ilvl="1">
      <w:start w:val="1"/>
      <w:numFmt w:val="decimal"/>
      <w:lvlText w:val="%1.%2"/>
      <w:lvlJc w:val="left"/>
      <w:pPr>
        <w:ind w:left="100" w:hanging="489"/>
        <w:jc w:val="left"/>
      </w:pPr>
      <w:rPr>
        <w:rFonts w:hint="default" w:ascii="Arial" w:hAnsi="Arial" w:eastAsia="Arial" w:cs="Arial"/>
        <w:spacing w:val="-4"/>
        <w:w w:val="100"/>
        <w:sz w:val="22"/>
        <w:szCs w:val="22"/>
      </w:rPr>
    </w:lvl>
    <w:lvl w:ilvl="2">
      <w:start w:val="0"/>
      <w:numFmt w:val="bullet"/>
      <w:lvlText w:val="•"/>
      <w:lvlJc w:val="left"/>
      <w:pPr>
        <w:ind w:left="836" w:hanging="489"/>
      </w:pPr>
      <w:rPr>
        <w:rFonts w:hint="default"/>
      </w:rPr>
    </w:lvl>
    <w:lvl w:ilvl="3">
      <w:start w:val="0"/>
      <w:numFmt w:val="bullet"/>
      <w:lvlText w:val="•"/>
      <w:lvlJc w:val="left"/>
      <w:pPr>
        <w:ind w:left="1212" w:hanging="489"/>
      </w:pPr>
      <w:rPr>
        <w:rFonts w:hint="default"/>
      </w:rPr>
    </w:lvl>
    <w:lvl w:ilvl="4">
      <w:start w:val="0"/>
      <w:numFmt w:val="bullet"/>
      <w:lvlText w:val="•"/>
      <w:lvlJc w:val="left"/>
      <w:pPr>
        <w:ind w:left="1588" w:hanging="489"/>
      </w:pPr>
      <w:rPr>
        <w:rFonts w:hint="default"/>
      </w:rPr>
    </w:lvl>
    <w:lvl w:ilvl="5">
      <w:start w:val="0"/>
      <w:numFmt w:val="bullet"/>
      <w:lvlText w:val="•"/>
      <w:lvlJc w:val="left"/>
      <w:pPr>
        <w:ind w:left="1965" w:hanging="489"/>
      </w:pPr>
      <w:rPr>
        <w:rFonts w:hint="default"/>
      </w:rPr>
    </w:lvl>
    <w:lvl w:ilvl="6">
      <w:start w:val="0"/>
      <w:numFmt w:val="bullet"/>
      <w:lvlText w:val="•"/>
      <w:lvlJc w:val="left"/>
      <w:pPr>
        <w:ind w:left="2341" w:hanging="489"/>
      </w:pPr>
      <w:rPr>
        <w:rFonts w:hint="default"/>
      </w:rPr>
    </w:lvl>
    <w:lvl w:ilvl="7">
      <w:start w:val="0"/>
      <w:numFmt w:val="bullet"/>
      <w:lvlText w:val="•"/>
      <w:lvlJc w:val="left"/>
      <w:pPr>
        <w:ind w:left="2717" w:hanging="489"/>
      </w:pPr>
      <w:rPr>
        <w:rFonts w:hint="default"/>
      </w:rPr>
    </w:lvl>
    <w:lvl w:ilvl="8">
      <w:start w:val="0"/>
      <w:numFmt w:val="bullet"/>
      <w:lvlText w:val="•"/>
      <w:lvlJc w:val="left"/>
      <w:pPr>
        <w:ind w:left="3093" w:hanging="489"/>
      </w:pPr>
      <w:rPr>
        <w:rFonts w:hint="default"/>
      </w:rPr>
    </w:lvl>
  </w:abstractNum>
  <w:abstractNum w:abstractNumId="28">
    <w:multiLevelType w:val="hybridMultilevel"/>
    <w:lvl w:ilvl="0">
      <w:start w:val="9"/>
      <w:numFmt w:val="decimal"/>
      <w:lvlText w:val="%1"/>
      <w:lvlJc w:val="left"/>
      <w:pPr>
        <w:ind w:left="469" w:hanging="369"/>
        <w:jc w:val="left"/>
      </w:pPr>
      <w:rPr>
        <w:rFonts w:hint="default"/>
      </w:rPr>
    </w:lvl>
    <w:lvl w:ilvl="1">
      <w:start w:val="7"/>
      <w:numFmt w:val="decimal"/>
      <w:lvlText w:val="%1.%2"/>
      <w:lvlJc w:val="left"/>
      <w:pPr>
        <w:ind w:left="469" w:hanging="369"/>
        <w:jc w:val="left"/>
      </w:pPr>
      <w:rPr>
        <w:rFonts w:hint="default" w:ascii="Arial" w:hAnsi="Arial" w:eastAsia="Arial" w:cs="Arial"/>
        <w:spacing w:val="0"/>
        <w:w w:val="100"/>
        <w:sz w:val="22"/>
        <w:szCs w:val="22"/>
      </w:rPr>
    </w:lvl>
    <w:lvl w:ilvl="2">
      <w:start w:val="0"/>
      <w:numFmt w:val="bullet"/>
      <w:lvlText w:val="•"/>
      <w:lvlJc w:val="left"/>
      <w:pPr>
        <w:ind w:left="1103" w:hanging="369"/>
      </w:pPr>
      <w:rPr>
        <w:rFonts w:hint="default"/>
      </w:rPr>
    </w:lvl>
    <w:lvl w:ilvl="3">
      <w:start w:val="0"/>
      <w:numFmt w:val="bullet"/>
      <w:lvlText w:val="•"/>
      <w:lvlJc w:val="left"/>
      <w:pPr>
        <w:ind w:left="1425" w:hanging="369"/>
      </w:pPr>
      <w:rPr>
        <w:rFonts w:hint="default"/>
      </w:rPr>
    </w:lvl>
    <w:lvl w:ilvl="4">
      <w:start w:val="0"/>
      <w:numFmt w:val="bullet"/>
      <w:lvlText w:val="•"/>
      <w:lvlJc w:val="left"/>
      <w:pPr>
        <w:ind w:left="1747" w:hanging="369"/>
      </w:pPr>
      <w:rPr>
        <w:rFonts w:hint="default"/>
      </w:rPr>
    </w:lvl>
    <w:lvl w:ilvl="5">
      <w:start w:val="0"/>
      <w:numFmt w:val="bullet"/>
      <w:lvlText w:val="•"/>
      <w:lvlJc w:val="left"/>
      <w:pPr>
        <w:ind w:left="2069" w:hanging="369"/>
      </w:pPr>
      <w:rPr>
        <w:rFonts w:hint="default"/>
      </w:rPr>
    </w:lvl>
    <w:lvl w:ilvl="6">
      <w:start w:val="0"/>
      <w:numFmt w:val="bullet"/>
      <w:lvlText w:val="•"/>
      <w:lvlJc w:val="left"/>
      <w:pPr>
        <w:ind w:left="2390" w:hanging="369"/>
      </w:pPr>
      <w:rPr>
        <w:rFonts w:hint="default"/>
      </w:rPr>
    </w:lvl>
    <w:lvl w:ilvl="7">
      <w:start w:val="0"/>
      <w:numFmt w:val="bullet"/>
      <w:lvlText w:val="•"/>
      <w:lvlJc w:val="left"/>
      <w:pPr>
        <w:ind w:left="2712" w:hanging="369"/>
      </w:pPr>
      <w:rPr>
        <w:rFonts w:hint="default"/>
      </w:rPr>
    </w:lvl>
    <w:lvl w:ilvl="8">
      <w:start w:val="0"/>
      <w:numFmt w:val="bullet"/>
      <w:lvlText w:val="•"/>
      <w:lvlJc w:val="left"/>
      <w:pPr>
        <w:ind w:left="3034" w:hanging="369"/>
      </w:pPr>
      <w:rPr>
        <w:rFonts w:hint="default"/>
      </w:rPr>
    </w:lvl>
  </w:abstractNum>
  <w:abstractNum w:abstractNumId="27">
    <w:multiLevelType w:val="hybridMultilevel"/>
    <w:lvl w:ilvl="0">
      <w:start w:val="9"/>
      <w:numFmt w:val="decimal"/>
      <w:lvlText w:val="%1."/>
      <w:lvlJc w:val="left"/>
      <w:pPr>
        <w:ind w:left="349" w:hanging="250"/>
        <w:jc w:val="left"/>
      </w:pPr>
      <w:rPr>
        <w:rFonts w:hint="default" w:ascii="Arial" w:hAnsi="Arial" w:eastAsia="Arial" w:cs="Arial"/>
        <w:b/>
        <w:bCs/>
        <w:spacing w:val="0"/>
        <w:w w:val="100"/>
        <w:sz w:val="22"/>
        <w:szCs w:val="22"/>
      </w:rPr>
    </w:lvl>
    <w:lvl w:ilvl="1">
      <w:start w:val="1"/>
      <w:numFmt w:val="decimal"/>
      <w:lvlText w:val="%1.%2"/>
      <w:lvlJc w:val="left"/>
      <w:pPr>
        <w:ind w:left="469" w:hanging="369"/>
        <w:jc w:val="left"/>
      </w:pPr>
      <w:rPr>
        <w:rFonts w:hint="default" w:ascii="Arial" w:hAnsi="Arial" w:eastAsia="Arial" w:cs="Arial"/>
        <w:spacing w:val="0"/>
        <w:w w:val="100"/>
        <w:sz w:val="22"/>
        <w:szCs w:val="22"/>
      </w:rPr>
    </w:lvl>
    <w:lvl w:ilvl="2">
      <w:start w:val="0"/>
      <w:numFmt w:val="bullet"/>
      <w:lvlText w:val="•"/>
      <w:lvlJc w:val="left"/>
      <w:pPr>
        <w:ind w:left="817" w:hanging="369"/>
      </w:pPr>
      <w:rPr>
        <w:rFonts w:hint="default"/>
      </w:rPr>
    </w:lvl>
    <w:lvl w:ilvl="3">
      <w:start w:val="0"/>
      <w:numFmt w:val="bullet"/>
      <w:lvlText w:val="•"/>
      <w:lvlJc w:val="left"/>
      <w:pPr>
        <w:ind w:left="1175" w:hanging="369"/>
      </w:pPr>
      <w:rPr>
        <w:rFonts w:hint="default"/>
      </w:rPr>
    </w:lvl>
    <w:lvl w:ilvl="4">
      <w:start w:val="0"/>
      <w:numFmt w:val="bullet"/>
      <w:lvlText w:val="•"/>
      <w:lvlJc w:val="left"/>
      <w:pPr>
        <w:ind w:left="1532" w:hanging="369"/>
      </w:pPr>
      <w:rPr>
        <w:rFonts w:hint="default"/>
      </w:rPr>
    </w:lvl>
    <w:lvl w:ilvl="5">
      <w:start w:val="0"/>
      <w:numFmt w:val="bullet"/>
      <w:lvlText w:val="•"/>
      <w:lvlJc w:val="left"/>
      <w:pPr>
        <w:ind w:left="1890" w:hanging="369"/>
      </w:pPr>
      <w:rPr>
        <w:rFonts w:hint="default"/>
      </w:rPr>
    </w:lvl>
    <w:lvl w:ilvl="6">
      <w:start w:val="0"/>
      <w:numFmt w:val="bullet"/>
      <w:lvlText w:val="•"/>
      <w:lvlJc w:val="left"/>
      <w:pPr>
        <w:ind w:left="2247" w:hanging="369"/>
      </w:pPr>
      <w:rPr>
        <w:rFonts w:hint="default"/>
      </w:rPr>
    </w:lvl>
    <w:lvl w:ilvl="7">
      <w:start w:val="0"/>
      <w:numFmt w:val="bullet"/>
      <w:lvlText w:val="•"/>
      <w:lvlJc w:val="left"/>
      <w:pPr>
        <w:ind w:left="2605" w:hanging="369"/>
      </w:pPr>
      <w:rPr>
        <w:rFonts w:hint="default"/>
      </w:rPr>
    </w:lvl>
    <w:lvl w:ilvl="8">
      <w:start w:val="0"/>
      <w:numFmt w:val="bullet"/>
      <w:lvlText w:val="•"/>
      <w:lvlJc w:val="left"/>
      <w:pPr>
        <w:ind w:left="2963" w:hanging="369"/>
      </w:pPr>
      <w:rPr>
        <w:rFonts w:hint="default"/>
      </w:rPr>
    </w:lvl>
  </w:abstractNum>
  <w:abstractNum w:abstractNumId="26">
    <w:multiLevelType w:val="hybridMultilevel"/>
    <w:lvl w:ilvl="0">
      <w:start w:val="8"/>
      <w:numFmt w:val="decimal"/>
      <w:lvlText w:val="%1."/>
      <w:lvlJc w:val="left"/>
      <w:pPr>
        <w:ind w:left="349" w:hanging="250"/>
        <w:jc w:val="left"/>
      </w:pPr>
      <w:rPr>
        <w:rFonts w:hint="default" w:ascii="Arial" w:hAnsi="Arial" w:eastAsia="Arial" w:cs="Arial"/>
        <w:b/>
        <w:bCs/>
        <w:spacing w:val="0"/>
        <w:w w:val="100"/>
        <w:sz w:val="22"/>
        <w:szCs w:val="22"/>
      </w:rPr>
    </w:lvl>
    <w:lvl w:ilvl="1">
      <w:start w:val="1"/>
      <w:numFmt w:val="decimal"/>
      <w:lvlText w:val="%1.%2"/>
      <w:lvlJc w:val="left"/>
      <w:pPr>
        <w:ind w:left="100" w:hanging="369"/>
        <w:jc w:val="left"/>
      </w:pPr>
      <w:rPr>
        <w:rFonts w:hint="default" w:ascii="Arial" w:hAnsi="Arial" w:eastAsia="Arial" w:cs="Arial"/>
        <w:spacing w:val="0"/>
        <w:w w:val="100"/>
        <w:sz w:val="22"/>
        <w:szCs w:val="22"/>
      </w:rPr>
    </w:lvl>
    <w:lvl w:ilvl="2">
      <w:start w:val="0"/>
      <w:numFmt w:val="bullet"/>
      <w:lvlText w:val="•"/>
      <w:lvlJc w:val="left"/>
      <w:pPr>
        <w:ind w:left="729" w:hanging="369"/>
      </w:pPr>
      <w:rPr>
        <w:rFonts w:hint="default"/>
      </w:rPr>
    </w:lvl>
    <w:lvl w:ilvl="3">
      <w:start w:val="0"/>
      <w:numFmt w:val="bullet"/>
      <w:lvlText w:val="•"/>
      <w:lvlJc w:val="left"/>
      <w:pPr>
        <w:ind w:left="1119" w:hanging="369"/>
      </w:pPr>
      <w:rPr>
        <w:rFonts w:hint="default"/>
      </w:rPr>
    </w:lvl>
    <w:lvl w:ilvl="4">
      <w:start w:val="0"/>
      <w:numFmt w:val="bullet"/>
      <w:lvlText w:val="•"/>
      <w:lvlJc w:val="left"/>
      <w:pPr>
        <w:ind w:left="1508" w:hanging="369"/>
      </w:pPr>
      <w:rPr>
        <w:rFonts w:hint="default"/>
      </w:rPr>
    </w:lvl>
    <w:lvl w:ilvl="5">
      <w:start w:val="0"/>
      <w:numFmt w:val="bullet"/>
      <w:lvlText w:val="•"/>
      <w:lvlJc w:val="left"/>
      <w:pPr>
        <w:ind w:left="1898" w:hanging="369"/>
      </w:pPr>
      <w:rPr>
        <w:rFonts w:hint="default"/>
      </w:rPr>
    </w:lvl>
    <w:lvl w:ilvl="6">
      <w:start w:val="0"/>
      <w:numFmt w:val="bullet"/>
      <w:lvlText w:val="•"/>
      <w:lvlJc w:val="left"/>
      <w:pPr>
        <w:ind w:left="2288" w:hanging="369"/>
      </w:pPr>
      <w:rPr>
        <w:rFonts w:hint="default"/>
      </w:rPr>
    </w:lvl>
    <w:lvl w:ilvl="7">
      <w:start w:val="0"/>
      <w:numFmt w:val="bullet"/>
      <w:lvlText w:val="•"/>
      <w:lvlJc w:val="left"/>
      <w:pPr>
        <w:ind w:left="2677" w:hanging="369"/>
      </w:pPr>
      <w:rPr>
        <w:rFonts w:hint="default"/>
      </w:rPr>
    </w:lvl>
    <w:lvl w:ilvl="8">
      <w:start w:val="0"/>
      <w:numFmt w:val="bullet"/>
      <w:lvlText w:val="•"/>
      <w:lvlJc w:val="left"/>
      <w:pPr>
        <w:ind w:left="3067" w:hanging="369"/>
      </w:pPr>
      <w:rPr>
        <w:rFonts w:hint="default"/>
      </w:rPr>
    </w:lvl>
  </w:abstractNum>
  <w:abstractNum w:abstractNumId="25">
    <w:multiLevelType w:val="hybridMultilevel"/>
    <w:lvl w:ilvl="0">
      <w:start w:val="7"/>
      <w:numFmt w:val="decimal"/>
      <w:lvlText w:val="%1."/>
      <w:lvlJc w:val="left"/>
      <w:pPr>
        <w:ind w:left="349" w:hanging="250"/>
        <w:jc w:val="left"/>
      </w:pPr>
      <w:rPr>
        <w:rFonts w:hint="default" w:ascii="Arial" w:hAnsi="Arial" w:eastAsia="Arial" w:cs="Arial"/>
        <w:b/>
        <w:bCs/>
        <w:spacing w:val="0"/>
        <w:w w:val="100"/>
        <w:sz w:val="22"/>
        <w:szCs w:val="22"/>
      </w:rPr>
    </w:lvl>
    <w:lvl w:ilvl="1">
      <w:start w:val="1"/>
      <w:numFmt w:val="decimal"/>
      <w:lvlText w:val="%1.%2"/>
      <w:lvlJc w:val="left"/>
      <w:pPr>
        <w:ind w:left="100" w:hanging="369"/>
        <w:jc w:val="left"/>
      </w:pPr>
      <w:rPr>
        <w:rFonts w:hint="default" w:ascii="Arial" w:hAnsi="Arial" w:eastAsia="Arial" w:cs="Arial"/>
        <w:spacing w:val="0"/>
        <w:w w:val="100"/>
        <w:sz w:val="22"/>
        <w:szCs w:val="22"/>
      </w:rPr>
    </w:lvl>
    <w:lvl w:ilvl="2">
      <w:start w:val="0"/>
      <w:numFmt w:val="bullet"/>
      <w:lvlText w:val="•"/>
      <w:lvlJc w:val="left"/>
      <w:pPr>
        <w:ind w:left="710" w:hanging="369"/>
      </w:pPr>
      <w:rPr>
        <w:rFonts w:hint="default"/>
      </w:rPr>
    </w:lvl>
    <w:lvl w:ilvl="3">
      <w:start w:val="0"/>
      <w:numFmt w:val="bullet"/>
      <w:lvlText w:val="•"/>
      <w:lvlJc w:val="left"/>
      <w:pPr>
        <w:ind w:left="1081" w:hanging="369"/>
      </w:pPr>
      <w:rPr>
        <w:rFonts w:hint="default"/>
      </w:rPr>
    </w:lvl>
    <w:lvl w:ilvl="4">
      <w:start w:val="0"/>
      <w:numFmt w:val="bullet"/>
      <w:lvlText w:val="•"/>
      <w:lvlJc w:val="left"/>
      <w:pPr>
        <w:ind w:left="1452" w:hanging="369"/>
      </w:pPr>
      <w:rPr>
        <w:rFonts w:hint="default"/>
      </w:rPr>
    </w:lvl>
    <w:lvl w:ilvl="5">
      <w:start w:val="0"/>
      <w:numFmt w:val="bullet"/>
      <w:lvlText w:val="•"/>
      <w:lvlJc w:val="left"/>
      <w:pPr>
        <w:ind w:left="1823" w:hanging="369"/>
      </w:pPr>
      <w:rPr>
        <w:rFonts w:hint="default"/>
      </w:rPr>
    </w:lvl>
    <w:lvl w:ilvl="6">
      <w:start w:val="0"/>
      <w:numFmt w:val="bullet"/>
      <w:lvlText w:val="•"/>
      <w:lvlJc w:val="left"/>
      <w:pPr>
        <w:ind w:left="2194" w:hanging="369"/>
      </w:pPr>
      <w:rPr>
        <w:rFonts w:hint="default"/>
      </w:rPr>
    </w:lvl>
    <w:lvl w:ilvl="7">
      <w:start w:val="0"/>
      <w:numFmt w:val="bullet"/>
      <w:lvlText w:val="•"/>
      <w:lvlJc w:val="left"/>
      <w:pPr>
        <w:ind w:left="2565" w:hanging="369"/>
      </w:pPr>
      <w:rPr>
        <w:rFonts w:hint="default"/>
      </w:rPr>
    </w:lvl>
    <w:lvl w:ilvl="8">
      <w:start w:val="0"/>
      <w:numFmt w:val="bullet"/>
      <w:lvlText w:val="•"/>
      <w:lvlJc w:val="left"/>
      <w:pPr>
        <w:ind w:left="2936" w:hanging="369"/>
      </w:pPr>
      <w:rPr>
        <w:rFonts w:hint="default"/>
      </w:rPr>
    </w:lvl>
  </w:abstractNum>
  <w:abstractNum w:abstractNumId="24">
    <w:multiLevelType w:val="hybridMultilevel"/>
    <w:lvl w:ilvl="0">
      <w:start w:val="6"/>
      <w:numFmt w:val="decimal"/>
      <w:lvlText w:val="%1."/>
      <w:lvlJc w:val="left"/>
      <w:pPr>
        <w:ind w:left="349" w:hanging="250"/>
        <w:jc w:val="left"/>
      </w:pPr>
      <w:rPr>
        <w:rFonts w:hint="default" w:ascii="Arial" w:hAnsi="Arial" w:eastAsia="Arial" w:cs="Arial"/>
        <w:b/>
        <w:bCs/>
        <w:spacing w:val="0"/>
        <w:w w:val="100"/>
        <w:sz w:val="22"/>
        <w:szCs w:val="22"/>
      </w:rPr>
    </w:lvl>
    <w:lvl w:ilvl="1">
      <w:start w:val="1"/>
      <w:numFmt w:val="decimal"/>
      <w:lvlText w:val="%1.%2"/>
      <w:lvlJc w:val="left"/>
      <w:pPr>
        <w:ind w:left="100" w:hanging="369"/>
        <w:jc w:val="left"/>
      </w:pPr>
      <w:rPr>
        <w:rFonts w:hint="default" w:ascii="Arial" w:hAnsi="Arial" w:eastAsia="Arial" w:cs="Arial"/>
        <w:spacing w:val="0"/>
        <w:w w:val="100"/>
        <w:sz w:val="22"/>
        <w:szCs w:val="22"/>
      </w:rPr>
    </w:lvl>
    <w:lvl w:ilvl="2">
      <w:start w:val="0"/>
      <w:numFmt w:val="bullet"/>
      <w:lvlText w:val="•"/>
      <w:lvlJc w:val="left"/>
      <w:pPr>
        <w:ind w:left="729" w:hanging="369"/>
      </w:pPr>
      <w:rPr>
        <w:rFonts w:hint="default"/>
      </w:rPr>
    </w:lvl>
    <w:lvl w:ilvl="3">
      <w:start w:val="0"/>
      <w:numFmt w:val="bullet"/>
      <w:lvlText w:val="•"/>
      <w:lvlJc w:val="left"/>
      <w:pPr>
        <w:ind w:left="1119" w:hanging="369"/>
      </w:pPr>
      <w:rPr>
        <w:rFonts w:hint="default"/>
      </w:rPr>
    </w:lvl>
    <w:lvl w:ilvl="4">
      <w:start w:val="0"/>
      <w:numFmt w:val="bullet"/>
      <w:lvlText w:val="•"/>
      <w:lvlJc w:val="left"/>
      <w:pPr>
        <w:ind w:left="1508" w:hanging="369"/>
      </w:pPr>
      <w:rPr>
        <w:rFonts w:hint="default"/>
      </w:rPr>
    </w:lvl>
    <w:lvl w:ilvl="5">
      <w:start w:val="0"/>
      <w:numFmt w:val="bullet"/>
      <w:lvlText w:val="•"/>
      <w:lvlJc w:val="left"/>
      <w:pPr>
        <w:ind w:left="1898" w:hanging="369"/>
      </w:pPr>
      <w:rPr>
        <w:rFonts w:hint="default"/>
      </w:rPr>
    </w:lvl>
    <w:lvl w:ilvl="6">
      <w:start w:val="0"/>
      <w:numFmt w:val="bullet"/>
      <w:lvlText w:val="•"/>
      <w:lvlJc w:val="left"/>
      <w:pPr>
        <w:ind w:left="2288" w:hanging="369"/>
      </w:pPr>
      <w:rPr>
        <w:rFonts w:hint="default"/>
      </w:rPr>
    </w:lvl>
    <w:lvl w:ilvl="7">
      <w:start w:val="0"/>
      <w:numFmt w:val="bullet"/>
      <w:lvlText w:val="•"/>
      <w:lvlJc w:val="left"/>
      <w:pPr>
        <w:ind w:left="2677" w:hanging="369"/>
      </w:pPr>
      <w:rPr>
        <w:rFonts w:hint="default"/>
      </w:rPr>
    </w:lvl>
    <w:lvl w:ilvl="8">
      <w:start w:val="0"/>
      <w:numFmt w:val="bullet"/>
      <w:lvlText w:val="•"/>
      <w:lvlJc w:val="left"/>
      <w:pPr>
        <w:ind w:left="3067" w:hanging="369"/>
      </w:pPr>
      <w:rPr>
        <w:rFonts w:hint="default"/>
      </w:rPr>
    </w:lvl>
  </w:abstractNum>
  <w:abstractNum w:abstractNumId="23">
    <w:multiLevelType w:val="hybridMultilevel"/>
    <w:lvl w:ilvl="0">
      <w:start w:val="5"/>
      <w:numFmt w:val="decimal"/>
      <w:lvlText w:val="%1."/>
      <w:lvlJc w:val="left"/>
      <w:pPr>
        <w:ind w:left="349" w:hanging="250"/>
        <w:jc w:val="left"/>
      </w:pPr>
      <w:rPr>
        <w:rFonts w:hint="default" w:ascii="Arial" w:hAnsi="Arial" w:eastAsia="Arial" w:cs="Arial"/>
        <w:b/>
        <w:bCs/>
        <w:spacing w:val="0"/>
        <w:w w:val="100"/>
        <w:sz w:val="22"/>
        <w:szCs w:val="22"/>
      </w:rPr>
    </w:lvl>
    <w:lvl w:ilvl="1">
      <w:start w:val="1"/>
      <w:numFmt w:val="decimal"/>
      <w:lvlText w:val="%1.%2"/>
      <w:lvlJc w:val="left"/>
      <w:pPr>
        <w:ind w:left="100" w:hanging="369"/>
        <w:jc w:val="left"/>
      </w:pPr>
      <w:rPr>
        <w:rFonts w:hint="default" w:ascii="Arial" w:hAnsi="Arial" w:eastAsia="Arial" w:cs="Arial"/>
        <w:spacing w:val="0"/>
        <w:w w:val="100"/>
        <w:sz w:val="22"/>
        <w:szCs w:val="22"/>
      </w:rPr>
    </w:lvl>
    <w:lvl w:ilvl="2">
      <w:start w:val="0"/>
      <w:numFmt w:val="bullet"/>
      <w:lvlText w:val="•"/>
      <w:lvlJc w:val="left"/>
      <w:pPr>
        <w:ind w:left="710" w:hanging="369"/>
      </w:pPr>
      <w:rPr>
        <w:rFonts w:hint="default"/>
      </w:rPr>
    </w:lvl>
    <w:lvl w:ilvl="3">
      <w:start w:val="0"/>
      <w:numFmt w:val="bullet"/>
      <w:lvlText w:val="•"/>
      <w:lvlJc w:val="left"/>
      <w:pPr>
        <w:ind w:left="1081" w:hanging="369"/>
      </w:pPr>
      <w:rPr>
        <w:rFonts w:hint="default"/>
      </w:rPr>
    </w:lvl>
    <w:lvl w:ilvl="4">
      <w:start w:val="0"/>
      <w:numFmt w:val="bullet"/>
      <w:lvlText w:val="•"/>
      <w:lvlJc w:val="left"/>
      <w:pPr>
        <w:ind w:left="1452" w:hanging="369"/>
      </w:pPr>
      <w:rPr>
        <w:rFonts w:hint="default"/>
      </w:rPr>
    </w:lvl>
    <w:lvl w:ilvl="5">
      <w:start w:val="0"/>
      <w:numFmt w:val="bullet"/>
      <w:lvlText w:val="•"/>
      <w:lvlJc w:val="left"/>
      <w:pPr>
        <w:ind w:left="1823" w:hanging="369"/>
      </w:pPr>
      <w:rPr>
        <w:rFonts w:hint="default"/>
      </w:rPr>
    </w:lvl>
    <w:lvl w:ilvl="6">
      <w:start w:val="0"/>
      <w:numFmt w:val="bullet"/>
      <w:lvlText w:val="•"/>
      <w:lvlJc w:val="left"/>
      <w:pPr>
        <w:ind w:left="2194" w:hanging="369"/>
      </w:pPr>
      <w:rPr>
        <w:rFonts w:hint="default"/>
      </w:rPr>
    </w:lvl>
    <w:lvl w:ilvl="7">
      <w:start w:val="0"/>
      <w:numFmt w:val="bullet"/>
      <w:lvlText w:val="•"/>
      <w:lvlJc w:val="left"/>
      <w:pPr>
        <w:ind w:left="2565" w:hanging="369"/>
      </w:pPr>
      <w:rPr>
        <w:rFonts w:hint="default"/>
      </w:rPr>
    </w:lvl>
    <w:lvl w:ilvl="8">
      <w:start w:val="0"/>
      <w:numFmt w:val="bullet"/>
      <w:lvlText w:val="•"/>
      <w:lvlJc w:val="left"/>
      <w:pPr>
        <w:ind w:left="2936" w:hanging="369"/>
      </w:pPr>
      <w:rPr>
        <w:rFonts w:hint="default"/>
      </w:rPr>
    </w:lvl>
  </w:abstractNum>
  <w:abstractNum w:abstractNumId="22">
    <w:multiLevelType w:val="hybridMultilevel"/>
    <w:lvl w:ilvl="0">
      <w:start w:val="4"/>
      <w:numFmt w:val="decimal"/>
      <w:lvlText w:val="%1"/>
      <w:lvlJc w:val="left"/>
      <w:pPr>
        <w:ind w:left="590" w:hanging="490"/>
        <w:jc w:val="left"/>
      </w:pPr>
      <w:rPr>
        <w:rFonts w:hint="default"/>
      </w:rPr>
    </w:lvl>
    <w:lvl w:ilvl="1">
      <w:start w:val="6"/>
      <w:numFmt w:val="decimal"/>
      <w:lvlText w:val="%1.%2."/>
      <w:lvlJc w:val="left"/>
      <w:pPr>
        <w:ind w:left="100" w:hanging="490"/>
        <w:jc w:val="left"/>
      </w:pPr>
      <w:rPr>
        <w:rFonts w:hint="default" w:ascii="Arial" w:hAnsi="Arial" w:eastAsia="Arial" w:cs="Arial"/>
        <w:spacing w:val="-3"/>
        <w:w w:val="100"/>
        <w:sz w:val="22"/>
        <w:szCs w:val="22"/>
      </w:rPr>
    </w:lvl>
    <w:lvl w:ilvl="2">
      <w:start w:val="0"/>
      <w:numFmt w:val="bullet"/>
      <w:lvlText w:val="•"/>
      <w:lvlJc w:val="left"/>
      <w:pPr>
        <w:ind w:left="960" w:hanging="490"/>
      </w:pPr>
      <w:rPr>
        <w:rFonts w:hint="default"/>
      </w:rPr>
    </w:lvl>
    <w:lvl w:ilvl="3">
      <w:start w:val="0"/>
      <w:numFmt w:val="bullet"/>
      <w:lvlText w:val="•"/>
      <w:lvlJc w:val="left"/>
      <w:pPr>
        <w:ind w:left="1321" w:hanging="490"/>
      </w:pPr>
      <w:rPr>
        <w:rFonts w:hint="default"/>
      </w:rPr>
    </w:lvl>
    <w:lvl w:ilvl="4">
      <w:start w:val="0"/>
      <w:numFmt w:val="bullet"/>
      <w:lvlText w:val="•"/>
      <w:lvlJc w:val="left"/>
      <w:pPr>
        <w:ind w:left="1682" w:hanging="490"/>
      </w:pPr>
      <w:rPr>
        <w:rFonts w:hint="default"/>
      </w:rPr>
    </w:lvl>
    <w:lvl w:ilvl="5">
      <w:start w:val="0"/>
      <w:numFmt w:val="bullet"/>
      <w:lvlText w:val="•"/>
      <w:lvlJc w:val="left"/>
      <w:pPr>
        <w:ind w:left="2042" w:hanging="490"/>
      </w:pPr>
      <w:rPr>
        <w:rFonts w:hint="default"/>
      </w:rPr>
    </w:lvl>
    <w:lvl w:ilvl="6">
      <w:start w:val="0"/>
      <w:numFmt w:val="bullet"/>
      <w:lvlText w:val="•"/>
      <w:lvlJc w:val="left"/>
      <w:pPr>
        <w:ind w:left="2403" w:hanging="490"/>
      </w:pPr>
      <w:rPr>
        <w:rFonts w:hint="default"/>
      </w:rPr>
    </w:lvl>
    <w:lvl w:ilvl="7">
      <w:start w:val="0"/>
      <w:numFmt w:val="bullet"/>
      <w:lvlText w:val="•"/>
      <w:lvlJc w:val="left"/>
      <w:pPr>
        <w:ind w:left="2764" w:hanging="490"/>
      </w:pPr>
      <w:rPr>
        <w:rFonts w:hint="default"/>
      </w:rPr>
    </w:lvl>
    <w:lvl w:ilvl="8">
      <w:start w:val="0"/>
      <w:numFmt w:val="bullet"/>
      <w:lvlText w:val="•"/>
      <w:lvlJc w:val="left"/>
      <w:pPr>
        <w:ind w:left="3124" w:hanging="490"/>
      </w:pPr>
      <w:rPr>
        <w:rFonts w:hint="default"/>
      </w:rPr>
    </w:lvl>
  </w:abstractNum>
  <w:abstractNum w:abstractNumId="21">
    <w:multiLevelType w:val="hybridMultilevel"/>
    <w:lvl w:ilvl="0">
      <w:start w:val="4"/>
      <w:numFmt w:val="decimal"/>
      <w:lvlText w:val="%1"/>
      <w:lvlJc w:val="left"/>
      <w:pPr>
        <w:ind w:left="590" w:hanging="490"/>
        <w:jc w:val="left"/>
      </w:pPr>
      <w:rPr>
        <w:rFonts w:hint="default"/>
      </w:rPr>
    </w:lvl>
    <w:lvl w:ilvl="1">
      <w:start w:val="3"/>
      <w:numFmt w:val="decimal"/>
      <w:lvlText w:val="%1.%2."/>
      <w:lvlJc w:val="left"/>
      <w:pPr>
        <w:ind w:left="590" w:hanging="490"/>
        <w:jc w:val="left"/>
      </w:pPr>
      <w:rPr>
        <w:rFonts w:hint="default" w:ascii="Arial" w:hAnsi="Arial" w:eastAsia="Arial" w:cs="Arial"/>
        <w:spacing w:val="-3"/>
        <w:w w:val="100"/>
        <w:sz w:val="22"/>
        <w:szCs w:val="22"/>
      </w:rPr>
    </w:lvl>
    <w:lvl w:ilvl="2">
      <w:start w:val="0"/>
      <w:numFmt w:val="bullet"/>
      <w:lvlText w:val="•"/>
      <w:lvlJc w:val="left"/>
      <w:pPr>
        <w:ind w:left="1249" w:hanging="490"/>
      </w:pPr>
      <w:rPr>
        <w:rFonts w:hint="default"/>
      </w:rPr>
    </w:lvl>
    <w:lvl w:ilvl="3">
      <w:start w:val="0"/>
      <w:numFmt w:val="bullet"/>
      <w:lvlText w:val="•"/>
      <w:lvlJc w:val="left"/>
      <w:pPr>
        <w:ind w:left="1573" w:hanging="490"/>
      </w:pPr>
      <w:rPr>
        <w:rFonts w:hint="default"/>
      </w:rPr>
    </w:lvl>
    <w:lvl w:ilvl="4">
      <w:start w:val="0"/>
      <w:numFmt w:val="bullet"/>
      <w:lvlText w:val="•"/>
      <w:lvlJc w:val="left"/>
      <w:pPr>
        <w:ind w:left="1898" w:hanging="490"/>
      </w:pPr>
      <w:rPr>
        <w:rFonts w:hint="default"/>
      </w:rPr>
    </w:lvl>
    <w:lvl w:ilvl="5">
      <w:start w:val="0"/>
      <w:numFmt w:val="bullet"/>
      <w:lvlText w:val="•"/>
      <w:lvlJc w:val="left"/>
      <w:pPr>
        <w:ind w:left="2223" w:hanging="490"/>
      </w:pPr>
      <w:rPr>
        <w:rFonts w:hint="default"/>
      </w:rPr>
    </w:lvl>
    <w:lvl w:ilvl="6">
      <w:start w:val="0"/>
      <w:numFmt w:val="bullet"/>
      <w:lvlText w:val="•"/>
      <w:lvlJc w:val="left"/>
      <w:pPr>
        <w:ind w:left="2547" w:hanging="490"/>
      </w:pPr>
      <w:rPr>
        <w:rFonts w:hint="default"/>
      </w:rPr>
    </w:lvl>
    <w:lvl w:ilvl="7">
      <w:start w:val="0"/>
      <w:numFmt w:val="bullet"/>
      <w:lvlText w:val="•"/>
      <w:lvlJc w:val="left"/>
      <w:pPr>
        <w:ind w:left="2872" w:hanging="490"/>
      </w:pPr>
      <w:rPr>
        <w:rFonts w:hint="default"/>
      </w:rPr>
    </w:lvl>
    <w:lvl w:ilvl="8">
      <w:start w:val="0"/>
      <w:numFmt w:val="bullet"/>
      <w:lvlText w:val="•"/>
      <w:lvlJc w:val="left"/>
      <w:pPr>
        <w:ind w:left="3197" w:hanging="490"/>
      </w:pPr>
      <w:rPr>
        <w:rFonts w:hint="default"/>
      </w:rPr>
    </w:lvl>
  </w:abstractNum>
  <w:abstractNum w:abstractNumId="20">
    <w:multiLevelType w:val="hybridMultilevel"/>
    <w:lvl w:ilvl="0">
      <w:start w:val="3"/>
      <w:numFmt w:val="decimal"/>
      <w:lvlText w:val="%1"/>
      <w:lvlJc w:val="left"/>
      <w:pPr>
        <w:ind w:left="469" w:hanging="369"/>
        <w:jc w:val="left"/>
      </w:pPr>
      <w:rPr>
        <w:rFonts w:hint="default"/>
      </w:rPr>
    </w:lvl>
    <w:lvl w:ilvl="1">
      <w:start w:val="9"/>
      <w:numFmt w:val="decimal"/>
      <w:lvlText w:val="%1.%2"/>
      <w:lvlJc w:val="left"/>
      <w:pPr>
        <w:ind w:left="469" w:hanging="369"/>
        <w:jc w:val="left"/>
      </w:pPr>
      <w:rPr>
        <w:rFonts w:hint="default" w:ascii="Arial" w:hAnsi="Arial" w:eastAsia="Arial" w:cs="Arial"/>
        <w:spacing w:val="0"/>
        <w:w w:val="100"/>
        <w:sz w:val="22"/>
        <w:szCs w:val="22"/>
      </w:rPr>
    </w:lvl>
    <w:lvl w:ilvl="2">
      <w:start w:val="0"/>
      <w:numFmt w:val="bullet"/>
      <w:lvlText w:val="•"/>
      <w:lvlJc w:val="left"/>
      <w:pPr>
        <w:ind w:left="1103" w:hanging="369"/>
      </w:pPr>
      <w:rPr>
        <w:rFonts w:hint="default"/>
      </w:rPr>
    </w:lvl>
    <w:lvl w:ilvl="3">
      <w:start w:val="0"/>
      <w:numFmt w:val="bullet"/>
      <w:lvlText w:val="•"/>
      <w:lvlJc w:val="left"/>
      <w:pPr>
        <w:ind w:left="1425" w:hanging="369"/>
      </w:pPr>
      <w:rPr>
        <w:rFonts w:hint="default"/>
      </w:rPr>
    </w:lvl>
    <w:lvl w:ilvl="4">
      <w:start w:val="0"/>
      <w:numFmt w:val="bullet"/>
      <w:lvlText w:val="•"/>
      <w:lvlJc w:val="left"/>
      <w:pPr>
        <w:ind w:left="1747" w:hanging="369"/>
      </w:pPr>
      <w:rPr>
        <w:rFonts w:hint="default"/>
      </w:rPr>
    </w:lvl>
    <w:lvl w:ilvl="5">
      <w:start w:val="0"/>
      <w:numFmt w:val="bullet"/>
      <w:lvlText w:val="•"/>
      <w:lvlJc w:val="left"/>
      <w:pPr>
        <w:ind w:left="2069" w:hanging="369"/>
      </w:pPr>
      <w:rPr>
        <w:rFonts w:hint="default"/>
      </w:rPr>
    </w:lvl>
    <w:lvl w:ilvl="6">
      <w:start w:val="0"/>
      <w:numFmt w:val="bullet"/>
      <w:lvlText w:val="•"/>
      <w:lvlJc w:val="left"/>
      <w:pPr>
        <w:ind w:left="2390" w:hanging="369"/>
      </w:pPr>
      <w:rPr>
        <w:rFonts w:hint="default"/>
      </w:rPr>
    </w:lvl>
    <w:lvl w:ilvl="7">
      <w:start w:val="0"/>
      <w:numFmt w:val="bullet"/>
      <w:lvlText w:val="•"/>
      <w:lvlJc w:val="left"/>
      <w:pPr>
        <w:ind w:left="2712" w:hanging="369"/>
      </w:pPr>
      <w:rPr>
        <w:rFonts w:hint="default"/>
      </w:rPr>
    </w:lvl>
    <w:lvl w:ilvl="8">
      <w:start w:val="0"/>
      <w:numFmt w:val="bullet"/>
      <w:lvlText w:val="•"/>
      <w:lvlJc w:val="left"/>
      <w:pPr>
        <w:ind w:left="3034" w:hanging="369"/>
      </w:pPr>
      <w:rPr>
        <w:rFonts w:hint="default"/>
      </w:rPr>
    </w:lvl>
  </w:abstractNum>
  <w:abstractNum w:abstractNumId="19">
    <w:multiLevelType w:val="hybridMultilevel"/>
    <w:lvl w:ilvl="0">
      <w:start w:val="3"/>
      <w:numFmt w:val="decimal"/>
      <w:lvlText w:val="%1"/>
      <w:lvlJc w:val="left"/>
      <w:pPr>
        <w:ind w:left="532" w:hanging="432"/>
        <w:jc w:val="left"/>
      </w:pPr>
      <w:rPr>
        <w:rFonts w:hint="default"/>
      </w:rPr>
    </w:lvl>
    <w:lvl w:ilvl="1">
      <w:start w:val="7"/>
      <w:numFmt w:val="decimal"/>
      <w:lvlText w:val="%1.%2."/>
      <w:lvlJc w:val="left"/>
      <w:pPr>
        <w:ind w:left="532" w:hanging="432"/>
        <w:jc w:val="left"/>
      </w:pPr>
      <w:rPr>
        <w:rFonts w:hint="default" w:ascii="Arial" w:hAnsi="Arial" w:eastAsia="Arial" w:cs="Arial"/>
        <w:spacing w:val="-3"/>
        <w:w w:val="100"/>
        <w:sz w:val="22"/>
        <w:szCs w:val="22"/>
      </w:rPr>
    </w:lvl>
    <w:lvl w:ilvl="2">
      <w:start w:val="0"/>
      <w:numFmt w:val="bullet"/>
      <w:lvlText w:val="•"/>
      <w:lvlJc w:val="left"/>
      <w:pPr>
        <w:ind w:left="1167" w:hanging="432"/>
      </w:pPr>
      <w:rPr>
        <w:rFonts w:hint="default"/>
      </w:rPr>
    </w:lvl>
    <w:lvl w:ilvl="3">
      <w:start w:val="0"/>
      <w:numFmt w:val="bullet"/>
      <w:lvlText w:val="•"/>
      <w:lvlJc w:val="left"/>
      <w:pPr>
        <w:ind w:left="1481" w:hanging="432"/>
      </w:pPr>
      <w:rPr>
        <w:rFonts w:hint="default"/>
      </w:rPr>
    </w:lvl>
    <w:lvl w:ilvl="4">
      <w:start w:val="0"/>
      <w:numFmt w:val="bullet"/>
      <w:lvlText w:val="•"/>
      <w:lvlJc w:val="left"/>
      <w:pPr>
        <w:ind w:left="1795" w:hanging="432"/>
      </w:pPr>
      <w:rPr>
        <w:rFonts w:hint="default"/>
      </w:rPr>
    </w:lvl>
    <w:lvl w:ilvl="5">
      <w:start w:val="0"/>
      <w:numFmt w:val="bullet"/>
      <w:lvlText w:val="•"/>
      <w:lvlJc w:val="left"/>
      <w:pPr>
        <w:ind w:left="2109" w:hanging="432"/>
      </w:pPr>
      <w:rPr>
        <w:rFonts w:hint="default"/>
      </w:rPr>
    </w:lvl>
    <w:lvl w:ilvl="6">
      <w:start w:val="0"/>
      <w:numFmt w:val="bullet"/>
      <w:lvlText w:val="•"/>
      <w:lvlJc w:val="left"/>
      <w:pPr>
        <w:ind w:left="2422" w:hanging="432"/>
      </w:pPr>
      <w:rPr>
        <w:rFonts w:hint="default"/>
      </w:rPr>
    </w:lvl>
    <w:lvl w:ilvl="7">
      <w:start w:val="0"/>
      <w:numFmt w:val="bullet"/>
      <w:lvlText w:val="•"/>
      <w:lvlJc w:val="left"/>
      <w:pPr>
        <w:ind w:left="2736" w:hanging="432"/>
      </w:pPr>
      <w:rPr>
        <w:rFonts w:hint="default"/>
      </w:rPr>
    </w:lvl>
    <w:lvl w:ilvl="8">
      <w:start w:val="0"/>
      <w:numFmt w:val="bullet"/>
      <w:lvlText w:val="•"/>
      <w:lvlJc w:val="left"/>
      <w:pPr>
        <w:ind w:left="3050" w:hanging="432"/>
      </w:pPr>
      <w:rPr>
        <w:rFonts w:hint="default"/>
      </w:rPr>
    </w:lvl>
  </w:abstractNum>
  <w:abstractNum w:abstractNumId="18">
    <w:multiLevelType w:val="hybridMultilevel"/>
    <w:lvl w:ilvl="0">
      <w:start w:val="3"/>
      <w:numFmt w:val="decimal"/>
      <w:lvlText w:val="%1"/>
      <w:lvlJc w:val="left"/>
      <w:pPr>
        <w:ind w:left="470" w:hanging="370"/>
        <w:jc w:val="left"/>
      </w:pPr>
      <w:rPr>
        <w:rFonts w:hint="default"/>
      </w:rPr>
    </w:lvl>
    <w:lvl w:ilvl="1">
      <w:start w:val="2"/>
      <w:numFmt w:val="decimal"/>
      <w:lvlText w:val="%1.%2"/>
      <w:lvlJc w:val="left"/>
      <w:pPr>
        <w:ind w:left="470" w:hanging="370"/>
        <w:jc w:val="left"/>
      </w:pPr>
      <w:rPr>
        <w:rFonts w:hint="default" w:ascii="Arial" w:hAnsi="Arial" w:eastAsia="Arial" w:cs="Arial"/>
        <w:spacing w:val="0"/>
        <w:w w:val="100"/>
        <w:sz w:val="22"/>
        <w:szCs w:val="22"/>
      </w:rPr>
    </w:lvl>
    <w:lvl w:ilvl="2">
      <w:start w:val="0"/>
      <w:numFmt w:val="bullet"/>
      <w:lvlText w:val="•"/>
      <w:lvlJc w:val="left"/>
      <w:pPr>
        <w:ind w:left="1119" w:hanging="370"/>
      </w:pPr>
      <w:rPr>
        <w:rFonts w:hint="default"/>
      </w:rPr>
    </w:lvl>
    <w:lvl w:ilvl="3">
      <w:start w:val="0"/>
      <w:numFmt w:val="bullet"/>
      <w:lvlText w:val="•"/>
      <w:lvlJc w:val="left"/>
      <w:pPr>
        <w:ind w:left="1439" w:hanging="370"/>
      </w:pPr>
      <w:rPr>
        <w:rFonts w:hint="default"/>
      </w:rPr>
    </w:lvl>
    <w:lvl w:ilvl="4">
      <w:start w:val="0"/>
      <w:numFmt w:val="bullet"/>
      <w:lvlText w:val="•"/>
      <w:lvlJc w:val="left"/>
      <w:pPr>
        <w:ind w:left="1759" w:hanging="370"/>
      </w:pPr>
      <w:rPr>
        <w:rFonts w:hint="default"/>
      </w:rPr>
    </w:lvl>
    <w:lvl w:ilvl="5">
      <w:start w:val="0"/>
      <w:numFmt w:val="bullet"/>
      <w:lvlText w:val="•"/>
      <w:lvlJc w:val="left"/>
      <w:pPr>
        <w:ind w:left="2079" w:hanging="370"/>
      </w:pPr>
      <w:rPr>
        <w:rFonts w:hint="default"/>
      </w:rPr>
    </w:lvl>
    <w:lvl w:ilvl="6">
      <w:start w:val="0"/>
      <w:numFmt w:val="bullet"/>
      <w:lvlText w:val="•"/>
      <w:lvlJc w:val="left"/>
      <w:pPr>
        <w:ind w:left="2398" w:hanging="370"/>
      </w:pPr>
      <w:rPr>
        <w:rFonts w:hint="default"/>
      </w:rPr>
    </w:lvl>
    <w:lvl w:ilvl="7">
      <w:start w:val="0"/>
      <w:numFmt w:val="bullet"/>
      <w:lvlText w:val="•"/>
      <w:lvlJc w:val="left"/>
      <w:pPr>
        <w:ind w:left="2718" w:hanging="370"/>
      </w:pPr>
      <w:rPr>
        <w:rFonts w:hint="default"/>
      </w:rPr>
    </w:lvl>
    <w:lvl w:ilvl="8">
      <w:start w:val="0"/>
      <w:numFmt w:val="bullet"/>
      <w:lvlText w:val="•"/>
      <w:lvlJc w:val="left"/>
      <w:pPr>
        <w:ind w:left="3038" w:hanging="370"/>
      </w:pPr>
      <w:rPr>
        <w:rFonts w:hint="default"/>
      </w:rPr>
    </w:lvl>
  </w:abstractNum>
  <w:abstractNum w:abstractNumId="17">
    <w:multiLevelType w:val="hybridMultilevel"/>
    <w:lvl w:ilvl="0">
      <w:start w:val="4"/>
      <w:numFmt w:val="decimal"/>
      <w:lvlText w:val="%1."/>
      <w:lvlJc w:val="left"/>
      <w:pPr>
        <w:ind w:left="349" w:hanging="250"/>
        <w:jc w:val="left"/>
      </w:pPr>
      <w:rPr>
        <w:rFonts w:hint="default" w:ascii="Arial" w:hAnsi="Arial" w:eastAsia="Arial" w:cs="Arial"/>
        <w:b/>
        <w:bCs/>
        <w:spacing w:val="0"/>
        <w:w w:val="100"/>
        <w:sz w:val="22"/>
        <w:szCs w:val="22"/>
      </w:rPr>
    </w:lvl>
    <w:lvl w:ilvl="1">
      <w:start w:val="1"/>
      <w:numFmt w:val="decimal"/>
      <w:lvlText w:val="%1.%2."/>
      <w:lvlJc w:val="left"/>
      <w:pPr>
        <w:ind w:left="595" w:hanging="495"/>
        <w:jc w:val="left"/>
      </w:pPr>
      <w:rPr>
        <w:rFonts w:hint="default" w:ascii="Arial" w:hAnsi="Arial" w:eastAsia="Arial" w:cs="Arial"/>
        <w:spacing w:val="-3"/>
        <w:w w:val="100"/>
        <w:sz w:val="22"/>
        <w:szCs w:val="22"/>
      </w:rPr>
    </w:lvl>
    <w:lvl w:ilvl="2">
      <w:start w:val="0"/>
      <w:numFmt w:val="bullet"/>
      <w:lvlText w:val="•"/>
      <w:lvlJc w:val="left"/>
      <w:pPr>
        <w:ind w:left="960" w:hanging="495"/>
      </w:pPr>
      <w:rPr>
        <w:rFonts w:hint="default"/>
      </w:rPr>
    </w:lvl>
    <w:lvl w:ilvl="3">
      <w:start w:val="0"/>
      <w:numFmt w:val="bullet"/>
      <w:lvlText w:val="•"/>
      <w:lvlJc w:val="left"/>
      <w:pPr>
        <w:ind w:left="1321" w:hanging="495"/>
      </w:pPr>
      <w:rPr>
        <w:rFonts w:hint="default"/>
      </w:rPr>
    </w:lvl>
    <w:lvl w:ilvl="4">
      <w:start w:val="0"/>
      <w:numFmt w:val="bullet"/>
      <w:lvlText w:val="•"/>
      <w:lvlJc w:val="left"/>
      <w:pPr>
        <w:ind w:left="1682" w:hanging="495"/>
      </w:pPr>
      <w:rPr>
        <w:rFonts w:hint="default"/>
      </w:rPr>
    </w:lvl>
    <w:lvl w:ilvl="5">
      <w:start w:val="0"/>
      <w:numFmt w:val="bullet"/>
      <w:lvlText w:val="•"/>
      <w:lvlJc w:val="left"/>
      <w:pPr>
        <w:ind w:left="2042" w:hanging="495"/>
      </w:pPr>
      <w:rPr>
        <w:rFonts w:hint="default"/>
      </w:rPr>
    </w:lvl>
    <w:lvl w:ilvl="6">
      <w:start w:val="0"/>
      <w:numFmt w:val="bullet"/>
      <w:lvlText w:val="•"/>
      <w:lvlJc w:val="left"/>
      <w:pPr>
        <w:ind w:left="2403" w:hanging="495"/>
      </w:pPr>
      <w:rPr>
        <w:rFonts w:hint="default"/>
      </w:rPr>
    </w:lvl>
    <w:lvl w:ilvl="7">
      <w:start w:val="0"/>
      <w:numFmt w:val="bullet"/>
      <w:lvlText w:val="•"/>
      <w:lvlJc w:val="left"/>
      <w:pPr>
        <w:ind w:left="2764" w:hanging="495"/>
      </w:pPr>
      <w:rPr>
        <w:rFonts w:hint="default"/>
      </w:rPr>
    </w:lvl>
    <w:lvl w:ilvl="8">
      <w:start w:val="0"/>
      <w:numFmt w:val="bullet"/>
      <w:lvlText w:val="•"/>
      <w:lvlJc w:val="left"/>
      <w:pPr>
        <w:ind w:left="3124" w:hanging="495"/>
      </w:pPr>
      <w:rPr>
        <w:rFonts w:hint="default"/>
      </w:rPr>
    </w:lvl>
  </w:abstractNum>
  <w:abstractNum w:abstractNumId="16">
    <w:multiLevelType w:val="hybridMultilevel"/>
    <w:lvl w:ilvl="0">
      <w:start w:val="1"/>
      <w:numFmt w:val="decimal"/>
      <w:lvlText w:val="%1."/>
      <w:lvlJc w:val="left"/>
      <w:pPr>
        <w:ind w:left="576" w:hanging="269"/>
        <w:jc w:val="left"/>
      </w:pPr>
      <w:rPr>
        <w:rFonts w:hint="default" w:ascii="Arial" w:hAnsi="Arial" w:eastAsia="Arial" w:cs="Arial"/>
        <w:b/>
        <w:bCs/>
        <w:spacing w:val="-5"/>
        <w:w w:val="99"/>
        <w:sz w:val="24"/>
        <w:szCs w:val="24"/>
      </w:rPr>
    </w:lvl>
    <w:lvl w:ilvl="1">
      <w:start w:val="0"/>
      <w:numFmt w:val="bullet"/>
      <w:lvlText w:val="-"/>
      <w:lvlJc w:val="left"/>
      <w:pPr>
        <w:ind w:left="1028" w:hanging="360"/>
      </w:pPr>
      <w:rPr>
        <w:rFonts w:hint="default" w:ascii="Arial" w:hAnsi="Arial" w:eastAsia="Arial" w:cs="Arial"/>
        <w:spacing w:val="-8"/>
        <w:w w:val="99"/>
        <w:sz w:val="24"/>
        <w:szCs w:val="24"/>
      </w:rPr>
    </w:lvl>
    <w:lvl w:ilvl="2">
      <w:start w:val="0"/>
      <w:numFmt w:val="bullet"/>
      <w:lvlText w:val="•"/>
      <w:lvlJc w:val="left"/>
      <w:pPr>
        <w:ind w:left="1929" w:hanging="360"/>
      </w:pPr>
      <w:rPr>
        <w:rFonts w:hint="default"/>
      </w:rPr>
    </w:lvl>
    <w:lvl w:ilvl="3">
      <w:start w:val="0"/>
      <w:numFmt w:val="bullet"/>
      <w:lvlText w:val="•"/>
      <w:lvlJc w:val="left"/>
      <w:pPr>
        <w:ind w:left="2838" w:hanging="360"/>
      </w:pPr>
      <w:rPr>
        <w:rFonts w:hint="default"/>
      </w:rPr>
    </w:lvl>
    <w:lvl w:ilvl="4">
      <w:start w:val="0"/>
      <w:numFmt w:val="bullet"/>
      <w:lvlText w:val="•"/>
      <w:lvlJc w:val="left"/>
      <w:pPr>
        <w:ind w:left="3748" w:hanging="360"/>
      </w:pPr>
      <w:rPr>
        <w:rFonts w:hint="default"/>
      </w:rPr>
    </w:lvl>
    <w:lvl w:ilvl="5">
      <w:start w:val="0"/>
      <w:numFmt w:val="bullet"/>
      <w:lvlText w:val="•"/>
      <w:lvlJc w:val="left"/>
      <w:pPr>
        <w:ind w:left="4657" w:hanging="360"/>
      </w:pPr>
      <w:rPr>
        <w:rFonts w:hint="default"/>
      </w:rPr>
    </w:lvl>
    <w:lvl w:ilvl="6">
      <w:start w:val="0"/>
      <w:numFmt w:val="bullet"/>
      <w:lvlText w:val="•"/>
      <w:lvlJc w:val="left"/>
      <w:pPr>
        <w:ind w:left="5566" w:hanging="360"/>
      </w:pPr>
      <w:rPr>
        <w:rFonts w:hint="default"/>
      </w:rPr>
    </w:lvl>
    <w:lvl w:ilvl="7">
      <w:start w:val="0"/>
      <w:numFmt w:val="bullet"/>
      <w:lvlText w:val="•"/>
      <w:lvlJc w:val="left"/>
      <w:pPr>
        <w:ind w:left="6476" w:hanging="360"/>
      </w:pPr>
      <w:rPr>
        <w:rFonts w:hint="default"/>
      </w:rPr>
    </w:lvl>
    <w:lvl w:ilvl="8">
      <w:start w:val="0"/>
      <w:numFmt w:val="bullet"/>
      <w:lvlText w:val="•"/>
      <w:lvlJc w:val="left"/>
      <w:pPr>
        <w:ind w:left="7385" w:hanging="360"/>
      </w:pPr>
      <w:rPr>
        <w:rFonts w:hint="default"/>
      </w:rPr>
    </w:lvl>
  </w:abstractNum>
  <w:abstractNum w:abstractNumId="15">
    <w:multiLevelType w:val="hybridMultilevel"/>
    <w:lvl w:ilvl="0">
      <w:start w:val="4"/>
      <w:numFmt w:val="decimal"/>
      <w:lvlText w:val="%1"/>
      <w:lvlJc w:val="left"/>
      <w:pPr>
        <w:ind w:left="907" w:hanging="600"/>
        <w:jc w:val="left"/>
      </w:pPr>
      <w:rPr>
        <w:rFonts w:hint="default"/>
      </w:rPr>
    </w:lvl>
    <w:lvl w:ilvl="1">
      <w:start w:val="2"/>
      <w:numFmt w:val="decimal"/>
      <w:lvlText w:val="%1.%2"/>
      <w:lvlJc w:val="left"/>
      <w:pPr>
        <w:ind w:left="907" w:hanging="600"/>
        <w:jc w:val="left"/>
      </w:pPr>
      <w:rPr>
        <w:rFonts w:hint="default"/>
      </w:rPr>
    </w:lvl>
    <w:lvl w:ilvl="2">
      <w:start w:val="2"/>
      <w:numFmt w:val="decimal"/>
      <w:lvlText w:val="%1.%2.%3"/>
      <w:lvlJc w:val="left"/>
      <w:pPr>
        <w:ind w:left="907" w:hanging="600"/>
        <w:jc w:val="left"/>
      </w:pPr>
      <w:rPr>
        <w:rFonts w:hint="default" w:ascii="Arial" w:hAnsi="Arial" w:eastAsia="Arial" w:cs="Arial"/>
        <w:b/>
        <w:bCs/>
        <w:w w:val="99"/>
        <w:sz w:val="24"/>
        <w:szCs w:val="24"/>
      </w:rPr>
    </w:lvl>
    <w:lvl w:ilvl="3">
      <w:start w:val="1"/>
      <w:numFmt w:val="lowerLetter"/>
      <w:lvlText w:val="%4)"/>
      <w:lvlJc w:val="left"/>
      <w:pPr>
        <w:ind w:left="2862" w:hanging="288"/>
        <w:jc w:val="left"/>
      </w:pPr>
      <w:rPr>
        <w:rFonts w:hint="default" w:ascii="Arial" w:hAnsi="Arial" w:eastAsia="Arial" w:cs="Arial"/>
        <w:w w:val="99"/>
        <w:sz w:val="24"/>
        <w:szCs w:val="24"/>
      </w:rPr>
    </w:lvl>
    <w:lvl w:ilvl="4">
      <w:start w:val="0"/>
      <w:numFmt w:val="bullet"/>
      <w:lvlText w:val="•"/>
      <w:lvlJc w:val="left"/>
      <w:pPr>
        <w:ind w:left="4974" w:hanging="288"/>
      </w:pPr>
      <w:rPr>
        <w:rFonts w:hint="default"/>
      </w:rPr>
    </w:lvl>
    <w:lvl w:ilvl="5">
      <w:start w:val="0"/>
      <w:numFmt w:val="bullet"/>
      <w:lvlText w:val="•"/>
      <w:lvlJc w:val="left"/>
      <w:pPr>
        <w:ind w:left="5679" w:hanging="288"/>
      </w:pPr>
      <w:rPr>
        <w:rFonts w:hint="default"/>
      </w:rPr>
    </w:lvl>
    <w:lvl w:ilvl="6">
      <w:start w:val="0"/>
      <w:numFmt w:val="bullet"/>
      <w:lvlText w:val="•"/>
      <w:lvlJc w:val="left"/>
      <w:pPr>
        <w:ind w:left="6384" w:hanging="288"/>
      </w:pPr>
      <w:rPr>
        <w:rFonts w:hint="default"/>
      </w:rPr>
    </w:lvl>
    <w:lvl w:ilvl="7">
      <w:start w:val="0"/>
      <w:numFmt w:val="bullet"/>
      <w:lvlText w:val="•"/>
      <w:lvlJc w:val="left"/>
      <w:pPr>
        <w:ind w:left="7089" w:hanging="288"/>
      </w:pPr>
      <w:rPr>
        <w:rFonts w:hint="default"/>
      </w:rPr>
    </w:lvl>
    <w:lvl w:ilvl="8">
      <w:start w:val="0"/>
      <w:numFmt w:val="bullet"/>
      <w:lvlText w:val="•"/>
      <w:lvlJc w:val="left"/>
      <w:pPr>
        <w:ind w:left="7794" w:hanging="288"/>
      </w:pPr>
      <w:rPr>
        <w:rFonts w:hint="default"/>
      </w:rPr>
    </w:lvl>
  </w:abstractNum>
  <w:abstractNum w:abstractNumId="12">
    <w:multiLevelType w:val="hybridMultilevel"/>
    <w:lvl w:ilvl="0">
      <w:start w:val="4"/>
      <w:numFmt w:val="decimal"/>
      <w:lvlText w:val="%1"/>
      <w:lvlJc w:val="left"/>
      <w:pPr>
        <w:ind w:left="1018" w:hanging="677"/>
        <w:jc w:val="left"/>
      </w:pPr>
      <w:rPr>
        <w:rFonts w:hint="default"/>
      </w:rPr>
    </w:lvl>
    <w:lvl w:ilvl="1">
      <w:start w:val="1"/>
      <w:numFmt w:val="decimal"/>
      <w:lvlText w:val="%1.%2"/>
      <w:lvlJc w:val="left"/>
      <w:pPr>
        <w:ind w:left="1018" w:hanging="677"/>
        <w:jc w:val="left"/>
      </w:pPr>
      <w:rPr>
        <w:rFonts w:hint="default"/>
      </w:rPr>
    </w:lvl>
    <w:lvl w:ilvl="2">
      <w:start w:val="1"/>
      <w:numFmt w:val="decimal"/>
      <w:lvlText w:val="%1.%2.%3"/>
      <w:lvlJc w:val="left"/>
      <w:pPr>
        <w:ind w:left="1018" w:hanging="677"/>
        <w:jc w:val="left"/>
      </w:pPr>
      <w:rPr>
        <w:rFonts w:hint="default" w:ascii="Arial" w:hAnsi="Arial" w:eastAsia="Arial" w:cs="Arial"/>
        <w:b/>
        <w:bCs/>
        <w:w w:val="99"/>
        <w:sz w:val="24"/>
        <w:szCs w:val="24"/>
      </w:rPr>
    </w:lvl>
    <w:lvl w:ilvl="3">
      <w:start w:val="1"/>
      <w:numFmt w:val="decimal"/>
      <w:lvlText w:val="%1.%2.%3.%4"/>
      <w:lvlJc w:val="left"/>
      <w:pPr>
        <w:ind w:left="1113" w:hanging="805"/>
        <w:jc w:val="left"/>
      </w:pPr>
      <w:rPr>
        <w:rFonts w:hint="default" w:ascii="Arial" w:hAnsi="Arial" w:eastAsia="Arial" w:cs="Arial"/>
        <w:w w:val="99"/>
        <w:sz w:val="24"/>
        <w:szCs w:val="24"/>
      </w:rPr>
    </w:lvl>
    <w:lvl w:ilvl="4">
      <w:start w:val="0"/>
      <w:numFmt w:val="bullet"/>
      <w:lvlText w:val="•"/>
      <w:lvlJc w:val="left"/>
      <w:pPr>
        <w:ind w:left="2274" w:hanging="805"/>
      </w:pPr>
      <w:rPr>
        <w:rFonts w:hint="default"/>
      </w:rPr>
    </w:lvl>
    <w:lvl w:ilvl="5">
      <w:start w:val="0"/>
      <w:numFmt w:val="bullet"/>
      <w:lvlText w:val="•"/>
      <w:lvlJc w:val="left"/>
      <w:pPr>
        <w:ind w:left="3429" w:hanging="805"/>
      </w:pPr>
      <w:rPr>
        <w:rFonts w:hint="default"/>
      </w:rPr>
    </w:lvl>
    <w:lvl w:ilvl="6">
      <w:start w:val="0"/>
      <w:numFmt w:val="bullet"/>
      <w:lvlText w:val="•"/>
      <w:lvlJc w:val="left"/>
      <w:pPr>
        <w:ind w:left="4584" w:hanging="805"/>
      </w:pPr>
      <w:rPr>
        <w:rFonts w:hint="default"/>
      </w:rPr>
    </w:lvl>
    <w:lvl w:ilvl="7">
      <w:start w:val="0"/>
      <w:numFmt w:val="bullet"/>
      <w:lvlText w:val="•"/>
      <w:lvlJc w:val="left"/>
      <w:pPr>
        <w:ind w:left="5739" w:hanging="805"/>
      </w:pPr>
      <w:rPr>
        <w:rFonts w:hint="default"/>
      </w:rPr>
    </w:lvl>
    <w:lvl w:ilvl="8">
      <w:start w:val="0"/>
      <w:numFmt w:val="bullet"/>
      <w:lvlText w:val="•"/>
      <w:lvlJc w:val="left"/>
      <w:pPr>
        <w:ind w:left="6894" w:hanging="805"/>
      </w:pPr>
      <w:rPr>
        <w:rFonts w:hint="default"/>
      </w:rPr>
    </w:lvl>
  </w:abstractNum>
  <w:abstractNum w:abstractNumId="11">
    <w:multiLevelType w:val="hybridMultilevel"/>
    <w:lvl w:ilvl="0">
      <w:start w:val="0"/>
      <w:numFmt w:val="bullet"/>
      <w:lvlText w:val="-"/>
      <w:lvlJc w:val="left"/>
      <w:pPr>
        <w:ind w:left="308" w:hanging="149"/>
      </w:pPr>
      <w:rPr>
        <w:rFonts w:hint="default" w:ascii="Arial" w:hAnsi="Arial" w:eastAsia="Arial" w:cs="Arial"/>
        <w:w w:val="99"/>
        <w:sz w:val="24"/>
        <w:szCs w:val="24"/>
      </w:rPr>
    </w:lvl>
    <w:lvl w:ilvl="1">
      <w:start w:val="0"/>
      <w:numFmt w:val="bullet"/>
      <w:lvlText w:val="•"/>
      <w:lvlJc w:val="left"/>
      <w:pPr>
        <w:ind w:left="1202" w:hanging="149"/>
      </w:pPr>
      <w:rPr>
        <w:rFonts w:hint="default"/>
      </w:rPr>
    </w:lvl>
    <w:lvl w:ilvl="2">
      <w:start w:val="0"/>
      <w:numFmt w:val="bullet"/>
      <w:lvlText w:val="•"/>
      <w:lvlJc w:val="left"/>
      <w:pPr>
        <w:ind w:left="2104" w:hanging="149"/>
      </w:pPr>
      <w:rPr>
        <w:rFonts w:hint="default"/>
      </w:rPr>
    </w:lvl>
    <w:lvl w:ilvl="3">
      <w:start w:val="0"/>
      <w:numFmt w:val="bullet"/>
      <w:lvlText w:val="•"/>
      <w:lvlJc w:val="left"/>
      <w:pPr>
        <w:ind w:left="3007" w:hanging="149"/>
      </w:pPr>
      <w:rPr>
        <w:rFonts w:hint="default"/>
      </w:rPr>
    </w:lvl>
    <w:lvl w:ilvl="4">
      <w:start w:val="0"/>
      <w:numFmt w:val="bullet"/>
      <w:lvlText w:val="•"/>
      <w:lvlJc w:val="left"/>
      <w:pPr>
        <w:ind w:left="3909" w:hanging="149"/>
      </w:pPr>
      <w:rPr>
        <w:rFonts w:hint="default"/>
      </w:rPr>
    </w:lvl>
    <w:lvl w:ilvl="5">
      <w:start w:val="0"/>
      <w:numFmt w:val="bullet"/>
      <w:lvlText w:val="•"/>
      <w:lvlJc w:val="left"/>
      <w:pPr>
        <w:ind w:left="4812" w:hanging="149"/>
      </w:pPr>
      <w:rPr>
        <w:rFonts w:hint="default"/>
      </w:rPr>
    </w:lvl>
    <w:lvl w:ilvl="6">
      <w:start w:val="0"/>
      <w:numFmt w:val="bullet"/>
      <w:lvlText w:val="•"/>
      <w:lvlJc w:val="left"/>
      <w:pPr>
        <w:ind w:left="5714" w:hanging="149"/>
      </w:pPr>
      <w:rPr>
        <w:rFonts w:hint="default"/>
      </w:rPr>
    </w:lvl>
    <w:lvl w:ilvl="7">
      <w:start w:val="0"/>
      <w:numFmt w:val="bullet"/>
      <w:lvlText w:val="•"/>
      <w:lvlJc w:val="left"/>
      <w:pPr>
        <w:ind w:left="6616" w:hanging="149"/>
      </w:pPr>
      <w:rPr>
        <w:rFonts w:hint="default"/>
      </w:rPr>
    </w:lvl>
    <w:lvl w:ilvl="8">
      <w:start w:val="0"/>
      <w:numFmt w:val="bullet"/>
      <w:lvlText w:val="•"/>
      <w:lvlJc w:val="left"/>
      <w:pPr>
        <w:ind w:left="7519" w:hanging="149"/>
      </w:pPr>
      <w:rPr>
        <w:rFonts w:hint="default"/>
      </w:rPr>
    </w:lvl>
  </w:abstractNum>
  <w:abstractNum w:abstractNumId="10">
    <w:multiLevelType w:val="hybridMultilevel"/>
    <w:lvl w:ilvl="0">
      <w:start w:val="3"/>
      <w:numFmt w:val="decimal"/>
      <w:lvlText w:val="%1"/>
      <w:lvlJc w:val="left"/>
      <w:pPr>
        <w:ind w:left="591" w:hanging="403"/>
        <w:jc w:val="left"/>
      </w:pPr>
      <w:rPr>
        <w:rFonts w:hint="default"/>
      </w:rPr>
    </w:lvl>
    <w:lvl w:ilvl="1">
      <w:start w:val="2"/>
      <w:numFmt w:val="decimal"/>
      <w:lvlText w:val="%1.%2"/>
      <w:lvlJc w:val="left"/>
      <w:pPr>
        <w:ind w:left="710" w:hanging="403"/>
        <w:jc w:val="left"/>
      </w:pPr>
      <w:rPr>
        <w:rFonts w:hint="default" w:ascii="Arial" w:hAnsi="Arial" w:eastAsia="Arial" w:cs="Arial"/>
        <w:w w:val="99"/>
        <w:sz w:val="24"/>
        <w:szCs w:val="24"/>
      </w:rPr>
    </w:lvl>
    <w:lvl w:ilvl="2">
      <w:start w:val="1"/>
      <w:numFmt w:val="decimal"/>
      <w:lvlText w:val="%1.%2.%3"/>
      <w:lvlJc w:val="left"/>
      <w:pPr>
        <w:ind w:left="911" w:hanging="604"/>
        <w:jc w:val="left"/>
      </w:pPr>
      <w:rPr>
        <w:rFonts w:hint="default" w:ascii="Arial" w:hAnsi="Arial" w:eastAsia="Arial" w:cs="Arial"/>
        <w:b/>
        <w:bCs/>
        <w:w w:val="99"/>
        <w:sz w:val="24"/>
        <w:szCs w:val="24"/>
      </w:rPr>
    </w:lvl>
    <w:lvl w:ilvl="3">
      <w:start w:val="0"/>
      <w:numFmt w:val="bullet"/>
      <w:lvlText w:val="•"/>
      <w:lvlJc w:val="left"/>
      <w:pPr>
        <w:ind w:left="920" w:hanging="604"/>
      </w:pPr>
      <w:rPr>
        <w:rFonts w:hint="default"/>
      </w:rPr>
    </w:lvl>
    <w:lvl w:ilvl="4">
      <w:start w:val="0"/>
      <w:numFmt w:val="bullet"/>
      <w:lvlText w:val="•"/>
      <w:lvlJc w:val="left"/>
      <w:pPr>
        <w:ind w:left="2103" w:hanging="604"/>
      </w:pPr>
      <w:rPr>
        <w:rFonts w:hint="default"/>
      </w:rPr>
    </w:lvl>
    <w:lvl w:ilvl="5">
      <w:start w:val="0"/>
      <w:numFmt w:val="bullet"/>
      <w:lvlText w:val="•"/>
      <w:lvlJc w:val="left"/>
      <w:pPr>
        <w:ind w:left="3286" w:hanging="604"/>
      </w:pPr>
      <w:rPr>
        <w:rFonts w:hint="default"/>
      </w:rPr>
    </w:lvl>
    <w:lvl w:ilvl="6">
      <w:start w:val="0"/>
      <w:numFmt w:val="bullet"/>
      <w:lvlText w:val="•"/>
      <w:lvlJc w:val="left"/>
      <w:pPr>
        <w:ind w:left="4470" w:hanging="604"/>
      </w:pPr>
      <w:rPr>
        <w:rFonts w:hint="default"/>
      </w:rPr>
    </w:lvl>
    <w:lvl w:ilvl="7">
      <w:start w:val="0"/>
      <w:numFmt w:val="bullet"/>
      <w:lvlText w:val="•"/>
      <w:lvlJc w:val="left"/>
      <w:pPr>
        <w:ind w:left="5653" w:hanging="604"/>
      </w:pPr>
      <w:rPr>
        <w:rFonts w:hint="default"/>
      </w:rPr>
    </w:lvl>
    <w:lvl w:ilvl="8">
      <w:start w:val="0"/>
      <w:numFmt w:val="bullet"/>
      <w:lvlText w:val="•"/>
      <w:lvlJc w:val="left"/>
      <w:pPr>
        <w:ind w:left="6837" w:hanging="604"/>
      </w:pPr>
      <w:rPr>
        <w:rFonts w:hint="default"/>
      </w:rPr>
    </w:lvl>
  </w:abstractNum>
  <w:abstractNum w:abstractNumId="7">
    <w:multiLevelType w:val="hybridMultilevel"/>
    <w:lvl w:ilvl="0">
      <w:start w:val="2"/>
      <w:numFmt w:val="decimal"/>
      <w:lvlText w:val="%1"/>
      <w:lvlJc w:val="left"/>
      <w:pPr>
        <w:ind w:left="710" w:hanging="403"/>
        <w:jc w:val="left"/>
      </w:pPr>
      <w:rPr>
        <w:rFonts w:hint="default"/>
      </w:rPr>
    </w:lvl>
    <w:lvl w:ilvl="1">
      <w:start w:val="2"/>
      <w:numFmt w:val="decimal"/>
      <w:lvlText w:val="%1.%2"/>
      <w:lvlJc w:val="left"/>
      <w:pPr>
        <w:ind w:left="710" w:hanging="403"/>
        <w:jc w:val="left"/>
      </w:pPr>
      <w:rPr>
        <w:rFonts w:hint="default" w:ascii="Arial" w:hAnsi="Arial" w:eastAsia="Arial" w:cs="Arial"/>
        <w:w w:val="99"/>
        <w:sz w:val="24"/>
        <w:szCs w:val="24"/>
      </w:rPr>
    </w:lvl>
    <w:lvl w:ilvl="2">
      <w:start w:val="0"/>
      <w:numFmt w:val="bullet"/>
      <w:lvlText w:val="•"/>
      <w:lvlJc w:val="left"/>
      <w:pPr>
        <w:ind w:left="2580" w:hanging="403"/>
      </w:pPr>
      <w:rPr>
        <w:rFonts w:hint="default"/>
      </w:rPr>
    </w:lvl>
    <w:lvl w:ilvl="3">
      <w:start w:val="0"/>
      <w:numFmt w:val="bullet"/>
      <w:lvlText w:val="•"/>
      <w:lvlJc w:val="left"/>
      <w:pPr>
        <w:ind w:left="3408" w:hanging="403"/>
      </w:pPr>
      <w:rPr>
        <w:rFonts w:hint="default"/>
      </w:rPr>
    </w:lvl>
    <w:lvl w:ilvl="4">
      <w:start w:val="0"/>
      <w:numFmt w:val="bullet"/>
      <w:lvlText w:val="•"/>
      <w:lvlJc w:val="left"/>
      <w:pPr>
        <w:ind w:left="4236" w:hanging="403"/>
      </w:pPr>
      <w:rPr>
        <w:rFonts w:hint="default"/>
      </w:rPr>
    </w:lvl>
    <w:lvl w:ilvl="5">
      <w:start w:val="0"/>
      <w:numFmt w:val="bullet"/>
      <w:lvlText w:val="•"/>
      <w:lvlJc w:val="left"/>
      <w:pPr>
        <w:ind w:left="5064" w:hanging="403"/>
      </w:pPr>
      <w:rPr>
        <w:rFonts w:hint="default"/>
      </w:rPr>
    </w:lvl>
    <w:lvl w:ilvl="6">
      <w:start w:val="0"/>
      <w:numFmt w:val="bullet"/>
      <w:lvlText w:val="•"/>
      <w:lvlJc w:val="left"/>
      <w:pPr>
        <w:ind w:left="5892" w:hanging="403"/>
      </w:pPr>
      <w:rPr>
        <w:rFonts w:hint="default"/>
      </w:rPr>
    </w:lvl>
    <w:lvl w:ilvl="7">
      <w:start w:val="0"/>
      <w:numFmt w:val="bullet"/>
      <w:lvlText w:val="•"/>
      <w:lvlJc w:val="left"/>
      <w:pPr>
        <w:ind w:left="6720" w:hanging="403"/>
      </w:pPr>
      <w:rPr>
        <w:rFonts w:hint="default"/>
      </w:rPr>
    </w:lvl>
    <w:lvl w:ilvl="8">
      <w:start w:val="0"/>
      <w:numFmt w:val="bullet"/>
      <w:lvlText w:val="•"/>
      <w:lvlJc w:val="left"/>
      <w:pPr>
        <w:ind w:left="7548" w:hanging="403"/>
      </w:pPr>
      <w:rPr>
        <w:rFonts w:hint="default"/>
      </w:rPr>
    </w:lvl>
  </w:abstractNum>
  <w:abstractNum w:abstractNumId="6">
    <w:multiLevelType w:val="hybridMultilevel"/>
    <w:lvl w:ilvl="0">
      <w:start w:val="2"/>
      <w:numFmt w:val="decimal"/>
      <w:lvlText w:val="%1"/>
      <w:lvlJc w:val="left"/>
      <w:pPr>
        <w:ind w:left="710" w:hanging="403"/>
        <w:jc w:val="left"/>
      </w:pPr>
      <w:rPr>
        <w:rFonts w:hint="default"/>
      </w:rPr>
    </w:lvl>
    <w:lvl w:ilvl="1">
      <w:start w:val="1"/>
      <w:numFmt w:val="decimal"/>
      <w:lvlText w:val="%1.%2"/>
      <w:lvlJc w:val="left"/>
      <w:pPr>
        <w:ind w:left="710" w:hanging="403"/>
        <w:jc w:val="left"/>
      </w:pPr>
      <w:rPr>
        <w:rFonts w:hint="default" w:ascii="Arial" w:hAnsi="Arial" w:eastAsia="Arial" w:cs="Arial"/>
        <w:w w:val="99"/>
        <w:sz w:val="24"/>
        <w:szCs w:val="24"/>
      </w:rPr>
    </w:lvl>
    <w:lvl w:ilvl="2">
      <w:start w:val="1"/>
      <w:numFmt w:val="decimal"/>
      <w:lvlText w:val="%1.%2.%3"/>
      <w:lvlJc w:val="left"/>
      <w:pPr>
        <w:ind w:left="989" w:hanging="614"/>
        <w:jc w:val="left"/>
      </w:pPr>
      <w:rPr>
        <w:rFonts w:hint="default" w:ascii="Arial" w:hAnsi="Arial" w:eastAsia="Arial" w:cs="Arial"/>
        <w:b/>
        <w:bCs/>
        <w:w w:val="99"/>
        <w:sz w:val="24"/>
        <w:szCs w:val="24"/>
      </w:rPr>
    </w:lvl>
    <w:lvl w:ilvl="3">
      <w:start w:val="1"/>
      <w:numFmt w:val="lowerLetter"/>
      <w:lvlText w:val="%4)"/>
      <w:lvlJc w:val="left"/>
      <w:pPr>
        <w:ind w:left="3294" w:hanging="360"/>
        <w:jc w:val="left"/>
      </w:pPr>
      <w:rPr>
        <w:rFonts w:hint="default" w:ascii="Arial" w:hAnsi="Arial" w:eastAsia="Arial" w:cs="Arial"/>
        <w:w w:val="99"/>
        <w:sz w:val="24"/>
        <w:szCs w:val="24"/>
      </w:rPr>
    </w:lvl>
    <w:lvl w:ilvl="4">
      <w:start w:val="0"/>
      <w:numFmt w:val="bullet"/>
      <w:lvlText w:val="•"/>
      <w:lvlJc w:val="left"/>
      <w:pPr>
        <w:ind w:left="4143" w:hanging="360"/>
      </w:pPr>
      <w:rPr>
        <w:rFonts w:hint="default"/>
      </w:rPr>
    </w:lvl>
    <w:lvl w:ilvl="5">
      <w:start w:val="0"/>
      <w:numFmt w:val="bullet"/>
      <w:lvlText w:val="•"/>
      <w:lvlJc w:val="left"/>
      <w:pPr>
        <w:ind w:left="4986" w:hanging="360"/>
      </w:pPr>
      <w:rPr>
        <w:rFonts w:hint="default"/>
      </w:rPr>
    </w:lvl>
    <w:lvl w:ilvl="6">
      <w:start w:val="0"/>
      <w:numFmt w:val="bullet"/>
      <w:lvlText w:val="•"/>
      <w:lvlJc w:val="left"/>
      <w:pPr>
        <w:ind w:left="5830" w:hanging="360"/>
      </w:pPr>
      <w:rPr>
        <w:rFonts w:hint="default"/>
      </w:rPr>
    </w:lvl>
    <w:lvl w:ilvl="7">
      <w:start w:val="0"/>
      <w:numFmt w:val="bullet"/>
      <w:lvlText w:val="•"/>
      <w:lvlJc w:val="left"/>
      <w:pPr>
        <w:ind w:left="6673" w:hanging="360"/>
      </w:pPr>
      <w:rPr>
        <w:rFonts w:hint="default"/>
      </w:rPr>
    </w:lvl>
    <w:lvl w:ilvl="8">
      <w:start w:val="0"/>
      <w:numFmt w:val="bullet"/>
      <w:lvlText w:val="•"/>
      <w:lvlJc w:val="left"/>
      <w:pPr>
        <w:ind w:left="7517" w:hanging="360"/>
      </w:pPr>
      <w:rPr>
        <w:rFonts w:hint="default"/>
      </w:rPr>
    </w:lvl>
  </w:abstractNum>
  <w:abstractNum w:abstractNumId="4">
    <w:multiLevelType w:val="hybridMultilevel"/>
    <w:lvl w:ilvl="0">
      <w:start w:val="1"/>
      <w:numFmt w:val="decimal"/>
      <w:lvlText w:val="%1"/>
      <w:lvlJc w:val="left"/>
      <w:pPr>
        <w:ind w:left="735" w:hanging="403"/>
        <w:jc w:val="left"/>
      </w:pPr>
      <w:rPr>
        <w:rFonts w:hint="default"/>
      </w:rPr>
    </w:lvl>
    <w:lvl w:ilvl="1">
      <w:start w:val="2"/>
      <w:numFmt w:val="decimal"/>
      <w:lvlText w:val="%1.%2"/>
      <w:lvlJc w:val="left"/>
      <w:pPr>
        <w:ind w:left="735" w:hanging="403"/>
        <w:jc w:val="left"/>
      </w:pPr>
      <w:rPr>
        <w:rFonts w:hint="default" w:ascii="Arial" w:hAnsi="Arial" w:eastAsia="Arial" w:cs="Arial"/>
        <w:w w:val="99"/>
        <w:sz w:val="24"/>
        <w:szCs w:val="24"/>
      </w:rPr>
    </w:lvl>
    <w:lvl w:ilvl="2">
      <w:start w:val="1"/>
      <w:numFmt w:val="decimal"/>
      <w:lvlText w:val="%1.%2.%3"/>
      <w:lvlJc w:val="left"/>
      <w:pPr>
        <w:ind w:left="911" w:hanging="604"/>
        <w:jc w:val="left"/>
      </w:pPr>
      <w:rPr>
        <w:rFonts w:hint="default" w:ascii="Arial" w:hAnsi="Arial" w:eastAsia="Arial" w:cs="Arial"/>
        <w:b/>
        <w:bCs/>
        <w:w w:val="99"/>
        <w:sz w:val="24"/>
        <w:szCs w:val="24"/>
      </w:rPr>
    </w:lvl>
    <w:lvl w:ilvl="3">
      <w:start w:val="0"/>
      <w:numFmt w:val="bullet"/>
      <w:lvlText w:val="•"/>
      <w:lvlJc w:val="left"/>
      <w:pPr>
        <w:ind w:left="2760" w:hanging="604"/>
      </w:pPr>
      <w:rPr>
        <w:rFonts w:hint="default"/>
      </w:rPr>
    </w:lvl>
    <w:lvl w:ilvl="4">
      <w:start w:val="0"/>
      <w:numFmt w:val="bullet"/>
      <w:lvlText w:val="•"/>
      <w:lvlJc w:val="left"/>
      <w:pPr>
        <w:ind w:left="3681" w:hanging="604"/>
      </w:pPr>
      <w:rPr>
        <w:rFonts w:hint="default"/>
      </w:rPr>
    </w:lvl>
    <w:lvl w:ilvl="5">
      <w:start w:val="0"/>
      <w:numFmt w:val="bullet"/>
      <w:lvlText w:val="•"/>
      <w:lvlJc w:val="left"/>
      <w:pPr>
        <w:ind w:left="4601" w:hanging="604"/>
      </w:pPr>
      <w:rPr>
        <w:rFonts w:hint="default"/>
      </w:rPr>
    </w:lvl>
    <w:lvl w:ilvl="6">
      <w:start w:val="0"/>
      <w:numFmt w:val="bullet"/>
      <w:lvlText w:val="•"/>
      <w:lvlJc w:val="left"/>
      <w:pPr>
        <w:ind w:left="5522" w:hanging="604"/>
      </w:pPr>
      <w:rPr>
        <w:rFonts w:hint="default"/>
      </w:rPr>
    </w:lvl>
    <w:lvl w:ilvl="7">
      <w:start w:val="0"/>
      <w:numFmt w:val="bullet"/>
      <w:lvlText w:val="•"/>
      <w:lvlJc w:val="left"/>
      <w:pPr>
        <w:ind w:left="6442" w:hanging="604"/>
      </w:pPr>
      <w:rPr>
        <w:rFonts w:hint="default"/>
      </w:rPr>
    </w:lvl>
    <w:lvl w:ilvl="8">
      <w:start w:val="0"/>
      <w:numFmt w:val="bullet"/>
      <w:lvlText w:val="•"/>
      <w:lvlJc w:val="left"/>
      <w:pPr>
        <w:ind w:left="7363" w:hanging="604"/>
      </w:pPr>
      <w:rPr>
        <w:rFonts w:hint="default"/>
      </w:rPr>
    </w:lvl>
  </w:abstractNum>
  <w:abstractNum w:abstractNumId="3">
    <w:multiLevelType w:val="hybridMultilevel"/>
    <w:lvl w:ilvl="0">
      <w:start w:val="1"/>
      <w:numFmt w:val="decimal"/>
      <w:lvlText w:val="%1"/>
      <w:lvlJc w:val="left"/>
      <w:pPr>
        <w:ind w:left="509" w:hanging="201"/>
        <w:jc w:val="left"/>
      </w:pPr>
      <w:rPr>
        <w:rFonts w:hint="default" w:ascii="Arial" w:hAnsi="Arial" w:eastAsia="Arial" w:cs="Arial"/>
        <w:b/>
        <w:bCs/>
        <w:w w:val="99"/>
        <w:sz w:val="24"/>
        <w:szCs w:val="24"/>
      </w:rPr>
    </w:lvl>
    <w:lvl w:ilvl="1">
      <w:start w:val="1"/>
      <w:numFmt w:val="decimal"/>
      <w:lvlText w:val="%1.%2."/>
      <w:lvlJc w:val="left"/>
      <w:pPr>
        <w:ind w:left="777" w:hanging="470"/>
        <w:jc w:val="left"/>
      </w:pPr>
      <w:rPr>
        <w:rFonts w:hint="default" w:ascii="Arial" w:hAnsi="Arial" w:eastAsia="Arial" w:cs="Arial"/>
        <w:w w:val="99"/>
        <w:sz w:val="24"/>
        <w:szCs w:val="24"/>
      </w:rPr>
    </w:lvl>
    <w:lvl w:ilvl="2">
      <w:start w:val="0"/>
      <w:numFmt w:val="bullet"/>
      <w:lvlText w:val="•"/>
      <w:lvlJc w:val="left"/>
      <w:pPr>
        <w:ind w:left="1718" w:hanging="470"/>
      </w:pPr>
      <w:rPr>
        <w:rFonts w:hint="default"/>
      </w:rPr>
    </w:lvl>
    <w:lvl w:ilvl="3">
      <w:start w:val="0"/>
      <w:numFmt w:val="bullet"/>
      <w:lvlText w:val="•"/>
      <w:lvlJc w:val="left"/>
      <w:pPr>
        <w:ind w:left="2656" w:hanging="470"/>
      </w:pPr>
      <w:rPr>
        <w:rFonts w:hint="default"/>
      </w:rPr>
    </w:lvl>
    <w:lvl w:ilvl="4">
      <w:start w:val="0"/>
      <w:numFmt w:val="bullet"/>
      <w:lvlText w:val="•"/>
      <w:lvlJc w:val="left"/>
      <w:pPr>
        <w:ind w:left="3594" w:hanging="470"/>
      </w:pPr>
      <w:rPr>
        <w:rFonts w:hint="default"/>
      </w:rPr>
    </w:lvl>
    <w:lvl w:ilvl="5">
      <w:start w:val="0"/>
      <w:numFmt w:val="bullet"/>
      <w:lvlText w:val="•"/>
      <w:lvlJc w:val="left"/>
      <w:pPr>
        <w:ind w:left="4532" w:hanging="470"/>
      </w:pPr>
      <w:rPr>
        <w:rFonts w:hint="default"/>
      </w:rPr>
    </w:lvl>
    <w:lvl w:ilvl="6">
      <w:start w:val="0"/>
      <w:numFmt w:val="bullet"/>
      <w:lvlText w:val="•"/>
      <w:lvlJc w:val="left"/>
      <w:pPr>
        <w:ind w:left="5471" w:hanging="470"/>
      </w:pPr>
      <w:rPr>
        <w:rFonts w:hint="default"/>
      </w:rPr>
    </w:lvl>
    <w:lvl w:ilvl="7">
      <w:start w:val="0"/>
      <w:numFmt w:val="bullet"/>
      <w:lvlText w:val="•"/>
      <w:lvlJc w:val="left"/>
      <w:pPr>
        <w:ind w:left="6409" w:hanging="470"/>
      </w:pPr>
      <w:rPr>
        <w:rFonts w:hint="default"/>
      </w:rPr>
    </w:lvl>
    <w:lvl w:ilvl="8">
      <w:start w:val="0"/>
      <w:numFmt w:val="bullet"/>
      <w:lvlText w:val="•"/>
      <w:lvlJc w:val="left"/>
      <w:pPr>
        <w:ind w:left="7347" w:hanging="470"/>
      </w:pPr>
      <w:rPr>
        <w:rFonts w:hint="default"/>
      </w:rPr>
    </w:lvl>
  </w:abstractNum>
  <w:abstractNum w:abstractNumId="2">
    <w:multiLevelType w:val="hybridMultilevel"/>
    <w:lvl w:ilvl="0">
      <w:start w:val="2"/>
      <w:numFmt w:val="decimal"/>
      <w:lvlText w:val="%1"/>
      <w:lvlJc w:val="left"/>
      <w:pPr>
        <w:ind w:left="1206" w:hanging="850"/>
        <w:jc w:val="left"/>
      </w:pPr>
      <w:rPr>
        <w:rFonts w:hint="default"/>
      </w:rPr>
    </w:lvl>
    <w:lvl w:ilvl="1">
      <w:start w:val="1"/>
      <w:numFmt w:val="decimal"/>
      <w:lvlText w:val="%1.%2"/>
      <w:lvlJc w:val="left"/>
      <w:pPr>
        <w:ind w:left="1206" w:hanging="850"/>
        <w:jc w:val="left"/>
      </w:pPr>
      <w:rPr>
        <w:rFonts w:hint="default" w:ascii="Arial" w:hAnsi="Arial" w:eastAsia="Arial" w:cs="Arial"/>
        <w:spacing w:val="-4"/>
        <w:w w:val="99"/>
        <w:sz w:val="24"/>
        <w:szCs w:val="24"/>
      </w:rPr>
    </w:lvl>
    <w:lvl w:ilvl="2">
      <w:start w:val="1"/>
      <w:numFmt w:val="decimal"/>
      <w:lvlText w:val="%1.%2.%3"/>
      <w:lvlJc w:val="left"/>
      <w:pPr>
        <w:ind w:left="1206" w:hanging="850"/>
        <w:jc w:val="left"/>
      </w:pPr>
      <w:rPr>
        <w:rFonts w:hint="default" w:ascii="Arial" w:hAnsi="Arial" w:eastAsia="Arial" w:cs="Arial"/>
        <w:b/>
        <w:bCs/>
        <w:w w:val="99"/>
        <w:sz w:val="24"/>
        <w:szCs w:val="24"/>
      </w:rPr>
    </w:lvl>
    <w:lvl w:ilvl="3">
      <w:start w:val="1"/>
      <w:numFmt w:val="decimal"/>
      <w:lvlText w:val="%1.%2.%3.%4"/>
      <w:lvlJc w:val="left"/>
      <w:pPr>
        <w:ind w:left="1206" w:hanging="850"/>
        <w:jc w:val="left"/>
      </w:pPr>
      <w:rPr>
        <w:rFonts w:hint="default" w:ascii="Arial" w:hAnsi="Arial" w:eastAsia="Arial" w:cs="Arial"/>
        <w:spacing w:val="-21"/>
        <w:w w:val="99"/>
        <w:sz w:val="24"/>
        <w:szCs w:val="24"/>
      </w:rPr>
    </w:lvl>
    <w:lvl w:ilvl="4">
      <w:start w:val="0"/>
      <w:numFmt w:val="bullet"/>
      <w:lvlText w:val="•"/>
      <w:lvlJc w:val="left"/>
      <w:pPr>
        <w:ind w:left="4409" w:hanging="850"/>
      </w:pPr>
      <w:rPr>
        <w:rFonts w:hint="default"/>
      </w:rPr>
    </w:lvl>
    <w:lvl w:ilvl="5">
      <w:start w:val="0"/>
      <w:numFmt w:val="bullet"/>
      <w:lvlText w:val="•"/>
      <w:lvlJc w:val="left"/>
      <w:pPr>
        <w:ind w:left="5212" w:hanging="850"/>
      </w:pPr>
      <w:rPr>
        <w:rFonts w:hint="default"/>
      </w:rPr>
    </w:lvl>
    <w:lvl w:ilvl="6">
      <w:start w:val="0"/>
      <w:numFmt w:val="bullet"/>
      <w:lvlText w:val="•"/>
      <w:lvlJc w:val="left"/>
      <w:pPr>
        <w:ind w:left="6014" w:hanging="850"/>
      </w:pPr>
      <w:rPr>
        <w:rFonts w:hint="default"/>
      </w:rPr>
    </w:lvl>
    <w:lvl w:ilvl="7">
      <w:start w:val="0"/>
      <w:numFmt w:val="bullet"/>
      <w:lvlText w:val="•"/>
      <w:lvlJc w:val="left"/>
      <w:pPr>
        <w:ind w:left="6816" w:hanging="850"/>
      </w:pPr>
      <w:rPr>
        <w:rFonts w:hint="default"/>
      </w:rPr>
    </w:lvl>
    <w:lvl w:ilvl="8">
      <w:start w:val="0"/>
      <w:numFmt w:val="bullet"/>
      <w:lvlText w:val="•"/>
      <w:lvlJc w:val="left"/>
      <w:pPr>
        <w:ind w:left="7619" w:hanging="850"/>
      </w:pPr>
      <w:rPr>
        <w:rFonts w:hint="default"/>
      </w:rPr>
    </w:lvl>
  </w:abstractNum>
  <w:abstractNum w:abstractNumId="1">
    <w:multiLevelType w:val="hybridMultilevel"/>
    <w:lvl w:ilvl="0">
      <w:start w:val="1"/>
      <w:numFmt w:val="decimal"/>
      <w:lvlText w:val="%1"/>
      <w:lvlJc w:val="left"/>
      <w:pPr>
        <w:ind w:left="1206" w:hanging="850"/>
        <w:jc w:val="left"/>
      </w:pPr>
      <w:rPr>
        <w:rFonts w:hint="default"/>
      </w:rPr>
    </w:lvl>
    <w:lvl w:ilvl="1">
      <w:start w:val="2"/>
      <w:numFmt w:val="decimal"/>
      <w:lvlText w:val="%1.%2"/>
      <w:lvlJc w:val="left"/>
      <w:pPr>
        <w:ind w:left="1206" w:hanging="850"/>
        <w:jc w:val="left"/>
      </w:pPr>
      <w:rPr>
        <w:rFonts w:hint="default" w:ascii="Arial" w:hAnsi="Arial" w:eastAsia="Arial" w:cs="Arial"/>
        <w:spacing w:val="-4"/>
        <w:w w:val="99"/>
        <w:sz w:val="24"/>
        <w:szCs w:val="24"/>
      </w:rPr>
    </w:lvl>
    <w:lvl w:ilvl="2">
      <w:start w:val="1"/>
      <w:numFmt w:val="decimal"/>
      <w:lvlText w:val="%1.%2.%3"/>
      <w:lvlJc w:val="left"/>
      <w:pPr>
        <w:ind w:left="1206" w:hanging="850"/>
        <w:jc w:val="left"/>
      </w:pPr>
      <w:rPr>
        <w:rFonts w:hint="default" w:ascii="Arial" w:hAnsi="Arial" w:eastAsia="Arial" w:cs="Arial"/>
        <w:b/>
        <w:bCs/>
        <w:w w:val="99"/>
        <w:sz w:val="24"/>
        <w:szCs w:val="24"/>
      </w:rPr>
    </w:lvl>
    <w:lvl w:ilvl="3">
      <w:start w:val="0"/>
      <w:numFmt w:val="bullet"/>
      <w:lvlText w:val="•"/>
      <w:lvlJc w:val="left"/>
      <w:pPr>
        <w:ind w:left="3607" w:hanging="850"/>
      </w:pPr>
      <w:rPr>
        <w:rFonts w:hint="default"/>
      </w:rPr>
    </w:lvl>
    <w:lvl w:ilvl="4">
      <w:start w:val="0"/>
      <w:numFmt w:val="bullet"/>
      <w:lvlText w:val="•"/>
      <w:lvlJc w:val="left"/>
      <w:pPr>
        <w:ind w:left="4409" w:hanging="850"/>
      </w:pPr>
      <w:rPr>
        <w:rFonts w:hint="default"/>
      </w:rPr>
    </w:lvl>
    <w:lvl w:ilvl="5">
      <w:start w:val="0"/>
      <w:numFmt w:val="bullet"/>
      <w:lvlText w:val="•"/>
      <w:lvlJc w:val="left"/>
      <w:pPr>
        <w:ind w:left="5212" w:hanging="850"/>
      </w:pPr>
      <w:rPr>
        <w:rFonts w:hint="default"/>
      </w:rPr>
    </w:lvl>
    <w:lvl w:ilvl="6">
      <w:start w:val="0"/>
      <w:numFmt w:val="bullet"/>
      <w:lvlText w:val="•"/>
      <w:lvlJc w:val="left"/>
      <w:pPr>
        <w:ind w:left="6014" w:hanging="850"/>
      </w:pPr>
      <w:rPr>
        <w:rFonts w:hint="default"/>
      </w:rPr>
    </w:lvl>
    <w:lvl w:ilvl="7">
      <w:start w:val="0"/>
      <w:numFmt w:val="bullet"/>
      <w:lvlText w:val="•"/>
      <w:lvlJc w:val="left"/>
      <w:pPr>
        <w:ind w:left="6816" w:hanging="850"/>
      </w:pPr>
      <w:rPr>
        <w:rFonts w:hint="default"/>
      </w:rPr>
    </w:lvl>
    <w:lvl w:ilvl="8">
      <w:start w:val="0"/>
      <w:numFmt w:val="bullet"/>
      <w:lvlText w:val="•"/>
      <w:lvlJc w:val="left"/>
      <w:pPr>
        <w:ind w:left="7619" w:hanging="850"/>
      </w:pPr>
      <w:rPr>
        <w:rFonts w:hint="default"/>
      </w:rPr>
    </w:lvl>
  </w:abstractNum>
  <w:abstractNum w:abstractNumId="0">
    <w:multiLevelType w:val="hybridMultilevel"/>
    <w:lvl w:ilvl="0">
      <w:start w:val="1"/>
      <w:numFmt w:val="decimal"/>
      <w:lvlText w:val="%1."/>
      <w:lvlJc w:val="left"/>
      <w:pPr>
        <w:ind w:left="1489" w:hanging="260"/>
        <w:jc w:val="right"/>
      </w:pPr>
      <w:rPr>
        <w:rFonts w:hint="default"/>
        <w:spacing w:val="-2"/>
        <w:w w:val="100"/>
      </w:rPr>
    </w:lvl>
    <w:lvl w:ilvl="1">
      <w:start w:val="0"/>
      <w:numFmt w:val="bullet"/>
      <w:lvlText w:val="•"/>
      <w:lvlJc w:val="left"/>
      <w:pPr>
        <w:ind w:left="2252" w:hanging="260"/>
      </w:pPr>
      <w:rPr>
        <w:rFonts w:hint="default"/>
      </w:rPr>
    </w:lvl>
    <w:lvl w:ilvl="2">
      <w:start w:val="0"/>
      <w:numFmt w:val="bullet"/>
      <w:lvlText w:val="•"/>
      <w:lvlJc w:val="left"/>
      <w:pPr>
        <w:ind w:left="3024" w:hanging="260"/>
      </w:pPr>
      <w:rPr>
        <w:rFonts w:hint="default"/>
      </w:rPr>
    </w:lvl>
    <w:lvl w:ilvl="3">
      <w:start w:val="0"/>
      <w:numFmt w:val="bullet"/>
      <w:lvlText w:val="•"/>
      <w:lvlJc w:val="left"/>
      <w:pPr>
        <w:ind w:left="3797" w:hanging="260"/>
      </w:pPr>
      <w:rPr>
        <w:rFonts w:hint="default"/>
      </w:rPr>
    </w:lvl>
    <w:lvl w:ilvl="4">
      <w:start w:val="0"/>
      <w:numFmt w:val="bullet"/>
      <w:lvlText w:val="•"/>
      <w:lvlJc w:val="left"/>
      <w:pPr>
        <w:ind w:left="4569" w:hanging="260"/>
      </w:pPr>
      <w:rPr>
        <w:rFonts w:hint="default"/>
      </w:rPr>
    </w:lvl>
    <w:lvl w:ilvl="5">
      <w:start w:val="0"/>
      <w:numFmt w:val="bullet"/>
      <w:lvlText w:val="•"/>
      <w:lvlJc w:val="left"/>
      <w:pPr>
        <w:ind w:left="5342" w:hanging="260"/>
      </w:pPr>
      <w:rPr>
        <w:rFonts w:hint="default"/>
      </w:rPr>
    </w:lvl>
    <w:lvl w:ilvl="6">
      <w:start w:val="0"/>
      <w:numFmt w:val="bullet"/>
      <w:lvlText w:val="•"/>
      <w:lvlJc w:val="left"/>
      <w:pPr>
        <w:ind w:left="6114" w:hanging="260"/>
      </w:pPr>
      <w:rPr>
        <w:rFonts w:hint="default"/>
      </w:rPr>
    </w:lvl>
    <w:lvl w:ilvl="7">
      <w:start w:val="0"/>
      <w:numFmt w:val="bullet"/>
      <w:lvlText w:val="•"/>
      <w:lvlJc w:val="left"/>
      <w:pPr>
        <w:ind w:left="6886" w:hanging="260"/>
      </w:pPr>
      <w:rPr>
        <w:rFonts w:hint="default"/>
      </w:rPr>
    </w:lvl>
    <w:lvl w:ilvl="8">
      <w:start w:val="0"/>
      <w:numFmt w:val="bullet"/>
      <w:lvlText w:val="•"/>
      <w:lvlJc w:val="left"/>
      <w:pPr>
        <w:ind w:left="7659" w:hanging="260"/>
      </w:pPr>
      <w:rPr>
        <w:rFonts w:hint="default"/>
      </w:rPr>
    </w:lvl>
  </w:abstractNum>
  <w:num w:numId="15">
    <w:abstractNumId w:val="14"/>
  </w:num>
  <w:num w:numId="14">
    <w:abstractNumId w:val="13"/>
  </w:num>
  <w:num w:numId="10">
    <w:abstractNumId w:val="9"/>
  </w:num>
  <w:num w:numId="9">
    <w:abstractNumId w:val="8"/>
  </w:num>
  <w:num w:numId="6">
    <w:abstractNumId w:val="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3">
    <w:abstractNumId w:val="12"/>
  </w:num>
  <w:num w:numId="12">
    <w:abstractNumId w:val="11"/>
  </w:num>
  <w:num w:numId="11">
    <w:abstractNumId w:val="10"/>
  </w:num>
  <w:num w:numId="8">
    <w:abstractNumId w:val="7"/>
  </w:num>
  <w:num w:numId="7">
    <w:abstractNumId w:val="6"/>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ind w:left="1206" w:hanging="850"/>
    </w:pPr>
    <w:rPr>
      <w:rFonts w:ascii="Arial" w:hAnsi="Arial" w:eastAsia="Arial" w:cs="Arial"/>
      <w:b/>
      <w:bCs/>
      <w:sz w:val="24"/>
      <w:szCs w:val="24"/>
    </w:rPr>
  </w:style>
  <w:style w:styleId="TOC2" w:type="paragraph">
    <w:name w:val="TOC 2"/>
    <w:basedOn w:val="Normal"/>
    <w:uiPriority w:val="1"/>
    <w:qFormat/>
    <w:pPr>
      <w:spacing w:line="275" w:lineRule="exact"/>
      <w:ind w:left="1206" w:hanging="850"/>
    </w:pPr>
    <w:rPr>
      <w:rFonts w:ascii="Arial" w:hAnsi="Arial" w:eastAsia="Arial" w:cs="Arial"/>
      <w:sz w:val="24"/>
      <w:szCs w:val="24"/>
    </w:rPr>
  </w:style>
  <w:style w:styleId="TOC3" w:type="paragraph">
    <w:name w:val="TOC 3"/>
    <w:basedOn w:val="Normal"/>
    <w:uiPriority w:val="1"/>
    <w:qFormat/>
    <w:pPr>
      <w:spacing w:before="2"/>
      <w:ind w:left="1206"/>
    </w:pPr>
    <w:rPr>
      <w:rFonts w:ascii="Arial" w:hAnsi="Arial" w:eastAsia="Arial" w:cs="Arial"/>
      <w:b/>
      <w:bCs/>
      <w:sz w:val="24"/>
      <w:szCs w:val="24"/>
    </w:rPr>
  </w:style>
  <w:style w:styleId="TOC4" w:type="paragraph">
    <w:name w:val="TOC 4"/>
    <w:basedOn w:val="Normal"/>
    <w:uiPriority w:val="1"/>
    <w:qFormat/>
    <w:pPr>
      <w:spacing w:line="274" w:lineRule="exact"/>
      <w:ind w:left="1206"/>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89"/>
      <w:ind w:left="387" w:right="190"/>
      <w:jc w:val="center"/>
      <w:outlineLvl w:val="1"/>
    </w:pPr>
    <w:rPr>
      <w:rFonts w:ascii="Arial" w:hAnsi="Arial" w:eastAsia="Arial" w:cs="Arial"/>
      <w:b/>
      <w:bCs/>
      <w:sz w:val="28"/>
      <w:szCs w:val="28"/>
    </w:rPr>
  </w:style>
  <w:style w:styleId="Heading2" w:type="paragraph">
    <w:name w:val="Heading 2"/>
    <w:basedOn w:val="Normal"/>
    <w:uiPriority w:val="1"/>
    <w:qFormat/>
    <w:pPr>
      <w:spacing w:before="147"/>
      <w:ind w:left="696" w:hanging="388"/>
      <w:jc w:val="both"/>
      <w:outlineLvl w:val="2"/>
    </w:pPr>
    <w:rPr>
      <w:rFonts w:ascii="Arial" w:hAnsi="Arial" w:eastAsia="Arial" w:cs="Arial"/>
      <w:sz w:val="26"/>
      <w:szCs w:val="26"/>
    </w:rPr>
  </w:style>
  <w:style w:styleId="Heading3" w:type="paragraph">
    <w:name w:val="Heading 3"/>
    <w:basedOn w:val="Normal"/>
    <w:uiPriority w:val="1"/>
    <w:qFormat/>
    <w:pPr>
      <w:spacing w:before="92"/>
      <w:ind w:left="911"/>
      <w:outlineLvl w:val="3"/>
    </w:pPr>
    <w:rPr>
      <w:rFonts w:ascii="Arial" w:hAnsi="Arial" w:eastAsia="Arial" w:cs="Arial"/>
      <w:b/>
      <w:bCs/>
      <w:sz w:val="24"/>
      <w:szCs w:val="24"/>
    </w:rPr>
  </w:style>
  <w:style w:styleId="ListParagraph" w:type="paragraph">
    <w:name w:val="List Paragraph"/>
    <w:basedOn w:val="Normal"/>
    <w:uiPriority w:val="1"/>
    <w:qFormat/>
    <w:pPr>
      <w:ind w:left="1206" w:hanging="850"/>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header" Target="header7.xml"/><Relationship Id="rId13" Type="http://schemas.openxmlformats.org/officeDocument/2006/relationships/header" Target="header8.xml"/><Relationship Id="rId14" Type="http://schemas.openxmlformats.org/officeDocument/2006/relationships/image" Target="media/image2.jpeg"/><Relationship Id="rId15" Type="http://schemas.openxmlformats.org/officeDocument/2006/relationships/image" Target="media/image3.jpeg"/><Relationship Id="rId16" Type="http://schemas.openxmlformats.org/officeDocument/2006/relationships/image" Target="media/image4.jpeg"/><Relationship Id="rId17" Type="http://schemas.openxmlformats.org/officeDocument/2006/relationships/image" Target="media/image5.jpeg"/><Relationship Id="rId18" Type="http://schemas.openxmlformats.org/officeDocument/2006/relationships/image" Target="media/image6.jpeg"/><Relationship Id="rId19" Type="http://schemas.openxmlformats.org/officeDocument/2006/relationships/header" Target="header9.xml"/><Relationship Id="rId20" Type="http://schemas.openxmlformats.org/officeDocument/2006/relationships/header" Target="header10.xml"/><Relationship Id="rId21" Type="http://schemas.openxmlformats.org/officeDocument/2006/relationships/image" Target="media/image7.png"/><Relationship Id="rId22" Type="http://schemas.openxmlformats.org/officeDocument/2006/relationships/image" Target="media/image8.jpeg"/><Relationship Id="rId23" Type="http://schemas.openxmlformats.org/officeDocument/2006/relationships/image" Target="media/image9.jpeg"/><Relationship Id="rId24" Type="http://schemas.openxmlformats.org/officeDocument/2006/relationships/hyperlink" Target="http://portal.mec.gov.br/cne/arquivos/pdf/rcp01_06.pdf" TargetMode="External"/><Relationship Id="rId25" Type="http://schemas.openxmlformats.org/officeDocument/2006/relationships/hyperlink" Target="http://www.repositorio.ufpa.br/jspui/handle/2011/1701" TargetMode="External"/><Relationship Id="rId26" Type="http://schemas.openxmlformats.org/officeDocument/2006/relationships/hyperlink" Target="http://www.siiepe.ufsc.br/anais" TargetMode="External"/><Relationship Id="rId27" Type="http://schemas.openxmlformats.org/officeDocument/2006/relationships/hyperlink" Target="http://filosofia.projectos.esffl.pt/TKhun/Paradigmas_Khun.pdf" TargetMode="External"/><Relationship Id="rId28" Type="http://schemas.openxmlformats.org/officeDocument/2006/relationships/hyperlink" Target="http://www.trabalhosfeitos.com/topicos/-revistaeletr%C3%B4nica%20-lato-sensu-ano-3-n%C2%BA1-mar%C3%A7o-de-20/0%3e.%20Acesso%20em%2015%20jan.%202014" TargetMode="External"/><Relationship Id="rId29" Type="http://schemas.openxmlformats.org/officeDocument/2006/relationships/hyperlink" Target="http://200.135.4.10/cgi/Demetrios.exe/show_exemplares?id_acervo=2257" TargetMode="External"/><Relationship Id="rId30" Type="http://schemas.openxmlformats.org/officeDocument/2006/relationships/hyperlink" Target="http://editora.unoesc.edu.br/%20index.php/visaoglobal/article/view/2420/pdf" TargetMode="External"/><Relationship Id="rId31" Type="http://schemas.openxmlformats.org/officeDocument/2006/relationships/hyperlink" Target="http://www.uemg.br/openjournal/index.php/educacaoemfoco/article/view/103" TargetMode="External"/><Relationship Id="rId32" Type="http://schemas.openxmlformats.org/officeDocument/2006/relationships/hyperlink" Target="http://www.partes.com.br/educacao/formacaocenarioatual.asp" TargetMode="External"/><Relationship Id="rId33" Type="http://schemas.openxmlformats.org/officeDocument/2006/relationships/hyperlink" Target="http://cidades.ibge.gov.br/painel/populacao.php?lang&amp;amp;codmun=%20170950&amp;amp;%20search=tocantins%7Cgurupi%7Cinfograficos%3A-evolucao-populacional-e-piramide-etaria" TargetMode="External"/><Relationship Id="rId34" Type="http://schemas.openxmlformats.org/officeDocument/2006/relationships/hyperlink" Target="http://www.unifae.br/publicacoes/%20pdf/revistaafae/faev11n1/09ElianeCarlos.pdf" TargetMode="External"/><Relationship Id="rId35" Type="http://schemas.openxmlformats.org/officeDocument/2006/relationships/hyperlink" Target="http://www.rizoma-freireano.org.index/" TargetMode="External"/><Relationship Id="rId36" Type="http://schemas.openxmlformats.org/officeDocument/2006/relationships/hyperlink" Target="https://contadoresdestorias.wordpress.com/%202007/06/04/o-pensamentoecologizado-edgar-morin/" TargetMode="External"/><Relationship Id="rId37" Type="http://schemas.openxmlformats.org/officeDocument/2006/relationships/hyperlink" Target="http://www.ruipaz.pro.br/textos/manifesto.pdf" TargetMode="External"/><Relationship Id="rId38" Type="http://schemas.openxmlformats.org/officeDocument/2006/relationships/hyperlink" Target="http://www.gurupi.to.gov.br/" TargetMode="External"/><Relationship Id="rId39" Type="http://schemas.openxmlformats.org/officeDocument/2006/relationships/hyperlink" Target="http://www.estudosdotrabalho.org/" TargetMode="External"/><Relationship Id="rId40" Type="http://schemas.openxmlformats.org/officeDocument/2006/relationships/hyperlink" Target="http://www.boaventuradesousasantos.pt/%20pages/en/book-chapters.php" TargetMode="External"/><Relationship Id="rId41" Type="http://schemas.openxmlformats.org/officeDocument/2006/relationships/hyperlink" Target="http://www.scielo.br/scielo.php?script=sci_arttext&amp;amp;pid=%20S0103-41988000200007" TargetMode="External"/><Relationship Id="rId42" Type="http://schemas.openxmlformats.org/officeDocument/2006/relationships/hyperlink" Target="http://www.crmariocovas.sp/" TargetMode="External"/><Relationship Id="rId43" Type="http://schemas.openxmlformats.org/officeDocument/2006/relationships/hyperlink" Target="http://sbhe.org.br/novo/congressos/cbhe7/" TargetMode="External"/><Relationship Id="rId44" Type="http://schemas.openxmlformats.org/officeDocument/2006/relationships/hyperlink" Target="http://seer.ufrgs.br/Movimento/%20article/view/2899" TargetMode="External"/><Relationship Id="rId45" Type="http://schemas.openxmlformats.org/officeDocument/2006/relationships/hyperlink" Target="http://www/" TargetMode="External"/><Relationship Id="rId46" Type="http://schemas.openxmlformats.org/officeDocument/2006/relationships/image" Target="media/image10.jpeg"/><Relationship Id="rId47" Type="http://schemas.openxmlformats.org/officeDocument/2006/relationships/hyperlink" Target="mailto:ednapinho@uft.edu.br" TargetMode="External"/><Relationship Id="rId48" Type="http://schemas.openxmlformats.org/officeDocument/2006/relationships/image" Target="media/image11.jpeg"/><Relationship Id="rId49" Type="http://schemas.openxmlformats.org/officeDocument/2006/relationships/header" Target="header11.xml"/><Relationship Id="rId50" Type="http://schemas.openxmlformats.org/officeDocument/2006/relationships/header" Target="header12.xml"/><Relationship Id="rId51" Type="http://schemas.openxmlformats.org/officeDocument/2006/relationships/hyperlink" Target="mailto:mjpgon@mail.uft.edu.br" TargetMode="External"/><Relationship Id="rId52" Type="http://schemas.openxmlformats.org/officeDocument/2006/relationships/hyperlink" Target="mailto:cep_uft@uft.edu.br" TargetMode="External"/><Relationship Id="rId53" Type="http://schemas.openxmlformats.org/officeDocument/2006/relationships/image" Target="media/image12.png"/><Relationship Id="rId54" Type="http://schemas.openxmlformats.org/officeDocument/2006/relationships/image" Target="media/image13.png"/><Relationship Id="rId55" Type="http://schemas.openxmlformats.org/officeDocument/2006/relationships/image" Target="media/image14.jpeg"/><Relationship Id="rId5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Edna Maria</dc:creator>
  <dcterms:created xsi:type="dcterms:W3CDTF">2019-10-14T17:29:39Z</dcterms:created>
  <dcterms:modified xsi:type="dcterms:W3CDTF">2019-10-14T17:29:39Z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2015-05-13T00:00:00Z</vt:filetime>
  </property>
  <property fmtid="{D5CDD505-2E9C-101B-9397-08002B2CF9AE}" pid="3" name="Creator">
    <vt:lpwstr>Microsoft® Word 2010</vt:lpwstr>
  </property>
  <property fmtid="{D5CDD505-2E9C-101B-9397-08002B2CF9AE}" pid="4" name="LastSaved">
    <vt:filetime>2019-10-14T00:00:00Z</vt:filetime>
  </property>
</Properties>
</file>