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Default Extension="jpeg" ContentType="image/jpeg"/>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3"/>
        <w:rPr>
          <w:sz w:val="12"/>
        </w:rPr>
      </w:pPr>
    </w:p>
    <w:p>
      <w:pPr>
        <w:pStyle w:val="BodyText"/>
        <w:ind w:left="3731"/>
        <w:rPr>
          <w:sz w:val="20"/>
        </w:rPr>
      </w:pPr>
      <w:r>
        <w:rPr>
          <w:sz w:val="20"/>
        </w:rPr>
        <w:drawing>
          <wp:inline distT="0" distB="0" distL="0" distR="0">
            <wp:extent cx="844741" cy="936117"/>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844741" cy="936117"/>
                    </a:xfrm>
                    <a:prstGeom prst="rect">
                      <a:avLst/>
                    </a:prstGeom>
                  </pic:spPr>
                </pic:pic>
              </a:graphicData>
            </a:graphic>
          </wp:inline>
        </w:drawing>
      </w:r>
      <w:r>
        <w:rPr>
          <w:sz w:val="20"/>
        </w:rPr>
      </w:r>
    </w:p>
    <w:p>
      <w:pPr>
        <w:pStyle w:val="Heading1"/>
        <w:spacing w:before="130"/>
        <w:ind w:left="931" w:right="873"/>
        <w:jc w:val="center"/>
      </w:pPr>
      <w:r>
        <w:rPr/>
        <w:t>UNIVERSIDADE FEDERAL DO TOCANTINS – UFT PROGRAMA DE PÓS-GRADUAÇÃO EM EDUCAÇÃO – PPGE CURSO DE MESTRADO EM EDUCAÇÃO</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1"/>
        <w:rPr>
          <w:b/>
          <w:sz w:val="26"/>
        </w:rPr>
      </w:pPr>
    </w:p>
    <w:p>
      <w:pPr>
        <w:spacing w:before="1"/>
        <w:ind w:left="881" w:right="873" w:firstLine="0"/>
        <w:jc w:val="center"/>
        <w:rPr>
          <w:b/>
          <w:sz w:val="24"/>
        </w:rPr>
      </w:pPr>
      <w:r>
        <w:rPr>
          <w:b/>
          <w:sz w:val="24"/>
        </w:rPr>
        <w:t>ADAIRES RODRIGUES DE SOUSA</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3"/>
        <w:rPr>
          <w:b/>
          <w:sz w:val="30"/>
        </w:rPr>
      </w:pPr>
    </w:p>
    <w:p>
      <w:pPr>
        <w:spacing w:line="237" w:lineRule="auto" w:before="0"/>
        <w:ind w:left="101" w:right="161" w:firstLine="117"/>
        <w:jc w:val="center"/>
        <w:rPr>
          <w:b/>
          <w:sz w:val="24"/>
        </w:rPr>
      </w:pPr>
      <w:r>
        <w:rPr>
          <w:b/>
          <w:sz w:val="24"/>
        </w:rPr>
        <w:t>POLÍTICA PÚBLICA DE PLANEJAMENTO DA EDUCAÇÃO MUNICIPAL NO TOCANTINS EM FACE DO PLANO NACIONAL DE EDUCAÇÃO 2014- 2024: PROCESSOS, RESULTADOS E DISPUTAS DE INTENCIONALIDADES</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4"/>
        <w:rPr>
          <w:b/>
          <w:sz w:val="32"/>
        </w:rPr>
      </w:pPr>
    </w:p>
    <w:p>
      <w:pPr>
        <w:spacing w:before="1"/>
        <w:ind w:left="3416" w:right="3537" w:firstLine="60"/>
        <w:jc w:val="center"/>
        <w:rPr>
          <w:b/>
          <w:sz w:val="24"/>
        </w:rPr>
      </w:pPr>
      <w:r>
        <w:rPr>
          <w:b/>
          <w:sz w:val="24"/>
        </w:rPr>
        <w:t>Palmas – TO Dezembro, 2015</w:t>
      </w:r>
    </w:p>
    <w:p>
      <w:pPr>
        <w:spacing w:after="0"/>
        <w:jc w:val="center"/>
        <w:rPr>
          <w:sz w:val="24"/>
        </w:rPr>
        <w:sectPr>
          <w:type w:val="continuous"/>
          <w:pgSz w:w="11910" w:h="16840"/>
          <w:pgMar w:top="1580" w:bottom="280" w:left="1620" w:right="1680"/>
        </w:sectPr>
      </w:pPr>
    </w:p>
    <w:p>
      <w:pPr>
        <w:spacing w:before="76"/>
        <w:ind w:left="931" w:right="870" w:firstLine="0"/>
        <w:jc w:val="center"/>
        <w:rPr>
          <w:b/>
          <w:sz w:val="24"/>
        </w:rPr>
      </w:pPr>
      <w:r>
        <w:rPr>
          <w:b/>
          <w:sz w:val="24"/>
        </w:rPr>
        <w:t>ADAIRES RODRIGUES DE SOUSA</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9"/>
        <w:rPr>
          <w:b/>
          <w:sz w:val="27"/>
        </w:rPr>
      </w:pPr>
    </w:p>
    <w:p>
      <w:pPr>
        <w:spacing w:line="237" w:lineRule="auto" w:before="1"/>
        <w:ind w:left="101" w:right="161" w:firstLine="117"/>
        <w:jc w:val="center"/>
        <w:rPr>
          <w:b/>
          <w:sz w:val="24"/>
        </w:rPr>
      </w:pPr>
      <w:r>
        <w:rPr>
          <w:b/>
          <w:sz w:val="24"/>
        </w:rPr>
        <w:t>POLÍTICA PÚBLICA DE PLANEJAMENTO DA EDUCAÇÃO MUNICIPAL NO TOCANTINS EM FACE DO PLANO NACIONAL DE EDUCAÇÃO 2014- 2024: PROCESSOS, RESULTADOS E DISPUTAS DE INTENCIONALIDADES</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2"/>
        <w:rPr>
          <w:b/>
        </w:rPr>
      </w:pPr>
    </w:p>
    <w:p>
      <w:pPr>
        <w:pStyle w:val="BodyText"/>
        <w:ind w:left="4052" w:right="136"/>
        <w:jc w:val="both"/>
      </w:pPr>
      <w:r>
        <w:rPr/>
        <w:t>Dissertação apresentada ao Programa de Pós- Graduação em Educação (PPGE) da Universidade Federal do Tocantins (UFT), na Linha de Pesquisa Políticas Educacionais, Estado e Sociedade, como requisito parcial para a obtenção do título de Mestre em Educação.</w:t>
      </w:r>
    </w:p>
    <w:p>
      <w:pPr>
        <w:pStyle w:val="BodyText"/>
      </w:pPr>
    </w:p>
    <w:p>
      <w:pPr>
        <w:pStyle w:val="BodyText"/>
        <w:ind w:left="4052"/>
        <w:jc w:val="both"/>
      </w:pPr>
      <w:r>
        <w:rPr/>
        <w:t>Orientadora: Profa. Dra. Rosilene Lagares.</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5"/>
        <w:rPr>
          <w:sz w:val="22"/>
        </w:rPr>
      </w:pPr>
    </w:p>
    <w:p>
      <w:pPr>
        <w:pStyle w:val="Heading1"/>
        <w:ind w:left="3416" w:right="3537" w:firstLine="60"/>
        <w:jc w:val="center"/>
      </w:pPr>
      <w:r>
        <w:rPr/>
        <w:t>Palmas – TO Dezembro, 2015</w:t>
      </w:r>
    </w:p>
    <w:p>
      <w:pPr>
        <w:spacing w:after="0"/>
        <w:jc w:val="center"/>
        <w:sectPr>
          <w:pgSz w:w="11910" w:h="16840"/>
          <w:pgMar w:top="1320" w:bottom="280" w:left="1620" w:right="168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7"/>
        </w:rPr>
      </w:pPr>
    </w:p>
    <w:p>
      <w:pPr>
        <w:spacing w:before="90"/>
        <w:ind w:left="815" w:right="873" w:firstLine="0"/>
        <w:jc w:val="center"/>
        <w:rPr>
          <w:b/>
          <w:sz w:val="24"/>
        </w:rPr>
      </w:pPr>
      <w:r>
        <w:rPr>
          <w:b/>
          <w:sz w:val="24"/>
        </w:rPr>
        <w:t>ADAIRES RODRIGUES DE SOUSA</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4"/>
        <w:rPr>
          <w:b/>
        </w:rPr>
      </w:pPr>
    </w:p>
    <w:p>
      <w:pPr>
        <w:spacing w:line="237" w:lineRule="auto" w:before="0"/>
        <w:ind w:left="101" w:right="161" w:firstLine="117"/>
        <w:jc w:val="center"/>
        <w:rPr>
          <w:b/>
          <w:sz w:val="24"/>
        </w:rPr>
      </w:pPr>
      <w:r>
        <w:rPr>
          <w:b/>
          <w:sz w:val="24"/>
        </w:rPr>
        <w:t>POLÍTICA PÚBLICA DE PLANEJAMENTO DA EDUCAÇÃO MUNICIPAL NO TOCANTINS EM FACE DO PLANO NACIONAL DE EDUCAÇÃO 2014- 2024: PROCESSOS, RESULTADOS E DISPUTAS DE INTENCIONALIDADES</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11"/>
        <w:rPr>
          <w:b/>
          <w:sz w:val="27"/>
        </w:rPr>
      </w:pPr>
    </w:p>
    <w:p>
      <w:pPr>
        <w:pStyle w:val="BodyText"/>
        <w:ind w:left="146" w:right="208" w:firstLine="4"/>
        <w:jc w:val="center"/>
      </w:pPr>
      <w:r>
        <w:rPr/>
        <w:t>Dissertação apresentada ao Programa de Pós-Graduação em Educação (PPGE) da Universidade Federal do Tocantins (UFT), na Linha de Pesquisa Políticas Educacionais, Estado e Sociedade, como requisito parcial para a obtenção do título de Mestre em Educação, DEFENDIDA em 15/12/2015.</w:t>
      </w: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0;mso-wrap-distance-left:0;mso-wrap-distance-right:0" from="200.690002pt,11.338847pt" to="368.69001pt,11.338847pt" stroked="true" strokeweight=".48pt" strokecolor="#000000">
            <v:stroke dashstyle="solid"/>
            <w10:wrap type="topAndBottom"/>
          </v:line>
        </w:pict>
      </w:r>
    </w:p>
    <w:p>
      <w:pPr>
        <w:pStyle w:val="BodyText"/>
        <w:spacing w:line="247" w:lineRule="exact"/>
        <w:ind w:left="413" w:right="873"/>
        <w:jc w:val="center"/>
      </w:pPr>
      <w:r>
        <w:rPr/>
        <w:t>Profa. Dra. Rosilene Lagares</w:t>
      </w:r>
    </w:p>
    <w:p>
      <w:pPr>
        <w:pStyle w:val="BodyText"/>
        <w:ind w:left="415" w:right="873"/>
        <w:jc w:val="center"/>
      </w:pPr>
      <w:r>
        <w:rPr/>
        <w:t>(PPGE/UFT)</w:t>
      </w:r>
    </w:p>
    <w:p>
      <w:pPr>
        <w:pStyle w:val="BodyText"/>
        <w:ind w:left="412" w:right="873"/>
        <w:jc w:val="center"/>
      </w:pPr>
      <w:r>
        <w:rPr/>
        <w:t>Orientadora e Presidente da Banca</w:t>
      </w:r>
    </w:p>
    <w:p>
      <w:pPr>
        <w:pStyle w:val="BodyText"/>
        <w:rPr>
          <w:sz w:val="20"/>
        </w:rPr>
      </w:pPr>
    </w:p>
    <w:p>
      <w:pPr>
        <w:pStyle w:val="BodyText"/>
        <w:spacing w:before="8"/>
        <w:rPr>
          <w:sz w:val="23"/>
        </w:rPr>
      </w:pPr>
      <w:r>
        <w:rPr/>
        <w:pict>
          <v:line style="position:absolute;mso-position-horizontal-relative:page;mso-position-vertical-relative:paragraph;z-index:1048;mso-wrap-distance-left:0;mso-wrap-distance-right:0" from="200.690002pt,15.857219pt" to="368.69001pt,15.857219pt" stroked="true" strokeweight=".48pt" strokecolor="#000000">
            <v:stroke dashstyle="solid"/>
            <w10:wrap type="topAndBottom"/>
          </v:line>
        </w:pict>
      </w:r>
    </w:p>
    <w:p>
      <w:pPr>
        <w:pStyle w:val="BodyText"/>
        <w:spacing w:line="247" w:lineRule="exact"/>
        <w:ind w:left="418" w:right="873"/>
        <w:jc w:val="center"/>
      </w:pPr>
      <w:r>
        <w:rPr/>
        <w:t>Prof. Dr. João Ferreira de Oliveira</w:t>
      </w:r>
    </w:p>
    <w:p>
      <w:pPr>
        <w:pStyle w:val="BodyText"/>
        <w:ind w:left="413" w:right="873"/>
        <w:jc w:val="center"/>
      </w:pPr>
      <w:r>
        <w:rPr/>
        <w:t>(PPGE/UFG)</w:t>
      </w:r>
    </w:p>
    <w:p>
      <w:pPr>
        <w:pStyle w:val="BodyText"/>
        <w:ind w:left="414" w:right="873"/>
        <w:jc w:val="center"/>
      </w:pPr>
      <w:r>
        <w:rPr/>
        <w:t>Avaliador Externo</w:t>
      </w:r>
    </w:p>
    <w:p>
      <w:pPr>
        <w:pStyle w:val="BodyText"/>
        <w:rPr>
          <w:sz w:val="20"/>
        </w:rPr>
      </w:pPr>
    </w:p>
    <w:p>
      <w:pPr>
        <w:pStyle w:val="BodyText"/>
        <w:spacing w:before="8"/>
        <w:rPr>
          <w:sz w:val="23"/>
        </w:rPr>
      </w:pPr>
      <w:r>
        <w:rPr/>
        <w:pict>
          <v:line style="position:absolute;mso-position-horizontal-relative:page;mso-position-vertical-relative:paragraph;z-index:1072;mso-wrap-distance-left:0;mso-wrap-distance-right:0" from="200.690002pt,15.857265pt" to="368.69001pt,15.857265pt" stroked="true" strokeweight=".48pt" strokecolor="#000000">
            <v:stroke dashstyle="solid"/>
            <w10:wrap type="topAndBottom"/>
          </v:line>
        </w:pict>
      </w:r>
    </w:p>
    <w:p>
      <w:pPr>
        <w:pStyle w:val="BodyText"/>
        <w:spacing w:line="247" w:lineRule="exact"/>
        <w:ind w:left="417" w:right="873"/>
        <w:jc w:val="center"/>
      </w:pPr>
      <w:r>
        <w:rPr/>
        <w:t>Prof. Dr. Damião Rocha</w:t>
      </w:r>
    </w:p>
    <w:p>
      <w:pPr>
        <w:pStyle w:val="BodyText"/>
        <w:ind w:left="415" w:right="873"/>
        <w:jc w:val="center"/>
      </w:pPr>
      <w:r>
        <w:rPr/>
        <w:t>(PPGE/UFT)</w:t>
      </w:r>
    </w:p>
    <w:p>
      <w:pPr>
        <w:pStyle w:val="BodyText"/>
        <w:ind w:left="415" w:right="873"/>
        <w:jc w:val="center"/>
      </w:pPr>
      <w:r>
        <w:rPr/>
        <w:t>Avaliador</w:t>
      </w:r>
    </w:p>
    <w:p>
      <w:pPr>
        <w:pStyle w:val="BodyText"/>
        <w:rPr>
          <w:sz w:val="20"/>
        </w:rPr>
      </w:pPr>
    </w:p>
    <w:p>
      <w:pPr>
        <w:pStyle w:val="BodyText"/>
        <w:spacing w:before="8"/>
        <w:rPr>
          <w:sz w:val="23"/>
        </w:rPr>
      </w:pPr>
      <w:r>
        <w:rPr/>
        <w:pict>
          <v:line style="position:absolute;mso-position-horizontal-relative:page;mso-position-vertical-relative:paragraph;z-index:1096;mso-wrap-distance-left:0;mso-wrap-distance-right:0" from="200.690002pt,15.827281pt" to="368.69001pt,15.827281pt" stroked="true" strokeweight=".48pt" strokecolor="#000000">
            <v:stroke dashstyle="solid"/>
            <w10:wrap type="topAndBottom"/>
          </v:line>
        </w:pict>
      </w:r>
    </w:p>
    <w:p>
      <w:pPr>
        <w:pStyle w:val="BodyText"/>
        <w:spacing w:line="247" w:lineRule="exact"/>
        <w:ind w:left="418" w:right="873"/>
        <w:jc w:val="center"/>
      </w:pPr>
      <w:r>
        <w:rPr/>
        <w:t>Prof. Dra. Maria José de Pinho</w:t>
      </w:r>
    </w:p>
    <w:p>
      <w:pPr>
        <w:pStyle w:val="BodyText"/>
        <w:ind w:left="415" w:right="873"/>
        <w:jc w:val="center"/>
      </w:pPr>
      <w:r>
        <w:rPr/>
        <w:t>(PPGE/UFT)</w:t>
      </w:r>
    </w:p>
    <w:p>
      <w:pPr>
        <w:pStyle w:val="BodyText"/>
        <w:ind w:left="416" w:right="873"/>
        <w:jc w:val="center"/>
      </w:pPr>
      <w:r>
        <w:rPr/>
        <w:t>Avaliadora</w:t>
      </w:r>
    </w:p>
    <w:p>
      <w:pPr>
        <w:spacing w:after="0"/>
        <w:jc w:val="center"/>
        <w:sectPr>
          <w:headerReference w:type="default" r:id="rId6"/>
          <w:pgSz w:w="11910" w:h="16840"/>
          <w:pgMar w:header="1425" w:footer="0" w:top="1680" w:bottom="280" w:left="1620" w:right="16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before="90"/>
        <w:ind w:left="102"/>
      </w:pPr>
      <w:r>
        <w:rPr/>
        <w:t>À luta de todos/todas aqueles/aquelas que sonham com dias melhores.</w:t>
      </w:r>
    </w:p>
    <w:p>
      <w:pPr>
        <w:pStyle w:val="BodyText"/>
        <w:spacing w:before="40"/>
        <w:ind w:left="102"/>
      </w:pPr>
      <w:r>
        <w:rPr/>
        <w:t>E, também, à luta diária de pai e mãe, que a mim desejam força, saúde e paz, sempre!</w:t>
      </w:r>
    </w:p>
    <w:p>
      <w:pPr>
        <w:spacing w:after="0"/>
        <w:sectPr>
          <w:headerReference w:type="default" r:id="rId7"/>
          <w:pgSz w:w="11910" w:h="16840"/>
          <w:pgMar w:header="0" w:footer="0" w:top="1580" w:bottom="280" w:left="1600" w:right="1680"/>
        </w:sectPr>
      </w:pPr>
    </w:p>
    <w:p>
      <w:pPr>
        <w:pStyle w:val="BodyText"/>
        <w:rPr>
          <w:sz w:val="20"/>
        </w:rPr>
      </w:pPr>
    </w:p>
    <w:p>
      <w:pPr>
        <w:pStyle w:val="BodyText"/>
        <w:rPr>
          <w:sz w:val="20"/>
        </w:rPr>
      </w:pPr>
    </w:p>
    <w:p>
      <w:pPr>
        <w:pStyle w:val="BodyText"/>
        <w:spacing w:before="6"/>
        <w:rPr>
          <w:sz w:val="22"/>
        </w:rPr>
      </w:pPr>
    </w:p>
    <w:p>
      <w:pPr>
        <w:pStyle w:val="BodyText"/>
        <w:spacing w:before="90"/>
        <w:ind w:left="954"/>
      </w:pPr>
      <w:r>
        <w:rPr/>
        <w:t>Eis um momento difícil após dois anos de intensos trabalhos: agradecer.</w:t>
      </w:r>
    </w:p>
    <w:p>
      <w:pPr>
        <w:pStyle w:val="BodyText"/>
        <w:spacing w:line="360" w:lineRule="auto" w:before="136"/>
        <w:ind w:left="102" w:right="118" w:firstLine="851"/>
        <w:jc w:val="both"/>
      </w:pPr>
      <w:r>
        <w:rPr/>
        <w:t>Não porque eu não saiba fazer, mas porque um agradecimento completo certamente renderia outra Dissertação, pois, são tantas pessoas, tantos momentos, tantas vitórias!... Graças a Deus por Isso!</w:t>
      </w:r>
    </w:p>
    <w:p>
      <w:pPr>
        <w:pStyle w:val="BodyText"/>
        <w:spacing w:line="360" w:lineRule="auto" w:before="5"/>
        <w:ind w:left="102" w:right="115" w:firstLine="851"/>
        <w:jc w:val="both"/>
      </w:pPr>
      <w:r>
        <w:rPr/>
        <w:t>Recordo que em meu trabalho de final de curso, teci sinceros agradecimentos a todos os colegas do Curso que me ajudaram durante o percurso acadêmico. E eles continuaram, ajudaram, estiveram presentes, torceram para que, ao final, desse tudo certo. Também, aos professores da Graduação que acompanharam e, creio eu, ficaram </w:t>
      </w:r>
      <w:r>
        <w:rPr>
          <w:w w:val="100"/>
        </w:rPr>
        <w:t>fe</w:t>
      </w:r>
      <w:r>
        <w:rPr>
          <w:w w:val="100"/>
        </w:rPr>
        <w:t>li</w:t>
      </w:r>
      <w:r>
        <w:rPr>
          <w:w w:val="100"/>
        </w:rPr>
        <w:t>ze</w:t>
      </w:r>
      <w:r>
        <w:rPr>
          <w:w w:val="99"/>
        </w:rPr>
        <w:t>s</w:t>
      </w:r>
      <w:r>
        <w:rPr/>
        <w:t> </w:t>
      </w:r>
      <w:r>
        <w:rPr>
          <w:w w:val="100"/>
        </w:rPr>
        <w:t>e</w:t>
      </w:r>
      <w:r>
        <w:rPr>
          <w:w w:val="100"/>
        </w:rPr>
        <w:t>m</w:t>
      </w:r>
      <w:r>
        <w:rPr/>
        <w:t> </w:t>
      </w:r>
      <w:r>
        <w:rPr>
          <w:w w:val="100"/>
        </w:rPr>
        <w:t>ve</w:t>
      </w:r>
      <w:r>
        <w:rPr>
          <w:w w:val="99"/>
        </w:rPr>
        <w:t>r </w:t>
      </w:r>
      <w:r>
        <w:rPr>
          <w:w w:val="100"/>
        </w:rPr>
        <w:t>que, </w:t>
      </w:r>
      <w:r>
        <w:rPr>
          <w:w w:val="100"/>
        </w:rPr>
        <w:t>e</w:t>
      </w:r>
      <w:r>
        <w:rPr>
          <w:w w:val="100"/>
        </w:rPr>
        <w:t>m</w:t>
      </w:r>
      <w:r>
        <w:rPr/>
        <w:t> </w:t>
      </w:r>
      <w:r>
        <w:rPr>
          <w:w w:val="100"/>
        </w:rPr>
        <w:t>muito</w:t>
      </w:r>
      <w:r>
        <w:rPr/>
        <w:t> </w:t>
      </w:r>
      <w:r>
        <w:rPr>
          <w:w w:val="100"/>
        </w:rPr>
        <w:t>de</w:t>
      </w:r>
      <w:r>
        <w:rPr>
          <w:w w:val="99"/>
        </w:rPr>
        <w:t>sse</w:t>
      </w:r>
      <w:r>
        <w:rPr/>
        <w:t> </w:t>
      </w:r>
      <w:r>
        <w:rPr>
          <w:w w:val="44"/>
        </w:rPr>
        <w:t>―</w:t>
      </w:r>
      <w:r>
        <w:rPr>
          <w:i/>
          <w:w w:val="99"/>
        </w:rPr>
        <w:t>M</w:t>
      </w:r>
      <w:r>
        <w:rPr>
          <w:i/>
          <w:w w:val="99"/>
        </w:rPr>
        <w:t>sc</w:t>
      </w:r>
      <w:r>
        <w:rPr/>
        <w:t>. Ada</w:t>
      </w:r>
      <w:r>
        <w:rPr>
          <w:w w:val="100"/>
        </w:rPr>
        <w:t>ire</w:t>
      </w:r>
      <w:r>
        <w:rPr>
          <w:w w:val="124"/>
        </w:rPr>
        <w:t>s‖</w:t>
      </w:r>
      <w:r>
        <w:rPr/>
        <w:t> é </w:t>
      </w:r>
      <w:r>
        <w:rPr>
          <w:w w:val="99"/>
        </w:rPr>
        <w:t>possí</w:t>
      </w:r>
      <w:r>
        <w:rPr/>
        <w:t>vel vê-</w:t>
      </w:r>
      <w:r>
        <w:rPr>
          <w:w w:val="99"/>
        </w:rPr>
        <w:t>los.</w:t>
      </w:r>
      <w:r>
        <w:rPr/>
        <w:t> </w:t>
      </w:r>
      <w:r>
        <w:rPr>
          <w:w w:val="99"/>
        </w:rPr>
        <w:t>S</w:t>
      </w:r>
      <w:r>
        <w:rPr/>
        <w:t>im, claro! </w:t>
      </w:r>
      <w:r>
        <w:rPr>
          <w:w w:val="99"/>
        </w:rPr>
        <w:t>S</w:t>
      </w:r>
      <w:r>
        <w:rPr/>
        <w:t>ou um pouco de todos que me ensinaram.</w:t>
      </w:r>
    </w:p>
    <w:p>
      <w:pPr>
        <w:pStyle w:val="BodyText"/>
        <w:spacing w:line="360" w:lineRule="auto" w:before="5"/>
        <w:ind w:left="102" w:right="114" w:firstLine="851"/>
        <w:jc w:val="both"/>
      </w:pPr>
      <w:r>
        <w:rPr>
          <w:w w:val="100"/>
        </w:rPr>
        <w:t>E</w:t>
      </w:r>
      <w:r>
        <w:rPr/>
        <w:t> se </w:t>
      </w:r>
      <w:r>
        <w:rPr>
          <w:w w:val="44"/>
        </w:rPr>
        <w:t>―</w:t>
      </w:r>
      <w:r>
        <w:rPr>
          <w:w w:val="99"/>
        </w:rPr>
        <w:t>sou</w:t>
      </w:r>
      <w:r>
        <w:rPr/>
        <w:t> </w:t>
      </w:r>
      <w:r>
        <w:rPr>
          <w:w w:val="100"/>
        </w:rPr>
        <w:t>um</w:t>
      </w:r>
      <w:r>
        <w:rPr/>
        <w:t> pou</w:t>
      </w:r>
      <w:r>
        <w:rPr>
          <w:spacing w:val="-1"/>
        </w:rPr>
        <w:t>c</w:t>
      </w:r>
      <w:r>
        <w:rPr>
          <w:w w:val="120"/>
        </w:rPr>
        <w:t>o‖</w:t>
      </w:r>
      <w:r>
        <w:rPr/>
        <w:t> </w:t>
      </w:r>
      <w:r>
        <w:rPr>
          <w:w w:val="100"/>
        </w:rPr>
        <w:t>de</w:t>
      </w:r>
      <w:r>
        <w:rPr/>
        <w:t> </w:t>
      </w:r>
      <w:r>
        <w:rPr>
          <w:spacing w:val="2"/>
          <w:w w:val="100"/>
        </w:rPr>
        <w:t>t</w:t>
      </w:r>
      <w:r>
        <w:rPr>
          <w:w w:val="99"/>
        </w:rPr>
        <w:t>odos </w:t>
      </w:r>
      <w:r>
        <w:rPr>
          <w:w w:val="100"/>
        </w:rPr>
        <w:t>que </w:t>
      </w:r>
      <w:r>
        <w:rPr>
          <w:w w:val="100"/>
        </w:rPr>
        <w:t>me</w:t>
      </w:r>
      <w:r>
        <w:rPr/>
        <w:t> </w:t>
      </w:r>
      <w:r>
        <w:rPr>
          <w:spacing w:val="-1"/>
          <w:w w:val="100"/>
        </w:rPr>
        <w:t>e</w:t>
      </w:r>
      <w:r>
        <w:rPr>
          <w:w w:val="100"/>
        </w:rPr>
        <w:t>nsina</w:t>
      </w:r>
      <w:r>
        <w:rPr>
          <w:spacing w:val="-1"/>
          <w:w w:val="100"/>
        </w:rPr>
        <w:t>r</w:t>
      </w:r>
      <w:r>
        <w:rPr>
          <w:spacing w:val="-1"/>
          <w:w w:val="100"/>
        </w:rPr>
        <w:t>a</w:t>
      </w:r>
      <w:r>
        <w:rPr>
          <w:w w:val="100"/>
        </w:rPr>
        <w:t>m,</w:t>
      </w:r>
      <w:r>
        <w:rPr/>
        <w:t> </w:t>
      </w:r>
      <w:r>
        <w:rPr>
          <w:spacing w:val="-1"/>
          <w:w w:val="44"/>
        </w:rPr>
        <w:t>―</w:t>
      </w:r>
      <w:r>
        <w:rPr>
          <w:w w:val="99"/>
        </w:rPr>
        <w:t>sou</w:t>
      </w:r>
      <w:r>
        <w:rPr/>
        <w:t> </w:t>
      </w:r>
      <w:r>
        <w:rPr>
          <w:w w:val="100"/>
        </w:rPr>
        <w:t>m</w:t>
      </w:r>
      <w:r>
        <w:rPr>
          <w:w w:val="100"/>
        </w:rPr>
        <w:t>uit</w:t>
      </w:r>
      <w:r>
        <w:rPr>
          <w:w w:val="120"/>
        </w:rPr>
        <w:t>o‖</w:t>
      </w:r>
      <w:r>
        <w:rPr/>
        <w:t> </w:t>
      </w:r>
      <w:r>
        <w:rPr>
          <w:w w:val="100"/>
        </w:rPr>
        <w:t>d</w:t>
      </w:r>
      <w:r>
        <w:rPr>
          <w:spacing w:val="-1"/>
          <w:w w:val="100"/>
        </w:rPr>
        <w:t>a</w:t>
      </w:r>
      <w:r>
        <w:rPr>
          <w:w w:val="100"/>
        </w:rPr>
        <w:t>qu</w:t>
      </w:r>
      <w:r>
        <w:rPr>
          <w:spacing w:val="-1"/>
          <w:w w:val="100"/>
        </w:rPr>
        <w:t>e</w:t>
      </w:r>
      <w:r>
        <w:rPr>
          <w:spacing w:val="2"/>
          <w:w w:val="100"/>
        </w:rPr>
        <w:t>l</w:t>
      </w:r>
      <w:r>
        <w:rPr>
          <w:spacing w:val="-1"/>
          <w:w w:val="100"/>
        </w:rPr>
        <w:t>e</w:t>
      </w:r>
      <w:r>
        <w:rPr>
          <w:w w:val="99"/>
        </w:rPr>
        <w:t>s</w:t>
      </w:r>
      <w:r>
        <w:rPr/>
        <w:t> q</w:t>
      </w:r>
      <w:r>
        <w:rPr>
          <w:spacing w:val="2"/>
        </w:rPr>
        <w:t>u</w:t>
      </w:r>
      <w:r>
        <w:rPr>
          <w:w w:val="100"/>
        </w:rPr>
        <w:t>e</w:t>
      </w:r>
      <w:r>
        <w:rPr/>
        <w:t> </w:t>
      </w:r>
      <w:r>
        <w:rPr>
          <w:w w:val="100"/>
        </w:rPr>
        <w:t>me </w:t>
      </w:r>
      <w:r>
        <w:rPr/>
        <w:t>trouxeram para este mundo. A eles sou imensamente grato. Pai e Mãe. Ele, o Máximo, e ela,  Luzia. Eles  me  ensinam literalmente  o poema ‗</w:t>
      </w:r>
      <w:r>
        <w:rPr>
          <w:i/>
        </w:rPr>
        <w:t>ensinamentos’  </w:t>
      </w:r>
      <w:r>
        <w:rPr/>
        <w:t>de  Adélia  </w:t>
      </w:r>
      <w:r>
        <w:rPr>
          <w:spacing w:val="56"/>
        </w:rPr>
        <w:t> </w:t>
      </w:r>
      <w:r>
        <w:rPr/>
        <w:t>Prado</w:t>
      </w:r>
    </w:p>
    <w:p>
      <w:pPr>
        <w:pStyle w:val="BodyText"/>
        <w:spacing w:before="5"/>
        <w:ind w:left="102"/>
      </w:pPr>
      <w:r>
        <w:rPr>
          <w:spacing w:val="-1"/>
          <w:w w:val="44"/>
        </w:rPr>
        <w:t>―</w:t>
      </w:r>
      <w:r>
        <w:rPr>
          <w:spacing w:val="1"/>
          <w:w w:val="99"/>
        </w:rPr>
        <w:t>[</w:t>
      </w:r>
      <w:r>
        <w:rPr>
          <w:w w:val="99"/>
        </w:rPr>
        <w:t>...</w:t>
      </w:r>
      <w:r>
        <w:rPr>
          <w:spacing w:val="1"/>
          <w:w w:val="99"/>
        </w:rPr>
        <w:t>]</w:t>
      </w:r>
      <w:r>
        <w:rPr>
          <w:w w:val="158"/>
        </w:rPr>
        <w:t>‖</w:t>
      </w:r>
      <w:r>
        <w:rPr>
          <w:spacing w:val="-1"/>
        </w:rPr>
        <w:t> </w:t>
      </w:r>
      <w:r>
        <w:rPr>
          <w:spacing w:val="-1"/>
          <w:w w:val="100"/>
        </w:rPr>
        <w:t>e</w:t>
      </w:r>
      <w:r>
        <w:rPr/>
        <w:t>, tamb</w:t>
      </w:r>
      <w:r>
        <w:rPr>
          <w:spacing w:val="-1"/>
        </w:rPr>
        <w:t>é</w:t>
      </w:r>
      <w:r>
        <w:rPr/>
        <w:t>m, no </w:t>
      </w:r>
      <w:r>
        <w:rPr>
          <w:w w:val="99"/>
        </w:rPr>
        <w:t>s</w:t>
      </w:r>
      <w:r>
        <w:rPr/>
        <w:t>il</w:t>
      </w:r>
      <w:r>
        <w:rPr>
          <w:spacing w:val="-1"/>
        </w:rPr>
        <w:t>ê</w:t>
      </w:r>
      <w:r>
        <w:rPr/>
        <w:t>n</w:t>
      </w:r>
      <w:r>
        <w:rPr>
          <w:spacing w:val="-1"/>
        </w:rPr>
        <w:t>c</w:t>
      </w:r>
      <w:r>
        <w:rPr/>
        <w:t>io do ab</w:t>
      </w:r>
      <w:r>
        <w:rPr>
          <w:spacing w:val="-2"/>
        </w:rPr>
        <w:t>r</w:t>
      </w:r>
      <w:r>
        <w:rPr>
          <w:spacing w:val="1"/>
        </w:rPr>
        <w:t>a</w:t>
      </w:r>
      <w:r>
        <w:rPr>
          <w:spacing w:val="-1"/>
        </w:rPr>
        <w:t>ç</w:t>
      </w:r>
      <w:r>
        <w:rPr/>
        <w:t>o e</w:t>
      </w:r>
      <w:r>
        <w:rPr>
          <w:spacing w:val="-1"/>
        </w:rPr>
        <w:t> </w:t>
      </w:r>
      <w:r>
        <w:rPr/>
        <w:t>do olh</w:t>
      </w:r>
      <w:r>
        <w:rPr>
          <w:spacing w:val="1"/>
        </w:rPr>
        <w:t>a</w:t>
      </w:r>
      <w:r>
        <w:rPr/>
        <w:t>r</w:t>
      </w:r>
      <w:r>
        <w:rPr>
          <w:spacing w:val="1"/>
        </w:rPr>
        <w:t> </w:t>
      </w:r>
      <w:r>
        <w:rPr>
          <w:spacing w:val="-1"/>
        </w:rPr>
        <w:t>f</w:t>
      </w:r>
      <w:r>
        <w:rPr/>
        <w:t>irme</w:t>
      </w:r>
      <w:r>
        <w:rPr>
          <w:spacing w:val="-1"/>
        </w:rPr>
        <w:t> </w:t>
      </w:r>
      <w:r>
        <w:rPr/>
        <w:t>me motiv</w:t>
      </w:r>
      <w:r>
        <w:rPr>
          <w:spacing w:val="-1"/>
        </w:rPr>
        <w:t>a</w:t>
      </w:r>
      <w:r>
        <w:rPr/>
        <w:t>m a nu</w:t>
      </w:r>
      <w:r>
        <w:rPr>
          <w:spacing w:val="1"/>
        </w:rPr>
        <w:t>n</w:t>
      </w:r>
      <w:r>
        <w:rPr>
          <w:spacing w:val="-1"/>
        </w:rPr>
        <w:t>c</w:t>
      </w:r>
      <w:r>
        <w:rPr/>
        <w:t>a</w:t>
      </w:r>
      <w:r>
        <w:rPr>
          <w:spacing w:val="-1"/>
        </w:rPr>
        <w:t> </w:t>
      </w:r>
      <w:r>
        <w:rPr/>
        <w:t>d</w:t>
      </w:r>
      <w:r>
        <w:rPr>
          <w:spacing w:val="-1"/>
        </w:rPr>
        <w:t>e</w:t>
      </w:r>
      <w:r>
        <w:rPr>
          <w:w w:val="99"/>
        </w:rPr>
        <w:t>sis</w:t>
      </w:r>
      <w:r>
        <w:rPr/>
        <w:t>tir.</w:t>
      </w:r>
    </w:p>
    <w:p>
      <w:pPr>
        <w:pStyle w:val="BodyText"/>
        <w:spacing w:line="360" w:lineRule="auto" w:before="136"/>
        <w:ind w:left="102" w:right="115" w:firstLine="851"/>
        <w:jc w:val="both"/>
      </w:pPr>
      <w:r>
        <w:rPr/>
        <w:t>À minha irmã Leila, sobre a qual falo sem medo de chatear os demais (Aos quais agradeço também, de todo o coração): é a irmã mais linda que tenho! Muito agradecido pelo carinho, preocupação e cuidados.</w:t>
      </w:r>
    </w:p>
    <w:p>
      <w:pPr>
        <w:pStyle w:val="BodyText"/>
        <w:spacing w:line="360" w:lineRule="auto" w:before="6"/>
        <w:ind w:left="102" w:right="119" w:firstLine="851"/>
        <w:jc w:val="both"/>
      </w:pPr>
      <w:r>
        <w:rPr/>
        <w:t>Ao Gabriel, Sobrinho e Afilhado, valeu pela Força e também pelas constantes ajudas: verificando referências, se realmente havia listado todas, rs.</w:t>
      </w:r>
    </w:p>
    <w:p>
      <w:pPr>
        <w:pStyle w:val="BodyText"/>
        <w:spacing w:line="360" w:lineRule="auto" w:before="5"/>
        <w:ind w:left="102" w:right="118" w:firstLine="851"/>
        <w:jc w:val="both"/>
      </w:pPr>
      <w:r>
        <w:rPr/>
        <w:t>E claro outras ‗figuras‘ apareceram. E que ‗cabra de sorte‘ sou eu! Quem se achava sem amigo, de repente se viu rodeado deles(as): Jaciara, Jemima Barreira que compartilhou comigo bons momentos, no barzinho, no </w:t>
      </w:r>
      <w:r>
        <w:rPr>
          <w:i/>
        </w:rPr>
        <w:t>whatsapp </w:t>
      </w:r>
      <w:r>
        <w:rPr/>
        <w:t>ou em viagens maravilhosas proporcionadas pelos textos aceitos em diversos eventos nos mais  distintos lugares; Mel Moraes, Mariana Meriqui e todos os demais acadêmicos do PPGE, grato pelo carinho, atenção e</w:t>
      </w:r>
      <w:r>
        <w:rPr>
          <w:spacing w:val="-11"/>
        </w:rPr>
        <w:t> </w:t>
      </w:r>
      <w:r>
        <w:rPr/>
        <w:t>compreensão.</w:t>
      </w:r>
    </w:p>
    <w:p>
      <w:pPr>
        <w:pStyle w:val="BodyText"/>
        <w:spacing w:line="360" w:lineRule="auto" w:before="5"/>
        <w:ind w:left="102" w:right="117" w:firstLine="851"/>
        <w:jc w:val="both"/>
      </w:pPr>
      <w:r>
        <w:rPr/>
        <w:t>Agradeço aos professores que me acompanharam nas disciplinas cursadas no Mestrado: Carmem Lucia Artioli Rolim, Jocyleia Santana dos Santos, Daniela Ado Maldonado e Maria José de Pinho.</w:t>
      </w:r>
    </w:p>
    <w:p>
      <w:pPr>
        <w:pStyle w:val="BodyText"/>
        <w:spacing w:line="360" w:lineRule="auto" w:before="3"/>
        <w:ind w:left="102" w:right="120" w:firstLine="851"/>
        <w:jc w:val="both"/>
      </w:pPr>
      <w:r>
        <w:rPr/>
        <w:t>E várias outras pessoas que surgiram no caminho e que, em certa medida, fazem parte, também, desse trabalho: Maria Solange, Jocirley Oliveira, Rute Soares, Celestina,   Carmem,   Amanda,   Criss   e   Cleidiana,   companheiras   e   </w:t>
      </w:r>
      <w:r>
        <w:rPr>
          <w:spacing w:val="5"/>
        </w:rPr>
        <w:t> </w:t>
      </w:r>
      <w:r>
        <w:rPr/>
        <w:t>companheiro</w:t>
      </w:r>
    </w:p>
    <w:p>
      <w:pPr>
        <w:spacing w:after="0" w:line="360" w:lineRule="auto"/>
        <w:jc w:val="both"/>
        <w:sectPr>
          <w:headerReference w:type="default" r:id="rId8"/>
          <w:pgSz w:w="11910" w:h="16840"/>
          <w:pgMar w:header="1425" w:footer="0" w:top="1680" w:bottom="280" w:left="1600" w:right="1580"/>
        </w:sectPr>
      </w:pPr>
    </w:p>
    <w:p>
      <w:pPr>
        <w:pStyle w:val="BodyText"/>
        <w:spacing w:line="360" w:lineRule="auto" w:before="72"/>
        <w:ind w:left="102" w:right="117"/>
        <w:jc w:val="both"/>
      </w:pPr>
      <w:r>
        <w:rPr/>
        <w:t>Avaliadores Educacionais; Diversos Dirigentes Municipais de Educação que tive a oportunidade de conhecer e, também, aos contatos felizes estabelecidos com vários técnicos e técnicas das Secretarias Municipais de Educação no Tocantins, durante o processo de elaboração e ou adequação dos Planos Municipais de Educação.</w:t>
      </w:r>
    </w:p>
    <w:p>
      <w:pPr>
        <w:pStyle w:val="BodyText"/>
        <w:spacing w:line="360" w:lineRule="auto" w:before="4"/>
        <w:ind w:left="102" w:right="116" w:firstLine="851"/>
        <w:jc w:val="both"/>
      </w:pPr>
      <w:r>
        <w:rPr/>
        <w:t>Outros que também contribuíram muito para a realização deste trabalho e que não posso deixar de registrar meu agradecimento são os novos amigos/colegas de trabalho na Gerencia de Proteção Social Especial, da SETAS-TO. A todas e todos, grato pela compreensão, carinho, apoio e força.</w:t>
      </w:r>
    </w:p>
    <w:p>
      <w:pPr>
        <w:pStyle w:val="BodyText"/>
        <w:spacing w:line="360" w:lineRule="auto" w:before="4"/>
        <w:ind w:left="102" w:right="117" w:firstLine="851"/>
        <w:jc w:val="both"/>
      </w:pPr>
      <w:r>
        <w:rPr/>
        <w:t>Ao Alair, grato por compartilhar comigo um amor, uma vida. E também por estar presente sempre, contribuindo à sua maneira.</w:t>
      </w:r>
    </w:p>
    <w:p>
      <w:pPr>
        <w:pStyle w:val="BodyText"/>
        <w:spacing w:line="360" w:lineRule="auto" w:before="4"/>
        <w:ind w:left="102" w:right="120" w:firstLine="851"/>
        <w:jc w:val="both"/>
      </w:pPr>
      <w:r>
        <w:rPr/>
        <w:t>Sou muito grato também aos professores que contribuíram, como avaliadores, para que esta dissertação chegasse a este formato: João Ferreira de Oliveira, Damião Rocha (professor do Programa ao qual estive vinculado, mas que não tive a oportunidade de ser aluno) e, mais uma vez, professora Maria José de Pinho, que muito me honra com suas</w:t>
      </w:r>
      <w:r>
        <w:rPr>
          <w:spacing w:val="-6"/>
        </w:rPr>
        <w:t> </w:t>
      </w:r>
      <w:r>
        <w:rPr/>
        <w:t>contribuições.</w:t>
      </w:r>
    </w:p>
    <w:p>
      <w:pPr>
        <w:pStyle w:val="BodyText"/>
        <w:spacing w:line="360" w:lineRule="auto" w:before="5"/>
        <w:ind w:left="102" w:right="118" w:firstLine="851"/>
        <w:jc w:val="both"/>
      </w:pPr>
      <w:r>
        <w:rPr/>
        <w:t>À Professora, amiga e orientadora Rosilene Lagares, que esteve presente em quase todos os momentos agradecidos acima, que me encanta com sua simplicidade, dedicação e elegância, gratidão por ter contribuído e continuar a contribuir, significativamente, para que eu me torne a cada dia um profissional de melhor qualidade.</w:t>
      </w:r>
    </w:p>
    <w:p>
      <w:pPr>
        <w:spacing w:after="0" w:line="360" w:lineRule="auto"/>
        <w:jc w:val="both"/>
        <w:sectPr>
          <w:headerReference w:type="default" r:id="rId9"/>
          <w:pgSz w:w="11910" w:h="16840"/>
          <w:pgMar w:header="0" w:footer="0" w:top="132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8"/>
        </w:rPr>
      </w:pPr>
    </w:p>
    <w:p>
      <w:pPr>
        <w:pStyle w:val="BodyText"/>
        <w:spacing w:line="276" w:lineRule="auto" w:before="90"/>
        <w:ind w:left="102" w:right="6408"/>
      </w:pPr>
      <w:r>
        <w:rPr/>
        <w:t>Devia ter amado mais Ter chorado mais</w:t>
      </w:r>
    </w:p>
    <w:p>
      <w:pPr>
        <w:pStyle w:val="BodyText"/>
        <w:spacing w:line="276" w:lineRule="auto" w:before="1"/>
        <w:ind w:left="102" w:right="6169"/>
      </w:pPr>
      <w:r>
        <w:rPr/>
        <w:t>Ter visto o sol nascer Devia ter arriscado mais Até errado mais</w:t>
      </w:r>
    </w:p>
    <w:p>
      <w:pPr>
        <w:pStyle w:val="BodyText"/>
        <w:spacing w:before="1"/>
        <w:ind w:left="102"/>
      </w:pPr>
      <w:r>
        <w:rPr/>
        <w:t>Ter feito o que eu queria fazer</w:t>
      </w:r>
    </w:p>
    <w:p>
      <w:pPr>
        <w:pStyle w:val="BodyText"/>
        <w:spacing w:before="41"/>
        <w:ind w:left="102"/>
      </w:pPr>
      <w:r>
        <w:rPr/>
        <w:t>Queria ter aceitado as pessoas como elas são</w:t>
      </w:r>
    </w:p>
    <w:p>
      <w:pPr>
        <w:pStyle w:val="BodyText"/>
        <w:spacing w:before="41"/>
        <w:ind w:left="102"/>
      </w:pPr>
      <w:r>
        <w:rPr/>
        <w:t>Cada um sabe a alegria e a dor que traz no coração</w:t>
      </w:r>
    </w:p>
    <w:p>
      <w:pPr>
        <w:pStyle w:val="Heading1"/>
        <w:spacing w:line="276" w:lineRule="auto" w:before="48"/>
        <w:ind w:right="5540"/>
      </w:pPr>
      <w:r>
        <w:rPr/>
        <w:t>O acaso vai me proteger Enquanto eu andar distraído O acaso vai me proteger Enquanto eu andar...</w:t>
      </w:r>
    </w:p>
    <w:p>
      <w:pPr>
        <w:pStyle w:val="BodyText"/>
        <w:spacing w:line="278" w:lineRule="auto"/>
        <w:ind w:left="102" w:right="5755"/>
      </w:pPr>
      <w:r>
        <w:rPr/>
        <w:t>Devia ter complicado menos Trabalhado menos</w:t>
      </w:r>
    </w:p>
    <w:p>
      <w:pPr>
        <w:pStyle w:val="BodyText"/>
        <w:spacing w:line="274" w:lineRule="exact" w:before="4"/>
        <w:ind w:left="102"/>
      </w:pPr>
      <w:r>
        <w:rPr/>
        <w:t>ter visto o sol se pôr</w:t>
      </w:r>
    </w:p>
    <w:p>
      <w:pPr>
        <w:pStyle w:val="BodyText"/>
        <w:spacing w:line="276" w:lineRule="auto" w:before="41"/>
        <w:ind w:left="102" w:right="5535"/>
      </w:pPr>
      <w:r>
        <w:rPr/>
        <w:t>Devia ter me importado menos Com problemas pequenos</w:t>
      </w:r>
    </w:p>
    <w:p>
      <w:pPr>
        <w:pStyle w:val="BodyText"/>
        <w:spacing w:before="3"/>
        <w:ind w:left="102"/>
      </w:pPr>
      <w:r>
        <w:rPr/>
        <w:t>Ter morrido de amor</w:t>
      </w:r>
    </w:p>
    <w:p>
      <w:pPr>
        <w:pStyle w:val="BodyText"/>
        <w:spacing w:before="40"/>
        <w:ind w:left="102"/>
      </w:pPr>
      <w:r>
        <w:rPr/>
        <w:t>Queria ter aceitado a vida como ela é</w:t>
      </w:r>
    </w:p>
    <w:p>
      <w:pPr>
        <w:pStyle w:val="BodyText"/>
        <w:spacing w:before="40"/>
        <w:ind w:left="102"/>
      </w:pPr>
      <w:r>
        <w:rPr/>
        <w:t>A cada um cabe alegrias e a tristeza que vier</w:t>
      </w:r>
    </w:p>
    <w:p>
      <w:pPr>
        <w:pStyle w:val="Heading1"/>
        <w:spacing w:line="276" w:lineRule="auto" w:before="45"/>
        <w:ind w:right="5540"/>
      </w:pPr>
      <w:r>
        <w:rPr/>
        <w:t>O acaso vai me proteger Enquanto eu andar distraído O acaso vai me proteger Enquanto eu andar...</w:t>
      </w:r>
    </w:p>
    <w:p>
      <w:pPr>
        <w:pStyle w:val="BodyText"/>
        <w:spacing w:line="278" w:lineRule="auto"/>
        <w:ind w:left="102" w:right="5755"/>
      </w:pPr>
      <w:r>
        <w:rPr/>
        <w:t>Devia ter complicado menos Trabalhado menos</w:t>
      </w:r>
    </w:p>
    <w:p>
      <w:pPr>
        <w:pStyle w:val="BodyText"/>
        <w:spacing w:line="274" w:lineRule="exact" w:before="4"/>
        <w:ind w:left="102"/>
      </w:pPr>
      <w:r>
        <w:rPr/>
        <w:t>Ter visto o sol se pôr</w:t>
      </w:r>
    </w:p>
    <w:p>
      <w:pPr>
        <w:pStyle w:val="BodyText"/>
        <w:spacing w:before="41"/>
        <w:ind w:left="102"/>
      </w:pPr>
      <w:r>
        <w:rPr/>
        <w:t>(TITÃS, 2001). (Grifos nossos).</w:t>
      </w:r>
    </w:p>
    <w:p>
      <w:pPr>
        <w:spacing w:after="0"/>
        <w:sectPr>
          <w:headerReference w:type="default" r:id="rId10"/>
          <w:pgSz w:w="11910" w:h="16840"/>
          <w:pgMar w:header="0" w:footer="0" w:top="1580" w:bottom="280" w:left="1600" w:right="1680"/>
        </w:sectPr>
      </w:pPr>
    </w:p>
    <w:p>
      <w:pPr>
        <w:pStyle w:val="BodyText"/>
        <w:rPr>
          <w:sz w:val="20"/>
        </w:rPr>
      </w:pPr>
    </w:p>
    <w:p>
      <w:pPr>
        <w:pStyle w:val="BodyText"/>
        <w:spacing w:before="9"/>
        <w:rPr>
          <w:sz w:val="19"/>
        </w:rPr>
      </w:pPr>
    </w:p>
    <w:p>
      <w:pPr>
        <w:spacing w:before="90"/>
        <w:ind w:left="102" w:right="170" w:firstLine="0"/>
        <w:jc w:val="both"/>
        <w:rPr>
          <w:sz w:val="24"/>
        </w:rPr>
      </w:pPr>
      <w:r>
        <w:rPr>
          <w:sz w:val="24"/>
        </w:rPr>
        <w:t>SOUSA, Adaires Rodrigues de. </w:t>
      </w:r>
      <w:r>
        <w:rPr>
          <w:b/>
          <w:sz w:val="24"/>
        </w:rPr>
        <w:t>Política Pública de Planejamento da Educação Municipal no Tocantins em face do Plano Nacional de Educação 2014-2024</w:t>
      </w:r>
      <w:r>
        <w:rPr>
          <w:sz w:val="24"/>
        </w:rPr>
        <w:t>: processos, resultados e disputas de intencionalidades. Dissertação de Mestrado. Programa de Pós-Graduação em Educação. Universidade Federal do Tocantins, 2015.</w:t>
      </w:r>
    </w:p>
    <w:p>
      <w:pPr>
        <w:pStyle w:val="BodyText"/>
        <w:spacing w:before="11"/>
        <w:rPr>
          <w:sz w:val="23"/>
        </w:rPr>
      </w:pPr>
    </w:p>
    <w:p>
      <w:pPr>
        <w:pStyle w:val="BodyText"/>
        <w:ind w:left="102" w:right="115"/>
        <w:jc w:val="both"/>
      </w:pPr>
      <w:r>
        <w:rPr/>
        <w:t>Esta Dissertação de Mestrado, aborda o tema planejamento de políticas públicas no campo da educação municipal, apreendendo, especificamente, planos municipais de educação no Tocantins, elaborados nos anos de 2013 a 2015, mediados por disputas de intencionalidades. Seu objetivo é compreender a política pública de planejamento da educação municipal no Estado do Tocantins, em especial, a deflagrada no ano de 2013 por meio da Secretaria de Articulação com os Sistemas de Ensino (SASE)/Ministério da Educação (MEC), com uma Rede de Assistência Técnica a Estados, Distrito Federal e Municípios no processo de elaboração dos Planos de Educação, em atendimento e alinhados ao Plano Nacional de Educação (PNE), apreendendo as disputas de intenções que a perpassam. Com um enfoque epistemológico do materialismo histórico-dialético, para a sua construção, foram realizadas pesquisa bibliográfica e pesquisa documental, apreendendo documentos em âmbito nacional, estadual e municipal. Ambas, para abordar as intencionalidades em disputa acerca do planejamento de políticas públicas no processo de institucionalização da educação brasileira, com os diferentes tipos de racionalidade e tensões que permearam e permeiam esse planejamento; as concepções e conceitos na vasta produção de normas e documentos com diretrizes e orientações para  o planejamento da educação municipal dos anos 2000, do contexto de aprovação e vigência do PNE 2001-2010 ao contexto de elaboração, aprovação e início de implementação do PNE 2014-2024; e aspectos do processo de planejamento que deu origem aos Planos Municipais de Educação no Tocantins, apresentando características gerais destes Planos, relacionadas a formatação e ao conteúdo dos documentos, e discutindo possíveis intencionalidades do processo e nos Planos Municipais. Como resultados, a pesquisa mostra a arena de disputas de projetos societários no campo do planejamento, denominados de intencionalidades, sendo a conservadora/alienadora e a transformadora/comprometida socialmente. Essas concepções permeiam e disputam as bases normativas e os documentos oficiais, refletindo significativamente nas orientações e nas diretrizes, a partir da Constituição Federal de 1988, para o processo de planejamento da educação pelos Municípios brasileiros. Por isso, a necessidade de atenção as possíveis ressignificações de termos, com vistas a manutenção de dada intencionalidade. Como conclusão, a pesquisa reitera a discussão do pacto federativo e do regime de colaboração no campo da educação aliado a uma cultura de planejamento da educação em uma perspectiva transformadora/comprometida socialmente. Ainda, da necessidade de pensar [planejar, analisar, avaliar] em políticas contextualizadas, considerando que os textos são reinterpretados a partir dos contextos e seus sujeitos políticos.</w:t>
      </w:r>
    </w:p>
    <w:p>
      <w:pPr>
        <w:pStyle w:val="BodyText"/>
        <w:spacing w:before="11"/>
        <w:rPr>
          <w:sz w:val="23"/>
        </w:rPr>
      </w:pPr>
    </w:p>
    <w:p>
      <w:pPr>
        <w:pStyle w:val="BodyText"/>
        <w:ind w:left="102" w:right="119"/>
        <w:jc w:val="both"/>
      </w:pPr>
      <w:r>
        <w:rPr>
          <w:b/>
        </w:rPr>
        <w:t>Palavras-chave: </w:t>
      </w:r>
      <w:r>
        <w:rPr/>
        <w:t>Plano municipal de educação. Alinhamento de política educacional. Análise e avaliação de políticas públicas. Estado do Tocantins. PPGE/UFT.</w:t>
      </w:r>
    </w:p>
    <w:p>
      <w:pPr>
        <w:spacing w:after="0"/>
        <w:jc w:val="both"/>
        <w:sectPr>
          <w:headerReference w:type="default" r:id="rId11"/>
          <w:pgSz w:w="11910" w:h="16840"/>
          <w:pgMar w:header="1423" w:footer="0" w:top="1680" w:bottom="280" w:left="1600" w:right="1580"/>
        </w:sectPr>
      </w:pPr>
    </w:p>
    <w:p>
      <w:pPr>
        <w:pStyle w:val="BodyText"/>
        <w:rPr>
          <w:sz w:val="20"/>
        </w:rPr>
      </w:pPr>
    </w:p>
    <w:p>
      <w:pPr>
        <w:pStyle w:val="BodyText"/>
        <w:spacing w:before="10"/>
        <w:rPr>
          <w:sz w:val="22"/>
        </w:rPr>
      </w:pPr>
    </w:p>
    <w:p>
      <w:pPr>
        <w:pStyle w:val="BodyText"/>
        <w:spacing w:before="90"/>
        <w:ind w:left="102" w:right="114"/>
        <w:jc w:val="both"/>
      </w:pPr>
      <w:r>
        <w:rPr/>
        <w:t>SOUSA, Adaires Rodrigues. Public Policy of Municipal Educational Planning of Tocantins State in face to the National Education Plan, 2014-2024: processes, results and disputes of intentionalities. Masters Essay. Program for Post-graduation in Education. Universidade Federal do Tocantins,</w:t>
      </w:r>
      <w:r>
        <w:rPr>
          <w:spacing w:val="-7"/>
        </w:rPr>
        <w:t> </w:t>
      </w:r>
      <w:r>
        <w:rPr/>
        <w:t>2015.</w:t>
      </w:r>
    </w:p>
    <w:p>
      <w:pPr>
        <w:pStyle w:val="BodyText"/>
        <w:spacing w:before="8"/>
        <w:rPr>
          <w:sz w:val="23"/>
        </w:rPr>
      </w:pPr>
    </w:p>
    <w:p>
      <w:pPr>
        <w:pStyle w:val="BodyText"/>
        <w:ind w:left="102" w:right="115"/>
        <w:jc w:val="both"/>
      </w:pPr>
      <w:r>
        <w:rPr/>
        <w:t>This Master's Thesis deals with the theme of planning public policies in the field of municipal education, learning, specifically education of municipal plans in Tocantins, prepared in the years 2013-2015, mediated for disputes of intentionalities. Its achievement is focus on the comprehension of Public Policy planning of municipal education in Tocantins State, in particular, triggered in 2013 by the Department of Liaison with the Education Systems (SASE) / Ministry </w:t>
      </w:r>
      <w:r>
        <w:rPr>
          <w:spacing w:val="3"/>
        </w:rPr>
        <w:t>of </w:t>
      </w:r>
      <w:r>
        <w:rPr/>
        <w:t>Education (MEC), with a Technical Assistance network to States, Federal District and Municipalities in the drafting of the Plans of Education, in compliance and aligned to the National Education Plan (PNE), deducting disputes of intentionalities that underlie them. With epistemological focus of historical and dialectical materialism, for its construction, literature and documentary research were conducted, deducting documents at the national, state and municipal levels. Both to address the intentionalities in dispute about the planning of public policies in the institutionalization process of Brazilian Education, with different types of rationality and tensions that permeated and still permeate this planning; the ideas and concepts in the vast production standards and guidelines and documents with guidelines for planning the municipal education of the 2000s, the context of approval and validity of the PNE 2001 to 2010, the context of elaboration, approval and early implementation of the NAP 2014- 2024; and aspects of the planning process that led to the Municipal Education Plans in Tocantins, presenting general characteristics of these plans, related to a formatting and content of documents and discussing possible intentionalities of the process in the Municipal Plans. As a result, research shows the arena of corporate projects of disputes in the planning field, called intentions, and the conservative / alienating and manufacturing / socially committed. These views saturate and dispute the normative bases and official documents, reflecting significantly in the guidelines and the guidelines from the 1988 Federal Constitution, to the planning process of education in Brazilian municipalities. Therefore, the need for attention the possible new meanings of terms in order to maintain given intentionality.  In conclusion, the research reaffirms the discussion of the federal pact and collaborative in education combined with an education planning culture in a changing perspective / socially committed. Still, the need to think [plan, analyze, evaluate] in contextualized policies, considering that the texts are reinterpreted from their contexts and political subjects.</w:t>
      </w:r>
    </w:p>
    <w:p>
      <w:pPr>
        <w:pStyle w:val="BodyText"/>
        <w:spacing w:before="11"/>
        <w:rPr>
          <w:sz w:val="23"/>
        </w:rPr>
      </w:pPr>
    </w:p>
    <w:p>
      <w:pPr>
        <w:pStyle w:val="BodyText"/>
        <w:ind w:left="102" w:right="188"/>
        <w:jc w:val="both"/>
      </w:pPr>
      <w:r>
        <w:rPr/>
        <w:t>Keywords: Municipal Plan of education. Alignment of educational policy. Analysis and evaluation of public policies. State of Tocantins. PPGE / UFT.</w:t>
      </w:r>
    </w:p>
    <w:p>
      <w:pPr>
        <w:spacing w:after="0"/>
        <w:jc w:val="both"/>
        <w:sectPr>
          <w:headerReference w:type="default" r:id="rId12"/>
          <w:pgSz w:w="11910" w:h="16840"/>
          <w:pgMar w:header="1423" w:footer="0" w:top="1680" w:bottom="280" w:left="1600" w:right="1580"/>
        </w:sectPr>
      </w:pPr>
    </w:p>
    <w:p>
      <w:pPr>
        <w:pStyle w:val="BodyText"/>
        <w:rPr>
          <w:sz w:val="20"/>
        </w:rPr>
      </w:pPr>
    </w:p>
    <w:p>
      <w:pPr>
        <w:pStyle w:val="BodyText"/>
        <w:rPr>
          <w:sz w:val="20"/>
        </w:rPr>
      </w:pPr>
    </w:p>
    <w:p>
      <w:pPr>
        <w:pStyle w:val="BodyText"/>
        <w:spacing w:before="9"/>
        <w:rPr>
          <w:sz w:val="23"/>
        </w:rPr>
      </w:pPr>
    </w:p>
    <w:p>
      <w:pPr>
        <w:pStyle w:val="BodyText"/>
        <w:spacing w:line="480" w:lineRule="auto" w:before="90"/>
        <w:ind w:left="162" w:right="4523" w:hanging="60"/>
      </w:pPr>
      <w:r>
        <w:rPr/>
        <w:t>(ABE) Associação Brasileira de Educação (AE) Avaliador Educacional</w:t>
      </w:r>
    </w:p>
    <w:p>
      <w:pPr>
        <w:pStyle w:val="BodyText"/>
        <w:spacing w:line="480" w:lineRule="auto" w:before="10"/>
        <w:ind w:left="102" w:right="1617"/>
      </w:pPr>
      <w:r>
        <w:rPr/>
        <w:t>(ANPAE) Associação Nacional de Política e administração da Educação (APAE) Associação de Pais e Amigos dos Excepcionais</w:t>
      </w:r>
    </w:p>
    <w:p>
      <w:pPr>
        <w:pStyle w:val="BodyText"/>
        <w:spacing w:line="480" w:lineRule="auto" w:before="10"/>
        <w:ind w:left="102" w:right="4629"/>
      </w:pPr>
      <w:r>
        <w:rPr/>
        <w:t>(APM) Associação de Pais e Mestres (APP) Associação de Pais e Professores (CAE) Conselho da Alimentação Escolar (CA) Centro Acadêmico</w:t>
      </w:r>
    </w:p>
    <w:p>
      <w:pPr>
        <w:pStyle w:val="BodyText"/>
        <w:spacing w:before="10"/>
        <w:ind w:left="102" w:right="676"/>
      </w:pPr>
      <w:r>
        <w:rPr/>
        <w:t>(CAFISE) Coordenação-Geral de Articulação e Fortalecimento Institucional dos Sistemas de Ensino</w:t>
      </w:r>
    </w:p>
    <w:p>
      <w:pPr>
        <w:pStyle w:val="BodyText"/>
        <w:spacing w:before="11"/>
        <w:rPr>
          <w:sz w:val="23"/>
        </w:rPr>
      </w:pPr>
    </w:p>
    <w:p>
      <w:pPr>
        <w:pStyle w:val="BodyText"/>
        <w:ind w:left="102"/>
      </w:pPr>
      <w:r>
        <w:rPr/>
        <w:t>(CEB) Conferencia de Educação Brasileira</w:t>
      </w:r>
    </w:p>
    <w:p>
      <w:pPr>
        <w:pStyle w:val="BodyText"/>
        <w:spacing w:before="11"/>
        <w:rPr>
          <w:sz w:val="23"/>
        </w:rPr>
      </w:pPr>
    </w:p>
    <w:p>
      <w:pPr>
        <w:pStyle w:val="BodyText"/>
        <w:spacing w:line="480" w:lineRule="auto"/>
        <w:ind w:left="102" w:right="3323"/>
      </w:pPr>
      <w:r>
        <w:rPr/>
        <w:t>(CEPAL) Comissão Econômica para a América Latina (CEE) Conselho Estadual de Educação</w:t>
      </w:r>
    </w:p>
    <w:p>
      <w:pPr>
        <w:pStyle w:val="BodyText"/>
        <w:spacing w:line="480" w:lineRule="auto" w:before="10"/>
        <w:ind w:left="102" w:right="4163"/>
      </w:pPr>
      <w:r>
        <w:rPr/>
        <w:t>(CME) Conselho Municipal de Educação (CNE) Conselho Nacional de Educação (CONAE) Conferência Nacional de Educação</w:t>
      </w:r>
    </w:p>
    <w:p>
      <w:pPr>
        <w:pStyle w:val="BodyText"/>
        <w:spacing w:line="480" w:lineRule="auto" w:before="9"/>
        <w:ind w:left="102" w:right="3476"/>
      </w:pPr>
      <w:r>
        <w:rPr/>
        <w:t>(CONEB) Conferência Nacional da Educação Básica (CONEDs) Congressos Nacionais de Educação</w:t>
      </w:r>
    </w:p>
    <w:p>
      <w:pPr>
        <w:pStyle w:val="BodyText"/>
        <w:spacing w:line="480" w:lineRule="auto" w:before="9"/>
        <w:ind w:left="102" w:right="2310"/>
      </w:pPr>
      <w:r>
        <w:rPr/>
        <w:t>(CONSED) Conselho Nacional dos Secretários de educação (CNTE) Confederação Nacional dos Trabalhadores em Educação (DME) Dirigente Municipal de Educação</w:t>
      </w:r>
    </w:p>
    <w:p>
      <w:pPr>
        <w:pStyle w:val="BodyText"/>
        <w:spacing w:line="480" w:lineRule="auto" w:before="9"/>
        <w:ind w:left="102" w:right="676"/>
      </w:pPr>
      <w:r>
        <w:rPr/>
        <w:t>(DASE) Departamento de Articulação e Desenvolvimento dos Sistemas de Ensino (DICOPE) Diretoria de Cooperação e Planos de Educação</w:t>
      </w:r>
    </w:p>
    <w:p>
      <w:pPr>
        <w:pStyle w:val="BodyText"/>
        <w:spacing w:before="9"/>
        <w:ind w:left="102"/>
      </w:pPr>
      <w:r>
        <w:rPr/>
        <w:t>(ELAP) Equipe Latino-Americana de Planejamento</w:t>
      </w:r>
    </w:p>
    <w:p>
      <w:pPr>
        <w:spacing w:after="0"/>
        <w:sectPr>
          <w:headerReference w:type="default" r:id="rId13"/>
          <w:pgSz w:w="11910" w:h="16840"/>
          <w:pgMar w:header="1423" w:footer="0" w:top="1680" w:bottom="280" w:left="1600" w:right="1600"/>
        </w:sectPr>
      </w:pPr>
    </w:p>
    <w:p>
      <w:pPr>
        <w:pStyle w:val="BodyText"/>
        <w:spacing w:before="86"/>
        <w:ind w:left="102"/>
      </w:pPr>
      <w:r>
        <w:rPr/>
        <w:t>(FME) Fórum Municipal de Educação</w:t>
      </w:r>
    </w:p>
    <w:p>
      <w:pPr>
        <w:pStyle w:val="BodyText"/>
      </w:pPr>
    </w:p>
    <w:p>
      <w:pPr>
        <w:pStyle w:val="BodyText"/>
        <w:spacing w:line="480" w:lineRule="auto"/>
        <w:ind w:left="102" w:right="2902"/>
      </w:pPr>
      <w:r>
        <w:rPr/>
        <w:t>(FNDE) Fundo Nacional de Desenvolvimento da Educação (FNE) Fórum Nacional de Educação</w:t>
      </w:r>
    </w:p>
    <w:p>
      <w:pPr>
        <w:pStyle w:val="BodyText"/>
        <w:spacing w:before="10"/>
        <w:ind w:left="102"/>
      </w:pPr>
      <w:r>
        <w:rPr/>
        <w:t>(FUNDEB) Fundo de Manutenção e Desenvolvimento do Ensino Fundamental e de Valorização da Educação Básica</w:t>
      </w:r>
    </w:p>
    <w:p>
      <w:pPr>
        <w:pStyle w:val="BodyText"/>
        <w:spacing w:before="11"/>
        <w:rPr>
          <w:sz w:val="23"/>
        </w:rPr>
      </w:pPr>
    </w:p>
    <w:p>
      <w:pPr>
        <w:pStyle w:val="BodyText"/>
        <w:ind w:left="102"/>
      </w:pPr>
      <w:r>
        <w:rPr/>
        <w:t>(FUNDEF) Fundo de Manutenção e Desenvolvimento do Ensino Fundamental e de Valorização do Magistério</w:t>
      </w:r>
    </w:p>
    <w:p>
      <w:pPr>
        <w:pStyle w:val="BodyText"/>
        <w:spacing w:before="11"/>
        <w:rPr>
          <w:sz w:val="23"/>
        </w:rPr>
      </w:pPr>
    </w:p>
    <w:p>
      <w:pPr>
        <w:pStyle w:val="BodyText"/>
        <w:spacing w:line="480" w:lineRule="auto"/>
        <w:ind w:left="102" w:right="1822"/>
      </w:pPr>
      <w:r>
        <w:rPr/>
        <w:t>(I PND NR) I Plano Nacional de Desenvolvimento da Nova República (IDEB) Índice de Desenvolvimento da Educação Básica</w:t>
      </w:r>
    </w:p>
    <w:p>
      <w:pPr>
        <w:pStyle w:val="BodyText"/>
        <w:spacing w:before="10"/>
        <w:ind w:left="102"/>
      </w:pPr>
      <w:r>
        <w:rPr/>
        <w:t>(IDH) Índice de Desenvolvimento Humano</w:t>
      </w:r>
    </w:p>
    <w:p>
      <w:pPr>
        <w:pStyle w:val="BodyText"/>
        <w:spacing w:before="11"/>
        <w:rPr>
          <w:sz w:val="23"/>
        </w:rPr>
      </w:pPr>
    </w:p>
    <w:p>
      <w:pPr>
        <w:pStyle w:val="BodyText"/>
        <w:spacing w:line="480" w:lineRule="auto"/>
        <w:ind w:left="102" w:right="3315"/>
      </w:pPr>
      <w:r>
        <w:rPr/>
        <w:t>(LDB</w:t>
      </w:r>
      <w:r>
        <w:rPr>
          <w:sz w:val="22"/>
        </w:rPr>
        <w:t>) </w:t>
      </w:r>
      <w:r>
        <w:rPr/>
        <w:t>Lei de Diretrizes e Bases da Educação Nacional (LDO) Lei de Diretrizes Orçamentárias</w:t>
      </w:r>
    </w:p>
    <w:p>
      <w:pPr>
        <w:pStyle w:val="BodyText"/>
        <w:spacing w:line="480" w:lineRule="auto" w:before="10"/>
        <w:ind w:left="102" w:right="5562"/>
      </w:pPr>
      <w:r>
        <w:rPr/>
        <w:t>(LOA) Lei Orçamentária Anual (MEC) Ministério da Educação</w:t>
      </w:r>
    </w:p>
    <w:p>
      <w:pPr>
        <w:pStyle w:val="BodyText"/>
        <w:spacing w:line="480" w:lineRule="auto" w:before="10"/>
        <w:ind w:left="102" w:right="4656"/>
      </w:pPr>
      <w:r>
        <w:rPr/>
        <w:t>(ONG) Organização Não Governamental (PAR) Plano de Ações Articuladas</w:t>
      </w:r>
    </w:p>
    <w:p>
      <w:pPr>
        <w:pStyle w:val="BodyText"/>
        <w:spacing w:line="480" w:lineRule="auto" w:before="10"/>
        <w:ind w:left="102" w:right="4069"/>
      </w:pPr>
      <w:r>
        <w:rPr/>
        <w:t>(PDE) Plano de Desenvolvimento da Educação (PEE) Plano Estadual de Educação</w:t>
      </w:r>
    </w:p>
    <w:p>
      <w:pPr>
        <w:pStyle w:val="BodyText"/>
        <w:spacing w:before="10"/>
        <w:ind w:left="102"/>
      </w:pPr>
      <w:r>
        <w:rPr/>
        <w:t>(PME) Plano Municipal de Educação</w:t>
      </w:r>
    </w:p>
    <w:p>
      <w:pPr>
        <w:pStyle w:val="BodyText"/>
        <w:spacing w:before="11"/>
        <w:rPr>
          <w:sz w:val="23"/>
        </w:rPr>
      </w:pPr>
    </w:p>
    <w:p>
      <w:pPr>
        <w:pStyle w:val="BodyText"/>
        <w:spacing w:line="480" w:lineRule="auto"/>
        <w:ind w:left="102" w:right="4115"/>
      </w:pPr>
      <w:r>
        <w:rPr/>
        <w:t>(PNDs) Planos Nacionais de Desenvolvimento (PNE</w:t>
      </w:r>
      <w:r>
        <w:rPr>
          <w:sz w:val="22"/>
        </w:rPr>
        <w:t>) </w:t>
      </w:r>
      <w:r>
        <w:rPr/>
        <w:t>Plano Nacional de Educação</w:t>
      </w:r>
    </w:p>
    <w:p>
      <w:pPr>
        <w:pStyle w:val="BodyText"/>
        <w:spacing w:before="10"/>
        <w:ind w:left="102"/>
      </w:pPr>
      <w:r>
        <w:rPr/>
        <w:t>(PPA) Plano Plurianual</w:t>
      </w:r>
    </w:p>
    <w:p>
      <w:pPr>
        <w:pStyle w:val="BodyText"/>
      </w:pPr>
    </w:p>
    <w:p>
      <w:pPr>
        <w:pStyle w:val="BodyText"/>
        <w:spacing w:line="480" w:lineRule="auto"/>
        <w:ind w:left="102" w:right="2702"/>
      </w:pPr>
      <w:r>
        <w:rPr/>
        <w:t>(SASE) Secretaria de Articulação com os Sistemas de Ensino (SEDUC) Secretaria de Estado da Educação</w:t>
      </w:r>
    </w:p>
    <w:p>
      <w:pPr>
        <w:pStyle w:val="BodyText"/>
        <w:spacing w:before="9"/>
        <w:ind w:left="102"/>
      </w:pPr>
      <w:r>
        <w:rPr/>
        <w:t>(SiMEC) Sistema Integrado de Monitoramento Execução e Controle do Ministério da Educação</w:t>
      </w:r>
    </w:p>
    <w:p>
      <w:pPr>
        <w:spacing w:after="0"/>
        <w:sectPr>
          <w:headerReference w:type="default" r:id="rId14"/>
          <w:pgSz w:w="11910" w:h="16840"/>
          <w:pgMar w:header="0" w:footer="0" w:top="1580" w:bottom="280" w:left="1600" w:right="1580"/>
        </w:sectPr>
      </w:pPr>
    </w:p>
    <w:p>
      <w:pPr>
        <w:pStyle w:val="BodyText"/>
        <w:spacing w:line="480" w:lineRule="auto" w:before="69"/>
        <w:ind w:left="102" w:right="4709"/>
      </w:pPr>
      <w:r>
        <w:rPr/>
        <w:t>(SME) Sistema Municipal de Educação (SNE</w:t>
      </w:r>
      <w:r>
        <w:rPr>
          <w:sz w:val="22"/>
        </w:rPr>
        <w:t>) </w:t>
      </w:r>
      <w:r>
        <w:rPr/>
        <w:t>Sistema Nacional de Educação</w:t>
      </w:r>
    </w:p>
    <w:p>
      <w:pPr>
        <w:pStyle w:val="BodyText"/>
        <w:spacing w:line="480" w:lineRule="auto" w:before="9"/>
        <w:ind w:left="102" w:right="3329"/>
      </w:pPr>
      <w:r>
        <w:rPr/>
        <w:t>(UBES) União Brasileira de Estudantes Secundaristas (UFPE) Universidade Federal de Pernambuco</w:t>
      </w:r>
    </w:p>
    <w:p>
      <w:pPr>
        <w:pStyle w:val="BodyText"/>
        <w:spacing w:line="480" w:lineRule="auto" w:before="9"/>
        <w:ind w:left="102" w:right="1943"/>
      </w:pPr>
      <w:r>
        <w:rPr/>
        <w:t>(UNCME) União Nacional dos Conselhos Municipais de Educação (UNDIME) União Nacional dos Dirigentes Municipais de Educação (UNE) União Nacional dos Estudantes</w:t>
      </w:r>
    </w:p>
    <w:p>
      <w:pPr>
        <w:spacing w:after="0" w:line="480" w:lineRule="auto"/>
        <w:sectPr>
          <w:headerReference w:type="default" r:id="rId15"/>
          <w:pgSz w:w="11910" w:h="16840"/>
          <w:pgMar w:header="0" w:footer="0" w:top="1320" w:bottom="280" w:left="1600" w:right="1680"/>
        </w:sectPr>
      </w:pPr>
    </w:p>
    <w:p>
      <w:pPr>
        <w:pStyle w:val="BodyText"/>
        <w:rPr>
          <w:sz w:val="20"/>
        </w:rPr>
      </w:pPr>
    </w:p>
    <w:p>
      <w:pPr>
        <w:pStyle w:val="BodyText"/>
        <w:rPr>
          <w:sz w:val="20"/>
        </w:rPr>
      </w:pPr>
    </w:p>
    <w:p>
      <w:pPr>
        <w:pStyle w:val="BodyText"/>
        <w:spacing w:before="9"/>
        <w:rPr>
          <w:sz w:val="23"/>
        </w:rPr>
      </w:pPr>
    </w:p>
    <w:p>
      <w:pPr>
        <w:pStyle w:val="BodyText"/>
        <w:tabs>
          <w:tab w:pos="8575" w:val="right" w:leader="dot"/>
        </w:tabs>
        <w:spacing w:before="90"/>
        <w:ind w:left="102" w:right="119"/>
      </w:pPr>
      <w:r>
        <w:rPr>
          <w:b/>
        </w:rPr>
        <w:t>Quadro 1. </w:t>
      </w:r>
      <w:r>
        <w:rPr/>
        <w:t>Avaliador Educacional no Tocantins: função na Rede de Assistência Técnica, local de trabalho</w:t>
      </w:r>
      <w:r>
        <w:rPr>
          <w:spacing w:val="-1"/>
        </w:rPr>
        <w:t> </w:t>
      </w:r>
      <w:r>
        <w:rPr/>
        <w:t>e</w:t>
      </w:r>
      <w:r>
        <w:rPr>
          <w:spacing w:val="-2"/>
        </w:rPr>
        <w:t> </w:t>
      </w:r>
      <w:r>
        <w:rPr/>
        <w:t>formação</w:t>
        <w:tab/>
        <w:t>113</w:t>
      </w:r>
    </w:p>
    <w:p>
      <w:pPr>
        <w:pStyle w:val="BodyText"/>
        <w:tabs>
          <w:tab w:pos="8534" w:val="right" w:leader="dot"/>
        </w:tabs>
        <w:spacing w:before="552"/>
        <w:ind w:left="102" w:right="119"/>
      </w:pPr>
      <w:r>
        <w:rPr>
          <w:b/>
        </w:rPr>
        <w:t>Quadro 2. </w:t>
      </w:r>
      <w:r>
        <w:rPr/>
        <w:t>Avaliadores Educacionais Técnicos do Tocantins, Regionais de Ensino do Tocantins e Municípios para</w:t>
      </w:r>
      <w:r>
        <w:rPr>
          <w:spacing w:val="-3"/>
        </w:rPr>
        <w:t> </w:t>
      </w:r>
      <w:r>
        <w:rPr/>
        <w:t>Assistência</w:t>
      </w:r>
      <w:r>
        <w:rPr>
          <w:spacing w:val="-2"/>
        </w:rPr>
        <w:t> </w:t>
      </w:r>
      <w:r>
        <w:rPr/>
        <w:t>Técnica</w:t>
        <w:tab/>
        <w:t>116</w:t>
      </w:r>
    </w:p>
    <w:p>
      <w:pPr>
        <w:pStyle w:val="BodyText"/>
        <w:tabs>
          <w:tab w:pos="8589" w:val="right" w:leader="dot"/>
        </w:tabs>
        <w:spacing w:before="552"/>
        <w:ind w:left="102"/>
      </w:pPr>
      <w:r>
        <w:rPr>
          <w:b/>
        </w:rPr>
        <w:t>Quadro 3. </w:t>
      </w:r>
      <w:r>
        <w:rPr/>
        <w:t>Conteúdo do Plano Nacional de Educação – Lei</w:t>
      </w:r>
      <w:r>
        <w:rPr>
          <w:spacing w:val="-7"/>
        </w:rPr>
        <w:t> </w:t>
      </w:r>
      <w:r>
        <w:rPr/>
        <w:t>nº</w:t>
      </w:r>
      <w:r>
        <w:rPr>
          <w:spacing w:val="-1"/>
        </w:rPr>
        <w:t> </w:t>
      </w:r>
      <w:r>
        <w:rPr/>
        <w:t>13.005/2014</w:t>
        <w:tab/>
        <w:t>125</w:t>
      </w:r>
    </w:p>
    <w:p>
      <w:pPr>
        <w:pStyle w:val="BodyText"/>
        <w:tabs>
          <w:tab w:pos="8388" w:val="right" w:leader="dot"/>
        </w:tabs>
        <w:spacing w:before="552"/>
        <w:ind w:left="102" w:right="120"/>
      </w:pPr>
      <w:r>
        <w:rPr>
          <w:b/>
        </w:rPr>
        <w:t>Quadro 4. </w:t>
      </w:r>
      <w:r>
        <w:rPr/>
        <w:t>Conteúdos do Plano Nacional de Educação explicitados nos Planos Municipais de Educação</w:t>
      </w:r>
      <w:r>
        <w:rPr>
          <w:spacing w:val="-1"/>
        </w:rPr>
        <w:t> </w:t>
      </w:r>
      <w:r>
        <w:rPr/>
        <w:t>do</w:t>
      </w:r>
      <w:r>
        <w:rPr>
          <w:spacing w:val="-1"/>
        </w:rPr>
        <w:t> </w:t>
      </w:r>
      <w:r>
        <w:rPr/>
        <w:t>Tocantins</w:t>
        <w:tab/>
        <w:t>142</w:t>
      </w:r>
    </w:p>
    <w:p>
      <w:pPr>
        <w:pStyle w:val="BodyText"/>
        <w:tabs>
          <w:tab w:pos="8489" w:val="right" w:leader="dot"/>
        </w:tabs>
        <w:spacing w:before="551"/>
        <w:ind w:left="102" w:right="117"/>
      </w:pPr>
      <w:r>
        <w:rPr>
          <w:b/>
        </w:rPr>
        <w:t>Quadro 5. </w:t>
      </w:r>
      <w:r>
        <w:rPr/>
        <w:t>Conteúdos do Plano Estadual de Educação do Tocantins explicitados nos Planos Municipais de Educação</w:t>
      </w:r>
      <w:r>
        <w:rPr>
          <w:spacing w:val="-2"/>
        </w:rPr>
        <w:t> </w:t>
      </w:r>
      <w:r>
        <w:rPr/>
        <w:t>do</w:t>
      </w:r>
      <w:r>
        <w:rPr>
          <w:spacing w:val="-1"/>
        </w:rPr>
        <w:t> </w:t>
      </w:r>
      <w:r>
        <w:rPr/>
        <w:t>Tocantins</w:t>
        <w:tab/>
        <w:t>144</w:t>
      </w:r>
    </w:p>
    <w:p>
      <w:pPr>
        <w:spacing w:after="0"/>
        <w:sectPr>
          <w:headerReference w:type="default" r:id="rId16"/>
          <w:pgSz w:w="11910" w:h="16840"/>
          <w:pgMar w:header="1423" w:footer="0" w:top="1680" w:bottom="280" w:left="1600" w:right="1580"/>
        </w:sectPr>
      </w:pPr>
    </w:p>
    <w:p>
      <w:pPr>
        <w:pStyle w:val="BodyText"/>
        <w:rPr>
          <w:sz w:val="26"/>
        </w:rPr>
      </w:pPr>
    </w:p>
    <w:p>
      <w:pPr>
        <w:pStyle w:val="BodyText"/>
        <w:rPr>
          <w:sz w:val="26"/>
        </w:rPr>
      </w:pPr>
    </w:p>
    <w:p>
      <w:pPr>
        <w:pStyle w:val="BodyText"/>
        <w:tabs>
          <w:tab w:pos="8229" w:val="left" w:leader="dot"/>
        </w:tabs>
        <w:spacing w:before="225"/>
        <w:ind w:left="102" w:right="102"/>
      </w:pPr>
      <w:r>
        <w:rPr>
          <w:b/>
        </w:rPr>
        <w:t>Tabela 1. </w:t>
      </w:r>
      <w:r>
        <w:rPr/>
        <w:t>Situação dos Municípios no Tocantins em relação às etapas do processo de elaboração e/ou adequação</w:t>
      </w:r>
      <w:r>
        <w:rPr>
          <w:spacing w:val="-1"/>
        </w:rPr>
        <w:t> </w:t>
      </w:r>
      <w:r>
        <w:rPr/>
        <w:t>dos</w:t>
      </w:r>
      <w:r>
        <w:rPr>
          <w:spacing w:val="-1"/>
        </w:rPr>
        <w:t> </w:t>
      </w:r>
      <w:r>
        <w:rPr/>
        <w:t>PMEs</w:t>
        <w:tab/>
        <w:t>122</w:t>
      </w:r>
    </w:p>
    <w:p>
      <w:pPr>
        <w:pStyle w:val="BodyText"/>
        <w:rPr>
          <w:sz w:val="26"/>
        </w:rPr>
      </w:pPr>
    </w:p>
    <w:p>
      <w:pPr>
        <w:pStyle w:val="BodyText"/>
        <w:spacing w:before="10"/>
        <w:rPr>
          <w:sz w:val="21"/>
        </w:rPr>
      </w:pPr>
    </w:p>
    <w:p>
      <w:pPr>
        <w:pStyle w:val="BodyText"/>
        <w:tabs>
          <w:tab w:pos="8227" w:val="left" w:leader="dot"/>
        </w:tabs>
        <w:spacing w:before="1"/>
        <w:ind w:left="102"/>
      </w:pPr>
      <w:r>
        <w:rPr>
          <w:b/>
        </w:rPr>
        <w:t>Tabela 2. </w:t>
      </w:r>
      <w:r>
        <w:rPr/>
        <w:t>Formatação de 78 PMEs no Tocantins com 20 metas</w:t>
      </w:r>
      <w:r>
        <w:rPr>
          <w:spacing w:val="-7"/>
        </w:rPr>
        <w:t> </w:t>
      </w:r>
      <w:r>
        <w:rPr/>
        <w:t>e</w:t>
      </w:r>
      <w:r>
        <w:rPr>
          <w:spacing w:val="-3"/>
        </w:rPr>
        <w:t> </w:t>
      </w:r>
      <w:r>
        <w:rPr/>
        <w:t>seções</w:t>
        <w:tab/>
        <w:t>129</w:t>
      </w:r>
    </w:p>
    <w:p>
      <w:pPr>
        <w:pStyle w:val="BodyText"/>
        <w:rPr>
          <w:sz w:val="26"/>
        </w:rPr>
      </w:pPr>
    </w:p>
    <w:p>
      <w:pPr>
        <w:pStyle w:val="BodyText"/>
        <w:rPr>
          <w:sz w:val="22"/>
        </w:rPr>
      </w:pPr>
    </w:p>
    <w:p>
      <w:pPr>
        <w:pStyle w:val="BodyText"/>
        <w:tabs>
          <w:tab w:pos="8186" w:val="left" w:leader="dot"/>
        </w:tabs>
        <w:ind w:left="102"/>
      </w:pPr>
      <w:r>
        <w:rPr>
          <w:b/>
        </w:rPr>
        <w:t>Tabela 3. </w:t>
      </w:r>
      <w:r>
        <w:rPr/>
        <w:t>Formatação de 10 PMEs no Tocantins com mais de 20 metas</w:t>
      </w:r>
      <w:r>
        <w:rPr>
          <w:spacing w:val="-10"/>
        </w:rPr>
        <w:t> </w:t>
      </w:r>
      <w:r>
        <w:rPr/>
        <w:t>e</w:t>
      </w:r>
      <w:r>
        <w:rPr>
          <w:spacing w:val="-1"/>
        </w:rPr>
        <w:t> </w:t>
      </w:r>
      <w:r>
        <w:rPr/>
        <w:t>seções</w:t>
        <w:tab/>
        <w:t>137</w:t>
      </w:r>
    </w:p>
    <w:p>
      <w:pPr>
        <w:pStyle w:val="BodyText"/>
        <w:rPr>
          <w:sz w:val="26"/>
        </w:rPr>
      </w:pPr>
    </w:p>
    <w:p>
      <w:pPr>
        <w:pStyle w:val="BodyText"/>
        <w:spacing w:before="11"/>
        <w:rPr>
          <w:sz w:val="21"/>
        </w:rPr>
      </w:pPr>
    </w:p>
    <w:p>
      <w:pPr>
        <w:pStyle w:val="BodyText"/>
        <w:tabs>
          <w:tab w:pos="8241" w:val="left" w:leader="dot"/>
        </w:tabs>
        <w:ind w:left="102"/>
      </w:pPr>
      <w:r>
        <w:rPr>
          <w:b/>
        </w:rPr>
        <w:t>Tabela 4. </w:t>
      </w:r>
      <w:r>
        <w:rPr/>
        <w:t>Formatação de PMEs no Tocantins com menos de 20 metas</w:t>
      </w:r>
      <w:r>
        <w:rPr>
          <w:spacing w:val="-9"/>
        </w:rPr>
        <w:t> </w:t>
      </w:r>
      <w:r>
        <w:rPr/>
        <w:t>e</w:t>
      </w:r>
      <w:r>
        <w:rPr>
          <w:spacing w:val="-1"/>
        </w:rPr>
        <w:t> </w:t>
      </w:r>
      <w:r>
        <w:rPr/>
        <w:t>seções</w:t>
        <w:tab/>
        <w:t>139</w:t>
      </w:r>
    </w:p>
    <w:p>
      <w:pPr>
        <w:spacing w:after="0"/>
        <w:sectPr>
          <w:headerReference w:type="default" r:id="rId17"/>
          <w:pgSz w:w="11910" w:h="16840"/>
          <w:pgMar w:header="1423" w:footer="0" w:top="1680" w:bottom="280" w:left="1600" w:right="1600"/>
        </w:sectPr>
      </w:pPr>
    </w:p>
    <w:p>
      <w:pPr>
        <w:pStyle w:val="BodyText"/>
        <w:rPr>
          <w:sz w:val="20"/>
        </w:rPr>
      </w:pPr>
    </w:p>
    <w:p>
      <w:pPr>
        <w:pStyle w:val="BodyText"/>
        <w:rPr>
          <w:sz w:val="20"/>
        </w:rPr>
      </w:pPr>
    </w:p>
    <w:p>
      <w:pPr>
        <w:pStyle w:val="BodyText"/>
        <w:spacing w:before="9"/>
        <w:rPr>
          <w:sz w:val="23"/>
        </w:rPr>
      </w:pPr>
    </w:p>
    <w:p>
      <w:pPr>
        <w:pStyle w:val="BodyText"/>
        <w:tabs>
          <w:tab w:pos="8196" w:val="left" w:leader="dot"/>
        </w:tabs>
        <w:spacing w:before="90"/>
        <w:ind w:left="102"/>
      </w:pPr>
      <w:r>
        <w:rPr>
          <w:b/>
        </w:rPr>
        <w:t>Figura 1. </w:t>
      </w:r>
      <w:r>
        <w:rPr/>
        <w:t>Organograma – Avaliadores Educacionais no Estado</w:t>
      </w:r>
      <w:r>
        <w:rPr>
          <w:spacing w:val="-6"/>
        </w:rPr>
        <w:t> </w:t>
      </w:r>
      <w:r>
        <w:rPr/>
        <w:t>do</w:t>
      </w:r>
      <w:r>
        <w:rPr>
          <w:spacing w:val="-1"/>
        </w:rPr>
        <w:t> </w:t>
      </w:r>
      <w:r>
        <w:rPr/>
        <w:t>Tocantins</w:t>
        <w:tab/>
        <w:t>113</w:t>
      </w:r>
    </w:p>
    <w:p>
      <w:pPr>
        <w:pStyle w:val="BodyText"/>
        <w:tabs>
          <w:tab w:pos="8208" w:val="left" w:leader="dot"/>
        </w:tabs>
        <w:spacing w:before="552"/>
        <w:ind w:left="102" w:right="105"/>
      </w:pPr>
      <w:r>
        <w:rPr>
          <w:b/>
        </w:rPr>
        <w:t>Figura 2. </w:t>
      </w:r>
      <w:r>
        <w:rPr/>
        <w:t>Mapa de situação dos Municípios do Tocantins em relação as etapas do processo de elaboração e/ou adequação dos PMEs,</w:t>
      </w:r>
      <w:r>
        <w:rPr>
          <w:spacing w:val="-5"/>
        </w:rPr>
        <w:t> </w:t>
      </w:r>
      <w:r>
        <w:rPr/>
        <w:t>em</w:t>
      </w:r>
      <w:r>
        <w:rPr>
          <w:spacing w:val="-1"/>
        </w:rPr>
        <w:t> </w:t>
      </w:r>
      <w:r>
        <w:rPr/>
        <w:t>2014</w:t>
        <w:tab/>
        <w:t>122</w:t>
      </w:r>
    </w:p>
    <w:p>
      <w:pPr>
        <w:pStyle w:val="BodyText"/>
        <w:tabs>
          <w:tab w:pos="8136" w:val="left" w:leader="dot"/>
        </w:tabs>
        <w:spacing w:before="552"/>
        <w:ind w:left="102" w:right="99"/>
      </w:pPr>
      <w:r>
        <w:rPr>
          <w:b/>
        </w:rPr>
        <w:t>Figura 3. </w:t>
      </w:r>
      <w:r>
        <w:rPr/>
        <w:t>Exemplo de registro das etapas do processo de elaboração e/ou adequação dos PMEs no Estado do Tocantins realizadas no Município, em junho</w:t>
      </w:r>
      <w:r>
        <w:rPr>
          <w:spacing w:val="-6"/>
        </w:rPr>
        <w:t> </w:t>
      </w:r>
      <w:r>
        <w:rPr/>
        <w:t>de</w:t>
      </w:r>
      <w:r>
        <w:rPr>
          <w:spacing w:val="-2"/>
        </w:rPr>
        <w:t> </w:t>
      </w:r>
      <w:r>
        <w:rPr/>
        <w:t>2015</w:t>
        <w:tab/>
        <w:t>124</w:t>
      </w:r>
    </w:p>
    <w:p>
      <w:pPr>
        <w:pStyle w:val="BodyText"/>
        <w:tabs>
          <w:tab w:pos="8244" w:val="left" w:leader="dot"/>
        </w:tabs>
        <w:spacing w:before="552"/>
        <w:ind w:left="102" w:right="100"/>
      </w:pPr>
      <w:r>
        <w:rPr>
          <w:b/>
        </w:rPr>
        <w:t>Figura 4. </w:t>
      </w:r>
      <w:r>
        <w:rPr/>
        <w:t>Metas desconsideradas como competências do Município de Itapiratins no Estado</w:t>
      </w:r>
      <w:r>
        <w:rPr>
          <w:spacing w:val="-2"/>
        </w:rPr>
        <w:t> </w:t>
      </w:r>
      <w:r>
        <w:rPr/>
        <w:t>do</w:t>
      </w:r>
      <w:r>
        <w:rPr>
          <w:spacing w:val="-1"/>
        </w:rPr>
        <w:t> </w:t>
      </w:r>
      <w:r>
        <w:rPr/>
        <w:t>Tocantins</w:t>
        <w:tab/>
        <w:t>146</w:t>
      </w:r>
    </w:p>
    <w:p>
      <w:pPr>
        <w:spacing w:after="0"/>
        <w:sectPr>
          <w:headerReference w:type="default" r:id="rId18"/>
          <w:pgSz w:w="11910" w:h="16840"/>
          <w:pgMar w:header="1423" w:footer="0" w:top="1680" w:bottom="280" w:left="1600" w:right="1600"/>
        </w:sectPr>
      </w:pPr>
    </w:p>
    <w:p>
      <w:pPr>
        <w:pStyle w:val="BodyText"/>
        <w:rPr>
          <w:sz w:val="26"/>
        </w:rPr>
      </w:pPr>
    </w:p>
    <w:p>
      <w:pPr>
        <w:pStyle w:val="BodyText"/>
        <w:rPr>
          <w:sz w:val="26"/>
        </w:rPr>
      </w:pPr>
    </w:p>
    <w:p>
      <w:pPr>
        <w:tabs>
          <w:tab w:pos="8311" w:val="left" w:leader="dot"/>
        </w:tabs>
        <w:spacing w:before="225"/>
        <w:ind w:left="102" w:right="0" w:firstLine="0"/>
        <w:jc w:val="left"/>
        <w:rPr>
          <w:sz w:val="24"/>
        </w:rPr>
      </w:pPr>
      <w:r>
        <w:rPr>
          <w:b/>
          <w:sz w:val="24"/>
        </w:rPr>
        <w:t>INTRODUÇÃO</w:t>
      </w:r>
      <w:r>
        <w:rPr>
          <w:sz w:val="24"/>
        </w:rPr>
        <w:tab/>
        <w:t>18</w:t>
      </w:r>
    </w:p>
    <w:p>
      <w:pPr>
        <w:pStyle w:val="BodyText"/>
        <w:rPr>
          <w:sz w:val="26"/>
        </w:rPr>
      </w:pPr>
    </w:p>
    <w:p>
      <w:pPr>
        <w:pStyle w:val="BodyText"/>
        <w:spacing w:before="10"/>
        <w:rPr>
          <w:sz w:val="21"/>
        </w:rPr>
      </w:pPr>
    </w:p>
    <w:p>
      <w:pPr>
        <w:tabs>
          <w:tab w:pos="8364" w:val="left" w:leader="dot"/>
        </w:tabs>
        <w:spacing w:before="1"/>
        <w:ind w:left="102" w:right="0" w:firstLine="0"/>
        <w:jc w:val="left"/>
        <w:rPr>
          <w:sz w:val="24"/>
        </w:rPr>
      </w:pPr>
      <w:r>
        <w:rPr>
          <w:b/>
          <w:sz w:val="24"/>
        </w:rPr>
        <w:t>CAPÍTULO</w:t>
      </w:r>
      <w:r>
        <w:rPr>
          <w:b/>
          <w:spacing w:val="-1"/>
          <w:sz w:val="24"/>
        </w:rPr>
        <w:t> </w:t>
      </w:r>
      <w:r>
        <w:rPr>
          <w:b/>
          <w:sz w:val="24"/>
        </w:rPr>
        <w:t>I</w:t>
      </w:r>
      <w:r>
        <w:rPr>
          <w:sz w:val="24"/>
        </w:rPr>
        <w:tab/>
        <w:t>24</w:t>
      </w:r>
    </w:p>
    <w:p>
      <w:pPr>
        <w:pStyle w:val="Heading1"/>
        <w:tabs>
          <w:tab w:pos="3770" w:val="left" w:leader="none"/>
          <w:tab w:pos="8309" w:val="left" w:leader="dot"/>
        </w:tabs>
        <w:spacing w:line="237" w:lineRule="auto" w:before="7"/>
        <w:ind w:right="118"/>
        <w:jc w:val="both"/>
        <w:rPr>
          <w:b w:val="0"/>
        </w:rPr>
      </w:pPr>
      <w:r>
        <w:rPr/>
        <w:t>PLANEJAMENTO DE POLÍTICAS PÚBLICAS NO PROCESSO DE INSTITUCIONALIZAÇÃO</w:t>
        <w:tab/>
        <w:t>DA           </w:t>
      </w:r>
      <w:r>
        <w:rPr>
          <w:spacing w:val="42"/>
        </w:rPr>
        <w:t> </w:t>
      </w:r>
      <w:r>
        <w:rPr/>
        <w:t>EDUCAÇÃO           </w:t>
      </w:r>
      <w:r>
        <w:rPr>
          <w:spacing w:val="41"/>
        </w:rPr>
        <w:t> </w:t>
      </w:r>
      <w:r>
        <w:rPr/>
        <w:t>BRASILEIRA:</w:t>
      </w:r>
      <w:r>
        <w:rPr>
          <w:w w:val="99"/>
        </w:rPr>
        <w:t> </w:t>
      </w:r>
      <w:r>
        <w:rPr/>
        <w:t>INTENCIONALIDADES</w:t>
      </w:r>
      <w:r>
        <w:rPr>
          <w:spacing w:val="-2"/>
        </w:rPr>
        <w:t> </w:t>
      </w:r>
      <w:r>
        <w:rPr/>
        <w:t>EM</w:t>
      </w:r>
      <w:r>
        <w:rPr>
          <w:spacing w:val="-3"/>
        </w:rPr>
        <w:t> </w:t>
      </w:r>
      <w:r>
        <w:rPr/>
        <w:t>DISPUTA</w:t>
      </w:r>
      <w:r>
        <w:rPr>
          <w:b w:val="0"/>
        </w:rPr>
        <w:tab/>
        <w:t>24</w:t>
      </w:r>
    </w:p>
    <w:p>
      <w:pPr>
        <w:pStyle w:val="ListParagraph"/>
        <w:numPr>
          <w:ilvl w:val="1"/>
          <w:numId w:val="1"/>
        </w:numPr>
        <w:tabs>
          <w:tab w:pos="789" w:val="left" w:leader="none"/>
          <w:tab w:pos="8352" w:val="left" w:leader="dot"/>
        </w:tabs>
        <w:spacing w:line="272" w:lineRule="exact" w:before="11" w:after="0"/>
        <w:ind w:left="385" w:right="125" w:firstLine="0"/>
        <w:jc w:val="left"/>
        <w:rPr>
          <w:sz w:val="24"/>
        </w:rPr>
      </w:pPr>
      <w:r>
        <w:rPr>
          <w:b/>
          <w:sz w:val="24"/>
        </w:rPr>
        <w:t>Planejamento no campo da educação: diferentes tipos de racionalidade e tensões –</w:t>
      </w:r>
      <w:r>
        <w:rPr>
          <w:b/>
          <w:spacing w:val="-3"/>
          <w:sz w:val="24"/>
        </w:rPr>
        <w:t> </w:t>
      </w:r>
      <w:r>
        <w:rPr>
          <w:b/>
          <w:sz w:val="24"/>
        </w:rPr>
        <w:t>considerações iniciais</w:t>
      </w:r>
      <w:r>
        <w:rPr>
          <w:sz w:val="24"/>
        </w:rPr>
        <w:tab/>
        <w:t>26</w:t>
      </w:r>
    </w:p>
    <w:p>
      <w:pPr>
        <w:pStyle w:val="BodyText"/>
        <w:spacing w:before="8"/>
      </w:pPr>
    </w:p>
    <w:p>
      <w:pPr>
        <w:pStyle w:val="ListParagraph"/>
        <w:numPr>
          <w:ilvl w:val="1"/>
          <w:numId w:val="1"/>
        </w:numPr>
        <w:tabs>
          <w:tab w:pos="834" w:val="left" w:leader="none"/>
          <w:tab w:pos="8313" w:val="left" w:leader="dot"/>
        </w:tabs>
        <w:spacing w:line="272" w:lineRule="exact" w:before="0" w:after="0"/>
        <w:ind w:left="385" w:right="122" w:firstLine="0"/>
        <w:jc w:val="left"/>
        <w:rPr>
          <w:sz w:val="24"/>
        </w:rPr>
      </w:pPr>
      <w:r>
        <w:rPr>
          <w:b/>
          <w:sz w:val="24"/>
        </w:rPr>
        <w:t>Planejamento educacional no Brasil: elementos e intencionalidades no processo histórico de organização/institucionalização</w:t>
      </w:r>
      <w:r>
        <w:rPr>
          <w:b/>
          <w:spacing w:val="-8"/>
          <w:sz w:val="24"/>
        </w:rPr>
        <w:t> </w:t>
      </w:r>
      <w:r>
        <w:rPr>
          <w:b/>
          <w:sz w:val="24"/>
        </w:rPr>
        <w:t>da</w:t>
      </w:r>
      <w:r>
        <w:rPr>
          <w:b/>
          <w:spacing w:val="-2"/>
          <w:sz w:val="24"/>
        </w:rPr>
        <w:t> </w:t>
      </w:r>
      <w:r>
        <w:rPr>
          <w:b/>
          <w:sz w:val="24"/>
        </w:rPr>
        <w:t>educação</w:t>
      </w:r>
      <w:r>
        <w:rPr>
          <w:sz w:val="24"/>
        </w:rPr>
        <w:tab/>
        <w:t>30</w:t>
      </w:r>
    </w:p>
    <w:p>
      <w:pPr>
        <w:pStyle w:val="ListParagraph"/>
        <w:numPr>
          <w:ilvl w:val="2"/>
          <w:numId w:val="1"/>
        </w:numPr>
        <w:tabs>
          <w:tab w:pos="1216" w:val="left" w:leader="none"/>
          <w:tab w:pos="8316" w:val="left" w:leader="dot"/>
        </w:tabs>
        <w:spacing w:line="272" w:lineRule="exact" w:before="8" w:after="0"/>
        <w:ind w:left="668" w:right="122" w:firstLine="0"/>
        <w:jc w:val="both"/>
        <w:rPr>
          <w:sz w:val="24"/>
        </w:rPr>
      </w:pPr>
      <w:r>
        <w:rPr>
          <w:b/>
          <w:sz w:val="24"/>
        </w:rPr>
        <w:t>Planejamento educacional no Brasil: um ideário do século XX e disputa entre teses socialistas e</w:t>
      </w:r>
      <w:r>
        <w:rPr>
          <w:b/>
          <w:spacing w:val="-5"/>
          <w:sz w:val="24"/>
        </w:rPr>
        <w:t> </w:t>
      </w:r>
      <w:r>
        <w:rPr>
          <w:b/>
          <w:sz w:val="24"/>
        </w:rPr>
        <w:t>teses</w:t>
      </w:r>
      <w:r>
        <w:rPr>
          <w:b/>
          <w:spacing w:val="-2"/>
          <w:sz w:val="24"/>
        </w:rPr>
        <w:t> </w:t>
      </w:r>
      <w:r>
        <w:rPr>
          <w:b/>
          <w:sz w:val="24"/>
        </w:rPr>
        <w:t>liberais</w:t>
      </w:r>
      <w:r>
        <w:rPr>
          <w:sz w:val="24"/>
        </w:rPr>
        <w:tab/>
        <w:t>30</w:t>
      </w:r>
    </w:p>
    <w:p>
      <w:pPr>
        <w:pStyle w:val="ListParagraph"/>
        <w:numPr>
          <w:ilvl w:val="2"/>
          <w:numId w:val="1"/>
        </w:numPr>
        <w:tabs>
          <w:tab w:pos="1278" w:val="left" w:leader="none"/>
          <w:tab w:pos="8342" w:val="left" w:leader="dot"/>
        </w:tabs>
        <w:spacing w:line="272" w:lineRule="exact" w:before="8" w:after="0"/>
        <w:ind w:left="668" w:right="124" w:firstLine="0"/>
        <w:jc w:val="both"/>
        <w:rPr>
          <w:sz w:val="24"/>
        </w:rPr>
      </w:pPr>
      <w:r>
        <w:rPr>
          <w:b/>
          <w:sz w:val="24"/>
        </w:rPr>
        <w:t>Dos anos 1950 à ditadura militar: o planejamento tecnocrático no Estado</w:t>
      </w:r>
      <w:r>
        <w:rPr>
          <w:b/>
          <w:spacing w:val="-1"/>
          <w:sz w:val="24"/>
        </w:rPr>
        <w:t> </w:t>
      </w:r>
      <w:r>
        <w:rPr>
          <w:b/>
          <w:sz w:val="24"/>
        </w:rPr>
        <w:t>liberal</w:t>
      </w:r>
      <w:r>
        <w:rPr>
          <w:sz w:val="24"/>
        </w:rPr>
        <w:tab/>
        <w:t>34</w:t>
      </w:r>
    </w:p>
    <w:p>
      <w:pPr>
        <w:pStyle w:val="ListParagraph"/>
        <w:numPr>
          <w:ilvl w:val="2"/>
          <w:numId w:val="1"/>
        </w:numPr>
        <w:tabs>
          <w:tab w:pos="1216" w:val="left" w:leader="none"/>
          <w:tab w:pos="7997" w:val="left" w:leader="dot"/>
        </w:tabs>
        <w:spacing w:line="272" w:lineRule="exact" w:before="8" w:after="0"/>
        <w:ind w:left="668" w:right="118" w:firstLine="0"/>
        <w:jc w:val="both"/>
        <w:rPr>
          <w:sz w:val="24"/>
        </w:rPr>
      </w:pPr>
      <w:r>
        <w:rPr>
          <w:b/>
          <w:sz w:val="24"/>
        </w:rPr>
        <w:t>Abertura política e abertura ao exterior: permanência do planejamento como campo</w:t>
      </w:r>
      <w:r>
        <w:rPr>
          <w:b/>
          <w:spacing w:val="-2"/>
          <w:sz w:val="24"/>
        </w:rPr>
        <w:t> </w:t>
      </w:r>
      <w:r>
        <w:rPr>
          <w:b/>
          <w:sz w:val="24"/>
        </w:rPr>
        <w:t>de</w:t>
      </w:r>
      <w:r>
        <w:rPr>
          <w:b/>
          <w:spacing w:val="-2"/>
          <w:sz w:val="24"/>
        </w:rPr>
        <w:t> </w:t>
      </w:r>
      <w:r>
        <w:rPr>
          <w:b/>
          <w:sz w:val="24"/>
        </w:rPr>
        <w:t>disputa</w:t>
      </w:r>
      <w:r>
        <w:rPr>
          <w:sz w:val="24"/>
        </w:rPr>
        <w:tab/>
        <w:t>37</w:t>
      </w:r>
    </w:p>
    <w:p>
      <w:pPr>
        <w:pStyle w:val="ListParagraph"/>
        <w:numPr>
          <w:ilvl w:val="2"/>
          <w:numId w:val="1"/>
        </w:numPr>
        <w:tabs>
          <w:tab w:pos="1237" w:val="left" w:leader="none"/>
          <w:tab w:pos="8349" w:val="left" w:leader="dot"/>
        </w:tabs>
        <w:spacing w:line="237" w:lineRule="auto" w:before="4" w:after="0"/>
        <w:ind w:left="668" w:right="120" w:firstLine="0"/>
        <w:jc w:val="both"/>
        <w:rPr>
          <w:sz w:val="24"/>
        </w:rPr>
      </w:pPr>
      <w:r>
        <w:rPr>
          <w:b/>
          <w:sz w:val="24"/>
        </w:rPr>
        <w:t>Neoliberalismo e reforma do Estado no Brasil: disputa entre as ideias  do planejamento normativo/tradicional</w:t>
      </w:r>
      <w:r>
        <w:rPr>
          <w:sz w:val="24"/>
        </w:rPr>
        <w:t>, </w:t>
      </w:r>
      <w:r>
        <w:rPr>
          <w:b/>
          <w:sz w:val="24"/>
        </w:rPr>
        <w:t>planejamento estratégico e planejamento</w:t>
      </w:r>
      <w:r>
        <w:rPr>
          <w:b/>
          <w:spacing w:val="-2"/>
          <w:sz w:val="24"/>
        </w:rPr>
        <w:t> </w:t>
      </w:r>
      <w:r>
        <w:rPr>
          <w:b/>
          <w:sz w:val="24"/>
        </w:rPr>
        <w:t>participativo/social</w:t>
      </w:r>
      <w:r>
        <w:rPr>
          <w:sz w:val="24"/>
        </w:rPr>
        <w:tab/>
        <w:t>41</w:t>
      </w:r>
    </w:p>
    <w:p>
      <w:pPr>
        <w:pStyle w:val="ListParagraph"/>
        <w:numPr>
          <w:ilvl w:val="2"/>
          <w:numId w:val="1"/>
        </w:numPr>
        <w:tabs>
          <w:tab w:pos="1343" w:val="left" w:leader="none"/>
          <w:tab w:pos="8214" w:val="left" w:leader="dot"/>
        </w:tabs>
        <w:spacing w:line="237" w:lineRule="auto" w:before="7" w:after="0"/>
        <w:ind w:left="668" w:right="115" w:firstLine="0"/>
        <w:jc w:val="both"/>
        <w:rPr>
          <w:sz w:val="24"/>
        </w:rPr>
      </w:pPr>
      <w:r>
        <w:rPr>
          <w:b/>
          <w:sz w:val="24"/>
        </w:rPr>
        <w:t>Entre permanências e rupturas (?): tensão entre o Plano de Desenvolvimento da Educação (estratégico) e o Plano Nacional de Educação (democrático)</w:t>
      </w:r>
      <w:r>
        <w:rPr>
          <w:sz w:val="24"/>
        </w:rPr>
        <w:tab/>
        <w:t>47</w:t>
      </w:r>
    </w:p>
    <w:p>
      <w:pPr>
        <w:pStyle w:val="BodyText"/>
        <w:rPr>
          <w:sz w:val="25"/>
        </w:rPr>
      </w:pPr>
    </w:p>
    <w:p>
      <w:pPr>
        <w:pStyle w:val="ListParagraph"/>
        <w:numPr>
          <w:ilvl w:val="1"/>
          <w:numId w:val="1"/>
        </w:numPr>
        <w:tabs>
          <w:tab w:pos="750" w:val="left" w:leader="none"/>
          <w:tab w:pos="8366" w:val="left" w:leader="dot"/>
        </w:tabs>
        <w:spacing w:line="272" w:lineRule="exact" w:before="0" w:after="0"/>
        <w:ind w:left="385" w:right="117" w:firstLine="0"/>
        <w:jc w:val="left"/>
        <w:rPr>
          <w:sz w:val="24"/>
        </w:rPr>
      </w:pPr>
      <w:r>
        <w:rPr>
          <w:b/>
          <w:sz w:val="24"/>
        </w:rPr>
        <w:t>Planejamento no campo da educação: diferentes tipos de intencionalidades e tensões – em busca de</w:t>
      </w:r>
      <w:r>
        <w:rPr>
          <w:b/>
          <w:spacing w:val="-10"/>
          <w:sz w:val="24"/>
        </w:rPr>
        <w:t> </w:t>
      </w:r>
      <w:r>
        <w:rPr>
          <w:b/>
          <w:sz w:val="24"/>
        </w:rPr>
        <w:t>uma</w:t>
      </w:r>
      <w:r>
        <w:rPr>
          <w:b/>
          <w:spacing w:val="-1"/>
          <w:sz w:val="24"/>
        </w:rPr>
        <w:t> </w:t>
      </w:r>
      <w:r>
        <w:rPr>
          <w:b/>
          <w:sz w:val="24"/>
        </w:rPr>
        <w:t>síntese</w:t>
      </w:r>
      <w:r>
        <w:rPr>
          <w:sz w:val="24"/>
        </w:rPr>
        <w:tab/>
        <w:t>50</w:t>
      </w:r>
    </w:p>
    <w:p>
      <w:pPr>
        <w:pStyle w:val="ListParagraph"/>
        <w:numPr>
          <w:ilvl w:val="2"/>
          <w:numId w:val="1"/>
        </w:numPr>
        <w:tabs>
          <w:tab w:pos="1209" w:val="left" w:leader="none"/>
          <w:tab w:pos="8361" w:val="left" w:leader="dot"/>
        </w:tabs>
        <w:spacing w:line="274" w:lineRule="exact" w:before="0" w:after="0"/>
        <w:ind w:left="668" w:right="0" w:firstLine="0"/>
        <w:jc w:val="both"/>
        <w:rPr>
          <w:sz w:val="24"/>
        </w:rPr>
      </w:pPr>
      <w:r>
        <w:rPr>
          <w:b/>
          <w:sz w:val="24"/>
        </w:rPr>
        <w:t>Planejamento em uma</w:t>
      </w:r>
      <w:r>
        <w:rPr>
          <w:b/>
          <w:spacing w:val="-5"/>
          <w:sz w:val="24"/>
        </w:rPr>
        <w:t> </w:t>
      </w:r>
      <w:r>
        <w:rPr>
          <w:b/>
          <w:sz w:val="24"/>
        </w:rPr>
        <w:t>concepção conservadora/alienadora</w:t>
      </w:r>
      <w:r>
        <w:rPr>
          <w:sz w:val="24"/>
        </w:rPr>
        <w:tab/>
        <w:t>50</w:t>
      </w:r>
    </w:p>
    <w:p>
      <w:pPr>
        <w:pStyle w:val="ListParagraph"/>
        <w:numPr>
          <w:ilvl w:val="2"/>
          <w:numId w:val="1"/>
        </w:numPr>
        <w:tabs>
          <w:tab w:pos="1278" w:val="left" w:leader="none"/>
          <w:tab w:pos="8323" w:val="left" w:leader="dot"/>
        </w:tabs>
        <w:spacing w:line="272" w:lineRule="exact" w:before="11" w:after="0"/>
        <w:ind w:left="668" w:right="126" w:firstLine="0"/>
        <w:jc w:val="both"/>
        <w:rPr>
          <w:sz w:val="24"/>
        </w:rPr>
      </w:pPr>
      <w:r>
        <w:rPr>
          <w:b/>
          <w:sz w:val="24"/>
        </w:rPr>
        <w:t>Planejamento em uma concepção transformadora/comprometimento social</w:t>
      </w:r>
      <w:r>
        <w:rPr>
          <w:sz w:val="24"/>
        </w:rPr>
        <w:tab/>
        <w:tab/>
        <w:t>53</w:t>
      </w:r>
    </w:p>
    <w:p>
      <w:pPr>
        <w:pStyle w:val="BodyText"/>
        <w:rPr>
          <w:sz w:val="26"/>
        </w:rPr>
      </w:pPr>
    </w:p>
    <w:p>
      <w:pPr>
        <w:pStyle w:val="BodyText"/>
        <w:spacing w:before="8"/>
        <w:rPr>
          <w:sz w:val="21"/>
        </w:rPr>
      </w:pPr>
    </w:p>
    <w:p>
      <w:pPr>
        <w:tabs>
          <w:tab w:pos="8337" w:val="left" w:leader="dot"/>
        </w:tabs>
        <w:spacing w:before="0"/>
        <w:ind w:left="102" w:right="0" w:firstLine="0"/>
        <w:jc w:val="left"/>
        <w:rPr>
          <w:sz w:val="24"/>
        </w:rPr>
      </w:pPr>
      <w:r>
        <w:rPr>
          <w:b/>
          <w:sz w:val="24"/>
        </w:rPr>
        <w:t>CAPÍTULO</w:t>
      </w:r>
      <w:r>
        <w:rPr>
          <w:b/>
          <w:spacing w:val="-1"/>
          <w:sz w:val="24"/>
        </w:rPr>
        <w:t> </w:t>
      </w:r>
      <w:r>
        <w:rPr>
          <w:b/>
          <w:sz w:val="24"/>
        </w:rPr>
        <w:t>II</w:t>
      </w:r>
      <w:r>
        <w:rPr>
          <w:sz w:val="24"/>
        </w:rPr>
        <w:tab/>
        <w:t>56</w:t>
      </w:r>
    </w:p>
    <w:p>
      <w:pPr>
        <w:pStyle w:val="Heading1"/>
        <w:tabs>
          <w:tab w:pos="8318" w:val="left" w:leader="dot"/>
        </w:tabs>
        <w:spacing w:line="272" w:lineRule="exact" w:before="10"/>
        <w:ind w:right="123"/>
        <w:rPr>
          <w:b w:val="0"/>
        </w:rPr>
      </w:pPr>
      <w:r>
        <w:rPr/>
        <w:t>PLANEJAMENTO NA EDUCAÇÃO MUNICIPAL: INTENCIONALIDADES NAS/DAS DIRETRIZES E ORIENTAÇÕES</w:t>
      </w:r>
      <w:r>
        <w:rPr>
          <w:spacing w:val="-5"/>
        </w:rPr>
        <w:t> </w:t>
      </w:r>
      <w:r>
        <w:rPr/>
        <w:t>NACIONAIS</w:t>
      </w:r>
      <w:r>
        <w:rPr>
          <w:spacing w:val="-1"/>
        </w:rPr>
        <w:t> </w:t>
      </w:r>
      <w:r>
        <w:rPr/>
        <w:t>(2005-2014)</w:t>
      </w:r>
      <w:r>
        <w:rPr>
          <w:b w:val="0"/>
        </w:rPr>
        <w:tab/>
        <w:t>56</w:t>
      </w:r>
    </w:p>
    <w:p>
      <w:pPr>
        <w:pStyle w:val="ListParagraph"/>
        <w:numPr>
          <w:ilvl w:val="1"/>
          <w:numId w:val="2"/>
        </w:numPr>
        <w:tabs>
          <w:tab w:pos="791" w:val="left" w:leader="none"/>
          <w:tab w:pos="8321" w:val="left" w:leader="dot"/>
        </w:tabs>
        <w:spacing w:line="272" w:lineRule="exact" w:before="8" w:after="0"/>
        <w:ind w:left="385" w:right="123" w:firstLine="0"/>
        <w:jc w:val="left"/>
        <w:rPr>
          <w:sz w:val="24"/>
        </w:rPr>
      </w:pPr>
      <w:r>
        <w:rPr>
          <w:b/>
          <w:sz w:val="24"/>
        </w:rPr>
        <w:t>Sistemas municipais de ensino nos anos 1980: concepções e conceitos em disputa –</w:t>
      </w:r>
      <w:r>
        <w:rPr>
          <w:b/>
          <w:spacing w:val="-4"/>
          <w:sz w:val="24"/>
        </w:rPr>
        <w:t> </w:t>
      </w:r>
      <w:r>
        <w:rPr>
          <w:b/>
          <w:sz w:val="24"/>
        </w:rPr>
        <w:t>elementos</w:t>
      </w:r>
      <w:r>
        <w:rPr>
          <w:b/>
          <w:spacing w:val="-2"/>
          <w:sz w:val="24"/>
        </w:rPr>
        <w:t> </w:t>
      </w:r>
      <w:r>
        <w:rPr>
          <w:b/>
          <w:sz w:val="24"/>
        </w:rPr>
        <w:t>introdutórios</w:t>
      </w:r>
      <w:r>
        <w:rPr>
          <w:sz w:val="24"/>
        </w:rPr>
        <w:tab/>
        <w:t>58</w:t>
      </w:r>
    </w:p>
    <w:p>
      <w:pPr>
        <w:pStyle w:val="BodyText"/>
        <w:spacing w:before="9"/>
      </w:pPr>
    </w:p>
    <w:p>
      <w:pPr>
        <w:pStyle w:val="ListParagraph"/>
        <w:numPr>
          <w:ilvl w:val="1"/>
          <w:numId w:val="2"/>
        </w:numPr>
        <w:tabs>
          <w:tab w:pos="806" w:val="left" w:leader="none"/>
          <w:tab w:pos="8347" w:val="left" w:leader="dot"/>
        </w:tabs>
        <w:spacing w:line="272" w:lineRule="exact" w:before="0" w:after="0"/>
        <w:ind w:left="385" w:right="125" w:firstLine="0"/>
        <w:jc w:val="left"/>
        <w:rPr>
          <w:sz w:val="24"/>
        </w:rPr>
      </w:pPr>
      <w:r>
        <w:rPr>
          <w:b/>
          <w:sz w:val="24"/>
        </w:rPr>
        <w:t>Planejamento da educação pelos Municípios nos anos 1990: origem das propostas</w:t>
      </w:r>
      <w:r>
        <w:rPr>
          <w:sz w:val="24"/>
        </w:rPr>
        <w:tab/>
        <w:t>60</w:t>
      </w:r>
    </w:p>
    <w:p>
      <w:pPr>
        <w:pStyle w:val="BodyText"/>
        <w:spacing w:before="8"/>
      </w:pPr>
    </w:p>
    <w:p>
      <w:pPr>
        <w:pStyle w:val="ListParagraph"/>
        <w:numPr>
          <w:ilvl w:val="1"/>
          <w:numId w:val="2"/>
        </w:numPr>
        <w:tabs>
          <w:tab w:pos="820" w:val="left" w:leader="none"/>
          <w:tab w:pos="8351" w:val="left" w:leader="dot"/>
        </w:tabs>
        <w:spacing w:line="272" w:lineRule="exact" w:before="0" w:after="0"/>
        <w:ind w:left="385" w:right="126" w:firstLine="0"/>
        <w:jc w:val="left"/>
        <w:rPr>
          <w:sz w:val="24"/>
        </w:rPr>
      </w:pPr>
      <w:r>
        <w:rPr>
          <w:b/>
          <w:sz w:val="24"/>
        </w:rPr>
        <w:t>Anos 2000: vasta produção de normas e documentos com diretrizes e orientações para o planejamento da</w:t>
      </w:r>
      <w:r>
        <w:rPr>
          <w:b/>
          <w:spacing w:val="-10"/>
          <w:sz w:val="24"/>
        </w:rPr>
        <w:t> </w:t>
      </w:r>
      <w:r>
        <w:rPr>
          <w:b/>
          <w:sz w:val="24"/>
        </w:rPr>
        <w:t>educação</w:t>
      </w:r>
      <w:r>
        <w:rPr>
          <w:b/>
          <w:spacing w:val="-1"/>
          <w:sz w:val="24"/>
        </w:rPr>
        <w:t> </w:t>
      </w:r>
      <w:r>
        <w:rPr>
          <w:b/>
          <w:sz w:val="24"/>
        </w:rPr>
        <w:t>municipal</w:t>
      </w:r>
      <w:r>
        <w:rPr>
          <w:sz w:val="24"/>
        </w:rPr>
        <w:tab/>
        <w:t>61</w:t>
      </w:r>
    </w:p>
    <w:p>
      <w:pPr>
        <w:pStyle w:val="ListParagraph"/>
        <w:numPr>
          <w:ilvl w:val="2"/>
          <w:numId w:val="2"/>
        </w:numPr>
        <w:tabs>
          <w:tab w:pos="1209" w:val="left" w:leader="none"/>
          <w:tab w:pos="8328" w:val="left" w:leader="dot"/>
        </w:tabs>
        <w:spacing w:line="274" w:lineRule="exact" w:before="0" w:after="0"/>
        <w:ind w:left="668" w:right="0" w:firstLine="0"/>
        <w:jc w:val="both"/>
        <w:rPr>
          <w:sz w:val="24"/>
        </w:rPr>
      </w:pPr>
      <w:r>
        <w:rPr>
          <w:b/>
          <w:sz w:val="24"/>
        </w:rPr>
        <w:t>Contexto de aprovação e vigência do</w:t>
      </w:r>
      <w:r>
        <w:rPr>
          <w:b/>
          <w:spacing w:val="-5"/>
          <w:sz w:val="24"/>
        </w:rPr>
        <w:t> </w:t>
      </w:r>
      <w:r>
        <w:rPr>
          <w:b/>
          <w:sz w:val="24"/>
        </w:rPr>
        <w:t>PNE</w:t>
      </w:r>
      <w:r>
        <w:rPr>
          <w:b/>
          <w:spacing w:val="-1"/>
          <w:sz w:val="24"/>
        </w:rPr>
        <w:t> </w:t>
      </w:r>
      <w:r>
        <w:rPr>
          <w:b/>
          <w:sz w:val="24"/>
        </w:rPr>
        <w:t>2001-2010</w:t>
      </w:r>
      <w:r>
        <w:rPr>
          <w:sz w:val="24"/>
        </w:rPr>
        <w:tab/>
        <w:t>64</w:t>
      </w:r>
    </w:p>
    <w:p>
      <w:pPr>
        <w:pStyle w:val="ListParagraph"/>
        <w:numPr>
          <w:ilvl w:val="3"/>
          <w:numId w:val="2"/>
        </w:numPr>
        <w:tabs>
          <w:tab w:pos="1693" w:val="left" w:leader="none"/>
          <w:tab w:pos="8334" w:val="left" w:leader="dot"/>
        </w:tabs>
        <w:spacing w:line="272" w:lineRule="exact" w:before="12" w:after="0"/>
        <w:ind w:left="954" w:right="118" w:firstLine="0"/>
        <w:jc w:val="left"/>
        <w:rPr>
          <w:sz w:val="24"/>
        </w:rPr>
      </w:pPr>
      <w:r>
        <w:rPr>
          <w:b/>
          <w:sz w:val="24"/>
        </w:rPr>
        <w:t>Plano Nacional de Educação 2001-2010: ordenamento legal para a elaboração dos planos municipais</w:t>
      </w:r>
      <w:r>
        <w:rPr>
          <w:b/>
          <w:spacing w:val="-8"/>
          <w:sz w:val="24"/>
        </w:rPr>
        <w:t> </w:t>
      </w:r>
      <w:r>
        <w:rPr>
          <w:b/>
          <w:sz w:val="24"/>
        </w:rPr>
        <w:t>de</w:t>
      </w:r>
      <w:r>
        <w:rPr>
          <w:b/>
          <w:spacing w:val="-2"/>
          <w:sz w:val="24"/>
        </w:rPr>
        <w:t> </w:t>
      </w:r>
      <w:r>
        <w:rPr>
          <w:b/>
          <w:sz w:val="24"/>
        </w:rPr>
        <w:t>educação</w:t>
      </w:r>
      <w:r>
        <w:rPr>
          <w:sz w:val="24"/>
        </w:rPr>
        <w:tab/>
        <w:t>64</w:t>
      </w:r>
    </w:p>
    <w:p>
      <w:pPr>
        <w:spacing w:after="0" w:line="272" w:lineRule="exact"/>
        <w:jc w:val="left"/>
        <w:rPr>
          <w:sz w:val="24"/>
        </w:rPr>
        <w:sectPr>
          <w:headerReference w:type="default" r:id="rId19"/>
          <w:pgSz w:w="11910" w:h="16840"/>
          <w:pgMar w:header="1423" w:footer="0" w:top="1680" w:bottom="280" w:left="1600" w:right="1580"/>
        </w:sectPr>
      </w:pPr>
    </w:p>
    <w:sdt>
      <w:sdtPr>
        <w:docPartObj>
          <w:docPartGallery w:val="Table of Contents"/>
          <w:docPartUnique/>
        </w:docPartObj>
      </w:sdtPr>
      <w:sdtEndPr/>
      <w:sdtContent>
        <w:p>
          <w:pPr>
            <w:pStyle w:val="TOC6"/>
            <w:numPr>
              <w:ilvl w:val="3"/>
              <w:numId w:val="2"/>
            </w:numPr>
            <w:tabs>
              <w:tab w:pos="1701" w:val="left" w:leader="none"/>
              <w:tab w:pos="8335" w:val="left" w:leader="dot"/>
            </w:tabs>
            <w:spacing w:line="272" w:lineRule="exact" w:before="80" w:after="0"/>
            <w:ind w:left="954" w:right="121" w:firstLine="0"/>
            <w:jc w:val="both"/>
            <w:rPr>
              <w:b w:val="0"/>
            </w:rPr>
          </w:pPr>
          <w:r>
            <w:rPr/>
            <w:t>Ministério da Educação: documentos norteadores e subsidiários à elaboração dos planos municipais</w:t>
          </w:r>
          <w:r>
            <w:rPr>
              <w:spacing w:val="-8"/>
            </w:rPr>
            <w:t> </w:t>
          </w:r>
          <w:r>
            <w:rPr/>
            <w:t>de</w:t>
          </w:r>
          <w:r>
            <w:rPr>
              <w:spacing w:val="-2"/>
            </w:rPr>
            <w:t> </w:t>
          </w:r>
          <w:r>
            <w:rPr/>
            <w:t>educação</w:t>
          </w:r>
          <w:r>
            <w:rPr>
              <w:b w:val="0"/>
            </w:rPr>
            <w:tab/>
            <w:t>68</w:t>
          </w:r>
        </w:p>
        <w:p>
          <w:pPr>
            <w:pStyle w:val="TOC5"/>
            <w:numPr>
              <w:ilvl w:val="2"/>
              <w:numId w:val="2"/>
            </w:numPr>
            <w:tabs>
              <w:tab w:pos="1269" w:val="left" w:leader="none"/>
              <w:tab w:pos="8349" w:val="left" w:leader="dot"/>
            </w:tabs>
            <w:spacing w:line="272" w:lineRule="exact" w:before="8" w:after="0"/>
            <w:ind w:left="668" w:right="116" w:firstLine="0"/>
            <w:jc w:val="left"/>
            <w:rPr>
              <w:b w:val="0"/>
            </w:rPr>
          </w:pPr>
          <w:hyperlink w:history="true" w:anchor="_TOC_250016">
            <w:r>
              <w:rPr/>
              <w:t>Contexto de elaboração, aprovação e implementação do PNE  2014- 2024</w:t>
            </w:r>
            <w:r>
              <w:rPr>
                <w:b w:val="0"/>
              </w:rPr>
              <w:tab/>
              <w:t>78</w:t>
            </w:r>
          </w:hyperlink>
        </w:p>
        <w:p>
          <w:pPr>
            <w:pStyle w:val="TOC6"/>
            <w:numPr>
              <w:ilvl w:val="3"/>
              <w:numId w:val="2"/>
            </w:numPr>
            <w:tabs>
              <w:tab w:pos="1773" w:val="left" w:leader="none"/>
              <w:tab w:pos="8321" w:val="left" w:leader="dot"/>
            </w:tabs>
            <w:spacing w:line="237" w:lineRule="auto" w:before="4" w:after="0"/>
            <w:ind w:left="954" w:right="120" w:firstLine="0"/>
            <w:jc w:val="both"/>
            <w:rPr>
              <w:b w:val="0"/>
            </w:rPr>
          </w:pPr>
          <w:r>
            <w:rPr/>
            <w:t>Plano Nacional de Educação 2014-2024: intencionalidades no ordenamento legal para a elaboração  dos  planos  municipais  de  educação</w:t>
          </w:r>
          <w:r>
            <w:rPr>
              <w:b w:val="0"/>
            </w:rPr>
            <w:tab/>
            <w:t>79</w:t>
          </w:r>
        </w:p>
        <w:p>
          <w:pPr>
            <w:pStyle w:val="TOC6"/>
            <w:numPr>
              <w:ilvl w:val="3"/>
              <w:numId w:val="2"/>
            </w:numPr>
            <w:tabs>
              <w:tab w:pos="1701" w:val="left" w:leader="none"/>
              <w:tab w:pos="8354" w:val="left" w:leader="dot"/>
            </w:tabs>
            <w:spacing w:line="237" w:lineRule="auto" w:before="7" w:after="0"/>
            <w:ind w:left="954" w:right="117" w:firstLine="0"/>
            <w:jc w:val="both"/>
            <w:rPr>
              <w:b w:val="0"/>
            </w:rPr>
          </w:pPr>
          <w:r>
            <w:rPr/>
            <w:t>Ministério da Educação: documentos norteadores e subsidiários à elaboração dos planos municipais de educação – Cadernos Planejando a Próxima</w:t>
          </w:r>
          <w:r>
            <w:rPr>
              <w:spacing w:val="-2"/>
            </w:rPr>
            <w:t> </w:t>
          </w:r>
          <w:r>
            <w:rPr/>
            <w:t>Década</w:t>
          </w:r>
          <w:r>
            <w:rPr>
              <w:b w:val="0"/>
            </w:rPr>
            <w:tab/>
            <w:t>83</w:t>
          </w:r>
        </w:p>
        <w:p>
          <w:pPr>
            <w:pStyle w:val="TOC2"/>
            <w:tabs>
              <w:tab w:pos="8191" w:val="left" w:leader="dot"/>
            </w:tabs>
            <w:spacing w:before="552"/>
            <w:rPr>
              <w:b w:val="0"/>
              <w:i w:val="0"/>
              <w:sz w:val="24"/>
            </w:rPr>
          </w:pPr>
          <w:hyperlink w:history="true" w:anchor="_TOC_250015">
            <w:r>
              <w:rPr>
                <w:i w:val="0"/>
                <w:sz w:val="24"/>
              </w:rPr>
              <w:t>CAPÍTULO</w:t>
            </w:r>
            <w:r>
              <w:rPr>
                <w:i w:val="0"/>
                <w:spacing w:val="-1"/>
                <w:sz w:val="24"/>
              </w:rPr>
              <w:t> </w:t>
            </w:r>
            <w:r>
              <w:rPr>
                <w:i w:val="0"/>
                <w:sz w:val="24"/>
              </w:rPr>
              <w:t>III</w:t>
            </w:r>
            <w:r>
              <w:rPr>
                <w:b w:val="0"/>
                <w:i w:val="0"/>
                <w:sz w:val="24"/>
              </w:rPr>
              <w:tab/>
              <w:t>102</w:t>
            </w:r>
          </w:hyperlink>
        </w:p>
        <w:p>
          <w:pPr>
            <w:pStyle w:val="TOC1"/>
            <w:tabs>
              <w:tab w:pos="8225" w:val="left" w:leader="dot"/>
            </w:tabs>
            <w:spacing w:line="237" w:lineRule="auto"/>
            <w:ind w:right="116"/>
            <w:jc w:val="both"/>
            <w:rPr>
              <w:b w:val="0"/>
            </w:rPr>
          </w:pPr>
          <w:hyperlink w:history="true" w:anchor="_TOC_250014">
            <w:r>
              <w:rPr/>
              <w:t>PLANOS MUNICIPAIS DE EDUCAÇÃO NO TOCANTINS (2013-2015): PROCESSOS, RESULTADOS E INTENCIONALIDADES DO PLANEJAMENTO DE</w:t>
            </w:r>
            <w:r>
              <w:rPr>
                <w:spacing w:val="-3"/>
              </w:rPr>
              <w:t> </w:t>
            </w:r>
            <w:r>
              <w:rPr/>
              <w:t>POLÍTICAS</w:t>
            </w:r>
            <w:r>
              <w:rPr>
                <w:spacing w:val="-2"/>
              </w:rPr>
              <w:t> </w:t>
            </w:r>
            <w:r>
              <w:rPr/>
              <w:t>PÚBLICAS</w:t>
            </w:r>
            <w:r>
              <w:rPr>
                <w:b w:val="0"/>
              </w:rPr>
              <w:tab/>
              <w:t>102</w:t>
            </w:r>
          </w:hyperlink>
        </w:p>
        <w:p>
          <w:pPr>
            <w:pStyle w:val="TOC3"/>
            <w:numPr>
              <w:ilvl w:val="1"/>
              <w:numId w:val="3"/>
            </w:numPr>
            <w:tabs>
              <w:tab w:pos="753" w:val="left" w:leader="none"/>
              <w:tab w:pos="8212" w:val="left" w:leader="dot"/>
            </w:tabs>
            <w:spacing w:line="272" w:lineRule="exact" w:before="11" w:after="0"/>
            <w:ind w:left="385" w:right="119" w:firstLine="0"/>
            <w:jc w:val="left"/>
            <w:rPr>
              <w:b w:val="0"/>
            </w:rPr>
          </w:pPr>
          <w:hyperlink w:history="true" w:anchor="_TOC_250013">
            <w:r>
              <w:rPr/>
              <w:t>Elaboração e/ou adequação de planos municipais de educação no Tocantins: aspectos do processo</w:t>
            </w:r>
            <w:r>
              <w:rPr>
                <w:spacing w:val="-4"/>
              </w:rPr>
              <w:t> </w:t>
            </w:r>
            <w:r>
              <w:rPr/>
              <w:t>de</w:t>
            </w:r>
            <w:r>
              <w:rPr>
                <w:spacing w:val="-1"/>
              </w:rPr>
              <w:t> </w:t>
            </w:r>
            <w:r>
              <w:rPr/>
              <w:t>planejamento</w:t>
            </w:r>
            <w:r>
              <w:rPr>
                <w:b w:val="0"/>
              </w:rPr>
              <w:tab/>
              <w:t>104</w:t>
            </w:r>
          </w:hyperlink>
        </w:p>
        <w:p>
          <w:pPr>
            <w:pStyle w:val="TOC5"/>
            <w:numPr>
              <w:ilvl w:val="2"/>
              <w:numId w:val="3"/>
            </w:numPr>
            <w:tabs>
              <w:tab w:pos="1209" w:val="left" w:leader="none"/>
            </w:tabs>
            <w:spacing w:line="274" w:lineRule="exact" w:before="0" w:after="0"/>
            <w:ind w:left="1208" w:right="0" w:hanging="540"/>
            <w:jc w:val="left"/>
            <w:rPr>
              <w:b w:val="0"/>
            </w:rPr>
          </w:pPr>
          <w:r>
            <w:rPr/>
            <w:t>Rede de Assistência Técnica: esferas federal, estadual e municipal </w:t>
          </w:r>
          <w:r>
            <w:rPr>
              <w:b w:val="0"/>
            </w:rPr>
            <w:t>...</w:t>
          </w:r>
          <w:r>
            <w:rPr>
              <w:b w:val="0"/>
              <w:spacing w:val="-12"/>
            </w:rPr>
            <w:t> </w:t>
          </w:r>
          <w:r>
            <w:rPr>
              <w:b w:val="0"/>
            </w:rPr>
            <w:t>105</w:t>
          </w:r>
        </w:p>
        <w:p>
          <w:pPr>
            <w:pStyle w:val="TOC5"/>
            <w:numPr>
              <w:ilvl w:val="2"/>
              <w:numId w:val="3"/>
            </w:numPr>
            <w:tabs>
              <w:tab w:pos="1209" w:val="left" w:leader="none"/>
              <w:tab w:pos="8237" w:val="left" w:leader="dot"/>
            </w:tabs>
            <w:spacing w:line="240" w:lineRule="auto" w:before="0" w:after="0"/>
            <w:ind w:left="1208" w:right="0" w:hanging="540"/>
            <w:jc w:val="left"/>
            <w:rPr>
              <w:b w:val="0"/>
            </w:rPr>
          </w:pPr>
          <w:hyperlink w:history="true" w:anchor="_TOC_250012">
            <w:r>
              <w:rPr/>
              <w:t>Dinâmica e sujeitos do processo no Estado</w:t>
            </w:r>
            <w:r>
              <w:rPr>
                <w:spacing w:val="-9"/>
              </w:rPr>
              <w:t> </w:t>
            </w:r>
            <w:r>
              <w:rPr/>
              <w:t>do</w:t>
            </w:r>
            <w:r>
              <w:rPr>
                <w:spacing w:val="2"/>
              </w:rPr>
              <w:t> </w:t>
            </w:r>
            <w:r>
              <w:rPr/>
              <w:t>Tocantins</w:t>
            </w:r>
            <w:r>
              <w:rPr>
                <w:b w:val="0"/>
              </w:rPr>
              <w:tab/>
              <w:t>109</w:t>
            </w:r>
          </w:hyperlink>
        </w:p>
        <w:p>
          <w:pPr>
            <w:pStyle w:val="TOC6"/>
            <w:numPr>
              <w:ilvl w:val="3"/>
              <w:numId w:val="3"/>
            </w:numPr>
            <w:tabs>
              <w:tab w:pos="1677" w:val="left" w:leader="none"/>
              <w:tab w:pos="8208" w:val="left" w:leader="dot"/>
            </w:tabs>
            <w:spacing w:line="272" w:lineRule="exact" w:before="11" w:after="0"/>
            <w:ind w:left="954" w:right="119" w:firstLine="0"/>
            <w:jc w:val="both"/>
            <w:rPr>
              <w:b w:val="0"/>
            </w:rPr>
          </w:pPr>
          <w:r>
            <w:rPr/>
            <w:t>Ano de 2013: implantação da Rede de Assistência Técnica – Projeto Piloto,</w:t>
          </w:r>
          <w:r>
            <w:rPr>
              <w:spacing w:val="-2"/>
            </w:rPr>
            <w:t> </w:t>
          </w:r>
          <w:r>
            <w:rPr/>
            <w:t>Oficio,</w:t>
          </w:r>
          <w:r>
            <w:rPr>
              <w:spacing w:val="-3"/>
            </w:rPr>
            <w:t> </w:t>
          </w:r>
          <w:r>
            <w:rPr/>
            <w:t>Capacitações</w:t>
          </w:r>
          <w:r>
            <w:rPr>
              <w:b w:val="0"/>
            </w:rPr>
            <w:tab/>
            <w:t>109</w:t>
          </w:r>
        </w:p>
        <w:p>
          <w:pPr>
            <w:pStyle w:val="TOC6"/>
            <w:numPr>
              <w:ilvl w:val="3"/>
              <w:numId w:val="3"/>
            </w:numPr>
            <w:tabs>
              <w:tab w:pos="1715" w:val="left" w:leader="none"/>
              <w:tab w:pos="8234" w:val="left" w:leader="dot"/>
            </w:tabs>
            <w:spacing w:line="272" w:lineRule="exact" w:before="9" w:after="0"/>
            <w:ind w:left="954" w:right="114" w:firstLine="0"/>
            <w:jc w:val="both"/>
            <w:rPr>
              <w:b w:val="0"/>
            </w:rPr>
          </w:pPr>
          <w:r>
            <w:rPr/>
            <w:t>Ano de 2014: ampliação da Rede de Assistência Técnica – vasta produção documental</w:t>
          </w:r>
          <w:r>
            <w:rPr>
              <w:spacing w:val="-4"/>
            </w:rPr>
            <w:t> </w:t>
          </w:r>
          <w:r>
            <w:rPr/>
            <w:t>e</w:t>
          </w:r>
          <w:r>
            <w:rPr>
              <w:spacing w:val="-1"/>
            </w:rPr>
            <w:t> </w:t>
          </w:r>
          <w:r>
            <w:rPr/>
            <w:t>atuação</w:t>
          </w:r>
          <w:r>
            <w:rPr>
              <w:b w:val="0"/>
            </w:rPr>
            <w:tab/>
            <w:t>112</w:t>
          </w:r>
        </w:p>
        <w:p>
          <w:pPr>
            <w:pStyle w:val="TOC6"/>
            <w:numPr>
              <w:ilvl w:val="3"/>
              <w:numId w:val="3"/>
            </w:numPr>
            <w:tabs>
              <w:tab w:pos="1674" w:val="left" w:leader="none"/>
            </w:tabs>
            <w:spacing w:line="274" w:lineRule="exact" w:before="0" w:after="0"/>
            <w:ind w:left="1674" w:right="0" w:hanging="720"/>
            <w:jc w:val="both"/>
            <w:rPr>
              <w:b w:val="0"/>
            </w:rPr>
          </w:pPr>
          <w:r>
            <w:rPr/>
            <w:t>Ano de 2015: continuidade da Rede de Assistência Técnica       </w:t>
          </w:r>
          <w:r>
            <w:rPr>
              <w:spacing w:val="54"/>
            </w:rPr>
            <w:t> </w:t>
          </w:r>
          <w:r>
            <w:rPr>
              <w:b w:val="0"/>
            </w:rPr>
            <w:t>120</w:t>
          </w:r>
        </w:p>
        <w:p>
          <w:pPr>
            <w:pStyle w:val="TOC3"/>
            <w:numPr>
              <w:ilvl w:val="1"/>
              <w:numId w:val="3"/>
            </w:numPr>
            <w:tabs>
              <w:tab w:pos="820" w:val="left" w:leader="none"/>
              <w:tab w:pos="8239" w:val="left" w:leader="dot"/>
            </w:tabs>
            <w:spacing w:line="272" w:lineRule="exact" w:before="287" w:after="0"/>
            <w:ind w:left="385" w:right="121" w:firstLine="0"/>
            <w:jc w:val="left"/>
            <w:rPr>
              <w:b w:val="0"/>
            </w:rPr>
          </w:pPr>
          <w:hyperlink w:history="true" w:anchor="_TOC_250011">
            <w:r>
              <w:rPr/>
              <w:t>Características gerais de planos municipais de educação no Tocantins: formatação</w:t>
            </w:r>
            <w:r>
              <w:rPr>
                <w:spacing w:val="-2"/>
              </w:rPr>
              <w:t> </w:t>
            </w:r>
            <w:r>
              <w:rPr/>
              <w:t>e</w:t>
            </w:r>
            <w:r>
              <w:rPr>
                <w:spacing w:val="-3"/>
              </w:rPr>
              <w:t> </w:t>
            </w:r>
            <w:r>
              <w:rPr/>
              <w:t>conteúdo</w:t>
            </w:r>
            <w:r>
              <w:rPr>
                <w:b w:val="0"/>
              </w:rPr>
              <w:tab/>
              <w:t>125</w:t>
            </w:r>
          </w:hyperlink>
        </w:p>
        <w:p>
          <w:pPr>
            <w:pStyle w:val="TOC5"/>
            <w:numPr>
              <w:ilvl w:val="2"/>
              <w:numId w:val="3"/>
            </w:numPr>
            <w:tabs>
              <w:tab w:pos="1209" w:val="left" w:leader="none"/>
              <w:tab w:pos="8225" w:val="left" w:leader="dot"/>
            </w:tabs>
            <w:spacing w:line="274" w:lineRule="exact" w:before="0" w:after="0"/>
            <w:ind w:left="1208" w:right="0" w:hanging="540"/>
            <w:jc w:val="left"/>
            <w:rPr>
              <w:b w:val="0"/>
            </w:rPr>
          </w:pPr>
          <w:hyperlink w:history="true" w:anchor="_TOC_250010">
            <w:r>
              <w:rPr/>
              <w:t>Formatação de planos</w:t>
            </w:r>
            <w:r>
              <w:rPr>
                <w:spacing w:val="-2"/>
              </w:rPr>
              <w:t> </w:t>
            </w:r>
            <w:r>
              <w:rPr/>
              <w:t>no</w:t>
            </w:r>
            <w:r>
              <w:rPr>
                <w:spacing w:val="-1"/>
              </w:rPr>
              <w:t> </w:t>
            </w:r>
            <w:r>
              <w:rPr/>
              <w:t>Tocantins</w:t>
            </w:r>
            <w:r>
              <w:rPr>
                <w:b w:val="0"/>
              </w:rPr>
              <w:tab/>
              <w:t>127</w:t>
            </w:r>
          </w:hyperlink>
        </w:p>
        <w:p>
          <w:pPr>
            <w:pStyle w:val="TOC5"/>
            <w:numPr>
              <w:ilvl w:val="2"/>
              <w:numId w:val="3"/>
            </w:numPr>
            <w:tabs>
              <w:tab w:pos="1209" w:val="left" w:leader="none"/>
              <w:tab w:pos="8225" w:val="left" w:leader="dot"/>
            </w:tabs>
            <w:spacing w:line="240" w:lineRule="auto" w:before="0" w:after="0"/>
            <w:ind w:left="1208" w:right="0" w:hanging="540"/>
            <w:jc w:val="left"/>
            <w:rPr>
              <w:b w:val="0"/>
            </w:rPr>
          </w:pPr>
          <w:hyperlink w:history="true" w:anchor="_TOC_250009">
            <w:r>
              <w:rPr/>
              <w:t>Conteúdo de planos</w:t>
            </w:r>
            <w:r>
              <w:rPr>
                <w:spacing w:val="-3"/>
              </w:rPr>
              <w:t> </w:t>
            </w:r>
            <w:r>
              <w:rPr/>
              <w:t>no</w:t>
            </w:r>
            <w:r>
              <w:rPr>
                <w:spacing w:val="-1"/>
              </w:rPr>
              <w:t> </w:t>
            </w:r>
            <w:r>
              <w:rPr/>
              <w:t>Tocantins</w:t>
            </w:r>
            <w:r>
              <w:rPr>
                <w:b w:val="0"/>
              </w:rPr>
              <w:tab/>
              <w:t>141</w:t>
            </w:r>
          </w:hyperlink>
        </w:p>
        <w:p>
          <w:pPr>
            <w:pStyle w:val="TOC3"/>
            <w:numPr>
              <w:ilvl w:val="1"/>
              <w:numId w:val="3"/>
            </w:numPr>
            <w:tabs>
              <w:tab w:pos="760" w:val="left" w:leader="none"/>
              <w:tab w:pos="8141" w:val="left" w:leader="dot"/>
            </w:tabs>
            <w:spacing w:line="272" w:lineRule="exact" w:before="286" w:after="0"/>
            <w:ind w:left="385" w:right="123" w:firstLine="0"/>
            <w:jc w:val="left"/>
            <w:rPr>
              <w:b w:val="0"/>
            </w:rPr>
          </w:pPr>
          <w:hyperlink w:history="true" w:anchor="_TOC_250008">
            <w:r>
              <w:rPr/>
              <w:t>Planos municipais de educação no Tocantins: intencionalidades do processo e nos</w:t>
            </w:r>
            <w:r>
              <w:rPr>
                <w:spacing w:val="-3"/>
              </w:rPr>
              <w:t> </w:t>
            </w:r>
            <w:r>
              <w:rPr/>
              <w:t>resultados</w:t>
            </w:r>
            <w:r>
              <w:rPr>
                <w:spacing w:val="-1"/>
              </w:rPr>
              <w:t> </w:t>
            </w:r>
            <w:r>
              <w:rPr/>
              <w:t>(documentos)</w:t>
            </w:r>
            <w:r>
              <w:rPr>
                <w:b w:val="0"/>
              </w:rPr>
              <w:tab/>
              <w:t>149</w:t>
            </w:r>
          </w:hyperlink>
        </w:p>
        <w:p>
          <w:pPr>
            <w:pStyle w:val="TOC1"/>
            <w:tabs>
              <w:tab w:pos="8229" w:val="left" w:leader="dot"/>
            </w:tabs>
            <w:spacing w:before="548"/>
            <w:rPr>
              <w:b w:val="0"/>
            </w:rPr>
          </w:pPr>
          <w:hyperlink w:history="true" w:anchor="_TOC_250007">
            <w:r>
              <w:rPr/>
              <w:t>CONSIDERAÇÕES</w:t>
            </w:r>
            <w:r>
              <w:rPr>
                <w:spacing w:val="-2"/>
              </w:rPr>
              <w:t> </w:t>
            </w:r>
            <w:r>
              <w:rPr/>
              <w:t>FINAIS</w:t>
            </w:r>
            <w:r>
              <w:rPr>
                <w:b w:val="0"/>
              </w:rPr>
              <w:tab/>
              <w:t>152</w:t>
            </w:r>
          </w:hyperlink>
        </w:p>
        <w:p>
          <w:pPr>
            <w:pStyle w:val="TOC2"/>
            <w:tabs>
              <w:tab w:pos="8244" w:val="left" w:leader="dot"/>
            </w:tabs>
            <w:rPr>
              <w:b w:val="0"/>
              <w:i w:val="0"/>
              <w:sz w:val="24"/>
            </w:rPr>
          </w:pPr>
          <w:hyperlink w:history="true" w:anchor="_TOC_250006">
            <w:r>
              <w:rPr>
                <w:i w:val="0"/>
                <w:sz w:val="24"/>
              </w:rPr>
              <w:t>REFERÊNCIAS</w:t>
            </w:r>
            <w:r>
              <w:rPr>
                <w:b w:val="0"/>
                <w:i w:val="0"/>
                <w:sz w:val="24"/>
              </w:rPr>
              <w:tab/>
              <w:t>156</w:t>
            </w:r>
          </w:hyperlink>
        </w:p>
        <w:p>
          <w:pPr>
            <w:pStyle w:val="TOC4"/>
            <w:tabs>
              <w:tab w:pos="8234" w:val="left" w:leader="dot"/>
            </w:tabs>
            <w:rPr>
              <w:b w:val="0"/>
              <w:i w:val="0"/>
              <w:sz w:val="24"/>
            </w:rPr>
          </w:pPr>
          <w:hyperlink w:history="true" w:anchor="_TOC_250005">
            <w:r>
              <w:rPr>
                <w:i w:val="0"/>
                <w:sz w:val="24"/>
              </w:rPr>
              <w:t>Bibliográficas</w:t>
            </w:r>
            <w:r>
              <w:rPr>
                <w:b w:val="0"/>
                <w:i w:val="0"/>
                <w:sz w:val="24"/>
              </w:rPr>
              <w:tab/>
              <w:t>156</w:t>
            </w:r>
          </w:hyperlink>
        </w:p>
        <w:p>
          <w:pPr>
            <w:pStyle w:val="TOC4"/>
            <w:tabs>
              <w:tab w:pos="8201" w:val="left" w:leader="dot"/>
            </w:tabs>
            <w:rPr>
              <w:b w:val="0"/>
              <w:i w:val="0"/>
              <w:sz w:val="24"/>
            </w:rPr>
          </w:pPr>
          <w:hyperlink w:history="true" w:anchor="_TOC_250004">
            <w:r>
              <w:rPr>
                <w:i w:val="0"/>
                <w:sz w:val="24"/>
              </w:rPr>
              <w:t>Documentais</w:t>
            </w:r>
            <w:r>
              <w:rPr>
                <w:b w:val="0"/>
                <w:i w:val="0"/>
                <w:sz w:val="24"/>
              </w:rPr>
              <w:tab/>
              <w:t>162</w:t>
            </w:r>
          </w:hyperlink>
        </w:p>
        <w:p>
          <w:pPr>
            <w:pStyle w:val="TOC5"/>
            <w:tabs>
              <w:tab w:pos="8215" w:val="left" w:leader="dot"/>
            </w:tabs>
            <w:rPr>
              <w:b w:val="0"/>
            </w:rPr>
          </w:pPr>
          <w:hyperlink w:history="true" w:anchor="_TOC_250003">
            <w:r>
              <w:rPr/>
              <w:t>Documentos</w:t>
            </w:r>
            <w:r>
              <w:rPr>
                <w:spacing w:val="-2"/>
              </w:rPr>
              <w:t> </w:t>
            </w:r>
            <w:r>
              <w:rPr/>
              <w:t>Internacionais</w:t>
            </w:r>
            <w:r>
              <w:rPr>
                <w:b w:val="0"/>
              </w:rPr>
              <w:tab/>
              <w:t>162</w:t>
            </w:r>
          </w:hyperlink>
        </w:p>
        <w:p>
          <w:pPr>
            <w:pStyle w:val="TOC5"/>
            <w:tabs>
              <w:tab w:pos="8217" w:val="left" w:leader="dot"/>
            </w:tabs>
            <w:spacing w:before="1"/>
            <w:rPr>
              <w:b w:val="0"/>
            </w:rPr>
          </w:pPr>
          <w:hyperlink w:history="true" w:anchor="_TOC_250002">
            <w:r>
              <w:rPr/>
              <w:t>Documentos</w:t>
            </w:r>
            <w:r>
              <w:rPr>
                <w:spacing w:val="-2"/>
              </w:rPr>
              <w:t> </w:t>
            </w:r>
            <w:r>
              <w:rPr/>
              <w:t>Nacionais</w:t>
            </w:r>
            <w:r>
              <w:rPr>
                <w:b w:val="0"/>
              </w:rPr>
              <w:tab/>
              <w:t>162</w:t>
            </w:r>
          </w:hyperlink>
        </w:p>
        <w:p>
          <w:pPr>
            <w:pStyle w:val="TOC5"/>
            <w:tabs>
              <w:tab w:pos="8243" w:val="left" w:leader="dot"/>
            </w:tabs>
            <w:rPr>
              <w:b w:val="0"/>
            </w:rPr>
          </w:pPr>
          <w:hyperlink w:history="true" w:anchor="_TOC_250001">
            <w:r>
              <w:rPr/>
              <w:t>Documentos no Estado</w:t>
            </w:r>
            <w:r>
              <w:rPr>
                <w:spacing w:val="-2"/>
              </w:rPr>
              <w:t> </w:t>
            </w:r>
            <w:r>
              <w:rPr/>
              <w:t>do</w:t>
            </w:r>
            <w:r>
              <w:rPr>
                <w:spacing w:val="-1"/>
              </w:rPr>
              <w:t> </w:t>
            </w:r>
            <w:r>
              <w:rPr/>
              <w:t>Tocantins</w:t>
            </w:r>
            <w:r>
              <w:rPr>
                <w:b w:val="0"/>
              </w:rPr>
              <w:tab/>
              <w:t>164</w:t>
            </w:r>
          </w:hyperlink>
        </w:p>
        <w:p>
          <w:pPr>
            <w:pStyle w:val="TOC5"/>
            <w:tabs>
              <w:tab w:pos="8237" w:val="left" w:leader="dot"/>
            </w:tabs>
            <w:rPr>
              <w:b w:val="0"/>
            </w:rPr>
          </w:pPr>
          <w:hyperlink w:history="true" w:anchor="_TOC_250000">
            <w:r>
              <w:rPr/>
              <w:t>Documentos nos Municípios</w:t>
            </w:r>
            <w:r>
              <w:rPr>
                <w:spacing w:val="-4"/>
              </w:rPr>
              <w:t> </w:t>
            </w:r>
            <w:r>
              <w:rPr/>
              <w:t>do</w:t>
            </w:r>
            <w:r>
              <w:rPr>
                <w:spacing w:val="-4"/>
              </w:rPr>
              <w:t> </w:t>
            </w:r>
            <w:r>
              <w:rPr/>
              <w:t>Tocantins</w:t>
            </w:r>
            <w:r>
              <w:rPr>
                <w:b w:val="0"/>
              </w:rPr>
              <w:tab/>
              <w:t>164</w:t>
            </w:r>
          </w:hyperlink>
        </w:p>
      </w:sdtContent>
    </w:sdt>
    <w:p>
      <w:pPr>
        <w:spacing w:after="0"/>
        <w:sectPr>
          <w:headerReference w:type="default" r:id="rId20"/>
          <w:pgSz w:w="11910" w:h="16840"/>
          <w:pgMar w:header="0" w:footer="0" w:top="1320" w:bottom="280" w:left="1600" w:right="1580"/>
        </w:sectPr>
      </w:pPr>
    </w:p>
    <w:p>
      <w:pPr>
        <w:pStyle w:val="BodyText"/>
        <w:spacing w:before="8"/>
        <w:rPr>
          <w:sz w:val="38"/>
        </w:rPr>
      </w:pPr>
    </w:p>
    <w:p>
      <w:pPr>
        <w:pStyle w:val="Heading1"/>
        <w:ind w:left="571" w:right="571"/>
        <w:jc w:val="center"/>
      </w:pPr>
      <w:r>
        <w:rPr/>
        <w:t>INTRODUÇÃO</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line="360" w:lineRule="auto" w:before="179"/>
        <w:ind w:left="122" w:right="115" w:firstLine="851"/>
        <w:jc w:val="both"/>
      </w:pPr>
      <w:r>
        <w:rPr/>
        <w:t>O planejamento no campo da política pública educacional brasileira, tomado a partir de seu processo histórico, não seria conhecido, não fossem os momentos em que entrou na pauta do desenvolvimento do País, sobretudo voltado àquele que atendesse aos interesses do capital. Por outro lado, entra para a história, quando da discussão de sua inexistência, tendo em vista uma organização e sistematização da educação voltada para atender aos interesses dos</w:t>
      </w:r>
      <w:r>
        <w:rPr>
          <w:spacing w:val="-11"/>
        </w:rPr>
        <w:t> </w:t>
      </w:r>
      <w:r>
        <w:rPr/>
        <w:t>trabalhadores.</w:t>
      </w:r>
    </w:p>
    <w:p>
      <w:pPr>
        <w:pStyle w:val="BodyText"/>
        <w:spacing w:line="350" w:lineRule="auto" w:before="4"/>
        <w:ind w:left="122" w:right="116" w:firstLine="851"/>
        <w:jc w:val="both"/>
      </w:pPr>
      <w:r>
        <w:rPr/>
        <w:t>Esta Dissertação de Mestrado aborda o tema planejamento de políticas públicas no campo da educação municipal, apreendendo, especificamente, os planos municipais de educação no Tocantins</w:t>
      </w:r>
      <w:r>
        <w:rPr>
          <w:position w:val="11"/>
          <w:sz w:val="16"/>
        </w:rPr>
        <w:t>1</w:t>
      </w:r>
      <w:r>
        <w:rPr/>
        <w:t>, elaborados nos anos de 2013 a 2015, mediados por disputas de intencionalidades.</w:t>
      </w:r>
    </w:p>
    <w:p>
      <w:pPr>
        <w:pStyle w:val="BodyText"/>
        <w:spacing w:line="360" w:lineRule="auto" w:before="14"/>
        <w:ind w:left="122" w:right="116" w:firstLine="851"/>
        <w:jc w:val="both"/>
      </w:pPr>
      <w:r>
        <w:rPr/>
        <w:t>Com um enfoque epistemológico do materialismo histórico-dialético, o planejamento no campo da educação aqui é concebido como em uma arena de disputa (SANDER, 2005). Para tanto, como estratégia de aproximação da realidade concreta, buscamos compreender o nosso objeto de pesquisa a partir de duas intencionalidades que disputam os rumos da educação: uma com vistas a conservação da estrutura societária vigente, na qual as questões da educação são mais técnicas que políticas, incidindo em aspectos gerenciais, com objetivos imediatos e com mudanças periféricas  e quantitativas; e, outra, que põe em causa e reconfigura o sistema educacional vigente de acordo com as finalidades, constituindo parâmetros para avaliar a relevância da mudança</w:t>
      </w:r>
      <w:r>
        <w:rPr>
          <w:spacing w:val="-4"/>
        </w:rPr>
        <w:t> </w:t>
      </w:r>
      <w:r>
        <w:rPr/>
        <w:t>pretendida.</w:t>
      </w:r>
    </w:p>
    <w:p>
      <w:pPr>
        <w:pStyle w:val="BodyText"/>
        <w:spacing w:line="360" w:lineRule="auto" w:before="3"/>
        <w:ind w:left="122" w:right="119" w:firstLine="851"/>
        <w:jc w:val="both"/>
      </w:pPr>
      <w:r>
        <w:rPr/>
        <w:t>Partindo desse pressuposto, ganha contornos a preocupação em relação ao momento atual de planejamento da educação no Brasil, em que, pela segunda vez, após a promulgação da Constituição Federal (BRASIL, 1988), o País planeja os rumos de sua educação com a aprovação do Plano Nacional de Educação (PNE), por meio da Lei nº 13.005/2014 (BRASIL,</w:t>
      </w:r>
      <w:r>
        <w:rPr>
          <w:spacing w:val="-4"/>
        </w:rPr>
        <w:t> </w:t>
      </w:r>
      <w:r>
        <w:rPr/>
        <w:t>2014a).</w:t>
      </w:r>
    </w:p>
    <w:p>
      <w:pPr>
        <w:pStyle w:val="BodyText"/>
        <w:spacing w:line="360" w:lineRule="auto" w:before="3"/>
        <w:ind w:left="122" w:right="117" w:firstLine="851"/>
        <w:jc w:val="both"/>
      </w:pPr>
      <w:r>
        <w:rPr/>
        <w:t>Dessa preocupação, surge o nosso problema de pesquisa: que intencionalidades e resultados, com suas concepções/racionalidades/conceitos, sobressaem nas diretrizes e</w:t>
      </w:r>
    </w:p>
    <w:p>
      <w:pPr>
        <w:pStyle w:val="BodyText"/>
        <w:spacing w:before="1"/>
        <w:rPr>
          <w:sz w:val="9"/>
        </w:rPr>
      </w:pPr>
      <w:r>
        <w:rPr/>
        <w:pict>
          <v:line style="position:absolute;mso-position-horizontal-relative:page;mso-position-vertical-relative:paragraph;z-index:1120;mso-wrap-distance-left:0;mso-wrap-distance-right:0" from="85.103996pt,7.55065pt" to="229.123996pt,7.55065pt" stroked="true" strokeweight=".72003pt" strokecolor="#000000">
            <v:stroke dashstyle="solid"/>
            <w10:wrap type="topAndBottom"/>
          </v:line>
        </w:pict>
      </w:r>
    </w:p>
    <w:p>
      <w:pPr>
        <w:spacing w:before="42"/>
        <w:ind w:left="122" w:right="116" w:firstLine="0"/>
        <w:jc w:val="both"/>
        <w:rPr>
          <w:sz w:val="20"/>
        </w:rPr>
      </w:pPr>
      <w:r>
        <w:rPr>
          <w:position w:val="9"/>
          <w:sz w:val="13"/>
        </w:rPr>
        <w:t>1 </w:t>
      </w:r>
      <w:r>
        <w:rPr>
          <w:sz w:val="20"/>
        </w:rPr>
        <w:t>Para maiores informações acerca da política educacional no Tocantins, ver, por exemplo: DOURADO, Luiz Fernandes; OLIVEIRA, João Ferreira (org). Políticas e Gestão da Educação no Tocantins -  Múltiplos Olhares. Editora Xamã,</w:t>
      </w:r>
      <w:r>
        <w:rPr>
          <w:spacing w:val="-9"/>
          <w:sz w:val="20"/>
        </w:rPr>
        <w:t> </w:t>
      </w:r>
      <w:r>
        <w:rPr>
          <w:sz w:val="20"/>
        </w:rPr>
        <w:t>2008.</w:t>
      </w:r>
    </w:p>
    <w:p>
      <w:pPr>
        <w:spacing w:after="0"/>
        <w:jc w:val="both"/>
        <w:rPr>
          <w:sz w:val="20"/>
        </w:rPr>
        <w:sectPr>
          <w:headerReference w:type="default" r:id="rId21"/>
          <w:pgSz w:w="11910" w:h="16840"/>
          <w:pgMar w:header="749" w:footer="0" w:top="960" w:bottom="280" w:left="1580" w:right="1580"/>
          <w:pgNumType w:start="18"/>
        </w:sectPr>
      </w:pPr>
    </w:p>
    <w:p>
      <w:pPr>
        <w:pStyle w:val="BodyText"/>
        <w:rPr>
          <w:sz w:val="20"/>
        </w:rPr>
      </w:pPr>
    </w:p>
    <w:p>
      <w:pPr>
        <w:pStyle w:val="BodyText"/>
        <w:spacing w:line="360" w:lineRule="auto" w:before="210"/>
        <w:ind w:left="122" w:right="117"/>
        <w:jc w:val="both"/>
      </w:pPr>
      <w:r>
        <w:rPr/>
        <w:t>orientações nacionais para o processo de planejamento da educação pelos Municípios, a partir da promulgação da Constituição Federal de 1988 [considerando este contexto como marco divisor no </w:t>
      </w:r>
      <w:r>
        <w:rPr>
          <w:i/>
        </w:rPr>
        <w:t>processo efetivo de institucionalização dos sistemas municipais </w:t>
      </w:r>
      <w:r>
        <w:rPr>
          <w:i/>
        </w:rPr>
        <w:t>de educação</w:t>
      </w:r>
      <w:r>
        <w:rPr/>
        <w:t>] e, também, no processo da política pública educacional de elaboração e/ou adequação de Planos Municipais de Educação (PMEs) no Estado do Tocantins, desencadeado no ano de 2013 pelo MEC/SASE, com uma Rede de Assistência Técnica, em decorrência da disposição do Projeto de Lei do PNE quanto a necessária elaboração dos Planos de Educação pelos Estados, Distrito Federal e Municípios?</w:t>
      </w:r>
    </w:p>
    <w:p>
      <w:pPr>
        <w:pStyle w:val="BodyText"/>
        <w:spacing w:line="360" w:lineRule="auto" w:before="3"/>
        <w:ind w:left="122" w:right="117" w:firstLine="851"/>
        <w:jc w:val="both"/>
      </w:pPr>
      <w:r>
        <w:rPr/>
        <w:t>Assim posto, objetivamos compreender a política pública de planejamento da educação municipal no Estado do Tocantins, em especial, a deflagrada no ano de 2013 por meio da Secretaria de Articulação com os Sistemas de Ensino (SASE)/Ministério da Educação (MEC), com uma Rede de Assistência Técnica a Estados, Distrito Federal e Municípios no processo de elaboração dos Planos de Educação, em atendimento e alinhados ao Plano Nacional de Educação (PNE), apreendendo as disputas de intenções que a perpassam.</w:t>
      </w:r>
    </w:p>
    <w:p>
      <w:pPr>
        <w:pStyle w:val="BodyText"/>
        <w:spacing w:before="6"/>
        <w:ind w:left="974"/>
      </w:pPr>
      <w:r>
        <w:rPr/>
        <w:t>Especificamente, buscamos:</w:t>
      </w:r>
    </w:p>
    <w:p>
      <w:pPr>
        <w:pStyle w:val="ListParagraph"/>
        <w:numPr>
          <w:ilvl w:val="0"/>
          <w:numId w:val="4"/>
        </w:numPr>
        <w:tabs>
          <w:tab w:pos="1538" w:val="left" w:leader="none"/>
        </w:tabs>
        <w:spacing w:line="360" w:lineRule="auto" w:before="136" w:after="0"/>
        <w:ind w:left="122" w:right="119" w:firstLine="852"/>
        <w:jc w:val="both"/>
        <w:rPr>
          <w:sz w:val="24"/>
        </w:rPr>
      </w:pPr>
      <w:r>
        <w:rPr>
          <w:sz w:val="24"/>
        </w:rPr>
        <w:t>compreender intencionalidades, ou seja, concepções, com suas racionalidades e seus conceitos, acerca do planejamento no campo da educação no Brasil, percorrendo o processo histórico de organização/institucionalização da  educação;</w:t>
      </w:r>
    </w:p>
    <w:p>
      <w:pPr>
        <w:pStyle w:val="ListParagraph"/>
        <w:numPr>
          <w:ilvl w:val="0"/>
          <w:numId w:val="4"/>
        </w:numPr>
        <w:tabs>
          <w:tab w:pos="1538" w:val="left" w:leader="none"/>
        </w:tabs>
        <w:spacing w:line="360" w:lineRule="auto" w:before="3" w:after="0"/>
        <w:ind w:left="122" w:right="117" w:firstLine="852"/>
        <w:jc w:val="both"/>
        <w:rPr>
          <w:sz w:val="24"/>
        </w:rPr>
      </w:pPr>
      <w:r>
        <w:rPr>
          <w:sz w:val="24"/>
        </w:rPr>
        <w:t>compreender as intencionalidades (concepções/racionalidades/conceitos) de diretrizes e orientações nacionais para o processo de planejamento da educação pelos Municípios brasileiros, a partir da promulgação da Constituição Federal de 1988, considerando este contexto como marco divisor no </w:t>
      </w:r>
      <w:r>
        <w:rPr>
          <w:i/>
          <w:sz w:val="24"/>
        </w:rPr>
        <w:t>processo efetivo de </w:t>
      </w:r>
      <w:r>
        <w:rPr>
          <w:i/>
          <w:sz w:val="24"/>
        </w:rPr>
        <w:t>institucionalização dos sistemas municipais de</w:t>
      </w:r>
      <w:r>
        <w:rPr>
          <w:i/>
          <w:spacing w:val="-6"/>
          <w:sz w:val="24"/>
        </w:rPr>
        <w:t> </w:t>
      </w:r>
      <w:r>
        <w:rPr>
          <w:i/>
          <w:sz w:val="24"/>
        </w:rPr>
        <w:t>educação</w:t>
      </w:r>
      <w:r>
        <w:rPr>
          <w:sz w:val="24"/>
        </w:rPr>
        <w:t>;</w:t>
      </w:r>
    </w:p>
    <w:p>
      <w:pPr>
        <w:pStyle w:val="ListParagraph"/>
        <w:numPr>
          <w:ilvl w:val="0"/>
          <w:numId w:val="4"/>
        </w:numPr>
        <w:tabs>
          <w:tab w:pos="1538" w:val="left" w:leader="none"/>
        </w:tabs>
        <w:spacing w:line="357" w:lineRule="auto" w:before="6" w:after="0"/>
        <w:ind w:left="122" w:right="117" w:firstLine="852"/>
        <w:jc w:val="both"/>
        <w:rPr>
          <w:sz w:val="24"/>
        </w:rPr>
      </w:pPr>
      <w:r>
        <w:rPr/>
        <w:pict>
          <v:line style="position:absolute;mso-position-horizontal-relative:page;mso-position-vertical-relative:paragraph;z-index:1144;mso-wrap-distance-left:0;mso-wrap-distance-right:0" from="85.103996pt,108.853119pt" to="229.123996pt,108.853119pt" stroked="true" strokeweight=".72003pt" strokecolor="#000000">
            <v:stroke dashstyle="solid"/>
            <w10:wrap type="topAndBottom"/>
          </v:line>
        </w:pict>
      </w:r>
      <w:r>
        <w:rPr>
          <w:sz w:val="24"/>
        </w:rPr>
        <w:t>descrever aspectos do processo da política pública educacional de elaboração e/ou adequação de 111 (cento e onze) Planos Municipais de Educação (PMEs), em Municípios do Estado do Tocantins, dentre os 138 (cento e trinta e oito) Planos elaborados neste processo</w:t>
      </w:r>
      <w:r>
        <w:rPr>
          <w:position w:val="10"/>
          <w:sz w:val="14"/>
        </w:rPr>
        <w:t>2</w:t>
      </w:r>
      <w:r>
        <w:rPr>
          <w:sz w:val="24"/>
        </w:rPr>
        <w:t>, a partir de processo desencadeado, ainda no ano de 2013,</w:t>
      </w:r>
      <w:r>
        <w:rPr>
          <w:spacing w:val="28"/>
          <w:sz w:val="24"/>
        </w:rPr>
        <w:t> </w:t>
      </w:r>
      <w:r>
        <w:rPr>
          <w:sz w:val="24"/>
        </w:rPr>
        <w:t>pelo</w:t>
      </w:r>
      <w:r>
        <w:rPr>
          <w:spacing w:val="29"/>
          <w:sz w:val="24"/>
        </w:rPr>
        <w:t> </w:t>
      </w:r>
      <w:r>
        <w:rPr>
          <w:sz w:val="24"/>
        </w:rPr>
        <w:t>MEC</w:t>
      </w:r>
      <w:r>
        <w:rPr>
          <w:spacing w:val="29"/>
          <w:sz w:val="24"/>
        </w:rPr>
        <w:t> </w:t>
      </w:r>
      <w:r>
        <w:rPr>
          <w:sz w:val="24"/>
        </w:rPr>
        <w:t>por</w:t>
      </w:r>
      <w:r>
        <w:rPr>
          <w:spacing w:val="27"/>
          <w:sz w:val="24"/>
        </w:rPr>
        <w:t> </w:t>
      </w:r>
      <w:r>
        <w:rPr>
          <w:sz w:val="24"/>
        </w:rPr>
        <w:t>meio</w:t>
      </w:r>
      <w:r>
        <w:rPr>
          <w:spacing w:val="29"/>
          <w:sz w:val="24"/>
        </w:rPr>
        <w:t> </w:t>
      </w:r>
      <w:r>
        <w:rPr>
          <w:sz w:val="24"/>
        </w:rPr>
        <w:t>da</w:t>
      </w:r>
      <w:r>
        <w:rPr>
          <w:spacing w:val="27"/>
          <w:sz w:val="24"/>
        </w:rPr>
        <w:t> </w:t>
      </w:r>
      <w:r>
        <w:rPr>
          <w:sz w:val="24"/>
        </w:rPr>
        <w:t>SASE,</w:t>
      </w:r>
      <w:r>
        <w:rPr>
          <w:spacing w:val="28"/>
          <w:sz w:val="24"/>
        </w:rPr>
        <w:t> </w:t>
      </w:r>
      <w:r>
        <w:rPr>
          <w:sz w:val="24"/>
        </w:rPr>
        <w:t>em</w:t>
      </w:r>
      <w:r>
        <w:rPr>
          <w:spacing w:val="29"/>
          <w:sz w:val="24"/>
        </w:rPr>
        <w:t> </w:t>
      </w:r>
      <w:r>
        <w:rPr>
          <w:sz w:val="24"/>
        </w:rPr>
        <w:t>decorrência</w:t>
      </w:r>
      <w:r>
        <w:rPr>
          <w:spacing w:val="28"/>
          <w:sz w:val="24"/>
        </w:rPr>
        <w:t> </w:t>
      </w:r>
      <w:r>
        <w:rPr>
          <w:sz w:val="24"/>
        </w:rPr>
        <w:t>da</w:t>
      </w:r>
      <w:r>
        <w:rPr>
          <w:spacing w:val="29"/>
          <w:sz w:val="24"/>
        </w:rPr>
        <w:t> </w:t>
      </w:r>
      <w:r>
        <w:rPr>
          <w:sz w:val="24"/>
        </w:rPr>
        <w:t>disposição</w:t>
      </w:r>
      <w:r>
        <w:rPr>
          <w:spacing w:val="28"/>
          <w:sz w:val="24"/>
        </w:rPr>
        <w:t> </w:t>
      </w:r>
      <w:r>
        <w:rPr>
          <w:sz w:val="24"/>
        </w:rPr>
        <w:t>do</w:t>
      </w:r>
      <w:r>
        <w:rPr>
          <w:spacing w:val="28"/>
          <w:sz w:val="24"/>
        </w:rPr>
        <w:t> </w:t>
      </w:r>
      <w:r>
        <w:rPr>
          <w:sz w:val="24"/>
        </w:rPr>
        <w:t>PNE</w:t>
      </w:r>
      <w:r>
        <w:rPr>
          <w:spacing w:val="27"/>
          <w:sz w:val="24"/>
        </w:rPr>
        <w:t> </w:t>
      </w:r>
      <w:r>
        <w:rPr>
          <w:sz w:val="24"/>
        </w:rPr>
        <w:t>quanto</w:t>
      </w:r>
      <w:r>
        <w:rPr>
          <w:spacing w:val="29"/>
          <w:sz w:val="24"/>
        </w:rPr>
        <w:t> </w:t>
      </w:r>
      <w:r>
        <w:rPr>
          <w:sz w:val="24"/>
        </w:rPr>
        <w:t>a</w:t>
      </w:r>
    </w:p>
    <w:p>
      <w:pPr>
        <w:spacing w:before="40"/>
        <w:ind w:left="122" w:right="123" w:firstLine="0"/>
        <w:jc w:val="both"/>
        <w:rPr>
          <w:sz w:val="20"/>
        </w:rPr>
      </w:pPr>
      <w:r>
        <w:rPr>
          <w:position w:val="9"/>
          <w:sz w:val="13"/>
        </w:rPr>
        <w:t>2 </w:t>
      </w:r>
      <w:r>
        <w:rPr>
          <w:sz w:val="20"/>
        </w:rPr>
        <w:t>Dos 139 Municípios do Estado do Tocantins, a capital, Palmas, até o momento de coleta de informações desta pesquisa, e com prazo esgotado, como previsto na Lei do PNE – Lei nº 13.005, de 25 de junho de 2014 (BRASIL, 2014), não havia encerrado o processo de elaboração de seu PME. Dos demais 27 Municípios, o pesquisador não teve acesso aos Planos, até a data de fechamento da Dissertação, a  despeito de todos os demais já estarem com seus PMEs</w:t>
      </w:r>
      <w:r>
        <w:rPr>
          <w:spacing w:val="-25"/>
          <w:sz w:val="20"/>
        </w:rPr>
        <w:t> </w:t>
      </w:r>
      <w:r>
        <w:rPr>
          <w:sz w:val="20"/>
        </w:rPr>
        <w:t>sancionados.</w:t>
      </w:r>
    </w:p>
    <w:p>
      <w:pPr>
        <w:spacing w:after="0"/>
        <w:jc w:val="both"/>
        <w:rPr>
          <w:sz w:val="20"/>
        </w:rPr>
        <w:sectPr>
          <w:pgSz w:w="11910" w:h="16840"/>
          <w:pgMar w:header="749" w:footer="0" w:top="960" w:bottom="280" w:left="1580" w:right="1580"/>
        </w:sectPr>
      </w:pPr>
    </w:p>
    <w:p>
      <w:pPr>
        <w:pStyle w:val="BodyText"/>
        <w:rPr>
          <w:sz w:val="20"/>
        </w:rPr>
      </w:pPr>
    </w:p>
    <w:p>
      <w:pPr>
        <w:pStyle w:val="BodyText"/>
        <w:spacing w:line="362" w:lineRule="auto" w:before="210"/>
        <w:ind w:left="122"/>
      </w:pPr>
      <w:r>
        <w:rPr/>
        <w:t>necessária elaboração dos Planos de Educação pelos Estados, Distrito Federal e Municípios;</w:t>
      </w:r>
    </w:p>
    <w:p>
      <w:pPr>
        <w:pStyle w:val="ListParagraph"/>
        <w:numPr>
          <w:ilvl w:val="0"/>
          <w:numId w:val="4"/>
        </w:numPr>
        <w:tabs>
          <w:tab w:pos="1538" w:val="left" w:leader="none"/>
        </w:tabs>
        <w:spacing w:line="360" w:lineRule="auto" w:before="0" w:after="0"/>
        <w:ind w:left="122" w:right="119" w:firstLine="852"/>
        <w:jc w:val="both"/>
        <w:rPr>
          <w:sz w:val="24"/>
        </w:rPr>
      </w:pPr>
      <w:r>
        <w:rPr>
          <w:sz w:val="24"/>
        </w:rPr>
        <w:t>esboçar características gerais dos 111 PMEs, relacionadas a aspectos de formatação e de conteúdo dos documentos;</w:t>
      </w:r>
      <w:r>
        <w:rPr>
          <w:spacing w:val="-5"/>
          <w:sz w:val="24"/>
        </w:rPr>
        <w:t> </w:t>
      </w:r>
      <w:r>
        <w:rPr>
          <w:sz w:val="24"/>
        </w:rPr>
        <w:t>e</w:t>
      </w:r>
    </w:p>
    <w:p>
      <w:pPr>
        <w:pStyle w:val="ListParagraph"/>
        <w:numPr>
          <w:ilvl w:val="0"/>
          <w:numId w:val="4"/>
        </w:numPr>
        <w:tabs>
          <w:tab w:pos="1538" w:val="left" w:leader="none"/>
        </w:tabs>
        <w:spacing w:line="360" w:lineRule="auto" w:before="3" w:after="0"/>
        <w:ind w:left="122" w:right="118" w:firstLine="852"/>
        <w:jc w:val="both"/>
        <w:rPr>
          <w:sz w:val="24"/>
        </w:rPr>
      </w:pPr>
      <w:r>
        <w:rPr>
          <w:sz w:val="24"/>
        </w:rPr>
        <w:t>apreender intencionalidades do processo e nos PMEs, considerando, em especial, as concepções do planejamento, se assentado na alienação/conservação ou na transformação/compromisso</w:t>
      </w:r>
      <w:r>
        <w:rPr>
          <w:spacing w:val="-5"/>
          <w:sz w:val="24"/>
        </w:rPr>
        <w:t> </w:t>
      </w:r>
      <w:r>
        <w:rPr>
          <w:sz w:val="24"/>
        </w:rPr>
        <w:t>social.</w:t>
      </w:r>
    </w:p>
    <w:p>
      <w:pPr>
        <w:pStyle w:val="BodyText"/>
        <w:spacing w:line="357" w:lineRule="auto" w:before="6"/>
        <w:ind w:left="122" w:right="118" w:firstLine="851"/>
        <w:jc w:val="both"/>
      </w:pPr>
      <w:r>
        <w:rPr/>
        <w:t>Esta Dissertação dá continuidade a pesquisa iniciada no processo de Graduação em Pedagogia na Universidade Federal do Tocantins (UFT), e que continuou por meio do Núcleo de Estudos, Pesquisa e Extensão de Políticas Curriculares e Educativas (NEPCE) – UFT/Subgrupo de Estudos, Pesquisa e Extensão em Educação Municipal da UFT, resultando na produção e publicação de trabalhos em anais de eventos locais, nacionais e internacionais</w:t>
      </w:r>
      <w:r>
        <w:rPr>
          <w:position w:val="10"/>
          <w:sz w:val="14"/>
        </w:rPr>
        <w:t>3</w:t>
      </w:r>
      <w:r>
        <w:rPr/>
        <w:t>.</w:t>
      </w:r>
    </w:p>
    <w:p>
      <w:pPr>
        <w:pStyle w:val="BodyText"/>
        <w:spacing w:line="357" w:lineRule="auto" w:before="3"/>
        <w:ind w:left="122" w:right="120" w:firstLine="851"/>
        <w:jc w:val="both"/>
      </w:pPr>
      <w:r>
        <w:rPr/>
        <w:t>As pesquisas em torno do planejamento no campo da educação se intensificam com o convite para ser Avaliador Educacional Técnico na Rede de Assistência Técnica do MEC/SASE</w:t>
      </w:r>
      <w:r>
        <w:rPr>
          <w:position w:val="10"/>
          <w:sz w:val="14"/>
        </w:rPr>
        <w:t>4</w:t>
      </w:r>
      <w:r>
        <w:rPr/>
        <w:t>, em maio de 2014, no apoio e orientação ao Estado e aos Municípios no processo de elaboração e/ou adequação do Plano Estadual e dos Planos Municipais de Educação no Tocantins, permitindo um maior acesso as fontes de dados e informações do processo e demarcando nosso objeto de estudo para esta Dissertação.</w:t>
      </w:r>
    </w:p>
    <w:p>
      <w:pPr>
        <w:pStyle w:val="BodyText"/>
        <w:spacing w:line="360" w:lineRule="auto" w:before="8"/>
        <w:ind w:left="122" w:right="116" w:firstLine="851"/>
        <w:jc w:val="both"/>
      </w:pPr>
      <w:r>
        <w:rPr/>
        <w:t>Para a compreensão do tema, nos alicerçamos e buscamos as intencionalidades, ou seja, concepções, com suas racionalidades e seus conceitos, acerca do planejamento no campo da educação no Brasil, percorrendo o processo histórico de organização/institucionalização da educação, com vistas a fundamentação para a compreensão dos documentos nacionais, estaduais e municipais, assim como do processo de planejamento desencadeado por Municípios no Estado do Tocantins. Em</w:t>
      </w:r>
    </w:p>
    <w:p>
      <w:pPr>
        <w:pStyle w:val="BodyText"/>
        <w:spacing w:before="1"/>
        <w:rPr>
          <w:sz w:val="25"/>
        </w:rPr>
      </w:pPr>
      <w:r>
        <w:rPr/>
        <w:pict>
          <v:line style="position:absolute;mso-position-horizontal-relative:page;mso-position-vertical-relative:paragraph;z-index:1168;mso-wrap-distance-left:0;mso-wrap-distance-right:0" from="85.103996pt,16.767147pt" to="229.123996pt,16.767147pt" stroked="true" strokeweight=".71997pt" strokecolor="#000000">
            <v:stroke dashstyle="solid"/>
            <w10:wrap type="topAndBottom"/>
          </v:line>
        </w:pict>
      </w:r>
    </w:p>
    <w:p>
      <w:pPr>
        <w:spacing w:before="42"/>
        <w:ind w:left="122" w:right="114" w:firstLine="0"/>
        <w:jc w:val="both"/>
        <w:rPr>
          <w:sz w:val="20"/>
        </w:rPr>
      </w:pPr>
      <w:r>
        <w:rPr>
          <w:position w:val="9"/>
          <w:sz w:val="13"/>
        </w:rPr>
        <w:t>3 </w:t>
      </w:r>
      <w:r>
        <w:rPr>
          <w:sz w:val="20"/>
        </w:rPr>
        <w:t>Estamos pesquisando desde o ano de 2012 as várias iniciativas federais a partir de 2001. Desde a graduação, temos pesquisado acerca da elaboração de PMEs: Trabalho de Conclusão do Curso </w:t>
      </w:r>
      <w:r>
        <w:rPr>
          <w:w w:val="99"/>
          <w:sz w:val="20"/>
        </w:rPr>
        <w:t>(</w:t>
      </w:r>
      <w:r>
        <w:rPr>
          <w:w w:val="99"/>
          <w:sz w:val="20"/>
        </w:rPr>
        <w:t>M</w:t>
      </w:r>
      <w:r>
        <w:rPr>
          <w:spacing w:val="1"/>
          <w:w w:val="99"/>
          <w:sz w:val="20"/>
        </w:rPr>
        <w:t>o</w:t>
      </w:r>
      <w:r>
        <w:rPr>
          <w:spacing w:val="-2"/>
          <w:w w:val="99"/>
          <w:sz w:val="20"/>
        </w:rPr>
        <w:t>n</w:t>
      </w:r>
      <w:r>
        <w:rPr>
          <w:spacing w:val="1"/>
          <w:w w:val="99"/>
          <w:sz w:val="20"/>
        </w:rPr>
        <w:t>o</w:t>
      </w:r>
      <w:r>
        <w:rPr>
          <w:spacing w:val="-2"/>
          <w:w w:val="99"/>
          <w:sz w:val="20"/>
        </w:rPr>
        <w:t>g</w:t>
      </w:r>
      <w:r>
        <w:rPr>
          <w:w w:val="99"/>
          <w:sz w:val="20"/>
        </w:rPr>
        <w:t>r</w:t>
      </w:r>
      <w:r>
        <w:rPr>
          <w:w w:val="99"/>
          <w:sz w:val="20"/>
        </w:rPr>
        <w:t>a</w:t>
      </w:r>
      <w:r>
        <w:rPr>
          <w:spacing w:val="-2"/>
          <w:w w:val="99"/>
          <w:sz w:val="20"/>
        </w:rPr>
        <w:t>f</w:t>
      </w:r>
      <w:r>
        <w:rPr>
          <w:w w:val="99"/>
          <w:sz w:val="20"/>
        </w:rPr>
        <w:t>ia)</w:t>
      </w:r>
      <w:r>
        <w:rPr>
          <w:spacing w:val="3"/>
          <w:sz w:val="20"/>
        </w:rPr>
        <w:t> </w:t>
      </w:r>
      <w:r>
        <w:rPr>
          <w:spacing w:val="2"/>
          <w:w w:val="99"/>
          <w:sz w:val="20"/>
        </w:rPr>
        <w:t>i</w:t>
      </w:r>
      <w:r>
        <w:rPr>
          <w:spacing w:val="-2"/>
          <w:w w:val="99"/>
          <w:sz w:val="20"/>
        </w:rPr>
        <w:t>n</w:t>
      </w:r>
      <w:r>
        <w:rPr>
          <w:w w:val="99"/>
          <w:sz w:val="20"/>
        </w:rPr>
        <w:t>ti</w:t>
      </w:r>
      <w:r>
        <w:rPr>
          <w:spacing w:val="1"/>
          <w:w w:val="99"/>
          <w:sz w:val="20"/>
        </w:rPr>
        <w:t>t</w:t>
      </w:r>
      <w:r>
        <w:rPr>
          <w:spacing w:val="-2"/>
          <w:w w:val="99"/>
          <w:sz w:val="20"/>
        </w:rPr>
        <w:t>u</w:t>
      </w:r>
      <w:r>
        <w:rPr>
          <w:w w:val="99"/>
          <w:sz w:val="20"/>
        </w:rPr>
        <w:t>la</w:t>
      </w:r>
      <w:r>
        <w:rPr>
          <w:spacing w:val="1"/>
          <w:w w:val="99"/>
          <w:sz w:val="20"/>
        </w:rPr>
        <w:t>d</w:t>
      </w:r>
      <w:r>
        <w:rPr>
          <w:w w:val="99"/>
          <w:sz w:val="20"/>
        </w:rPr>
        <w:t>o</w:t>
      </w:r>
      <w:r>
        <w:rPr>
          <w:spacing w:val="3"/>
          <w:sz w:val="20"/>
        </w:rPr>
        <w:t> </w:t>
      </w:r>
      <w:r>
        <w:rPr>
          <w:spacing w:val="-2"/>
          <w:w w:val="44"/>
          <w:sz w:val="20"/>
        </w:rPr>
        <w:t>―</w:t>
      </w:r>
      <w:r>
        <w:rPr>
          <w:spacing w:val="1"/>
          <w:w w:val="99"/>
          <w:sz w:val="20"/>
        </w:rPr>
        <w:t>P</w:t>
      </w:r>
      <w:r>
        <w:rPr>
          <w:w w:val="99"/>
          <w:sz w:val="20"/>
        </w:rPr>
        <w:t>la</w:t>
      </w:r>
      <w:r>
        <w:rPr>
          <w:spacing w:val="1"/>
          <w:w w:val="99"/>
          <w:sz w:val="20"/>
        </w:rPr>
        <w:t>n</w:t>
      </w:r>
      <w:r>
        <w:rPr>
          <w:w w:val="99"/>
          <w:sz w:val="20"/>
        </w:rPr>
        <w:t>o</w:t>
      </w:r>
      <w:r>
        <w:rPr>
          <w:spacing w:val="3"/>
          <w:sz w:val="20"/>
        </w:rPr>
        <w:t> </w:t>
      </w:r>
      <w:r>
        <w:rPr>
          <w:w w:val="99"/>
          <w:sz w:val="20"/>
        </w:rPr>
        <w:t>M</w:t>
      </w:r>
      <w:r>
        <w:rPr>
          <w:spacing w:val="-1"/>
          <w:w w:val="99"/>
          <w:sz w:val="20"/>
        </w:rPr>
        <w:t>u</w:t>
      </w:r>
      <w:r>
        <w:rPr>
          <w:spacing w:val="-2"/>
          <w:w w:val="99"/>
          <w:sz w:val="20"/>
        </w:rPr>
        <w:t>n</w:t>
      </w:r>
      <w:r>
        <w:rPr>
          <w:w w:val="99"/>
          <w:sz w:val="20"/>
        </w:rPr>
        <w:t>ici</w:t>
      </w:r>
      <w:r>
        <w:rPr>
          <w:spacing w:val="1"/>
          <w:w w:val="99"/>
          <w:sz w:val="20"/>
        </w:rPr>
        <w:t>p</w:t>
      </w:r>
      <w:r>
        <w:rPr>
          <w:w w:val="99"/>
          <w:sz w:val="20"/>
        </w:rPr>
        <w:t>al</w:t>
      </w:r>
      <w:r>
        <w:rPr>
          <w:spacing w:val="2"/>
          <w:sz w:val="20"/>
        </w:rPr>
        <w:t> </w:t>
      </w:r>
      <w:r>
        <w:rPr>
          <w:spacing w:val="1"/>
          <w:w w:val="99"/>
          <w:sz w:val="20"/>
        </w:rPr>
        <w:t>d</w:t>
      </w:r>
      <w:r>
        <w:rPr>
          <w:w w:val="99"/>
          <w:sz w:val="20"/>
        </w:rPr>
        <w:t>e</w:t>
      </w:r>
      <w:r>
        <w:rPr>
          <w:spacing w:val="3"/>
          <w:sz w:val="20"/>
        </w:rPr>
        <w:t> </w:t>
      </w:r>
      <w:r>
        <w:rPr>
          <w:w w:val="99"/>
          <w:sz w:val="20"/>
        </w:rPr>
        <w:t>E</w:t>
      </w:r>
      <w:r>
        <w:rPr>
          <w:spacing w:val="1"/>
          <w:w w:val="99"/>
          <w:sz w:val="20"/>
        </w:rPr>
        <w:t>d</w:t>
      </w:r>
      <w:r>
        <w:rPr>
          <w:spacing w:val="-2"/>
          <w:w w:val="99"/>
          <w:sz w:val="20"/>
        </w:rPr>
        <w:t>u</w:t>
      </w:r>
      <w:r>
        <w:rPr>
          <w:w w:val="99"/>
          <w:sz w:val="20"/>
        </w:rPr>
        <w:t>caçã</w:t>
      </w:r>
      <w:r>
        <w:rPr>
          <w:w w:val="99"/>
          <w:sz w:val="20"/>
        </w:rPr>
        <w:t>o</w:t>
      </w:r>
      <w:r>
        <w:rPr>
          <w:spacing w:val="3"/>
          <w:sz w:val="20"/>
        </w:rPr>
        <w:t> </w:t>
      </w:r>
      <w:r>
        <w:rPr>
          <w:spacing w:val="2"/>
          <w:w w:val="99"/>
          <w:sz w:val="20"/>
        </w:rPr>
        <w:t>e</w:t>
      </w:r>
      <w:r>
        <w:rPr>
          <w:w w:val="99"/>
          <w:sz w:val="20"/>
        </w:rPr>
        <w:t>m</w:t>
      </w:r>
      <w:r>
        <w:rPr>
          <w:spacing w:val="1"/>
          <w:sz w:val="20"/>
        </w:rPr>
        <w:t> </w:t>
      </w:r>
      <w:r>
        <w:rPr>
          <w:spacing w:val="1"/>
          <w:w w:val="99"/>
          <w:sz w:val="20"/>
        </w:rPr>
        <w:t>P</w:t>
      </w:r>
      <w:r>
        <w:rPr>
          <w:w w:val="99"/>
          <w:sz w:val="20"/>
        </w:rPr>
        <w:t>al</w:t>
      </w:r>
      <w:r>
        <w:rPr>
          <w:spacing w:val="-4"/>
          <w:w w:val="99"/>
          <w:sz w:val="20"/>
        </w:rPr>
        <w:t>m</w:t>
      </w:r>
      <w:r>
        <w:rPr>
          <w:spacing w:val="2"/>
          <w:w w:val="99"/>
          <w:sz w:val="20"/>
        </w:rPr>
        <w:t>a</w:t>
      </w:r>
      <w:r>
        <w:rPr>
          <w:spacing w:val="-1"/>
          <w:w w:val="99"/>
          <w:sz w:val="20"/>
        </w:rPr>
        <w:t>s</w:t>
      </w:r>
      <w:r>
        <w:rPr>
          <w:w w:val="99"/>
          <w:sz w:val="20"/>
        </w:rPr>
        <w:t>:</w:t>
      </w:r>
      <w:r>
        <w:rPr>
          <w:spacing w:val="2"/>
          <w:sz w:val="20"/>
        </w:rPr>
        <w:t> </w:t>
      </w:r>
      <w:r>
        <w:rPr>
          <w:spacing w:val="2"/>
          <w:w w:val="99"/>
          <w:sz w:val="20"/>
        </w:rPr>
        <w:t>e</w:t>
      </w:r>
      <w:r>
        <w:rPr>
          <w:w w:val="99"/>
          <w:sz w:val="20"/>
        </w:rPr>
        <w:t>m</w:t>
      </w:r>
      <w:r>
        <w:rPr>
          <w:spacing w:val="-2"/>
          <w:sz w:val="20"/>
        </w:rPr>
        <w:t> </w:t>
      </w:r>
      <w:r>
        <w:rPr>
          <w:spacing w:val="3"/>
          <w:w w:val="99"/>
          <w:sz w:val="20"/>
        </w:rPr>
        <w:t>b</w:t>
      </w:r>
      <w:r>
        <w:rPr>
          <w:spacing w:val="-2"/>
          <w:w w:val="99"/>
          <w:sz w:val="20"/>
        </w:rPr>
        <w:t>u</w:t>
      </w:r>
      <w:r>
        <w:rPr>
          <w:spacing w:val="-1"/>
          <w:w w:val="99"/>
          <w:sz w:val="20"/>
        </w:rPr>
        <w:t>s</w:t>
      </w:r>
      <w:r>
        <w:rPr>
          <w:w w:val="99"/>
          <w:sz w:val="20"/>
        </w:rPr>
        <w:t>ca</w:t>
      </w:r>
      <w:r>
        <w:rPr>
          <w:spacing w:val="3"/>
          <w:sz w:val="20"/>
        </w:rPr>
        <w:t> </w:t>
      </w:r>
      <w:r>
        <w:rPr>
          <w:spacing w:val="1"/>
          <w:w w:val="99"/>
          <w:sz w:val="20"/>
        </w:rPr>
        <w:t>d</w:t>
      </w:r>
      <w:r>
        <w:rPr>
          <w:w w:val="99"/>
          <w:sz w:val="20"/>
        </w:rPr>
        <w:t>a</w:t>
      </w:r>
      <w:r>
        <w:rPr>
          <w:spacing w:val="1"/>
          <w:w w:val="99"/>
          <w:sz w:val="20"/>
        </w:rPr>
        <w:t>(</w:t>
      </w:r>
      <w:r>
        <w:rPr>
          <w:spacing w:val="-1"/>
          <w:w w:val="99"/>
          <w:sz w:val="20"/>
        </w:rPr>
        <w:t>s</w:t>
      </w:r>
      <w:r>
        <w:rPr>
          <w:w w:val="99"/>
          <w:sz w:val="20"/>
        </w:rPr>
        <w:t>)</w:t>
      </w:r>
      <w:r>
        <w:rPr>
          <w:spacing w:val="3"/>
          <w:sz w:val="20"/>
        </w:rPr>
        <w:t> </w:t>
      </w:r>
      <w:r>
        <w:rPr>
          <w:w w:val="99"/>
          <w:sz w:val="20"/>
        </w:rPr>
        <w:t>inte</w:t>
      </w:r>
      <w:r>
        <w:rPr>
          <w:spacing w:val="-1"/>
          <w:w w:val="99"/>
          <w:sz w:val="20"/>
        </w:rPr>
        <w:t>n</w:t>
      </w:r>
      <w:r>
        <w:rPr>
          <w:spacing w:val="2"/>
          <w:w w:val="99"/>
          <w:sz w:val="20"/>
        </w:rPr>
        <w:t>c</w:t>
      </w:r>
      <w:r>
        <w:rPr>
          <w:w w:val="99"/>
          <w:sz w:val="20"/>
        </w:rPr>
        <w:t>io</w:t>
      </w:r>
      <w:r>
        <w:rPr>
          <w:spacing w:val="-2"/>
          <w:w w:val="99"/>
          <w:sz w:val="20"/>
        </w:rPr>
        <w:t>n</w:t>
      </w:r>
      <w:r>
        <w:rPr>
          <w:w w:val="99"/>
          <w:sz w:val="20"/>
        </w:rPr>
        <w:t>ali</w:t>
      </w:r>
      <w:r>
        <w:rPr>
          <w:spacing w:val="1"/>
          <w:w w:val="99"/>
          <w:sz w:val="20"/>
        </w:rPr>
        <w:t>d</w:t>
      </w:r>
      <w:r>
        <w:rPr>
          <w:w w:val="99"/>
          <w:sz w:val="20"/>
        </w:rPr>
        <w:t>a</w:t>
      </w:r>
      <w:r>
        <w:rPr>
          <w:spacing w:val="1"/>
          <w:w w:val="99"/>
          <w:sz w:val="20"/>
        </w:rPr>
        <w:t>d</w:t>
      </w:r>
      <w:r>
        <w:rPr>
          <w:w w:val="99"/>
          <w:sz w:val="20"/>
        </w:rPr>
        <w:t>e</w:t>
      </w:r>
      <w:r>
        <w:rPr>
          <w:spacing w:val="1"/>
          <w:w w:val="99"/>
          <w:sz w:val="20"/>
        </w:rPr>
        <w:t>(</w:t>
      </w:r>
      <w:r>
        <w:rPr>
          <w:spacing w:val="-1"/>
          <w:w w:val="99"/>
          <w:sz w:val="20"/>
        </w:rPr>
        <w:t>s</w:t>
      </w:r>
      <w:r>
        <w:rPr>
          <w:w w:val="99"/>
          <w:sz w:val="20"/>
        </w:rPr>
        <w:t>)</w:t>
      </w:r>
      <w:r>
        <w:rPr>
          <w:spacing w:val="3"/>
          <w:sz w:val="20"/>
        </w:rPr>
        <w:t> </w:t>
      </w:r>
      <w:r>
        <w:rPr>
          <w:spacing w:val="-2"/>
          <w:w w:val="99"/>
          <w:sz w:val="20"/>
        </w:rPr>
        <w:t>n</w:t>
      </w:r>
      <w:r>
        <w:rPr>
          <w:w w:val="99"/>
          <w:sz w:val="20"/>
        </w:rPr>
        <w:t>a </w:t>
      </w:r>
      <w:r>
        <w:rPr>
          <w:sz w:val="20"/>
        </w:rPr>
        <w:t>educação municipal‖, apresentado ao Curso de Pedagogia da Universidade Federal do Tocantins, Campus </w:t>
      </w:r>
      <w:r>
        <w:rPr>
          <w:spacing w:val="1"/>
          <w:w w:val="99"/>
          <w:sz w:val="20"/>
        </w:rPr>
        <w:t>P</w:t>
      </w:r>
      <w:r>
        <w:rPr>
          <w:w w:val="99"/>
          <w:sz w:val="20"/>
        </w:rPr>
        <w:t>al</w:t>
      </w:r>
      <w:r>
        <w:rPr>
          <w:spacing w:val="-4"/>
          <w:w w:val="99"/>
          <w:sz w:val="20"/>
        </w:rPr>
        <w:t>m</w:t>
      </w:r>
      <w:r>
        <w:rPr>
          <w:spacing w:val="2"/>
          <w:w w:val="99"/>
          <w:sz w:val="20"/>
        </w:rPr>
        <w:t>a</w:t>
      </w:r>
      <w:r>
        <w:rPr>
          <w:spacing w:val="-1"/>
          <w:w w:val="99"/>
          <w:sz w:val="20"/>
        </w:rPr>
        <w:t>s</w:t>
      </w:r>
      <w:r>
        <w:rPr>
          <w:w w:val="99"/>
          <w:sz w:val="20"/>
        </w:rPr>
        <w:t>,</w:t>
      </w:r>
      <w:r>
        <w:rPr>
          <w:sz w:val="20"/>
        </w:rPr>
        <w:t>  </w:t>
      </w:r>
      <w:r>
        <w:rPr>
          <w:spacing w:val="-13"/>
          <w:sz w:val="20"/>
        </w:rPr>
        <w:t> </w:t>
      </w:r>
      <w:r>
        <w:rPr>
          <w:spacing w:val="-1"/>
          <w:w w:val="99"/>
          <w:sz w:val="20"/>
        </w:rPr>
        <w:t>s</w:t>
      </w:r>
      <w:r>
        <w:rPr>
          <w:spacing w:val="1"/>
          <w:w w:val="99"/>
          <w:sz w:val="20"/>
        </w:rPr>
        <w:t>ob</w:t>
      </w:r>
      <w:r>
        <w:rPr>
          <w:w w:val="99"/>
          <w:sz w:val="20"/>
        </w:rPr>
        <w:t>re</w:t>
      </w:r>
      <w:r>
        <w:rPr>
          <w:sz w:val="20"/>
        </w:rPr>
        <w:t>  </w:t>
      </w:r>
      <w:r>
        <w:rPr>
          <w:spacing w:val="-13"/>
          <w:sz w:val="20"/>
        </w:rPr>
        <w:t> </w:t>
      </w:r>
      <w:r>
        <w:rPr>
          <w:spacing w:val="1"/>
          <w:w w:val="99"/>
          <w:sz w:val="20"/>
        </w:rPr>
        <w:t>o</w:t>
      </w:r>
      <w:r>
        <w:rPr>
          <w:w w:val="99"/>
          <w:sz w:val="20"/>
        </w:rPr>
        <w:t>rie</w:t>
      </w:r>
      <w:r>
        <w:rPr>
          <w:spacing w:val="-1"/>
          <w:w w:val="99"/>
          <w:sz w:val="20"/>
        </w:rPr>
        <w:t>n</w:t>
      </w:r>
      <w:r>
        <w:rPr>
          <w:w w:val="99"/>
          <w:sz w:val="20"/>
        </w:rPr>
        <w:t>tação</w:t>
      </w:r>
      <w:r>
        <w:rPr>
          <w:sz w:val="20"/>
        </w:rPr>
        <w:t>  </w:t>
      </w:r>
      <w:r>
        <w:rPr>
          <w:spacing w:val="-15"/>
          <w:sz w:val="20"/>
        </w:rPr>
        <w:t> </w:t>
      </w:r>
      <w:r>
        <w:rPr>
          <w:spacing w:val="-2"/>
          <w:w w:val="99"/>
          <w:sz w:val="20"/>
        </w:rPr>
        <w:t>d</w:t>
      </w:r>
      <w:r>
        <w:rPr>
          <w:w w:val="99"/>
          <w:sz w:val="20"/>
        </w:rPr>
        <w:t>a</w:t>
      </w:r>
      <w:r>
        <w:rPr>
          <w:sz w:val="20"/>
        </w:rPr>
        <w:t>  </w:t>
      </w:r>
      <w:r>
        <w:rPr>
          <w:spacing w:val="-13"/>
          <w:sz w:val="20"/>
        </w:rPr>
        <w:t> </w:t>
      </w:r>
      <w:r>
        <w:rPr>
          <w:spacing w:val="1"/>
          <w:w w:val="99"/>
          <w:sz w:val="20"/>
        </w:rPr>
        <w:t>P</w:t>
      </w:r>
      <w:r>
        <w:rPr>
          <w:spacing w:val="-2"/>
          <w:w w:val="99"/>
          <w:sz w:val="20"/>
        </w:rPr>
        <w:t>r</w:t>
      </w:r>
      <w:r>
        <w:rPr>
          <w:spacing w:val="1"/>
          <w:w w:val="99"/>
          <w:sz w:val="20"/>
        </w:rPr>
        <w:t>o</w:t>
      </w:r>
      <w:r>
        <w:rPr>
          <w:spacing w:val="-2"/>
          <w:w w:val="99"/>
          <w:sz w:val="20"/>
        </w:rPr>
        <w:t>f</w:t>
      </w:r>
      <w:r>
        <w:rPr>
          <w:w w:val="99"/>
          <w:sz w:val="20"/>
        </w:rPr>
        <w:t>a.</w:t>
      </w:r>
      <w:r>
        <w:rPr>
          <w:sz w:val="20"/>
        </w:rPr>
        <w:t>  </w:t>
      </w:r>
      <w:r>
        <w:rPr>
          <w:spacing w:val="-13"/>
          <w:sz w:val="20"/>
        </w:rPr>
        <w:t> </w:t>
      </w:r>
      <w:r>
        <w:rPr>
          <w:w w:val="99"/>
          <w:sz w:val="20"/>
        </w:rPr>
        <w:t>Dr</w:t>
      </w:r>
      <w:r>
        <w:rPr>
          <w:w w:val="99"/>
          <w:sz w:val="20"/>
        </w:rPr>
        <w:t>a.</w:t>
      </w:r>
      <w:r>
        <w:rPr>
          <w:sz w:val="20"/>
        </w:rPr>
        <w:t>  </w:t>
      </w:r>
      <w:r>
        <w:rPr>
          <w:spacing w:val="-13"/>
          <w:sz w:val="20"/>
        </w:rPr>
        <w:t> </w:t>
      </w:r>
      <w:r>
        <w:rPr>
          <w:spacing w:val="-1"/>
          <w:w w:val="99"/>
          <w:sz w:val="20"/>
        </w:rPr>
        <w:t>R</w:t>
      </w:r>
      <w:r>
        <w:rPr>
          <w:spacing w:val="1"/>
          <w:w w:val="99"/>
          <w:sz w:val="20"/>
        </w:rPr>
        <w:t>o</w:t>
      </w:r>
      <w:r>
        <w:rPr>
          <w:spacing w:val="-1"/>
          <w:w w:val="99"/>
          <w:sz w:val="20"/>
        </w:rPr>
        <w:t>s</w:t>
      </w:r>
      <w:r>
        <w:rPr>
          <w:w w:val="99"/>
          <w:sz w:val="20"/>
        </w:rPr>
        <w:t>ile</w:t>
      </w:r>
      <w:r>
        <w:rPr>
          <w:spacing w:val="-2"/>
          <w:w w:val="99"/>
          <w:sz w:val="20"/>
        </w:rPr>
        <w:t>n</w:t>
      </w:r>
      <w:r>
        <w:rPr>
          <w:w w:val="99"/>
          <w:sz w:val="20"/>
        </w:rPr>
        <w:t>e</w:t>
      </w:r>
      <w:r>
        <w:rPr>
          <w:sz w:val="20"/>
        </w:rPr>
        <w:t>  </w:t>
      </w:r>
      <w:r>
        <w:rPr>
          <w:spacing w:val="-13"/>
          <w:sz w:val="20"/>
        </w:rPr>
        <w:t> </w:t>
      </w:r>
      <w:r>
        <w:rPr>
          <w:spacing w:val="-2"/>
          <w:w w:val="99"/>
          <w:sz w:val="20"/>
        </w:rPr>
        <w:t>L</w:t>
      </w:r>
      <w:r>
        <w:rPr>
          <w:spacing w:val="2"/>
          <w:w w:val="99"/>
          <w:sz w:val="20"/>
        </w:rPr>
        <w:t>a</w:t>
      </w:r>
      <w:r>
        <w:rPr>
          <w:spacing w:val="-2"/>
          <w:w w:val="99"/>
          <w:sz w:val="20"/>
        </w:rPr>
        <w:t>g</w:t>
      </w:r>
      <w:r>
        <w:rPr>
          <w:w w:val="99"/>
          <w:sz w:val="20"/>
        </w:rPr>
        <w:t>a</w:t>
      </w:r>
      <w:r>
        <w:rPr>
          <w:spacing w:val="1"/>
          <w:w w:val="99"/>
          <w:sz w:val="20"/>
        </w:rPr>
        <w:t>r</w:t>
      </w:r>
      <w:r>
        <w:rPr>
          <w:w w:val="99"/>
          <w:sz w:val="20"/>
        </w:rPr>
        <w:t>es,</w:t>
      </w:r>
      <w:r>
        <w:rPr>
          <w:sz w:val="20"/>
        </w:rPr>
        <w:t>  </w:t>
      </w:r>
      <w:r>
        <w:rPr>
          <w:spacing w:val="-14"/>
          <w:sz w:val="20"/>
        </w:rPr>
        <w:t> </w:t>
      </w:r>
      <w:r>
        <w:rPr>
          <w:spacing w:val="2"/>
          <w:w w:val="99"/>
          <w:sz w:val="20"/>
        </w:rPr>
        <w:t>e</w:t>
      </w:r>
      <w:r>
        <w:rPr>
          <w:w w:val="99"/>
          <w:sz w:val="20"/>
        </w:rPr>
        <w:t>m</w:t>
      </w:r>
      <w:r>
        <w:rPr>
          <w:sz w:val="20"/>
        </w:rPr>
        <w:t>  </w:t>
      </w:r>
      <w:r>
        <w:rPr>
          <w:spacing w:val="-18"/>
          <w:sz w:val="20"/>
        </w:rPr>
        <w:t> </w:t>
      </w:r>
      <w:r>
        <w:rPr>
          <w:spacing w:val="1"/>
          <w:w w:val="99"/>
          <w:sz w:val="20"/>
        </w:rPr>
        <w:t>2012</w:t>
      </w:r>
      <w:r>
        <w:rPr>
          <w:w w:val="99"/>
          <w:sz w:val="20"/>
        </w:rPr>
        <w:t>;</w:t>
      </w:r>
      <w:r>
        <w:rPr>
          <w:sz w:val="20"/>
        </w:rPr>
        <w:t>  </w:t>
      </w:r>
      <w:r>
        <w:rPr>
          <w:spacing w:val="-7"/>
          <w:sz w:val="20"/>
        </w:rPr>
        <w:t> </w:t>
      </w:r>
      <w:r>
        <w:rPr>
          <w:spacing w:val="-3"/>
          <w:w w:val="99"/>
          <w:sz w:val="20"/>
        </w:rPr>
        <w:t>A</w:t>
      </w:r>
      <w:r>
        <w:rPr>
          <w:w w:val="99"/>
          <w:sz w:val="20"/>
        </w:rPr>
        <w:t>r</w:t>
      </w:r>
      <w:r>
        <w:rPr>
          <w:w w:val="99"/>
          <w:sz w:val="20"/>
        </w:rPr>
        <w:t>ti</w:t>
      </w:r>
      <w:r>
        <w:rPr>
          <w:spacing w:val="-2"/>
          <w:w w:val="99"/>
          <w:sz w:val="20"/>
        </w:rPr>
        <w:t>g</w:t>
      </w:r>
      <w:r>
        <w:rPr>
          <w:w w:val="99"/>
          <w:sz w:val="20"/>
        </w:rPr>
        <w:t>o</w:t>
      </w:r>
      <w:r>
        <w:rPr>
          <w:sz w:val="20"/>
        </w:rPr>
        <w:t>  </w:t>
      </w:r>
      <w:r>
        <w:rPr>
          <w:spacing w:val="-13"/>
          <w:sz w:val="20"/>
        </w:rPr>
        <w:t> </w:t>
      </w:r>
      <w:r>
        <w:rPr>
          <w:spacing w:val="-2"/>
          <w:w w:val="44"/>
          <w:sz w:val="20"/>
        </w:rPr>
        <w:t>―</w:t>
      </w:r>
      <w:r>
        <w:rPr>
          <w:spacing w:val="3"/>
          <w:w w:val="99"/>
          <w:sz w:val="20"/>
        </w:rPr>
        <w:t>E</w:t>
      </w:r>
      <w:r>
        <w:rPr>
          <w:w w:val="99"/>
          <w:sz w:val="20"/>
        </w:rPr>
        <w:t>m</w:t>
      </w:r>
      <w:r>
        <w:rPr>
          <w:sz w:val="20"/>
        </w:rPr>
        <w:t>  </w:t>
      </w:r>
      <w:r>
        <w:rPr>
          <w:spacing w:val="-18"/>
          <w:sz w:val="20"/>
        </w:rPr>
        <w:t> </w:t>
      </w:r>
      <w:r>
        <w:rPr>
          <w:spacing w:val="3"/>
          <w:w w:val="99"/>
          <w:sz w:val="20"/>
        </w:rPr>
        <w:t>b</w:t>
      </w:r>
      <w:r>
        <w:rPr>
          <w:spacing w:val="-2"/>
          <w:w w:val="99"/>
          <w:sz w:val="20"/>
        </w:rPr>
        <w:t>u</w:t>
      </w:r>
      <w:r>
        <w:rPr>
          <w:spacing w:val="-1"/>
          <w:w w:val="99"/>
          <w:sz w:val="20"/>
        </w:rPr>
        <w:t>s</w:t>
      </w:r>
      <w:r>
        <w:rPr>
          <w:w w:val="99"/>
          <w:sz w:val="20"/>
        </w:rPr>
        <w:t>ca</w:t>
      </w:r>
      <w:r>
        <w:rPr>
          <w:sz w:val="20"/>
        </w:rPr>
        <w:t>  </w:t>
      </w:r>
      <w:r>
        <w:rPr>
          <w:spacing w:val="-13"/>
          <w:sz w:val="20"/>
        </w:rPr>
        <w:t> </w:t>
      </w:r>
      <w:r>
        <w:rPr>
          <w:spacing w:val="1"/>
          <w:w w:val="99"/>
          <w:sz w:val="20"/>
        </w:rPr>
        <w:t>d</w:t>
      </w:r>
      <w:r>
        <w:rPr>
          <w:w w:val="99"/>
          <w:sz w:val="20"/>
        </w:rPr>
        <w:t>a</w:t>
      </w:r>
      <w:r>
        <w:rPr>
          <w:spacing w:val="1"/>
          <w:w w:val="99"/>
          <w:sz w:val="20"/>
        </w:rPr>
        <w:t>(</w:t>
      </w:r>
      <w:r>
        <w:rPr>
          <w:spacing w:val="-1"/>
          <w:w w:val="99"/>
          <w:sz w:val="20"/>
        </w:rPr>
        <w:t>s</w:t>
      </w:r>
      <w:r>
        <w:rPr>
          <w:w w:val="99"/>
          <w:sz w:val="20"/>
        </w:rPr>
        <w:t>) </w:t>
      </w:r>
      <w:r>
        <w:rPr>
          <w:sz w:val="20"/>
        </w:rPr>
        <w:t>intencionalidade(s) da educação no Município de Palmas – um estudo acerca da elaboração do Plano Municipal‖, publicado nos Anais VIII Simpósio Nacional de Educação e II Colóquio Internacional de Políticas Educacionais e Formação de Professores – transnacionalização das políticas educacionais: impactos na formação docente, da Universidade Regional Integrada do Alto Uruguai e das Missões, em </w:t>
      </w:r>
      <w:r>
        <w:rPr>
          <w:spacing w:val="1"/>
          <w:w w:val="99"/>
          <w:sz w:val="20"/>
        </w:rPr>
        <w:t>2014</w:t>
      </w:r>
      <w:r>
        <w:rPr>
          <w:w w:val="99"/>
          <w:sz w:val="20"/>
        </w:rPr>
        <w:t>;</w:t>
      </w:r>
      <w:r>
        <w:rPr>
          <w:sz w:val="20"/>
        </w:rPr>
        <w:t> </w:t>
      </w:r>
      <w:r>
        <w:rPr>
          <w:spacing w:val="-19"/>
          <w:sz w:val="20"/>
        </w:rPr>
        <w:t> </w:t>
      </w:r>
      <w:r>
        <w:rPr>
          <w:spacing w:val="-3"/>
          <w:w w:val="99"/>
          <w:sz w:val="20"/>
        </w:rPr>
        <w:t>A</w:t>
      </w:r>
      <w:r>
        <w:rPr>
          <w:w w:val="99"/>
          <w:sz w:val="20"/>
        </w:rPr>
        <w:t>r</w:t>
      </w:r>
      <w:r>
        <w:rPr>
          <w:w w:val="99"/>
          <w:sz w:val="20"/>
        </w:rPr>
        <w:t>ti</w:t>
      </w:r>
      <w:r>
        <w:rPr>
          <w:spacing w:val="-2"/>
          <w:w w:val="99"/>
          <w:sz w:val="20"/>
        </w:rPr>
        <w:t>g</w:t>
      </w:r>
      <w:r>
        <w:rPr>
          <w:w w:val="99"/>
          <w:sz w:val="20"/>
        </w:rPr>
        <w:t>o</w:t>
      </w:r>
      <w:r>
        <w:rPr>
          <w:sz w:val="20"/>
        </w:rPr>
        <w:t> </w:t>
      </w:r>
      <w:r>
        <w:rPr>
          <w:spacing w:val="-18"/>
          <w:sz w:val="20"/>
        </w:rPr>
        <w:t> </w:t>
      </w:r>
      <w:r>
        <w:rPr>
          <w:spacing w:val="-2"/>
          <w:w w:val="44"/>
          <w:sz w:val="20"/>
        </w:rPr>
        <w:t>―</w:t>
      </w:r>
      <w:r>
        <w:rPr>
          <w:spacing w:val="1"/>
          <w:w w:val="99"/>
          <w:sz w:val="20"/>
        </w:rPr>
        <w:t>P</w:t>
      </w:r>
      <w:r>
        <w:rPr>
          <w:w w:val="99"/>
          <w:sz w:val="20"/>
        </w:rPr>
        <w:t>l</w:t>
      </w:r>
      <w:r>
        <w:rPr>
          <w:spacing w:val="2"/>
          <w:w w:val="99"/>
          <w:sz w:val="20"/>
        </w:rPr>
        <w:t>a</w:t>
      </w:r>
      <w:r>
        <w:rPr>
          <w:spacing w:val="-2"/>
          <w:w w:val="99"/>
          <w:sz w:val="20"/>
        </w:rPr>
        <w:t>n</w:t>
      </w:r>
      <w:r>
        <w:rPr>
          <w:w w:val="99"/>
          <w:sz w:val="20"/>
        </w:rPr>
        <w:t>e</w:t>
      </w:r>
      <w:r>
        <w:rPr>
          <w:spacing w:val="2"/>
          <w:w w:val="99"/>
          <w:sz w:val="20"/>
        </w:rPr>
        <w:t>ja</w:t>
      </w:r>
      <w:r>
        <w:rPr>
          <w:spacing w:val="-4"/>
          <w:w w:val="99"/>
          <w:sz w:val="20"/>
        </w:rPr>
        <w:t>m</w:t>
      </w:r>
      <w:r>
        <w:rPr>
          <w:w w:val="99"/>
          <w:sz w:val="20"/>
        </w:rPr>
        <w:t>e</w:t>
      </w:r>
      <w:r>
        <w:rPr>
          <w:spacing w:val="-1"/>
          <w:w w:val="99"/>
          <w:sz w:val="20"/>
        </w:rPr>
        <w:t>n</w:t>
      </w:r>
      <w:r>
        <w:rPr>
          <w:w w:val="99"/>
          <w:sz w:val="20"/>
        </w:rPr>
        <w:t>to</w:t>
      </w:r>
      <w:r>
        <w:rPr>
          <w:sz w:val="20"/>
        </w:rPr>
        <w:t> </w:t>
      </w:r>
      <w:r>
        <w:rPr>
          <w:spacing w:val="-16"/>
          <w:sz w:val="20"/>
        </w:rPr>
        <w:t> </w:t>
      </w:r>
      <w:r>
        <w:rPr>
          <w:spacing w:val="1"/>
          <w:w w:val="99"/>
          <w:sz w:val="20"/>
        </w:rPr>
        <w:t>d</w:t>
      </w:r>
      <w:r>
        <w:rPr>
          <w:w w:val="99"/>
          <w:sz w:val="20"/>
        </w:rPr>
        <w:t>a</w:t>
      </w:r>
      <w:r>
        <w:rPr>
          <w:sz w:val="20"/>
        </w:rPr>
        <w:t> </w:t>
      </w:r>
      <w:r>
        <w:rPr>
          <w:spacing w:val="-19"/>
          <w:sz w:val="20"/>
        </w:rPr>
        <w:t> </w:t>
      </w:r>
      <w:r>
        <w:rPr>
          <w:w w:val="99"/>
          <w:sz w:val="20"/>
        </w:rPr>
        <w:t>e</w:t>
      </w:r>
      <w:r>
        <w:rPr>
          <w:spacing w:val="1"/>
          <w:w w:val="99"/>
          <w:sz w:val="20"/>
        </w:rPr>
        <w:t>d</w:t>
      </w:r>
      <w:r>
        <w:rPr>
          <w:spacing w:val="-2"/>
          <w:w w:val="99"/>
          <w:sz w:val="20"/>
        </w:rPr>
        <w:t>u</w:t>
      </w:r>
      <w:r>
        <w:rPr>
          <w:w w:val="99"/>
          <w:sz w:val="20"/>
        </w:rPr>
        <w:t>caçã</w:t>
      </w:r>
      <w:r>
        <w:rPr>
          <w:w w:val="99"/>
          <w:sz w:val="20"/>
        </w:rPr>
        <w:t>o</w:t>
      </w:r>
      <w:r>
        <w:rPr>
          <w:sz w:val="20"/>
        </w:rPr>
        <w:t> </w:t>
      </w:r>
      <w:r>
        <w:rPr>
          <w:spacing w:val="-18"/>
          <w:sz w:val="20"/>
        </w:rPr>
        <w:t> </w:t>
      </w:r>
      <w:r>
        <w:rPr>
          <w:spacing w:val="-2"/>
          <w:w w:val="99"/>
          <w:sz w:val="20"/>
        </w:rPr>
        <w:t>m</w:t>
      </w:r>
      <w:r>
        <w:rPr>
          <w:spacing w:val="1"/>
          <w:w w:val="99"/>
          <w:sz w:val="20"/>
        </w:rPr>
        <w:t>u</w:t>
      </w:r>
      <w:r>
        <w:rPr>
          <w:spacing w:val="-2"/>
          <w:w w:val="99"/>
          <w:sz w:val="20"/>
        </w:rPr>
        <w:t>n</w:t>
      </w:r>
      <w:r>
        <w:rPr>
          <w:w w:val="99"/>
          <w:sz w:val="20"/>
        </w:rPr>
        <w:t>ici</w:t>
      </w:r>
      <w:r>
        <w:rPr>
          <w:spacing w:val="1"/>
          <w:w w:val="99"/>
          <w:sz w:val="20"/>
        </w:rPr>
        <w:t>p</w:t>
      </w:r>
      <w:r>
        <w:rPr>
          <w:w w:val="99"/>
          <w:sz w:val="20"/>
        </w:rPr>
        <w:t>al</w:t>
      </w:r>
      <w:r>
        <w:rPr>
          <w:sz w:val="20"/>
        </w:rPr>
        <w:t> </w:t>
      </w:r>
      <w:r>
        <w:rPr>
          <w:spacing w:val="-16"/>
          <w:sz w:val="20"/>
        </w:rPr>
        <w:t> </w:t>
      </w:r>
      <w:r>
        <w:rPr>
          <w:spacing w:val="-2"/>
          <w:w w:val="99"/>
          <w:sz w:val="20"/>
        </w:rPr>
        <w:t>n</w:t>
      </w:r>
      <w:r>
        <w:rPr>
          <w:w w:val="99"/>
          <w:sz w:val="20"/>
        </w:rPr>
        <w:t>o</w:t>
      </w:r>
      <w:r>
        <w:rPr>
          <w:sz w:val="20"/>
        </w:rPr>
        <w:t> </w:t>
      </w:r>
      <w:r>
        <w:rPr>
          <w:spacing w:val="-18"/>
          <w:sz w:val="20"/>
        </w:rPr>
        <w:t> </w:t>
      </w:r>
      <w:r>
        <w:rPr>
          <w:w w:val="99"/>
          <w:sz w:val="20"/>
        </w:rPr>
        <w:t>T</w:t>
      </w:r>
      <w:r>
        <w:rPr>
          <w:spacing w:val="1"/>
          <w:w w:val="99"/>
          <w:sz w:val="20"/>
        </w:rPr>
        <w:t>o</w:t>
      </w:r>
      <w:r>
        <w:rPr>
          <w:w w:val="99"/>
          <w:sz w:val="20"/>
        </w:rPr>
        <w:t>ca</w:t>
      </w:r>
      <w:r>
        <w:rPr>
          <w:spacing w:val="-2"/>
          <w:w w:val="99"/>
          <w:sz w:val="20"/>
        </w:rPr>
        <w:t>n</w:t>
      </w:r>
      <w:r>
        <w:rPr>
          <w:w w:val="99"/>
          <w:sz w:val="20"/>
        </w:rPr>
        <w:t>tin</w:t>
      </w:r>
      <w:r>
        <w:rPr>
          <w:spacing w:val="-1"/>
          <w:w w:val="99"/>
          <w:sz w:val="20"/>
        </w:rPr>
        <w:t>s</w:t>
      </w:r>
      <w:r>
        <w:rPr>
          <w:w w:val="99"/>
          <w:sz w:val="20"/>
        </w:rPr>
        <w:t>:</w:t>
      </w:r>
      <w:r>
        <w:rPr>
          <w:sz w:val="20"/>
        </w:rPr>
        <w:t> </w:t>
      </w:r>
      <w:r>
        <w:rPr>
          <w:spacing w:val="-19"/>
          <w:sz w:val="20"/>
        </w:rPr>
        <w:t> </w:t>
      </w:r>
      <w:r>
        <w:rPr>
          <w:spacing w:val="1"/>
          <w:w w:val="99"/>
          <w:sz w:val="20"/>
        </w:rPr>
        <w:t>p</w:t>
      </w:r>
      <w:r>
        <w:rPr>
          <w:w w:val="99"/>
          <w:sz w:val="20"/>
        </w:rPr>
        <w:t>r</w:t>
      </w:r>
      <w:r>
        <w:rPr>
          <w:spacing w:val="1"/>
          <w:w w:val="99"/>
          <w:sz w:val="20"/>
        </w:rPr>
        <w:t>o</w:t>
      </w:r>
      <w:r>
        <w:rPr>
          <w:w w:val="99"/>
          <w:sz w:val="20"/>
        </w:rPr>
        <w:t>ce</w:t>
      </w:r>
      <w:r>
        <w:rPr>
          <w:spacing w:val="-1"/>
          <w:w w:val="99"/>
          <w:sz w:val="20"/>
        </w:rPr>
        <w:t>ss</w:t>
      </w:r>
      <w:r>
        <w:rPr>
          <w:spacing w:val="1"/>
          <w:w w:val="99"/>
          <w:sz w:val="20"/>
        </w:rPr>
        <w:t>o</w:t>
      </w:r>
      <w:r>
        <w:rPr>
          <w:w w:val="99"/>
          <w:sz w:val="20"/>
        </w:rPr>
        <w:t>s</w:t>
      </w:r>
      <w:r>
        <w:rPr>
          <w:sz w:val="20"/>
        </w:rPr>
        <w:t> </w:t>
      </w:r>
      <w:r>
        <w:rPr>
          <w:spacing w:val="-20"/>
          <w:sz w:val="20"/>
        </w:rPr>
        <w:t> </w:t>
      </w:r>
      <w:r>
        <w:rPr>
          <w:spacing w:val="1"/>
          <w:w w:val="99"/>
          <w:sz w:val="20"/>
        </w:rPr>
        <w:t>d</w:t>
      </w:r>
      <w:r>
        <w:rPr>
          <w:w w:val="99"/>
          <w:sz w:val="20"/>
        </w:rPr>
        <w:t>e</w:t>
      </w:r>
      <w:r>
        <w:rPr>
          <w:sz w:val="20"/>
        </w:rPr>
        <w:t> </w:t>
      </w:r>
      <w:r>
        <w:rPr>
          <w:spacing w:val="-19"/>
          <w:sz w:val="20"/>
        </w:rPr>
        <w:t> </w:t>
      </w:r>
      <w:r>
        <w:rPr>
          <w:w w:val="99"/>
          <w:sz w:val="20"/>
        </w:rPr>
        <w:t>c</w:t>
      </w:r>
      <w:r>
        <w:rPr>
          <w:spacing w:val="1"/>
          <w:w w:val="99"/>
          <w:sz w:val="20"/>
        </w:rPr>
        <w:t>o</w:t>
      </w:r>
      <w:r>
        <w:rPr>
          <w:spacing w:val="-2"/>
          <w:w w:val="99"/>
          <w:sz w:val="20"/>
        </w:rPr>
        <w:t>n</w:t>
      </w:r>
      <w:r>
        <w:rPr>
          <w:spacing w:val="1"/>
          <w:w w:val="99"/>
          <w:sz w:val="20"/>
        </w:rPr>
        <w:t>s</w:t>
      </w:r>
      <w:r>
        <w:rPr>
          <w:w w:val="99"/>
          <w:sz w:val="20"/>
        </w:rPr>
        <w:t>tr</w:t>
      </w:r>
      <w:r>
        <w:rPr>
          <w:spacing w:val="-2"/>
          <w:w w:val="99"/>
          <w:sz w:val="20"/>
        </w:rPr>
        <w:t>u</w:t>
      </w:r>
      <w:r>
        <w:rPr>
          <w:w w:val="99"/>
          <w:sz w:val="20"/>
        </w:rPr>
        <w:t>çã</w:t>
      </w:r>
      <w:r>
        <w:rPr>
          <w:w w:val="99"/>
          <w:sz w:val="20"/>
        </w:rPr>
        <w:t>o</w:t>
      </w:r>
      <w:r>
        <w:rPr>
          <w:sz w:val="20"/>
        </w:rPr>
        <w:t> </w:t>
      </w:r>
      <w:r>
        <w:rPr>
          <w:spacing w:val="-18"/>
          <w:sz w:val="20"/>
        </w:rPr>
        <w:t> </w:t>
      </w:r>
      <w:r>
        <w:rPr>
          <w:spacing w:val="1"/>
          <w:w w:val="99"/>
          <w:sz w:val="20"/>
        </w:rPr>
        <w:t>d</w:t>
      </w:r>
      <w:r>
        <w:rPr>
          <w:w w:val="99"/>
          <w:sz w:val="20"/>
        </w:rPr>
        <w:t>e</w:t>
      </w:r>
      <w:r>
        <w:rPr>
          <w:sz w:val="20"/>
        </w:rPr>
        <w:t> </w:t>
      </w:r>
      <w:r>
        <w:rPr>
          <w:spacing w:val="-19"/>
          <w:sz w:val="20"/>
        </w:rPr>
        <w:t> </w:t>
      </w:r>
      <w:r>
        <w:rPr>
          <w:spacing w:val="1"/>
          <w:w w:val="99"/>
          <w:sz w:val="20"/>
        </w:rPr>
        <w:t>p</w:t>
      </w:r>
      <w:r>
        <w:rPr>
          <w:w w:val="99"/>
          <w:sz w:val="20"/>
        </w:rPr>
        <w:t>la</w:t>
      </w:r>
      <w:r>
        <w:rPr>
          <w:spacing w:val="-1"/>
          <w:w w:val="99"/>
          <w:sz w:val="20"/>
        </w:rPr>
        <w:t>n</w:t>
      </w:r>
      <w:r>
        <w:rPr>
          <w:spacing w:val="1"/>
          <w:w w:val="99"/>
          <w:sz w:val="20"/>
        </w:rPr>
        <w:t>o</w:t>
      </w:r>
      <w:r>
        <w:rPr>
          <w:spacing w:val="-1"/>
          <w:w w:val="99"/>
          <w:sz w:val="20"/>
        </w:rPr>
        <w:t>s</w:t>
      </w:r>
      <w:r>
        <w:rPr>
          <w:w w:val="99"/>
          <w:sz w:val="20"/>
        </w:rPr>
        <w:t>, </w:t>
      </w:r>
      <w:r>
        <w:rPr>
          <w:sz w:val="20"/>
        </w:rPr>
        <w:t>regime de colaboração, gestão democrática, publicado na Revista Interacções de Portugal, em 2015; o </w:t>
      </w:r>
      <w:r>
        <w:rPr>
          <w:spacing w:val="1"/>
          <w:w w:val="99"/>
          <w:sz w:val="20"/>
        </w:rPr>
        <w:t>P</w:t>
      </w:r>
      <w:r>
        <w:rPr>
          <w:spacing w:val="1"/>
          <w:w w:val="99"/>
          <w:sz w:val="20"/>
        </w:rPr>
        <w:t>ô</w:t>
      </w:r>
      <w:r>
        <w:rPr>
          <w:spacing w:val="-1"/>
          <w:w w:val="99"/>
          <w:sz w:val="20"/>
        </w:rPr>
        <w:t>s</w:t>
      </w:r>
      <w:r>
        <w:rPr>
          <w:w w:val="99"/>
          <w:sz w:val="20"/>
        </w:rPr>
        <w:t>ter</w:t>
      </w:r>
      <w:r>
        <w:rPr>
          <w:spacing w:val="10"/>
          <w:sz w:val="20"/>
        </w:rPr>
        <w:t> </w:t>
      </w:r>
      <w:r>
        <w:rPr>
          <w:spacing w:val="-2"/>
          <w:w w:val="44"/>
          <w:sz w:val="20"/>
        </w:rPr>
        <w:t>―</w:t>
      </w:r>
      <w:r>
        <w:rPr>
          <w:w w:val="99"/>
          <w:sz w:val="20"/>
        </w:rPr>
        <w:t>Fra</w:t>
      </w:r>
      <w:r>
        <w:rPr>
          <w:spacing w:val="1"/>
          <w:w w:val="99"/>
          <w:sz w:val="20"/>
        </w:rPr>
        <w:t>g</w:t>
      </w:r>
      <w:r>
        <w:rPr>
          <w:spacing w:val="-2"/>
          <w:w w:val="99"/>
          <w:sz w:val="20"/>
        </w:rPr>
        <w:t>m</w:t>
      </w:r>
      <w:r>
        <w:rPr>
          <w:spacing w:val="2"/>
          <w:w w:val="99"/>
          <w:sz w:val="20"/>
        </w:rPr>
        <w:t>e</w:t>
      </w:r>
      <w:r>
        <w:rPr>
          <w:spacing w:val="-2"/>
          <w:w w:val="99"/>
          <w:sz w:val="20"/>
        </w:rPr>
        <w:t>n</w:t>
      </w:r>
      <w:r>
        <w:rPr>
          <w:w w:val="99"/>
          <w:sz w:val="20"/>
        </w:rPr>
        <w:t>to</w:t>
      </w:r>
      <w:r>
        <w:rPr>
          <w:w w:val="99"/>
          <w:sz w:val="20"/>
        </w:rPr>
        <w:t>s</w:t>
      </w:r>
      <w:r>
        <w:rPr>
          <w:spacing w:val="11"/>
          <w:sz w:val="20"/>
        </w:rPr>
        <w:t> </w:t>
      </w:r>
      <w:r>
        <w:rPr>
          <w:spacing w:val="1"/>
          <w:w w:val="99"/>
          <w:sz w:val="20"/>
        </w:rPr>
        <w:t>d</w:t>
      </w:r>
      <w:r>
        <w:rPr>
          <w:w w:val="99"/>
          <w:sz w:val="20"/>
        </w:rPr>
        <w:t>o</w:t>
      </w:r>
      <w:r>
        <w:rPr>
          <w:spacing w:val="10"/>
          <w:sz w:val="20"/>
        </w:rPr>
        <w:t> </w:t>
      </w:r>
      <w:r>
        <w:rPr>
          <w:spacing w:val="1"/>
          <w:w w:val="99"/>
          <w:sz w:val="20"/>
        </w:rPr>
        <w:t>P</w:t>
      </w:r>
      <w:r>
        <w:rPr>
          <w:w w:val="99"/>
          <w:sz w:val="20"/>
        </w:rPr>
        <w:t>la</w:t>
      </w:r>
      <w:r>
        <w:rPr>
          <w:spacing w:val="-1"/>
          <w:w w:val="99"/>
          <w:sz w:val="20"/>
        </w:rPr>
        <w:t>n</w:t>
      </w:r>
      <w:r>
        <w:rPr>
          <w:w w:val="99"/>
          <w:sz w:val="20"/>
        </w:rPr>
        <w:t>e</w:t>
      </w:r>
      <w:r>
        <w:rPr>
          <w:spacing w:val="2"/>
          <w:w w:val="99"/>
          <w:sz w:val="20"/>
        </w:rPr>
        <w:t>ja</w:t>
      </w:r>
      <w:r>
        <w:rPr>
          <w:spacing w:val="-4"/>
          <w:w w:val="99"/>
          <w:sz w:val="20"/>
        </w:rPr>
        <w:t>m</w:t>
      </w:r>
      <w:r>
        <w:rPr>
          <w:w w:val="99"/>
          <w:sz w:val="20"/>
        </w:rPr>
        <w:t>e</w:t>
      </w:r>
      <w:r>
        <w:rPr>
          <w:spacing w:val="1"/>
          <w:w w:val="99"/>
          <w:sz w:val="20"/>
        </w:rPr>
        <w:t>n</w:t>
      </w:r>
      <w:r>
        <w:rPr>
          <w:w w:val="99"/>
          <w:sz w:val="20"/>
        </w:rPr>
        <w:t>to</w:t>
      </w:r>
      <w:r>
        <w:rPr>
          <w:spacing w:val="10"/>
          <w:sz w:val="20"/>
        </w:rPr>
        <w:t> </w:t>
      </w:r>
      <w:r>
        <w:rPr>
          <w:spacing w:val="1"/>
          <w:w w:val="99"/>
          <w:sz w:val="20"/>
        </w:rPr>
        <w:t>d</w:t>
      </w:r>
      <w:r>
        <w:rPr>
          <w:w w:val="99"/>
          <w:sz w:val="20"/>
        </w:rPr>
        <w:t>a</w:t>
      </w:r>
      <w:r>
        <w:rPr>
          <w:spacing w:val="10"/>
          <w:sz w:val="20"/>
        </w:rPr>
        <w:t> </w:t>
      </w:r>
      <w:r>
        <w:rPr>
          <w:w w:val="99"/>
          <w:sz w:val="20"/>
        </w:rPr>
        <w:t>E</w:t>
      </w:r>
      <w:r>
        <w:rPr>
          <w:spacing w:val="1"/>
          <w:w w:val="99"/>
          <w:sz w:val="20"/>
        </w:rPr>
        <w:t>d</w:t>
      </w:r>
      <w:r>
        <w:rPr>
          <w:spacing w:val="-2"/>
          <w:w w:val="99"/>
          <w:sz w:val="20"/>
        </w:rPr>
        <w:t>u</w:t>
      </w:r>
      <w:r>
        <w:rPr>
          <w:w w:val="99"/>
          <w:sz w:val="20"/>
        </w:rPr>
        <w:t>caçã</w:t>
      </w:r>
      <w:r>
        <w:rPr>
          <w:w w:val="99"/>
          <w:sz w:val="20"/>
        </w:rPr>
        <w:t>o</w:t>
      </w:r>
      <w:r>
        <w:rPr>
          <w:spacing w:val="10"/>
          <w:sz w:val="20"/>
        </w:rPr>
        <w:t> </w:t>
      </w:r>
      <w:r>
        <w:rPr>
          <w:spacing w:val="2"/>
          <w:w w:val="99"/>
          <w:sz w:val="20"/>
        </w:rPr>
        <w:t>M</w:t>
      </w:r>
      <w:r>
        <w:rPr>
          <w:spacing w:val="-2"/>
          <w:w w:val="99"/>
          <w:sz w:val="20"/>
        </w:rPr>
        <w:t>un</w:t>
      </w:r>
      <w:r>
        <w:rPr>
          <w:w w:val="99"/>
          <w:sz w:val="20"/>
        </w:rPr>
        <w:t>i</w:t>
      </w:r>
      <w:r>
        <w:rPr>
          <w:spacing w:val="2"/>
          <w:w w:val="99"/>
          <w:sz w:val="20"/>
        </w:rPr>
        <w:t>c</w:t>
      </w:r>
      <w:r>
        <w:rPr>
          <w:w w:val="99"/>
          <w:sz w:val="20"/>
        </w:rPr>
        <w:t>ip</w:t>
      </w:r>
      <w:r>
        <w:rPr>
          <w:w w:val="99"/>
          <w:sz w:val="20"/>
        </w:rPr>
        <w:t>al</w:t>
      </w:r>
      <w:r>
        <w:rPr>
          <w:spacing w:val="9"/>
          <w:sz w:val="20"/>
        </w:rPr>
        <w:t> </w:t>
      </w:r>
      <w:r>
        <w:rPr>
          <w:spacing w:val="-2"/>
          <w:w w:val="99"/>
          <w:sz w:val="20"/>
        </w:rPr>
        <w:t>n</w:t>
      </w:r>
      <w:r>
        <w:rPr>
          <w:w w:val="99"/>
          <w:sz w:val="20"/>
        </w:rPr>
        <w:t>o</w:t>
      </w:r>
      <w:r>
        <w:rPr>
          <w:spacing w:val="10"/>
          <w:sz w:val="20"/>
        </w:rPr>
        <w:t> </w:t>
      </w:r>
      <w:r>
        <w:rPr>
          <w:spacing w:val="3"/>
          <w:w w:val="99"/>
          <w:sz w:val="20"/>
        </w:rPr>
        <w:t>T</w:t>
      </w:r>
      <w:r>
        <w:rPr>
          <w:spacing w:val="1"/>
          <w:w w:val="99"/>
          <w:sz w:val="20"/>
        </w:rPr>
        <w:t>o</w:t>
      </w:r>
      <w:r>
        <w:rPr>
          <w:w w:val="99"/>
          <w:sz w:val="20"/>
        </w:rPr>
        <w:t>ca</w:t>
      </w:r>
      <w:r>
        <w:rPr>
          <w:spacing w:val="-2"/>
          <w:w w:val="99"/>
          <w:sz w:val="20"/>
        </w:rPr>
        <w:t>n</w:t>
      </w:r>
      <w:r>
        <w:rPr>
          <w:w w:val="99"/>
          <w:sz w:val="20"/>
        </w:rPr>
        <w:t>tin</w:t>
      </w:r>
      <w:r>
        <w:rPr>
          <w:spacing w:val="-1"/>
          <w:w w:val="99"/>
          <w:sz w:val="20"/>
        </w:rPr>
        <w:t>s</w:t>
      </w:r>
      <w:r>
        <w:rPr>
          <w:w w:val="130"/>
          <w:sz w:val="20"/>
        </w:rPr>
        <w:t>‖,</w:t>
      </w:r>
      <w:r>
        <w:rPr>
          <w:spacing w:val="10"/>
          <w:sz w:val="20"/>
        </w:rPr>
        <w:t> </w:t>
      </w:r>
      <w:r>
        <w:rPr>
          <w:spacing w:val="1"/>
          <w:w w:val="99"/>
          <w:sz w:val="20"/>
        </w:rPr>
        <w:t>p</w:t>
      </w:r>
      <w:r>
        <w:rPr>
          <w:spacing w:val="-2"/>
          <w:w w:val="99"/>
          <w:sz w:val="20"/>
        </w:rPr>
        <w:t>u</w:t>
      </w:r>
      <w:r>
        <w:rPr>
          <w:spacing w:val="1"/>
          <w:w w:val="99"/>
          <w:sz w:val="20"/>
        </w:rPr>
        <w:t>b</w:t>
      </w:r>
      <w:r>
        <w:rPr>
          <w:w w:val="99"/>
          <w:sz w:val="20"/>
        </w:rPr>
        <w:t>lica</w:t>
      </w:r>
      <w:r>
        <w:rPr>
          <w:spacing w:val="1"/>
          <w:w w:val="99"/>
          <w:sz w:val="20"/>
        </w:rPr>
        <w:t>d</w:t>
      </w:r>
      <w:r>
        <w:rPr>
          <w:w w:val="99"/>
          <w:sz w:val="20"/>
        </w:rPr>
        <w:t>o</w:t>
      </w:r>
      <w:r>
        <w:rPr>
          <w:spacing w:val="13"/>
          <w:sz w:val="20"/>
        </w:rPr>
        <w:t> </w:t>
      </w:r>
      <w:r>
        <w:rPr>
          <w:spacing w:val="1"/>
          <w:w w:val="99"/>
          <w:sz w:val="20"/>
        </w:rPr>
        <w:t>no</w:t>
      </w:r>
      <w:r>
        <w:rPr>
          <w:w w:val="99"/>
          <w:sz w:val="20"/>
        </w:rPr>
        <w:t>s</w:t>
      </w:r>
      <w:r>
        <w:rPr>
          <w:spacing w:val="11"/>
          <w:sz w:val="20"/>
        </w:rPr>
        <w:t> </w:t>
      </w:r>
      <w:r>
        <w:rPr>
          <w:spacing w:val="-3"/>
          <w:w w:val="99"/>
          <w:sz w:val="20"/>
        </w:rPr>
        <w:t>A</w:t>
      </w:r>
      <w:r>
        <w:rPr>
          <w:spacing w:val="-2"/>
          <w:w w:val="99"/>
          <w:sz w:val="20"/>
        </w:rPr>
        <w:t>n</w:t>
      </w:r>
      <w:r>
        <w:rPr>
          <w:w w:val="99"/>
          <w:sz w:val="20"/>
        </w:rPr>
        <w:t>a</w:t>
      </w:r>
      <w:r>
        <w:rPr>
          <w:spacing w:val="2"/>
          <w:w w:val="99"/>
          <w:sz w:val="20"/>
        </w:rPr>
        <w:t>i</w:t>
      </w:r>
      <w:r>
        <w:rPr>
          <w:w w:val="99"/>
          <w:sz w:val="20"/>
        </w:rPr>
        <w:t>s</w:t>
      </w:r>
      <w:r>
        <w:rPr>
          <w:spacing w:val="9"/>
          <w:sz w:val="20"/>
        </w:rPr>
        <w:t> </w:t>
      </w:r>
      <w:r>
        <w:rPr>
          <w:spacing w:val="1"/>
          <w:w w:val="99"/>
          <w:sz w:val="20"/>
        </w:rPr>
        <w:t>d</w:t>
      </w:r>
      <w:r>
        <w:rPr>
          <w:w w:val="99"/>
          <w:sz w:val="20"/>
        </w:rPr>
        <w:t>a</w:t>
      </w:r>
      <w:r>
        <w:rPr>
          <w:spacing w:val="10"/>
          <w:sz w:val="20"/>
        </w:rPr>
        <w:t> </w:t>
      </w:r>
      <w:r>
        <w:rPr>
          <w:spacing w:val="1"/>
          <w:w w:val="99"/>
          <w:sz w:val="20"/>
        </w:rPr>
        <w:t>37</w:t>
      </w:r>
      <w:r>
        <w:rPr>
          <w:w w:val="99"/>
          <w:sz w:val="20"/>
        </w:rPr>
        <w:t>ª </w:t>
      </w:r>
      <w:r>
        <w:rPr>
          <w:sz w:val="20"/>
        </w:rPr>
        <w:t>Reunião Anual da Anped, 2015, na UFSC,</w:t>
      </w:r>
      <w:r>
        <w:rPr>
          <w:spacing w:val="-16"/>
          <w:sz w:val="20"/>
        </w:rPr>
        <w:t> </w:t>
      </w:r>
      <w:r>
        <w:rPr>
          <w:sz w:val="20"/>
        </w:rPr>
        <w:t>Florianópolis-SC.</w:t>
      </w:r>
    </w:p>
    <w:p>
      <w:pPr>
        <w:spacing w:line="230" w:lineRule="exact" w:before="0"/>
        <w:ind w:left="122" w:right="0" w:firstLine="0"/>
        <w:jc w:val="both"/>
        <w:rPr>
          <w:sz w:val="20"/>
        </w:rPr>
      </w:pPr>
      <w:r>
        <w:rPr>
          <w:position w:val="9"/>
          <w:sz w:val="13"/>
        </w:rPr>
        <w:t>4</w:t>
      </w:r>
      <w:r>
        <w:rPr>
          <w:sz w:val="20"/>
        </w:rPr>
        <w:t>Rede que será abordada no segundo Capítulo.</w:t>
      </w:r>
    </w:p>
    <w:p>
      <w:pPr>
        <w:spacing w:after="0" w:line="230" w:lineRule="exact"/>
        <w:jc w:val="both"/>
        <w:rPr>
          <w:sz w:val="20"/>
        </w:rPr>
        <w:sectPr>
          <w:headerReference w:type="default" r:id="rId22"/>
          <w:pgSz w:w="11910" w:h="16840"/>
          <w:pgMar w:header="749" w:footer="0" w:top="960" w:bottom="280" w:left="1580" w:right="1580"/>
        </w:sectPr>
      </w:pPr>
    </w:p>
    <w:p>
      <w:pPr>
        <w:pStyle w:val="BodyText"/>
        <w:rPr>
          <w:sz w:val="20"/>
        </w:rPr>
      </w:pPr>
    </w:p>
    <w:p>
      <w:pPr>
        <w:pStyle w:val="BodyText"/>
        <w:spacing w:line="360" w:lineRule="auto" w:before="210"/>
        <w:ind w:left="102" w:right="123"/>
        <w:jc w:val="both"/>
      </w:pPr>
      <w:r>
        <w:rPr/>
        <w:t>outros termos, uma vasta lente teórica foi construída para a apreensão e compreensão do objetivo proposto nesta pesquisa, considerando um conjunto de produções científicas relevantes, dedicadas ao estudo dos novos desenhos no campo das políticas públicas, da legislação e da gestão da educação, de modo a clarificar o objeto desde os anos 1920, enfatizando os escritos a partir da promulgação da Constituição Federal de 1988.</w:t>
      </w:r>
    </w:p>
    <w:p>
      <w:pPr>
        <w:pStyle w:val="BodyText"/>
        <w:spacing w:line="360" w:lineRule="auto" w:before="5"/>
        <w:ind w:left="102" w:right="121" w:firstLine="851"/>
        <w:jc w:val="both"/>
      </w:pPr>
      <w:r>
        <w:rPr/>
        <w:t>O caminho do estudo bibliográfico, exposto no primeiro capítulo, de acordo com Lima e Mioto (2007, p. 44) ultrapassa a simples observação de dados contidos nas fontes pesquisadas, pois nos permitiu imprimir sobre os dados e informações a teoria, a compreensão crítica de possíveis significados, extraindo sentidos neles existentes:</w:t>
      </w:r>
    </w:p>
    <w:p>
      <w:pPr>
        <w:pStyle w:val="BodyText"/>
        <w:spacing w:before="4"/>
        <w:rPr>
          <w:sz w:val="36"/>
        </w:rPr>
      </w:pPr>
    </w:p>
    <w:p>
      <w:pPr>
        <w:spacing w:before="0"/>
        <w:ind w:left="2370" w:right="120" w:firstLine="0"/>
        <w:jc w:val="both"/>
        <w:rPr>
          <w:sz w:val="20"/>
        </w:rPr>
      </w:pPr>
      <w:r>
        <w:rPr>
          <w:sz w:val="20"/>
        </w:rPr>
        <w:t>Utilizar-se de um desenho metodológico circular ou de aproximações sucessivas no encaminhamento da pesquisa bibliográfica, permite, através [por meio] da flexibilidade na apreensão dos dados, maior alcance no trato dialético desses dados, pois o objeto de estudo pode ser constantemente revisto, garantindo o aprimoramento na definição dos procedimentos metodológicos, como também a exposição mais eficiente do percurso de pesquisa realizado. No entanto, a flexibilidade na obtenção dos dados não torna a pesquisa bibliográfica mais fácil. Ao contrário, requer mais trabalho do pesquisador, pois exige disciplina e atenção tanto no percurso metodológico definido quanto no cronograma de estudos proposto para que a síntese integradora das soluções não seja prejudicada. É um movimento incansável de apreensão dos objetivos, de observância das etapas, de leitura, de questionamentos e de interlocução crítica como material bibliográfico que permite, por sua vez, um leque de possibilidades na apreensão das múltiplas questões que envolvem o objeto de estudo.</w:t>
      </w:r>
    </w:p>
    <w:p>
      <w:pPr>
        <w:pStyle w:val="BodyText"/>
        <w:rPr>
          <w:sz w:val="22"/>
        </w:rPr>
      </w:pPr>
    </w:p>
    <w:p>
      <w:pPr>
        <w:pStyle w:val="BodyText"/>
        <w:spacing w:line="360" w:lineRule="auto" w:before="161"/>
        <w:ind w:left="102" w:right="116" w:firstLine="851"/>
        <w:jc w:val="both"/>
      </w:pPr>
      <w:r>
        <w:rPr/>
        <w:t>Para nosso trabalho, a pesquisa bibliográfica torna-se um procedimento metodológico importante na produção do conhecimento científico, sendo capaz  de gerar, especialmente em temas pouco explorados, a postulação de hipóteses ou interpretações que servirão de ponto de partida para outras pesquisas. E este é um dos nossos objetivos.</w:t>
      </w:r>
    </w:p>
    <w:p>
      <w:pPr>
        <w:pStyle w:val="BodyText"/>
        <w:spacing w:line="360" w:lineRule="auto" w:before="5"/>
        <w:ind w:left="102" w:right="115" w:firstLine="851"/>
        <w:jc w:val="both"/>
      </w:pPr>
      <w:r>
        <w:rPr/>
        <w:t>Já a pesquisa documental, pormenorizada no segundo e terceiro capítulos, segundo Sá Silva, Almeida e Guindani (2009, p. 13-4) nos permitiu, a partir de dados e informações passados, fazer inferências de modo a reconstruir o processo histórico, produzindo, assim, novos conhecimentos, pois:</w:t>
      </w:r>
    </w:p>
    <w:p>
      <w:pPr>
        <w:pStyle w:val="BodyText"/>
        <w:spacing w:before="3"/>
        <w:rPr>
          <w:sz w:val="36"/>
        </w:rPr>
      </w:pPr>
    </w:p>
    <w:p>
      <w:pPr>
        <w:spacing w:before="1"/>
        <w:ind w:left="2370" w:right="113" w:firstLine="0"/>
        <w:jc w:val="both"/>
        <w:rPr>
          <w:sz w:val="20"/>
        </w:rPr>
      </w:pPr>
      <w:r>
        <w:rPr>
          <w:sz w:val="20"/>
        </w:rPr>
        <w:t>A possibilidade que se tem de partir de dados passados, fazer algumas inferências para o futuro e, mais, a importância de se compreender os seus antecedentes numa espécie de reconstrução das vivências e do vivido. Portanto, a pesquisa documental, bem como outros tipos de pesquisa, propõe- se a produzir novos conhecimentos, criar novas formas de compreender os fenômenos e dar a conhecer a forma como estes têm sido desenvolvidos.</w:t>
      </w:r>
    </w:p>
    <w:p>
      <w:pPr>
        <w:spacing w:after="0"/>
        <w:jc w:val="both"/>
        <w:rPr>
          <w:sz w:val="20"/>
        </w:rPr>
        <w:sectPr>
          <w:headerReference w:type="default" r:id="rId23"/>
          <w:pgSz w:w="11910" w:h="16840"/>
          <w:pgMar w:header="749" w:footer="0" w:top="960" w:bottom="280" w:left="1600" w:right="1580"/>
          <w:pgNumType w:start="21"/>
        </w:sectPr>
      </w:pPr>
    </w:p>
    <w:p>
      <w:pPr>
        <w:pStyle w:val="BodyText"/>
        <w:rPr>
          <w:sz w:val="20"/>
        </w:rPr>
      </w:pPr>
    </w:p>
    <w:p>
      <w:pPr>
        <w:pStyle w:val="BodyText"/>
        <w:spacing w:line="360" w:lineRule="auto" w:before="210"/>
        <w:ind w:left="102" w:right="117" w:firstLine="851"/>
        <w:jc w:val="both"/>
      </w:pPr>
      <w:r>
        <w:rPr/>
        <w:t>Nesta perspectiva, os documentos estudados não foram escolhidos de forma </w:t>
      </w:r>
      <w:r>
        <w:rPr>
          <w:spacing w:val="-1"/>
          <w:w w:val="100"/>
        </w:rPr>
        <w:t>ca</w:t>
      </w:r>
      <w:r>
        <w:rPr>
          <w:w w:val="100"/>
        </w:rPr>
        <w:t>sual,</w:t>
      </w:r>
      <w:r>
        <w:rPr>
          <w:spacing w:val="4"/>
          <w:w w:val="100"/>
        </w:rPr>
        <w:t> </w:t>
      </w:r>
      <w:r>
        <w:rPr>
          <w:w w:val="100"/>
        </w:rPr>
        <w:t>mas</w:t>
      </w:r>
      <w:r>
        <w:rPr>
          <w:spacing w:val="6"/>
          <w:w w:val="100"/>
        </w:rPr>
        <w:t> </w:t>
      </w:r>
      <w:r>
        <w:rPr>
          <w:spacing w:val="-1"/>
          <w:w w:val="100"/>
        </w:rPr>
        <w:t>c</w:t>
      </w:r>
      <w:r>
        <w:rPr>
          <w:w w:val="100"/>
        </w:rPr>
        <w:t>omo</w:t>
      </w:r>
      <w:r>
        <w:rPr>
          <w:spacing w:val="5"/>
          <w:w w:val="100"/>
        </w:rPr>
        <w:t> </w:t>
      </w:r>
      <w:r>
        <w:rPr>
          <w:spacing w:val="-1"/>
          <w:w w:val="100"/>
        </w:rPr>
        <w:t>a</w:t>
      </w:r>
      <w:r>
        <w:rPr>
          <w:w w:val="100"/>
        </w:rPr>
        <w:t>ti</w:t>
      </w:r>
      <w:r>
        <w:rPr>
          <w:w w:val="100"/>
        </w:rPr>
        <w:t>vid</w:t>
      </w:r>
      <w:r>
        <w:rPr>
          <w:spacing w:val="1"/>
          <w:w w:val="100"/>
        </w:rPr>
        <w:t>a</w:t>
      </w:r>
      <w:r>
        <w:rPr>
          <w:w w:val="100"/>
        </w:rPr>
        <w:t>de</w:t>
      </w:r>
      <w:r>
        <w:rPr>
          <w:spacing w:val="3"/>
        </w:rPr>
        <w:t> </w:t>
      </w:r>
      <w:r>
        <w:rPr>
          <w:w w:val="100"/>
        </w:rPr>
        <w:t>que</w:t>
      </w:r>
      <w:r>
        <w:rPr>
          <w:spacing w:val="6"/>
          <w:w w:val="100"/>
        </w:rPr>
        <w:t> </w:t>
      </w:r>
      <w:r>
        <w:rPr>
          <w:spacing w:val="-1"/>
          <w:w w:val="44"/>
        </w:rPr>
        <w:t>―</w:t>
      </w:r>
      <w:r>
        <w:rPr>
          <w:w w:val="99"/>
        </w:rPr>
        <w:t>nos</w:t>
      </w:r>
      <w:r>
        <w:rPr>
          <w:spacing w:val="4"/>
        </w:rPr>
        <w:t> </w:t>
      </w:r>
      <w:r>
        <w:rPr>
          <w:w w:val="100"/>
        </w:rPr>
        <w:t>p</w:t>
      </w:r>
      <w:r>
        <w:rPr>
          <w:spacing w:val="-1"/>
          <w:w w:val="100"/>
        </w:rPr>
        <w:t>e</w:t>
      </w:r>
      <w:r>
        <w:rPr>
          <w:w w:val="100"/>
        </w:rPr>
        <w:t>rmite</w:t>
      </w:r>
      <w:r>
        <w:rPr>
          <w:spacing w:val="4"/>
        </w:rPr>
        <w:t> </w:t>
      </w:r>
      <w:r>
        <w:rPr>
          <w:w w:val="100"/>
        </w:rPr>
        <w:t>t</w:t>
      </w:r>
      <w:r>
        <w:rPr>
          <w:spacing w:val="1"/>
          <w:w w:val="100"/>
        </w:rPr>
        <w:t>e</w:t>
      </w:r>
      <w:r>
        <w:rPr>
          <w:w w:val="99"/>
        </w:rPr>
        <w:t>r</w:t>
      </w:r>
      <w:r>
        <w:rPr>
          <w:spacing w:val="3"/>
          <w:w w:val="99"/>
        </w:rPr>
        <w:t> </w:t>
      </w:r>
      <w:r>
        <w:rPr>
          <w:spacing w:val="1"/>
          <w:w w:val="100"/>
        </w:rPr>
        <w:t>a</w:t>
      </w:r>
      <w:r>
        <w:rPr>
          <w:spacing w:val="-1"/>
          <w:w w:val="100"/>
        </w:rPr>
        <w:t>ce</w:t>
      </w:r>
      <w:r>
        <w:rPr>
          <w:w w:val="99"/>
        </w:rPr>
        <w:t>sso</w:t>
      </w:r>
      <w:r>
        <w:rPr>
          <w:spacing w:val="5"/>
        </w:rPr>
        <w:t> </w:t>
      </w:r>
      <w:r>
        <w:rPr>
          <w:spacing w:val="-1"/>
          <w:w w:val="100"/>
        </w:rPr>
        <w:t>a</w:t>
      </w:r>
      <w:r>
        <w:rPr/>
        <w:t>o</w:t>
      </w:r>
      <w:r>
        <w:rPr>
          <w:spacing w:val="4"/>
        </w:rPr>
        <w:t> </w:t>
      </w:r>
      <w:r>
        <w:rPr/>
        <w:t>disc</w:t>
      </w:r>
      <w:r>
        <w:rPr>
          <w:spacing w:val="1"/>
        </w:rPr>
        <w:t>u</w:t>
      </w:r>
      <w:r>
        <w:rPr>
          <w:w w:val="99"/>
        </w:rPr>
        <w:t>rso</w:t>
      </w:r>
      <w:r>
        <w:rPr>
          <w:spacing w:val="4"/>
        </w:rPr>
        <w:t> </w:t>
      </w:r>
      <w:r>
        <w:rPr>
          <w:w w:val="100"/>
        </w:rPr>
        <w:t>p</w:t>
      </w:r>
      <w:r>
        <w:rPr>
          <w:spacing w:val="1"/>
          <w:w w:val="100"/>
        </w:rPr>
        <w:t>a</w:t>
      </w:r>
      <w:r>
        <w:rPr>
          <w:w w:val="100"/>
        </w:rPr>
        <w:t>ra</w:t>
      </w:r>
      <w:r>
        <w:rPr>
          <w:spacing w:val="2"/>
        </w:rPr>
        <w:t> </w:t>
      </w:r>
      <w:r>
        <w:rPr>
          <w:spacing w:val="-1"/>
          <w:w w:val="100"/>
        </w:rPr>
        <w:t>c</w:t>
      </w:r>
      <w:r>
        <w:rPr>
          <w:spacing w:val="2"/>
        </w:rPr>
        <w:t>o</w:t>
      </w:r>
      <w:r>
        <w:rPr>
          <w:w w:val="100"/>
        </w:rPr>
        <w:t>mpr</w:t>
      </w:r>
      <w:r>
        <w:rPr>
          <w:spacing w:val="-2"/>
          <w:w w:val="100"/>
        </w:rPr>
        <w:t>e</w:t>
      </w:r>
      <w:r>
        <w:rPr>
          <w:spacing w:val="-1"/>
          <w:w w:val="100"/>
        </w:rPr>
        <w:t>e</w:t>
      </w:r>
      <w:r>
        <w:rPr>
          <w:w w:val="100"/>
        </w:rPr>
        <w:t>nd</w:t>
      </w:r>
      <w:r>
        <w:rPr>
          <w:spacing w:val="1"/>
          <w:w w:val="100"/>
        </w:rPr>
        <w:t>e</w:t>
      </w:r>
      <w:r>
        <w:rPr>
          <w:w w:val="99"/>
        </w:rPr>
        <w:t>r</w:t>
      </w:r>
      <w:r>
        <w:rPr>
          <w:spacing w:val="3"/>
          <w:w w:val="99"/>
        </w:rPr>
        <w:t> </w:t>
      </w:r>
      <w:r>
        <w:rPr>
          <w:w w:val="100"/>
        </w:rPr>
        <w:t>a </w:t>
      </w:r>
      <w:r>
        <w:rPr/>
        <w:t>política. Não tomamos o texto como ponto de partida absoluto, mas, sim, como objeto de interpretação‖. (SHIROMA; CAMPOS; GARCIA, 2005, p. 439-0). Ainda, foram compreendidos a partir do arcabouço teórico construído por meio do trabalho bibliográfico.</w:t>
      </w:r>
    </w:p>
    <w:p>
      <w:pPr>
        <w:pStyle w:val="BodyText"/>
        <w:spacing w:line="360" w:lineRule="auto" w:before="3"/>
        <w:ind w:left="102" w:right="120" w:firstLine="851"/>
        <w:jc w:val="both"/>
      </w:pPr>
      <w:r>
        <w:rPr/>
        <w:t>Para uma melhor organização textual, a Dissertação se subdivide em três Capítulos, antecedidos por esta Introdução e seguidos por algumas Considerações Finais.</w:t>
      </w:r>
    </w:p>
    <w:p>
      <w:pPr>
        <w:pStyle w:val="BodyText"/>
        <w:spacing w:line="360" w:lineRule="auto" w:before="6"/>
        <w:ind w:left="102" w:right="116" w:firstLine="851"/>
        <w:jc w:val="both"/>
      </w:pPr>
      <w:r>
        <w:rPr/>
        <w:t>No primeiro Capítulo, intitulado Planejamento de políticas públicas no  processo de institucionalização da educação brasileira: intencionalidades em disputa, apresentamos resultados de uma pesquisa de cunho teórico-bibliográfico e documental, trazendo considerações introdutórias a respeito de diferentes tipos de racionalidade e tensões que permearam e permeiam o planejamento no campo da educação brasileira; apresentando elementos e intencionalidades do planejamento educacional no Brasil no processo histórico de organização/institucionalização da educação; e apresentando uma síntese com dois diferentes tipos de racionalidade e tensões no planejamento no campo da educação no</w:t>
      </w:r>
      <w:r>
        <w:rPr>
          <w:spacing w:val="-6"/>
        </w:rPr>
        <w:t> </w:t>
      </w:r>
      <w:r>
        <w:rPr/>
        <w:t>País.</w:t>
      </w:r>
    </w:p>
    <w:p>
      <w:pPr>
        <w:pStyle w:val="BodyText"/>
        <w:spacing w:line="360" w:lineRule="auto" w:before="3"/>
        <w:ind w:left="102" w:right="116" w:firstLine="851"/>
        <w:jc w:val="both"/>
      </w:pPr>
      <w:r>
        <w:rPr/>
        <w:t>No segundo Capítulo, denominado Planejamento na educação municipal: intencionalidades nas/das diretrizes e orientações nacionais, trazemos resultados de uma pesquisa de cunho teórico-bibliográfico e documental, apresentando elementos introdutórios a respeito das concepções e conceitos em disputa quanto a temática dos sistemas municipais de ensino nos anos 1980; a origem das propostas de planejamento da educação pelos Municípios nos anos 1990; a vasta produção de normas e  documentos com diretrizes e orientações para o planejamento da educação municipal dos anos 2000, do contexto de aprovação e vigência do PNE 2001-2010 ao contexto de elaboração, aprovação e início de implementação do PNE 2014-2024; assim como alguns comentários acerca da re-significação de conceitos do PNE 2001-2010 ao PNE 2014-2024.</w:t>
      </w:r>
    </w:p>
    <w:p>
      <w:pPr>
        <w:pStyle w:val="BodyText"/>
        <w:spacing w:line="360" w:lineRule="auto" w:before="3"/>
        <w:ind w:left="102" w:right="118" w:firstLine="851"/>
        <w:jc w:val="both"/>
      </w:pPr>
      <w:r>
        <w:rPr/>
        <w:t>Por fim, no terceiro Capítulo, definido como Planos municipais de educação no Tocantins (2013-2015): processo, resultados e intencionalidades do/no planejamento de políticas públicas, também, expomos resultados de uma pesquisa de cunho teórico- documental, descrevendo aspectos do processo de planejamento que deu origem aos PMEs   estudados   no   Tocantins;   apresentando   características   gerais   dos    PMEs,</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2" w:lineRule="auto" w:before="210"/>
        <w:ind w:left="102"/>
      </w:pPr>
      <w:r>
        <w:rPr/>
        <w:t>relacionadas a formatação e ao conteúdo dos documentos; e discutindo possíveis intencionalidades do processo e nos PMEs.</w:t>
      </w:r>
    </w:p>
    <w:p>
      <w:pPr>
        <w:pStyle w:val="BodyText"/>
        <w:spacing w:line="360" w:lineRule="auto"/>
        <w:ind w:left="102" w:right="119" w:firstLine="851"/>
        <w:jc w:val="both"/>
      </w:pPr>
      <w:r>
        <w:rPr/>
        <w:t>Importa-nos esclarecer que as compreensões e caracterizações tecidas nesta Dissertação são teorizações e aproximações documentais que continuarão a ser construídas em pesquisas posteriores. Entretanto, das aproximações aqui apresentadas, é possível pensarmos que contribuirão com o contexto atual de implementação do PNE e dos PMEs, inclusive, para um novo processo em planejamento pelo MEC/SASE, o de monitoramento e avaliação dos Planos de Educação.</w:t>
      </w:r>
    </w:p>
    <w:p>
      <w:pPr>
        <w:spacing w:after="0" w:line="360" w:lineRule="auto"/>
        <w:jc w:val="both"/>
        <w:sectPr>
          <w:pgSz w:w="11910" w:h="16840"/>
          <w:pgMar w:header="749" w:footer="0" w:top="960" w:bottom="280" w:left="1600" w:right="1580"/>
        </w:sectPr>
      </w:pPr>
    </w:p>
    <w:p>
      <w:pPr>
        <w:pStyle w:val="BodyText"/>
        <w:rPr>
          <w:sz w:val="20"/>
        </w:rPr>
      </w:pPr>
    </w:p>
    <w:p>
      <w:pPr>
        <w:pStyle w:val="Heading1"/>
        <w:spacing w:before="215"/>
        <w:ind w:left="298" w:right="317"/>
        <w:jc w:val="center"/>
      </w:pPr>
      <w:r>
        <w:rPr/>
        <w:t>CAPÍTULO I</w:t>
      </w:r>
    </w:p>
    <w:p>
      <w:pPr>
        <w:pStyle w:val="BodyText"/>
        <w:rPr>
          <w:b/>
          <w:sz w:val="26"/>
        </w:rPr>
      </w:pPr>
    </w:p>
    <w:p>
      <w:pPr>
        <w:pStyle w:val="BodyText"/>
        <w:rPr>
          <w:b/>
          <w:sz w:val="26"/>
        </w:rPr>
      </w:pPr>
    </w:p>
    <w:p>
      <w:pPr>
        <w:pStyle w:val="BodyText"/>
        <w:rPr>
          <w:b/>
          <w:sz w:val="26"/>
        </w:rPr>
      </w:pPr>
    </w:p>
    <w:p>
      <w:pPr>
        <w:pStyle w:val="BodyText"/>
        <w:rPr>
          <w:b/>
          <w:sz w:val="26"/>
        </w:rPr>
      </w:pPr>
    </w:p>
    <w:p>
      <w:pPr>
        <w:spacing w:line="360" w:lineRule="auto" w:before="184"/>
        <w:ind w:left="298" w:right="318" w:firstLine="0"/>
        <w:jc w:val="center"/>
        <w:rPr>
          <w:b/>
          <w:sz w:val="24"/>
        </w:rPr>
      </w:pPr>
      <w:r>
        <w:rPr>
          <w:b/>
          <w:sz w:val="24"/>
        </w:rPr>
        <w:t>PLANEJAMENTO DE POLÍTICAS PÚBLICAS NO PROCESSO DE INSTITUCIONALIZAÇÃO DA EDUCAÇÃO BRASILEIRA: INTENCIONALIDADES EM DISPUTA</w:t>
      </w:r>
    </w:p>
    <w:p>
      <w:pPr>
        <w:pStyle w:val="BodyText"/>
        <w:rPr>
          <w:b/>
          <w:sz w:val="26"/>
        </w:rPr>
      </w:pPr>
    </w:p>
    <w:p>
      <w:pPr>
        <w:pStyle w:val="BodyText"/>
        <w:rPr>
          <w:b/>
          <w:sz w:val="26"/>
        </w:rPr>
      </w:pPr>
    </w:p>
    <w:p>
      <w:pPr>
        <w:pStyle w:val="BodyText"/>
        <w:rPr>
          <w:b/>
          <w:sz w:val="26"/>
        </w:rPr>
      </w:pPr>
    </w:p>
    <w:p>
      <w:pPr>
        <w:pStyle w:val="BodyText"/>
        <w:spacing w:before="1"/>
        <w:rPr>
          <w:b/>
          <w:sz w:val="30"/>
        </w:rPr>
      </w:pPr>
    </w:p>
    <w:p>
      <w:pPr>
        <w:pStyle w:val="BodyText"/>
        <w:spacing w:line="360" w:lineRule="auto"/>
        <w:ind w:left="102" w:right="118" w:firstLine="851"/>
        <w:jc w:val="both"/>
      </w:pPr>
      <w:r>
        <w:rPr/>
        <w:t>Partindo do princípio de que o pesquisador que dispõe de conhecimentos interpretativos acumulados possivelmente estará melhor capacitado a observar o real, a questioná-lo, a compreendê-lo e analisá-lo, neste capítulo apresentamos resultados de uma pesquisa de cunho teórico-bibliográfico e documental que teve como objetivo compreender intencionalidades, ou seja, concepções, com suas racionalidades e seus conceitos, acerca do planejamento no campo da educação no Brasil, percorrendo o processo histórico de organização/institucionalização da educação, com vistas a fundamentação teórico-documental para a discussão nos dois capítulos seguintes desta Dissertação.</w:t>
      </w:r>
    </w:p>
    <w:p>
      <w:pPr>
        <w:pStyle w:val="BodyText"/>
        <w:spacing w:line="360" w:lineRule="auto" w:before="6"/>
        <w:ind w:left="102" w:right="118" w:firstLine="851"/>
        <w:jc w:val="both"/>
      </w:pPr>
      <w:r>
        <w:rPr/>
        <w:t>Intencionalidade, nesta Dissertação, é concebida a partir da discussão de Saviani (2014a, p. 2), sendo o momento em que o homem pensa a sua realidade e concretiza um projeto prévio, que, no caso, são os projetos de educação, com suas concepções de planejamento:</w:t>
      </w:r>
    </w:p>
    <w:p>
      <w:pPr>
        <w:pStyle w:val="BodyText"/>
        <w:spacing w:before="4"/>
      </w:pPr>
    </w:p>
    <w:p>
      <w:pPr>
        <w:spacing w:before="0"/>
        <w:ind w:left="2370" w:right="119" w:firstLine="0"/>
        <w:jc w:val="both"/>
        <w:rPr>
          <w:sz w:val="20"/>
        </w:rPr>
      </w:pPr>
      <w:r>
        <w:rPr>
          <w:sz w:val="20"/>
        </w:rPr>
        <w:t>A partir desse momento, ele começa a refletir, isto é, ele tematiza a realidade, voltando-se intencionalmente para ela a fim de compreendê-la tendo em vista resolver os problemas que interromperam o curso de sua ação vital. Em consequência, a atividade anterior, de caráter espontâneo, natural, assistemático, é substituída por uma atividade intencional, refletida, sistematizada. Consequentemente, é possível ao homem sistematizar porque ele é capaz de assumir perante a realidade </w:t>
      </w:r>
      <w:r>
        <w:rPr>
          <w:spacing w:val="-2"/>
          <w:sz w:val="20"/>
        </w:rPr>
        <w:t>uma </w:t>
      </w:r>
      <w:r>
        <w:rPr>
          <w:sz w:val="20"/>
        </w:rPr>
        <w:t>postura tematizadamente consciente. Portanto, a condição de possibilidade da  atividade sistematizadora é a consciência refletida. É ela que permite o agir sistematizado [...] O ato de sistematizar, uma vez que pressupõe  a consciência refletida, é um ato intencional. Isso significa que, ao realizá-lo, o homem mantém em sua consciência um objetivo que lhe dá sentido; em outros termos, trata-se de um ato que concretiza um projeto</w:t>
      </w:r>
      <w:r>
        <w:rPr>
          <w:spacing w:val="-17"/>
          <w:sz w:val="20"/>
        </w:rPr>
        <w:t> </w:t>
      </w:r>
      <w:r>
        <w:rPr>
          <w:sz w:val="20"/>
        </w:rPr>
        <w:t>prévio.</w:t>
      </w:r>
    </w:p>
    <w:p>
      <w:pPr>
        <w:pStyle w:val="BodyText"/>
        <w:rPr>
          <w:sz w:val="22"/>
        </w:rPr>
      </w:pPr>
    </w:p>
    <w:p>
      <w:pPr>
        <w:pStyle w:val="BodyText"/>
        <w:spacing w:line="360" w:lineRule="auto" w:before="163"/>
        <w:ind w:left="102" w:right="120" w:firstLine="851"/>
        <w:jc w:val="both"/>
      </w:pPr>
      <w:r>
        <w:rPr/>
        <w:t>O ato de planejar, uma atividade característica dos seres humanos, inclusive, que </w:t>
      </w:r>
      <w:r>
        <w:rPr>
          <w:w w:val="99"/>
        </w:rPr>
        <w:t>os</w:t>
      </w:r>
      <w:r>
        <w:rPr/>
        <w:t> diferenci</w:t>
      </w:r>
      <w:r>
        <w:rPr>
          <w:w w:val="100"/>
        </w:rPr>
        <w:t>a</w:t>
      </w:r>
      <w:r>
        <w:rPr/>
        <w:t> </w:t>
      </w:r>
      <w:r>
        <w:rPr>
          <w:w w:val="99"/>
        </w:rPr>
        <w:t>dos</w:t>
      </w:r>
      <w:r>
        <w:rPr/>
        <w:t> </w:t>
      </w:r>
      <w:r>
        <w:rPr>
          <w:w w:val="100"/>
        </w:rPr>
        <w:t>a</w:t>
      </w:r>
      <w:r>
        <w:rPr>
          <w:w w:val="100"/>
        </w:rPr>
        <w:t>nimais,</w:t>
      </w:r>
      <w:r>
        <w:rPr/>
        <w:t> </w:t>
      </w:r>
      <w:r>
        <w:rPr>
          <w:w w:val="44"/>
        </w:rPr>
        <w:t>―</w:t>
      </w:r>
      <w:r>
        <w:rPr>
          <w:w w:val="100"/>
        </w:rPr>
        <w:t>c</w:t>
      </w:r>
      <w:r>
        <w:rPr>
          <w:w w:val="100"/>
        </w:rPr>
        <w:t>oincide</w:t>
      </w:r>
      <w:r>
        <w:rPr/>
        <w:t> </w:t>
      </w:r>
      <w:r>
        <w:rPr>
          <w:w w:val="100"/>
        </w:rPr>
        <w:t>c</w:t>
      </w:r>
      <w:r>
        <w:rPr>
          <w:w w:val="100"/>
        </w:rPr>
        <w:t>om</w:t>
      </w:r>
      <w:r>
        <w:rPr/>
        <w:t> </w:t>
      </w:r>
      <w:r>
        <w:rPr>
          <w:w w:val="100"/>
        </w:rPr>
        <w:t>a</w:t>
      </w:r>
      <w:r>
        <w:rPr/>
        <w:t> </w:t>
      </w:r>
      <w:r>
        <w:rPr>
          <w:w w:val="100"/>
        </w:rPr>
        <w:t>a</w:t>
      </w:r>
      <w:r>
        <w:rPr>
          <w:w w:val="100"/>
        </w:rPr>
        <w:t>t</w:t>
      </w:r>
      <w:r>
        <w:rPr>
          <w:w w:val="100"/>
        </w:rPr>
        <w:t>ivi</w:t>
      </w:r>
      <w:r>
        <w:rPr>
          <w:w w:val="100"/>
        </w:rPr>
        <w:t>dade</w:t>
      </w:r>
      <w:r>
        <w:rPr/>
        <w:t> </w:t>
      </w:r>
      <w:r>
        <w:rPr>
          <w:w w:val="100"/>
        </w:rPr>
        <w:t>c</w:t>
      </w:r>
      <w:r>
        <w:rPr>
          <w:w w:val="100"/>
        </w:rPr>
        <w:t>onscient</w:t>
      </w:r>
      <w:r>
        <w:rPr>
          <w:w w:val="100"/>
        </w:rPr>
        <w:t>e</w:t>
      </w:r>
      <w:r>
        <w:rPr/>
        <w:t>, </w:t>
      </w:r>
      <w:r>
        <w:rPr>
          <w:w w:val="100"/>
        </w:rPr>
        <w:t>inte</w:t>
      </w:r>
      <w:r>
        <w:rPr/>
        <w:t>n</w:t>
      </w:r>
      <w:r>
        <w:rPr>
          <w:w w:val="100"/>
        </w:rPr>
        <w:t>cional</w:t>
      </w:r>
      <w:r>
        <w:rPr/>
        <w:t> </w:t>
      </w:r>
      <w:r>
        <w:rPr>
          <w:w w:val="100"/>
        </w:rPr>
        <w:t>que </w:t>
      </w:r>
      <w:r>
        <w:rPr>
          <w:w w:val="99"/>
        </w:rPr>
        <w:t>se</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2" w:lineRule="auto" w:before="210"/>
        <w:ind w:left="102" w:right="120"/>
        <w:jc w:val="both"/>
      </w:pPr>
      <w:r>
        <w:rPr/>
        <w:t>faz presente mesmo no complexo das ações espontâneas que compõem a vida cotidiana‖ (SAVIANI, 2014, p. 7-8).</w:t>
      </w:r>
    </w:p>
    <w:p>
      <w:pPr>
        <w:pStyle w:val="BodyText"/>
        <w:spacing w:line="360" w:lineRule="auto"/>
        <w:ind w:left="102" w:right="119" w:firstLine="851"/>
        <w:jc w:val="right"/>
      </w:pPr>
      <w:r>
        <w:rPr>
          <w:w w:val="99"/>
        </w:rPr>
        <w:t>Qu</w:t>
      </w:r>
      <w:r>
        <w:rPr>
          <w:spacing w:val="-2"/>
          <w:w w:val="99"/>
        </w:rPr>
        <w:t>a</w:t>
      </w:r>
      <w:r>
        <w:rPr>
          <w:w w:val="99"/>
        </w:rPr>
        <w:t>ndo </w:t>
      </w:r>
      <w:r>
        <w:rPr>
          <w:spacing w:val="-18"/>
          <w:w w:val="99"/>
        </w:rPr>
        <w:t> </w:t>
      </w:r>
      <w:r>
        <w:rPr>
          <w:w w:val="100"/>
        </w:rPr>
        <w:t>p</w:t>
      </w:r>
      <w:r>
        <w:rPr>
          <w:spacing w:val="-1"/>
          <w:w w:val="100"/>
        </w:rPr>
        <w:t>a</w:t>
      </w:r>
      <w:r>
        <w:rPr>
          <w:w w:val="99"/>
        </w:rPr>
        <w:t>ssamos </w:t>
      </w:r>
      <w:r>
        <w:rPr>
          <w:spacing w:val="-17"/>
          <w:w w:val="99"/>
        </w:rPr>
        <w:t> </w:t>
      </w:r>
      <w:r>
        <w:rPr>
          <w:spacing w:val="-1"/>
          <w:w w:val="100"/>
        </w:rPr>
        <w:t>a</w:t>
      </w:r>
      <w:r>
        <w:rPr>
          <w:w w:val="99"/>
        </w:rPr>
        <w:t>os</w:t>
      </w:r>
      <w:r>
        <w:rPr/>
        <w:t> </w:t>
      </w:r>
      <w:r>
        <w:rPr>
          <w:spacing w:val="-17"/>
        </w:rPr>
        <w:t> </w:t>
      </w:r>
      <w:r>
        <w:rPr>
          <w:spacing w:val="1"/>
          <w:w w:val="100"/>
        </w:rPr>
        <w:t>e</w:t>
      </w:r>
      <w:r>
        <w:rPr>
          <w:w w:val="100"/>
        </w:rPr>
        <w:t>spa</w:t>
      </w:r>
      <w:r>
        <w:rPr>
          <w:spacing w:val="-2"/>
          <w:w w:val="100"/>
        </w:rPr>
        <w:t>ç</w:t>
      </w:r>
      <w:r>
        <w:rPr>
          <w:w w:val="99"/>
        </w:rPr>
        <w:t>os</w:t>
      </w:r>
      <w:r>
        <w:rPr/>
        <w:t> </w:t>
      </w:r>
      <w:r>
        <w:rPr>
          <w:spacing w:val="-17"/>
        </w:rPr>
        <w:t> </w:t>
      </w:r>
      <w:r>
        <w:rPr>
          <w:w w:val="100"/>
        </w:rPr>
        <w:t>inst</w:t>
      </w:r>
      <w:r>
        <w:rPr>
          <w:w w:val="100"/>
        </w:rPr>
        <w:t>it</w:t>
      </w:r>
      <w:r>
        <w:rPr>
          <w:w w:val="100"/>
        </w:rPr>
        <w:t>u</w:t>
      </w:r>
      <w:r>
        <w:rPr>
          <w:spacing w:val="-1"/>
          <w:w w:val="100"/>
        </w:rPr>
        <w:t>c</w:t>
      </w:r>
      <w:r>
        <w:rPr>
          <w:w w:val="100"/>
        </w:rPr>
        <w:t>ionais,</w:t>
      </w:r>
      <w:r>
        <w:rPr/>
        <w:t> </w:t>
      </w:r>
      <w:r>
        <w:rPr>
          <w:spacing w:val="-17"/>
        </w:rPr>
        <w:t> </w:t>
      </w:r>
      <w:r>
        <w:rPr>
          <w:spacing w:val="-1"/>
          <w:w w:val="44"/>
        </w:rPr>
        <w:t>―</w:t>
      </w:r>
      <w:r>
        <w:rPr>
          <w:w w:val="100"/>
        </w:rPr>
        <w:t>que </w:t>
      </w:r>
      <w:r>
        <w:rPr>
          <w:spacing w:val="-18"/>
          <w:w w:val="100"/>
        </w:rPr>
        <w:t> </w:t>
      </w:r>
      <w:r>
        <w:rPr>
          <w:w w:val="100"/>
        </w:rPr>
        <w:t>impli</w:t>
      </w:r>
      <w:r>
        <w:rPr>
          <w:spacing w:val="-1"/>
          <w:w w:val="100"/>
        </w:rPr>
        <w:t>ca</w:t>
      </w:r>
      <w:r>
        <w:rPr>
          <w:w w:val="100"/>
        </w:rPr>
        <w:t>m</w:t>
      </w:r>
      <w:r>
        <w:rPr/>
        <w:t> </w:t>
      </w:r>
      <w:r>
        <w:rPr>
          <w:spacing w:val="-17"/>
        </w:rPr>
        <w:t> </w:t>
      </w:r>
      <w:r>
        <w:rPr>
          <w:spacing w:val="-1"/>
          <w:w w:val="100"/>
        </w:rPr>
        <w:t>aç</w:t>
      </w:r>
      <w:r>
        <w:rPr>
          <w:w w:val="100"/>
        </w:rPr>
        <w:t>õ</w:t>
      </w:r>
      <w:r>
        <w:rPr>
          <w:spacing w:val="-1"/>
          <w:w w:val="100"/>
        </w:rPr>
        <w:t>e</w:t>
      </w:r>
      <w:r>
        <w:rPr>
          <w:w w:val="99"/>
        </w:rPr>
        <w:t>s</w:t>
      </w:r>
      <w:r>
        <w:rPr/>
        <w:t> </w:t>
      </w:r>
      <w:r>
        <w:rPr>
          <w:spacing w:val="-17"/>
        </w:rPr>
        <w:t> </w:t>
      </w:r>
      <w:r>
        <w:rPr>
          <w:spacing w:val="-1"/>
          <w:w w:val="100"/>
        </w:rPr>
        <w:t>c</w:t>
      </w:r>
      <w:r>
        <w:rPr>
          <w:w w:val="100"/>
        </w:rPr>
        <w:t>ole</w:t>
      </w:r>
      <w:r>
        <w:rPr>
          <w:spacing w:val="2"/>
          <w:w w:val="100"/>
        </w:rPr>
        <w:t>t</w:t>
      </w:r>
      <w:r>
        <w:rPr>
          <w:w w:val="100"/>
        </w:rPr>
        <w:t>ivas </w:t>
      </w:r>
      <w:r>
        <w:rPr/>
        <w:t>dirigidas a objetivos comuns que transcendem os indivíduos, impõe-se a</w:t>
      </w:r>
      <w:r>
        <w:rPr>
          <w:spacing w:val="32"/>
        </w:rPr>
        <w:t> </w:t>
      </w:r>
      <w:r>
        <w:rPr/>
        <w:t>necessidade</w:t>
      </w:r>
      <w:r>
        <w:rPr>
          <w:spacing w:val="2"/>
        </w:rPr>
        <w:t> </w:t>
      </w:r>
      <w:r>
        <w:rPr/>
        <w:t>do planejamento</w:t>
      </w:r>
      <w:r>
        <w:rPr>
          <w:spacing w:val="44"/>
        </w:rPr>
        <w:t> </w:t>
      </w:r>
      <w:r>
        <w:rPr/>
        <w:t>em</w:t>
      </w:r>
      <w:r>
        <w:rPr>
          <w:spacing w:val="44"/>
        </w:rPr>
        <w:t> </w:t>
      </w:r>
      <w:r>
        <w:rPr/>
        <w:t>sentido</w:t>
      </w:r>
      <w:r>
        <w:rPr>
          <w:spacing w:val="44"/>
        </w:rPr>
        <w:t> </w:t>
      </w:r>
      <w:r>
        <w:rPr/>
        <w:t>próprio,</w:t>
      </w:r>
      <w:r>
        <w:rPr>
          <w:spacing w:val="44"/>
        </w:rPr>
        <w:t> </w:t>
      </w:r>
      <w:r>
        <w:rPr/>
        <w:t>o</w:t>
      </w:r>
      <w:r>
        <w:rPr>
          <w:spacing w:val="44"/>
        </w:rPr>
        <w:t> </w:t>
      </w:r>
      <w:r>
        <w:rPr/>
        <w:t>qual</w:t>
      </w:r>
      <w:r>
        <w:rPr>
          <w:spacing w:val="47"/>
        </w:rPr>
        <w:t> </w:t>
      </w:r>
      <w:r>
        <w:rPr/>
        <w:t>assume</w:t>
      </w:r>
      <w:r>
        <w:rPr>
          <w:spacing w:val="43"/>
        </w:rPr>
        <w:t> </w:t>
      </w:r>
      <w:r>
        <w:rPr/>
        <w:t>a</w:t>
      </w:r>
      <w:r>
        <w:rPr>
          <w:spacing w:val="45"/>
        </w:rPr>
        <w:t> </w:t>
      </w:r>
      <w:r>
        <w:rPr/>
        <w:t>característica</w:t>
      </w:r>
      <w:r>
        <w:rPr>
          <w:spacing w:val="43"/>
        </w:rPr>
        <w:t> </w:t>
      </w:r>
      <w:r>
        <w:rPr/>
        <w:t>de</w:t>
      </w:r>
      <w:r>
        <w:rPr>
          <w:spacing w:val="43"/>
        </w:rPr>
        <w:t> </w:t>
      </w:r>
      <w:r>
        <w:rPr/>
        <w:t>um</w:t>
      </w:r>
      <w:r>
        <w:rPr>
          <w:spacing w:val="47"/>
        </w:rPr>
        <w:t> </w:t>
      </w:r>
      <w:r>
        <w:rPr/>
        <w:t>instrumento</w:t>
      </w:r>
      <w:r>
        <w:rPr>
          <w:w w:val="99"/>
        </w:rPr>
        <w:t> </w:t>
      </w:r>
      <w:r>
        <w:rPr/>
        <w:t>destinado a assegurar a racionalidade das ações empreendidas‖. (SAVIANI, 2014,</w:t>
      </w:r>
      <w:r>
        <w:rPr>
          <w:spacing w:val="25"/>
        </w:rPr>
        <w:t> </w:t>
      </w:r>
      <w:r>
        <w:rPr/>
        <w:t>p.</w:t>
      </w:r>
      <w:r>
        <w:rPr>
          <w:spacing w:val="2"/>
        </w:rPr>
        <w:t> </w:t>
      </w:r>
      <w:r>
        <w:rPr/>
        <w:t>8).</w:t>
      </w:r>
      <w:r>
        <w:rPr>
          <w:w w:val="99"/>
        </w:rPr>
        <w:t> </w:t>
      </w:r>
      <w:r>
        <w:rPr/>
        <w:t>Organização/institucionalização da educação é compreendida, então, a partir</w:t>
      </w:r>
      <w:r>
        <w:rPr>
          <w:spacing w:val="1"/>
        </w:rPr>
        <w:t> </w:t>
      </w:r>
      <w:r>
        <w:rPr/>
        <w:t>de</w:t>
      </w:r>
    </w:p>
    <w:p>
      <w:pPr>
        <w:pStyle w:val="BodyText"/>
        <w:spacing w:line="360" w:lineRule="auto" w:before="6"/>
        <w:ind w:left="102" w:right="119"/>
        <w:jc w:val="both"/>
      </w:pPr>
      <w:r>
        <w:rPr/>
        <w:t>Lagare</w:t>
      </w:r>
      <w:r>
        <w:rPr>
          <w:w w:val="99"/>
        </w:rPr>
        <w:t>s</w:t>
      </w:r>
      <w:r>
        <w:rPr/>
        <w:t> (2008, p. 22), q</w:t>
      </w:r>
      <w:r>
        <w:rPr>
          <w:w w:val="100"/>
        </w:rPr>
        <w:t>ue</w:t>
      </w:r>
      <w:r>
        <w:rPr/>
        <w:t> </w:t>
      </w:r>
      <w:r>
        <w:rPr>
          <w:w w:val="100"/>
        </w:rPr>
        <w:t>uti</w:t>
      </w:r>
      <w:r>
        <w:rPr>
          <w:w w:val="100"/>
        </w:rPr>
        <w:t>li</w:t>
      </w:r>
      <w:r>
        <w:rPr>
          <w:w w:val="100"/>
        </w:rPr>
        <w:t>za</w:t>
      </w:r>
      <w:r>
        <w:rPr/>
        <w:t> </w:t>
      </w:r>
      <w:r>
        <w:rPr>
          <w:w w:val="100"/>
        </w:rPr>
        <w:t>a</w:t>
      </w:r>
      <w:r>
        <w:rPr/>
        <w:t> </w:t>
      </w:r>
      <w:r>
        <w:rPr>
          <w:w w:val="100"/>
        </w:rPr>
        <w:t>e</w:t>
      </w:r>
      <w:r>
        <w:rPr/>
        <w:t>xpr</w:t>
      </w:r>
      <w:r>
        <w:rPr>
          <w:w w:val="100"/>
        </w:rPr>
        <w:t>e</w:t>
      </w:r>
      <w:r>
        <w:rPr>
          <w:w w:val="99"/>
        </w:rPr>
        <w:t>ssão </w:t>
      </w:r>
      <w:r>
        <w:rPr>
          <w:w w:val="44"/>
        </w:rPr>
        <w:t>―</w:t>
      </w:r>
      <w:r>
        <w:rPr>
          <w:i/>
          <w:w w:val="99"/>
        </w:rPr>
        <w:t>proce</w:t>
      </w:r>
      <w:r>
        <w:rPr>
          <w:i/>
          <w:w w:val="99"/>
        </w:rPr>
        <w:t>sso</w:t>
      </w:r>
      <w:r>
        <w:rPr>
          <w:i/>
        </w:rPr>
        <w:t> efetivo de </w:t>
      </w:r>
      <w:r>
        <w:rPr>
          <w:i/>
          <w:w w:val="99"/>
        </w:rPr>
        <w:t>inst</w:t>
      </w:r>
      <w:r>
        <w:rPr>
          <w:i/>
        </w:rPr>
        <w:t>itucionalização</w:t>
      </w:r>
      <w:r>
        <w:rPr>
          <w:i/>
        </w:rPr>
        <w:t> do </w:t>
      </w:r>
      <w:r>
        <w:rPr>
          <w:i/>
          <w:w w:val="99"/>
        </w:rPr>
        <w:t>sis</w:t>
      </w:r>
      <w:r>
        <w:rPr>
          <w:i/>
          <w:w w:val="100"/>
        </w:rPr>
        <w:t>tema de </w:t>
      </w:r>
      <w:r>
        <w:rPr>
          <w:i/>
          <w:w w:val="100"/>
        </w:rPr>
        <w:t>e</w:t>
      </w:r>
      <w:r>
        <w:rPr>
          <w:i/>
          <w:w w:val="100"/>
        </w:rPr>
        <w:t>duca</w:t>
      </w:r>
      <w:r>
        <w:rPr>
          <w:i/>
          <w:w w:val="100"/>
        </w:rPr>
        <w:t>ç</w:t>
      </w:r>
      <w:r>
        <w:rPr>
          <w:i/>
        </w:rPr>
        <w:t>ão</w:t>
      </w:r>
      <w:r>
        <w:rPr>
          <w:i/>
          <w:w w:val="99"/>
        </w:rPr>
        <w:t>”</w:t>
      </w:r>
      <w:r>
        <w:rPr>
          <w:i/>
        </w:rPr>
        <w:t> </w:t>
      </w:r>
      <w:r>
        <w:rPr>
          <w:w w:val="100"/>
        </w:rPr>
        <w:t>para</w:t>
      </w:r>
      <w:r>
        <w:rPr/>
        <w:t> </w:t>
      </w:r>
      <w:r>
        <w:rPr>
          <w:w w:val="44"/>
        </w:rPr>
        <w:t>―</w:t>
      </w:r>
      <w:r>
        <w:rPr>
          <w:w w:val="100"/>
        </w:rPr>
        <w:t>e</w:t>
      </w:r>
      <w:r>
        <w:rPr>
          <w:w w:val="100"/>
        </w:rPr>
        <w:t>vid</w:t>
      </w:r>
      <w:r>
        <w:rPr>
          <w:w w:val="100"/>
        </w:rPr>
        <w:t>e</w:t>
      </w:r>
      <w:r>
        <w:rPr>
          <w:w w:val="100"/>
        </w:rPr>
        <w:t>nc</w:t>
      </w:r>
      <w:r>
        <w:rPr>
          <w:w w:val="100"/>
        </w:rPr>
        <w:t>iar</w:t>
      </w:r>
      <w:r>
        <w:rPr/>
        <w:t> </w:t>
      </w:r>
      <w:r>
        <w:rPr>
          <w:w w:val="100"/>
        </w:rPr>
        <w:t>a</w:t>
      </w:r>
      <w:r>
        <w:rPr>
          <w:w w:val="99"/>
        </w:rPr>
        <w:t>s</w:t>
      </w:r>
      <w:r>
        <w:rPr/>
        <w:t> </w:t>
      </w:r>
      <w:r>
        <w:rPr>
          <w:w w:val="100"/>
        </w:rPr>
        <w:t>iniciativas</w:t>
      </w:r>
      <w:r>
        <w:rPr/>
        <w:t> </w:t>
      </w:r>
      <w:r>
        <w:rPr>
          <w:w w:val="100"/>
        </w:rPr>
        <w:t>de</w:t>
      </w:r>
      <w:r>
        <w:rPr/>
        <w:t> org</w:t>
      </w:r>
      <w:r>
        <w:rPr>
          <w:w w:val="100"/>
        </w:rPr>
        <w:t>anizaçã</w:t>
      </w:r>
      <w:r>
        <w:rPr/>
        <w:t>o </w:t>
      </w:r>
      <w:r>
        <w:rPr>
          <w:w w:val="100"/>
        </w:rPr>
        <w:t>c</w:t>
      </w:r>
      <w:r>
        <w:rPr/>
        <w:t>onst</w:t>
      </w:r>
      <w:r>
        <w:rPr>
          <w:w w:val="100"/>
        </w:rPr>
        <w:t>it</w:t>
      </w:r>
      <w:r>
        <w:rPr>
          <w:w w:val="100"/>
        </w:rPr>
        <w:t>ucional, </w:t>
      </w:r>
      <w:r>
        <w:rPr/>
        <w:t>legal e institucional da educação municipal, bem como o processo de transição de redes de ensino (sistemas administrativos) a sistemas próprios de educação‖. Portanto,</w:t>
      </w:r>
    </w:p>
    <w:p>
      <w:pPr>
        <w:pStyle w:val="BodyText"/>
        <w:spacing w:before="4"/>
        <w:rPr>
          <w:sz w:val="36"/>
        </w:rPr>
      </w:pPr>
    </w:p>
    <w:p>
      <w:pPr>
        <w:spacing w:before="0"/>
        <w:ind w:left="2370" w:right="114" w:firstLine="0"/>
        <w:jc w:val="both"/>
        <w:rPr>
          <w:sz w:val="20"/>
        </w:rPr>
      </w:pPr>
      <w:r>
        <w:rPr>
          <w:sz w:val="20"/>
        </w:rPr>
        <w:t>A </w:t>
      </w:r>
      <w:r>
        <w:rPr>
          <w:i/>
          <w:sz w:val="20"/>
        </w:rPr>
        <w:t>efetiva institucionalização </w:t>
      </w:r>
      <w:r>
        <w:rPr>
          <w:sz w:val="20"/>
        </w:rPr>
        <w:t>não se restringe à sua organização legal. Inicia- se com o aspecto legal, mas vai além dele, implicando outras ações necessárias ao seu desenvolvimento, como a organização de um conjunto de elementos constitutivos, incluindo, também, sua gestão, além da relação permanente entre seus elementos constitutivos. O processo concretiza-se com o efetivo funcionamento desse sistema, ou seja, com a garantia de acesso, permanência e aprendizagem significativa no âmbito das escolas.</w:t>
      </w:r>
    </w:p>
    <w:p>
      <w:pPr>
        <w:pStyle w:val="BodyText"/>
        <w:rPr>
          <w:sz w:val="22"/>
        </w:rPr>
      </w:pPr>
    </w:p>
    <w:p>
      <w:pPr>
        <w:pStyle w:val="BodyText"/>
        <w:spacing w:line="360" w:lineRule="auto" w:before="163"/>
        <w:ind w:left="102" w:right="118" w:firstLine="851"/>
        <w:jc w:val="both"/>
      </w:pPr>
      <w:r>
        <w:rPr>
          <w:w w:val="99"/>
        </w:rPr>
        <w:t>N</w:t>
      </w:r>
      <w:r>
        <w:rPr>
          <w:spacing w:val="-2"/>
          <w:w w:val="99"/>
        </w:rPr>
        <w:t>e</w:t>
      </w:r>
      <w:r>
        <w:rPr>
          <w:w w:val="99"/>
        </w:rPr>
        <w:t>sse</w:t>
      </w:r>
      <w:r>
        <w:rPr>
          <w:spacing w:val="6"/>
        </w:rPr>
        <w:t> </w:t>
      </w:r>
      <w:r>
        <w:rPr>
          <w:w w:val="99"/>
        </w:rPr>
        <w:t>s</w:t>
      </w:r>
      <w:r>
        <w:rPr>
          <w:spacing w:val="-1"/>
          <w:w w:val="99"/>
        </w:rPr>
        <w:t>e</w:t>
      </w:r>
      <w:r>
        <w:rPr/>
        <w:t>ntido,</w:t>
      </w:r>
      <w:r>
        <w:rPr>
          <w:spacing w:val="6"/>
        </w:rPr>
        <w:t> </w:t>
      </w:r>
      <w:r>
        <w:rPr/>
        <w:t>por</w:t>
      </w:r>
      <w:r>
        <w:rPr>
          <w:spacing w:val="6"/>
        </w:rPr>
        <w:t> </w:t>
      </w:r>
      <w:r>
        <w:rPr>
          <w:spacing w:val="2"/>
        </w:rPr>
        <w:t>m</w:t>
      </w:r>
      <w:r>
        <w:rPr>
          <w:spacing w:val="-1"/>
        </w:rPr>
        <w:t>e</w:t>
      </w:r>
      <w:r>
        <w:rPr/>
        <w:t>io</w:t>
      </w:r>
      <w:r>
        <w:rPr>
          <w:spacing w:val="9"/>
        </w:rPr>
        <w:t> </w:t>
      </w:r>
      <w:r>
        <w:rPr/>
        <w:t>de</w:t>
      </w:r>
      <w:r>
        <w:rPr>
          <w:spacing w:val="8"/>
        </w:rPr>
        <w:t> </w:t>
      </w:r>
      <w:r>
        <w:rPr>
          <w:spacing w:val="-1"/>
          <w:w w:val="44"/>
        </w:rPr>
        <w:t>―</w:t>
      </w:r>
      <w:r>
        <w:rPr>
          <w:w w:val="100"/>
        </w:rPr>
        <w:t>um</w:t>
      </w:r>
      <w:r>
        <w:rPr>
          <w:spacing w:val="7"/>
        </w:rPr>
        <w:t> </w:t>
      </w:r>
      <w:r>
        <w:rPr>
          <w:spacing w:val="-1"/>
          <w:w w:val="100"/>
        </w:rPr>
        <w:t>c</w:t>
      </w:r>
      <w:r>
        <w:rPr>
          <w:w w:val="100"/>
        </w:rPr>
        <w:t>onjunt</w:t>
      </w:r>
      <w:r>
        <w:rPr/>
        <w:t>o</w:t>
      </w:r>
      <w:r>
        <w:rPr>
          <w:spacing w:val="6"/>
        </w:rPr>
        <w:t> </w:t>
      </w:r>
      <w:r>
        <w:rPr/>
        <w:t>o</w:t>
      </w:r>
      <w:r>
        <w:rPr>
          <w:spacing w:val="-1"/>
        </w:rPr>
        <w:t>r</w:t>
      </w:r>
      <w:r>
        <w:rPr>
          <w:spacing w:val="2"/>
        </w:rPr>
        <w:t>d</w:t>
      </w:r>
      <w:r>
        <w:rPr>
          <w:spacing w:val="-1"/>
          <w:w w:val="100"/>
        </w:rPr>
        <w:t>e</w:t>
      </w:r>
      <w:r>
        <w:rPr>
          <w:w w:val="100"/>
        </w:rPr>
        <w:t>n</w:t>
      </w:r>
      <w:r>
        <w:rPr>
          <w:spacing w:val="-1"/>
          <w:w w:val="100"/>
        </w:rPr>
        <w:t>a</w:t>
      </w:r>
      <w:r>
        <w:rPr>
          <w:spacing w:val="2"/>
        </w:rPr>
        <w:t>d</w:t>
      </w:r>
      <w:r>
        <w:rPr/>
        <w:t>o</w:t>
      </w:r>
      <w:r>
        <w:rPr>
          <w:spacing w:val="6"/>
        </w:rPr>
        <w:t> </w:t>
      </w:r>
      <w:r>
        <w:rPr>
          <w:w w:val="100"/>
        </w:rPr>
        <w:t>de</w:t>
      </w:r>
      <w:r>
        <w:rPr>
          <w:spacing w:val="6"/>
        </w:rPr>
        <w:t> </w:t>
      </w:r>
      <w:r>
        <w:rPr/>
        <w:t>p</w:t>
      </w:r>
      <w:r>
        <w:rPr>
          <w:spacing w:val="-1"/>
        </w:rPr>
        <w:t>r</w:t>
      </w:r>
      <w:r>
        <w:rPr>
          <w:w w:val="100"/>
        </w:rPr>
        <w:t>o</w:t>
      </w:r>
      <w:r>
        <w:rPr>
          <w:spacing w:val="1"/>
          <w:w w:val="100"/>
        </w:rPr>
        <w:t>c</w:t>
      </w:r>
      <w:r>
        <w:rPr>
          <w:spacing w:val="-1"/>
          <w:w w:val="100"/>
        </w:rPr>
        <w:t>e</w:t>
      </w:r>
      <w:r>
        <w:rPr>
          <w:w w:val="100"/>
        </w:rPr>
        <w:t>dim</w:t>
      </w:r>
      <w:r>
        <w:rPr>
          <w:spacing w:val="-1"/>
          <w:w w:val="100"/>
        </w:rPr>
        <w:t>e</w:t>
      </w:r>
      <w:r>
        <w:rPr/>
        <w:t>ntos</w:t>
      </w:r>
      <w:r>
        <w:rPr>
          <w:spacing w:val="7"/>
        </w:rPr>
        <w:t> </w:t>
      </w:r>
      <w:r>
        <w:rPr>
          <w:spacing w:val="1"/>
        </w:rPr>
        <w:t>[</w:t>
      </w:r>
      <w:r>
        <w:rPr>
          <w:spacing w:val="-1"/>
          <w:w w:val="100"/>
        </w:rPr>
        <w:t>a</w:t>
      </w:r>
      <w:r>
        <w:rPr>
          <w:w w:val="100"/>
        </w:rPr>
        <w:t>tento</w:t>
      </w:r>
      <w:r>
        <w:rPr>
          <w:spacing w:val="-3"/>
          <w:w w:val="100"/>
        </w:rPr>
        <w:t>s</w:t>
      </w:r>
      <w:r>
        <w:rPr>
          <w:w w:val="99"/>
        </w:rPr>
        <w:t>] </w:t>
      </w:r>
      <w:r>
        <w:rPr/>
        <w:t>ao objeto de estudo, e [...] por isso, não pode ser aleatório‖ (LIMA; MIOTO, 2007, p. 38), assim como por meio da apreensão, compreensão e análise de documentos  variados, com ênfase nas normas educacionais (SÁ-SILVA; ALMEIDA; GUINDANI, 2009), apreendemos conceitualmente dois campos de intencionalidades no  planejamento que ganham mais força no campo da educação brasileira em sua história, podendo ser descritas como: a) conservadora/alienadora, por promover, sobretudo a perpetuação de dominação de uns para com outros; e b) também, aquelas que se voltam ao comprometimento social e transformador, no sentido de promover mudanças estruturais e, em especial, voltadas para um objetivo comum. Isto, retratando o período </w:t>
      </w:r>
      <w:r>
        <w:rPr>
          <w:w w:val="100"/>
        </w:rPr>
        <w:t>a</w:t>
      </w:r>
      <w:r>
        <w:rPr>
          <w:spacing w:val="8"/>
        </w:rPr>
        <w:t> </w:t>
      </w:r>
      <w:r>
        <w:rPr>
          <w:w w:val="100"/>
        </w:rPr>
        <w:t>p</w:t>
      </w:r>
      <w:r>
        <w:rPr>
          <w:spacing w:val="-1"/>
          <w:w w:val="100"/>
        </w:rPr>
        <w:t>a</w:t>
      </w:r>
      <w:r>
        <w:rPr>
          <w:w w:val="100"/>
        </w:rPr>
        <w:t>rtir</w:t>
      </w:r>
      <w:r>
        <w:rPr>
          <w:spacing w:val="8"/>
        </w:rPr>
        <w:t> </w:t>
      </w:r>
      <w:r>
        <w:rPr>
          <w:w w:val="99"/>
        </w:rPr>
        <w:t>dos</w:t>
      </w:r>
      <w:r>
        <w:rPr>
          <w:spacing w:val="9"/>
        </w:rPr>
        <w:t> </w:t>
      </w:r>
      <w:r>
        <w:rPr>
          <w:spacing w:val="-1"/>
          <w:w w:val="100"/>
        </w:rPr>
        <w:t>a</w:t>
      </w:r>
      <w:r>
        <w:rPr>
          <w:w w:val="99"/>
        </w:rPr>
        <w:t>nos</w:t>
      </w:r>
      <w:r>
        <w:rPr>
          <w:spacing w:val="9"/>
        </w:rPr>
        <w:t> </w:t>
      </w:r>
      <w:r>
        <w:rPr/>
        <w:t>1920,</w:t>
      </w:r>
      <w:r>
        <w:rPr>
          <w:spacing w:val="9"/>
        </w:rPr>
        <w:t> </w:t>
      </w:r>
      <w:r>
        <w:rPr>
          <w:spacing w:val="1"/>
          <w:w w:val="100"/>
        </w:rPr>
        <w:t>e</w:t>
      </w:r>
      <w:r>
        <w:rPr>
          <w:w w:val="100"/>
        </w:rPr>
        <w:t>m</w:t>
      </w:r>
      <w:r>
        <w:rPr>
          <w:spacing w:val="9"/>
        </w:rPr>
        <w:t> </w:t>
      </w:r>
      <w:r>
        <w:rPr>
          <w:w w:val="100"/>
        </w:rPr>
        <w:t>um</w:t>
      </w:r>
      <w:r>
        <w:rPr>
          <w:spacing w:val="9"/>
        </w:rPr>
        <w:t> </w:t>
      </w:r>
      <w:r>
        <w:rPr>
          <w:spacing w:val="-1"/>
          <w:w w:val="44"/>
        </w:rPr>
        <w:t>―</w:t>
      </w:r>
      <w:r>
        <w:rPr>
          <w:spacing w:val="-1"/>
          <w:w w:val="100"/>
        </w:rPr>
        <w:t>e</w:t>
      </w:r>
      <w:r>
        <w:rPr>
          <w:w w:val="99"/>
        </w:rPr>
        <w:t>sfo</w:t>
      </w:r>
      <w:r>
        <w:rPr>
          <w:spacing w:val="-2"/>
          <w:w w:val="99"/>
        </w:rPr>
        <w:t>r</w:t>
      </w:r>
      <w:r>
        <w:rPr>
          <w:spacing w:val="-1"/>
          <w:w w:val="100"/>
        </w:rPr>
        <w:t>ç</w:t>
      </w:r>
      <w:r>
        <w:rPr/>
        <w:t>o</w:t>
      </w:r>
      <w:r>
        <w:rPr>
          <w:spacing w:val="9"/>
        </w:rPr>
        <w:t> </w:t>
      </w:r>
      <w:r>
        <w:rPr/>
        <w:t>supl</w:t>
      </w:r>
      <w:r>
        <w:rPr>
          <w:spacing w:val="-1"/>
          <w:w w:val="100"/>
        </w:rPr>
        <w:t>e</w:t>
      </w:r>
      <w:r>
        <w:rPr>
          <w:w w:val="100"/>
        </w:rPr>
        <w:t>me</w:t>
      </w:r>
      <w:r>
        <w:rPr>
          <w:spacing w:val="1"/>
          <w:w w:val="100"/>
        </w:rPr>
        <w:t>n</w:t>
      </w:r>
      <w:r>
        <w:rPr>
          <w:w w:val="100"/>
        </w:rPr>
        <w:t>tar</w:t>
      </w:r>
      <w:r>
        <w:rPr>
          <w:spacing w:val="8"/>
        </w:rPr>
        <w:t> </w:t>
      </w:r>
      <w:r>
        <w:rPr>
          <w:w w:val="100"/>
        </w:rPr>
        <w:t>de</w:t>
      </w:r>
      <w:r>
        <w:rPr>
          <w:spacing w:val="8"/>
        </w:rPr>
        <w:t> </w:t>
      </w:r>
      <w:r>
        <w:rPr>
          <w:spacing w:val="-1"/>
          <w:w w:val="100"/>
        </w:rPr>
        <w:t>c</w:t>
      </w:r>
      <w:r>
        <w:rPr>
          <w:w w:val="100"/>
        </w:rPr>
        <w:t>ompre</w:t>
      </w:r>
      <w:r>
        <w:rPr>
          <w:spacing w:val="-1"/>
          <w:w w:val="100"/>
        </w:rPr>
        <w:t>e</w:t>
      </w:r>
      <w:r>
        <w:rPr>
          <w:w w:val="99"/>
        </w:rPr>
        <w:t>nsão</w:t>
      </w:r>
      <w:r>
        <w:rPr>
          <w:spacing w:val="13"/>
          <w:w w:val="99"/>
        </w:rPr>
        <w:t> </w:t>
      </w:r>
      <w:r>
        <w:rPr>
          <w:w w:val="100"/>
        </w:rPr>
        <w:t>da</w:t>
      </w:r>
      <w:r>
        <w:rPr>
          <w:spacing w:val="8"/>
        </w:rPr>
        <w:t> </w:t>
      </w:r>
      <w:r>
        <w:rPr/>
        <w:t>s</w:t>
      </w:r>
      <w:r>
        <w:rPr>
          <w:spacing w:val="2"/>
        </w:rPr>
        <w:t>i</w:t>
      </w:r>
      <w:r>
        <w:rPr>
          <w:w w:val="100"/>
        </w:rPr>
        <w:t>tua</w:t>
      </w:r>
      <w:r>
        <w:rPr>
          <w:spacing w:val="-2"/>
          <w:w w:val="100"/>
        </w:rPr>
        <w:t>ç</w:t>
      </w:r>
      <w:r>
        <w:rPr>
          <w:spacing w:val="-1"/>
          <w:w w:val="100"/>
        </w:rPr>
        <w:t>ã</w:t>
      </w:r>
      <w:r>
        <w:rPr/>
        <w:t>o</w:t>
      </w:r>
      <w:r>
        <w:rPr>
          <w:spacing w:val="9"/>
        </w:rPr>
        <w:t> </w:t>
      </w:r>
      <w:r>
        <w:rPr>
          <w:spacing w:val="-1"/>
          <w:w w:val="100"/>
        </w:rPr>
        <w:t>a</w:t>
      </w:r>
      <w:r>
        <w:rPr>
          <w:w w:val="100"/>
        </w:rPr>
        <w:t>tua</w:t>
      </w:r>
      <w:r>
        <w:rPr>
          <w:spacing w:val="2"/>
          <w:w w:val="100"/>
        </w:rPr>
        <w:t>l</w:t>
      </w:r>
      <w:r>
        <w:rPr>
          <w:w w:val="158"/>
        </w:rPr>
        <w:t>‖ </w:t>
      </w:r>
      <w:r>
        <w:rPr/>
        <w:t>(BOGDAN; BIKLEN, 1994, p. 91), mas com ênfase aos escritos após a promulgação da Constituição Federal de 1988 (BRASIL, 1988). E um caminho percorrido com a intenção de visualizar e refletir a temática com base em aspectos históricos e sociais, sendo possível, assim, apreendermos a movimentação histórica de permanência ou conservação, ou breves períodos com transformações repentinas e/ou profundas </w:t>
      </w:r>
      <w:r>
        <w:rPr>
          <w:spacing w:val="-1"/>
          <w:w w:val="100"/>
        </w:rPr>
        <w:t>e</w:t>
      </w:r>
      <w:r>
        <w:rPr>
          <w:w w:val="100"/>
        </w:rPr>
        <w:t>mpre</w:t>
      </w:r>
      <w:r>
        <w:rPr>
          <w:spacing w:val="-3"/>
        </w:rPr>
        <w:t>g</w:t>
      </w:r>
      <w:r>
        <w:rPr>
          <w:spacing w:val="-1"/>
          <w:w w:val="100"/>
        </w:rPr>
        <w:t>a</w:t>
      </w:r>
      <w:r>
        <w:rPr/>
        <w:t>ndo</w:t>
      </w:r>
      <w:r>
        <w:rPr>
          <w:spacing w:val="6"/>
        </w:rPr>
        <w:t> </w:t>
      </w:r>
      <w:r>
        <w:rPr>
          <w:spacing w:val="1"/>
        </w:rPr>
        <w:t>r</w:t>
      </w:r>
      <w:r>
        <w:rPr>
          <w:spacing w:val="-1"/>
          <w:w w:val="100"/>
        </w:rPr>
        <w:t>e</w:t>
      </w:r>
      <w:r>
        <w:rPr>
          <w:w w:val="100"/>
        </w:rPr>
        <w:t>fl</w:t>
      </w:r>
      <w:r>
        <w:rPr>
          <w:spacing w:val="-2"/>
          <w:w w:val="100"/>
        </w:rPr>
        <w:t>e</w:t>
      </w:r>
      <w:r>
        <w:rPr>
          <w:spacing w:val="2"/>
        </w:rPr>
        <w:t>x</w:t>
      </w:r>
      <w:r>
        <w:rPr>
          <w:w w:val="100"/>
        </w:rPr>
        <w:t>õ</w:t>
      </w:r>
      <w:r>
        <w:rPr>
          <w:spacing w:val="-1"/>
          <w:w w:val="100"/>
        </w:rPr>
        <w:t>e</w:t>
      </w:r>
      <w:r>
        <w:rPr>
          <w:w w:val="99"/>
        </w:rPr>
        <w:t>s</w:t>
      </w:r>
      <w:r>
        <w:rPr>
          <w:spacing w:val="7"/>
        </w:rPr>
        <w:t> </w:t>
      </w:r>
      <w:r>
        <w:rPr>
          <w:spacing w:val="-1"/>
          <w:w w:val="100"/>
        </w:rPr>
        <w:t>c</w:t>
      </w:r>
      <w:r>
        <w:rPr>
          <w:w w:val="100"/>
        </w:rPr>
        <w:t>r</w:t>
      </w:r>
      <w:r>
        <w:rPr>
          <w:spacing w:val="1"/>
          <w:w w:val="100"/>
        </w:rPr>
        <w:t>í</w:t>
      </w:r>
      <w:r>
        <w:rPr>
          <w:w w:val="100"/>
        </w:rPr>
        <w:t>ti</w:t>
      </w:r>
      <w:r>
        <w:rPr>
          <w:spacing w:val="-1"/>
          <w:w w:val="100"/>
        </w:rPr>
        <w:t>ca</w:t>
      </w:r>
      <w:r>
        <w:rPr>
          <w:w w:val="99"/>
        </w:rPr>
        <w:t>s</w:t>
      </w:r>
      <w:r>
        <w:rPr>
          <w:spacing w:val="7"/>
        </w:rPr>
        <w:t> </w:t>
      </w:r>
      <w:r>
        <w:rPr>
          <w:spacing w:val="-1"/>
          <w:w w:val="44"/>
        </w:rPr>
        <w:t>―</w:t>
      </w:r>
      <w:r>
        <w:rPr>
          <w:w w:val="100"/>
        </w:rPr>
        <w:t>à</w:t>
      </w:r>
      <w:r>
        <w:rPr>
          <w:spacing w:val="6"/>
        </w:rPr>
        <w:t> </w:t>
      </w:r>
      <w:r>
        <w:rPr>
          <w:w w:val="100"/>
        </w:rPr>
        <w:t>luz</w:t>
      </w:r>
      <w:r>
        <w:rPr>
          <w:spacing w:val="8"/>
        </w:rPr>
        <w:t> </w:t>
      </w:r>
      <w:r>
        <w:rPr/>
        <w:t>do</w:t>
      </w:r>
      <w:r>
        <w:rPr>
          <w:spacing w:val="6"/>
        </w:rPr>
        <w:t> </w:t>
      </w:r>
      <w:r>
        <w:rPr>
          <w:w w:val="100"/>
        </w:rPr>
        <w:t>que</w:t>
      </w:r>
      <w:r>
        <w:rPr>
          <w:spacing w:val="6"/>
          <w:w w:val="100"/>
        </w:rPr>
        <w:t> </w:t>
      </w:r>
      <w:r>
        <w:rPr>
          <w:spacing w:val="-1"/>
          <w:w w:val="100"/>
        </w:rPr>
        <w:t>e</w:t>
      </w:r>
      <w:r>
        <w:rPr>
          <w:w w:val="100"/>
        </w:rPr>
        <w:t>stá</w:t>
      </w:r>
      <w:r>
        <w:rPr>
          <w:spacing w:val="6"/>
        </w:rPr>
        <w:t> </w:t>
      </w:r>
      <w:r>
        <w:rPr>
          <w:spacing w:val="-1"/>
          <w:w w:val="100"/>
        </w:rPr>
        <w:t>ac</w:t>
      </w:r>
      <w:r>
        <w:rPr>
          <w:w w:val="100"/>
        </w:rPr>
        <w:t>onte</w:t>
      </w:r>
      <w:r>
        <w:rPr>
          <w:spacing w:val="-2"/>
          <w:w w:val="100"/>
        </w:rPr>
        <w:t>c</w:t>
      </w:r>
      <w:r>
        <w:rPr>
          <w:spacing w:val="-1"/>
          <w:w w:val="100"/>
        </w:rPr>
        <w:t>e</w:t>
      </w:r>
      <w:r>
        <w:rPr/>
        <w:t>ndo</w:t>
      </w:r>
      <w:r>
        <w:rPr>
          <w:spacing w:val="6"/>
        </w:rPr>
        <w:t> </w:t>
      </w:r>
      <w:r>
        <w:rPr/>
        <w:t>no</w:t>
      </w:r>
      <w:r>
        <w:rPr>
          <w:spacing w:val="6"/>
        </w:rPr>
        <w:t> </w:t>
      </w:r>
      <w:r>
        <w:rPr/>
        <w:t>p</w:t>
      </w:r>
      <w:r>
        <w:rPr>
          <w:spacing w:val="1"/>
        </w:rPr>
        <w:t>r</w:t>
      </w:r>
      <w:r>
        <w:rPr>
          <w:spacing w:val="-1"/>
          <w:w w:val="100"/>
        </w:rPr>
        <w:t>e</w:t>
      </w:r>
      <w:r>
        <w:rPr>
          <w:w w:val="99"/>
        </w:rPr>
        <w:t>s</w:t>
      </w:r>
      <w:r>
        <w:rPr>
          <w:spacing w:val="-1"/>
          <w:w w:val="99"/>
        </w:rPr>
        <w:t>e</w:t>
      </w:r>
      <w:r>
        <w:rPr>
          <w:w w:val="100"/>
        </w:rPr>
        <w:t>nte</w:t>
      </w:r>
      <w:r>
        <w:rPr>
          <w:spacing w:val="1"/>
          <w:w w:val="100"/>
        </w:rPr>
        <w:t>.</w:t>
      </w:r>
      <w:r>
        <w:rPr>
          <w:w w:val="158"/>
        </w:rPr>
        <w:t>‖</w:t>
      </w:r>
      <w:r>
        <w:rPr>
          <w:spacing w:val="8"/>
        </w:rPr>
        <w:t> </w:t>
      </w:r>
      <w:r>
        <w:rPr>
          <w:w w:val="99"/>
        </w:rPr>
        <w:t>(</w:t>
      </w:r>
      <w:r>
        <w:rPr>
          <w:spacing w:val="-2"/>
          <w:w w:val="99"/>
        </w:rPr>
        <w:t>K</w:t>
      </w:r>
      <w:r>
        <w:rPr>
          <w:w w:val="99"/>
        </w:rPr>
        <w:t>O</w:t>
      </w:r>
      <w:r>
        <w:rPr>
          <w:spacing w:val="-1"/>
          <w:w w:val="99"/>
        </w:rPr>
        <w:t>N</w:t>
      </w:r>
      <w:r>
        <w:rPr/>
        <w:t>DER,</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0" w:lineRule="auto" w:before="210"/>
        <w:ind w:left="122" w:right="120"/>
        <w:jc w:val="both"/>
      </w:pPr>
      <w:r>
        <w:rPr/>
        <w:t>2004, p. 84), bem como as relações em disputa presentes nos conflitos que perpassam a história do planejamento da educação no Brasil, como advoga Ianni (1986, p.159), </w:t>
      </w:r>
      <w:r>
        <w:rPr>
          <w:w w:val="99"/>
        </w:rPr>
        <w:t>s</w:t>
      </w:r>
      <w:r>
        <w:rPr>
          <w:spacing w:val="-1"/>
          <w:w w:val="99"/>
        </w:rPr>
        <w:t>e</w:t>
      </w:r>
      <w:r>
        <w:rPr/>
        <w:t>ndo</w:t>
      </w:r>
      <w:r>
        <w:rPr>
          <w:spacing w:val="16"/>
        </w:rPr>
        <w:t> </w:t>
      </w:r>
      <w:r>
        <w:rPr>
          <w:w w:val="99"/>
        </w:rPr>
        <w:t>sob</w:t>
      </w:r>
      <w:r>
        <w:rPr>
          <w:spacing w:val="16"/>
        </w:rPr>
        <w:t> </w:t>
      </w:r>
      <w:r>
        <w:rPr/>
        <w:t>f</w:t>
      </w:r>
      <w:r>
        <w:rPr>
          <w:spacing w:val="1"/>
        </w:rPr>
        <w:t>o</w:t>
      </w:r>
      <w:r>
        <w:rPr>
          <w:w w:val="100"/>
        </w:rPr>
        <w:t>rte</w:t>
      </w:r>
      <w:r>
        <w:rPr>
          <w:spacing w:val="17"/>
        </w:rPr>
        <w:t> </w:t>
      </w:r>
      <w:r>
        <w:rPr>
          <w:spacing w:val="-1"/>
          <w:w w:val="44"/>
        </w:rPr>
        <w:t>―</w:t>
      </w:r>
      <w:r>
        <w:rPr>
          <w:spacing w:val="-1"/>
          <w:w w:val="100"/>
        </w:rPr>
        <w:t>c</w:t>
      </w:r>
      <w:r>
        <w:rPr>
          <w:w w:val="100"/>
        </w:rPr>
        <w:t>ont</w:t>
      </w:r>
      <w:r>
        <w:rPr>
          <w:spacing w:val="1"/>
          <w:w w:val="100"/>
        </w:rPr>
        <w:t>r</w:t>
      </w:r>
      <w:r>
        <w:rPr>
          <w:spacing w:val="-1"/>
          <w:w w:val="100"/>
        </w:rPr>
        <w:t>a</w:t>
      </w:r>
      <w:r>
        <w:rPr>
          <w:spacing w:val="2"/>
        </w:rPr>
        <w:t>d</w:t>
      </w:r>
      <w:r>
        <w:rPr>
          <w:w w:val="100"/>
        </w:rPr>
        <w:t>iç</w:t>
      </w:r>
      <w:r>
        <w:rPr>
          <w:spacing w:val="-2"/>
          <w:w w:val="100"/>
        </w:rPr>
        <w:t>ã</w:t>
      </w:r>
      <w:r>
        <w:rPr/>
        <w:t>o</w:t>
      </w:r>
      <w:r>
        <w:rPr>
          <w:spacing w:val="16"/>
        </w:rPr>
        <w:t> </w:t>
      </w:r>
      <w:r>
        <w:rPr>
          <w:spacing w:val="-1"/>
          <w:w w:val="100"/>
        </w:rPr>
        <w:t>e</w:t>
      </w:r>
      <w:r>
        <w:rPr>
          <w:w w:val="100"/>
        </w:rPr>
        <w:t>nt</w:t>
      </w:r>
      <w:r>
        <w:rPr>
          <w:spacing w:val="1"/>
          <w:w w:val="100"/>
        </w:rPr>
        <w:t>r</w:t>
      </w:r>
      <w:r>
        <w:rPr>
          <w:w w:val="100"/>
        </w:rPr>
        <w:t>e</w:t>
      </w:r>
      <w:r>
        <w:rPr>
          <w:spacing w:val="18"/>
        </w:rPr>
        <w:t> </w:t>
      </w:r>
      <w:r>
        <w:rPr>
          <w:spacing w:val="-1"/>
          <w:w w:val="100"/>
        </w:rPr>
        <w:t>a</w:t>
      </w:r>
      <w:r>
        <w:rPr>
          <w:w w:val="99"/>
        </w:rPr>
        <w:t>s</w:t>
      </w:r>
      <w:r>
        <w:rPr>
          <w:spacing w:val="16"/>
        </w:rPr>
        <w:t> </w:t>
      </w:r>
      <w:r>
        <w:rPr>
          <w:w w:val="100"/>
        </w:rPr>
        <w:t>ten</w:t>
      </w:r>
      <w:r>
        <w:rPr>
          <w:spacing w:val="1"/>
          <w:w w:val="100"/>
        </w:rPr>
        <w:t>d</w:t>
      </w:r>
      <w:r>
        <w:rPr>
          <w:spacing w:val="-1"/>
          <w:w w:val="100"/>
        </w:rPr>
        <w:t>ê</w:t>
      </w:r>
      <w:r>
        <w:rPr>
          <w:w w:val="100"/>
        </w:rPr>
        <w:t>n</w:t>
      </w:r>
      <w:r>
        <w:rPr>
          <w:spacing w:val="-1"/>
          <w:w w:val="100"/>
        </w:rPr>
        <w:t>c</w:t>
      </w:r>
      <w:r>
        <w:rPr>
          <w:w w:val="100"/>
        </w:rPr>
        <w:t>ias</w:t>
      </w:r>
      <w:r>
        <w:rPr>
          <w:spacing w:val="20"/>
        </w:rPr>
        <w:t> </w:t>
      </w:r>
      <w:r>
        <w:rPr>
          <w:w w:val="100"/>
        </w:rPr>
        <w:t>da</w:t>
      </w:r>
      <w:r>
        <w:rPr>
          <w:spacing w:val="15"/>
        </w:rPr>
        <w:t> </w:t>
      </w:r>
      <w:r>
        <w:rPr>
          <w:w w:val="100"/>
        </w:rPr>
        <w:t>soci</w:t>
      </w:r>
      <w:r>
        <w:rPr>
          <w:spacing w:val="-2"/>
          <w:w w:val="100"/>
        </w:rPr>
        <w:t>e</w:t>
      </w:r>
      <w:r>
        <w:rPr>
          <w:spacing w:val="2"/>
        </w:rPr>
        <w:t>d</w:t>
      </w:r>
      <w:r>
        <w:rPr>
          <w:spacing w:val="-1"/>
          <w:w w:val="100"/>
        </w:rPr>
        <w:t>a</w:t>
      </w:r>
      <w:r>
        <w:rPr>
          <w:w w:val="100"/>
        </w:rPr>
        <w:t>de</w:t>
      </w:r>
      <w:r>
        <w:rPr>
          <w:spacing w:val="17"/>
        </w:rPr>
        <w:t> </w:t>
      </w:r>
      <w:r>
        <w:rPr>
          <w:w w:val="100"/>
        </w:rPr>
        <w:t>n</w:t>
      </w:r>
      <w:r>
        <w:rPr>
          <w:spacing w:val="-1"/>
          <w:w w:val="100"/>
        </w:rPr>
        <w:t>a</w:t>
      </w:r>
      <w:r>
        <w:rPr>
          <w:spacing w:val="-1"/>
          <w:w w:val="100"/>
        </w:rPr>
        <w:t>c</w:t>
      </w:r>
      <w:r>
        <w:rPr>
          <w:w w:val="100"/>
        </w:rPr>
        <w:t>io</w:t>
      </w:r>
      <w:r>
        <w:rPr>
          <w:spacing w:val="2"/>
          <w:w w:val="100"/>
        </w:rPr>
        <w:t>n</w:t>
      </w:r>
      <w:r>
        <w:rPr>
          <w:spacing w:val="-1"/>
          <w:w w:val="100"/>
        </w:rPr>
        <w:t>a</w:t>
      </w:r>
      <w:r>
        <w:rPr>
          <w:w w:val="100"/>
        </w:rPr>
        <w:t>l</w:t>
      </w:r>
      <w:r>
        <w:rPr>
          <w:spacing w:val="17"/>
        </w:rPr>
        <w:t> </w:t>
      </w:r>
      <w:r>
        <w:rPr>
          <w:w w:val="100"/>
        </w:rPr>
        <w:t>e</w:t>
      </w:r>
      <w:r>
        <w:rPr>
          <w:spacing w:val="20"/>
        </w:rPr>
        <w:t> </w:t>
      </w:r>
      <w:r>
        <w:rPr>
          <w:spacing w:val="-1"/>
          <w:w w:val="100"/>
        </w:rPr>
        <w:t>a</w:t>
      </w:r>
      <w:r>
        <w:rPr>
          <w:w w:val="99"/>
        </w:rPr>
        <w:t>s</w:t>
      </w:r>
      <w:r>
        <w:rPr>
          <w:spacing w:val="16"/>
        </w:rPr>
        <w:t> </w:t>
      </w:r>
      <w:r>
        <w:rPr>
          <w:w w:val="100"/>
        </w:rPr>
        <w:t>tend</w:t>
      </w:r>
      <w:r>
        <w:rPr>
          <w:spacing w:val="-2"/>
          <w:w w:val="100"/>
        </w:rPr>
        <w:t>ê</w:t>
      </w:r>
      <w:r>
        <w:rPr>
          <w:spacing w:val="2"/>
        </w:rPr>
        <w:t>n</w:t>
      </w:r>
      <w:r>
        <w:rPr>
          <w:spacing w:val="-1"/>
          <w:w w:val="100"/>
        </w:rPr>
        <w:t>c</w:t>
      </w:r>
      <w:r>
        <w:rPr>
          <w:w w:val="100"/>
        </w:rPr>
        <w:t>ias </w:t>
      </w:r>
      <w:r>
        <w:rPr/>
        <w:t>da economia dependente‖; no histórico debate entre os defensores da educação pública e os promotores da educação privada (SANDER, 2005); entre classes sociais e relações sociais capitalistas (DOURADO, 2010); e, também, entre políticas de governo e demandas da sociedade (FONSECA,</w:t>
      </w:r>
      <w:r>
        <w:rPr>
          <w:spacing w:val="-9"/>
        </w:rPr>
        <w:t> </w:t>
      </w:r>
      <w:r>
        <w:rPr/>
        <w:t>2013).</w:t>
      </w:r>
    </w:p>
    <w:p>
      <w:pPr>
        <w:pStyle w:val="BodyText"/>
        <w:spacing w:line="360" w:lineRule="auto" w:before="5"/>
        <w:ind w:left="122" w:right="117" w:firstLine="851"/>
        <w:jc w:val="both"/>
      </w:pPr>
      <w:r>
        <w:rPr/>
        <w:t>Assim posto, iniciaremos a exposição lógica da compreensão realizada tecendo considerações introdutórias a respeito de diferentes tipos de racionalidade e tensões que permearam e permeiam o planejamento no campo da educação brasileira. Em seguida, apresentamos mais detidamente elementos e intencionalidades do planejamento educacional no Brasil no processo histórico de organização/institucionalização da educação. Por fim, nos arriscamos em uma síntese com duas intencionalidades, ou melhor, dois diferentes tipos de racionalidade e tensões no planejamento no campo da educação no País.</w:t>
      </w:r>
    </w:p>
    <w:p>
      <w:pPr>
        <w:pStyle w:val="BodyText"/>
        <w:spacing w:line="352" w:lineRule="auto" w:before="5"/>
        <w:ind w:left="122" w:right="122" w:firstLine="851"/>
        <w:jc w:val="both"/>
      </w:pPr>
      <w:r>
        <w:rPr/>
        <w:t>Importa-nos esclarecer que as caracterizações tecidas neste capítulo são teorizações que continuarão a ser construídas, em estudos teóricos posteriores, considerando que a temática do planejamento no campo da política educacional é perpassada por disputas entre projetos societários, implicando aprofundamento, sobretudo com análises das relações entre Educação, Estado e Sociedade</w:t>
      </w:r>
      <w:r>
        <w:rPr>
          <w:position w:val="11"/>
          <w:sz w:val="16"/>
        </w:rPr>
        <w:t>5</w:t>
      </w:r>
      <w:r>
        <w:rPr/>
        <w:t>.</w:t>
      </w:r>
    </w:p>
    <w:p>
      <w:pPr>
        <w:pStyle w:val="BodyText"/>
        <w:rPr>
          <w:sz w:val="30"/>
        </w:rPr>
      </w:pPr>
    </w:p>
    <w:p>
      <w:pPr>
        <w:pStyle w:val="BodyText"/>
        <w:spacing w:before="9"/>
        <w:rPr>
          <w:sz w:val="41"/>
        </w:rPr>
      </w:pPr>
    </w:p>
    <w:p>
      <w:pPr>
        <w:pStyle w:val="Heading1"/>
        <w:numPr>
          <w:ilvl w:val="1"/>
          <w:numId w:val="5"/>
        </w:numPr>
        <w:tabs>
          <w:tab w:pos="554" w:val="left" w:leader="none"/>
        </w:tabs>
        <w:spacing w:line="360" w:lineRule="auto" w:before="0" w:after="0"/>
        <w:ind w:left="122" w:right="119" w:firstLine="0"/>
        <w:jc w:val="both"/>
      </w:pPr>
      <w:r>
        <w:rPr/>
        <w:t>Planejamento no campo da educação: diferentes tipos de racionalidade e tensões – considerações</w:t>
      </w:r>
      <w:r>
        <w:rPr>
          <w:spacing w:val="-5"/>
        </w:rPr>
        <w:t> </w:t>
      </w:r>
      <w:r>
        <w:rPr/>
        <w:t>iniciais</w:t>
      </w:r>
    </w:p>
    <w:p>
      <w:pPr>
        <w:pStyle w:val="BodyText"/>
        <w:rPr>
          <w:b/>
          <w:sz w:val="36"/>
        </w:rPr>
      </w:pPr>
    </w:p>
    <w:p>
      <w:pPr>
        <w:pStyle w:val="BodyText"/>
        <w:spacing w:line="360" w:lineRule="auto"/>
        <w:ind w:left="122" w:right="119" w:firstLine="851"/>
        <w:jc w:val="both"/>
      </w:pPr>
      <w:r>
        <w:rPr/>
        <w:t>Considerando que não há um conceito único a respeito do planejamento e tentando compreender de uma maneira mais simplificada o que seja agir de forma planejada, se é que seja possível, partimos da compreensão do que significa uma ação não planejada, ou seja, uma atitude improvisada. Nesta perspectiva da improvisação,    é</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r>
        <w:rPr/>
        <w:pict>
          <v:line style="position:absolute;mso-position-horizontal-relative:page;mso-position-vertical-relative:paragraph;z-index:1192;mso-wrap-distance-left:0;mso-wrap-distance-right:0" from="85.103996pt,14.498493pt" to="229.123996pt,14.498493pt" stroked="true" strokeweight=".71997pt" strokecolor="#000000">
            <v:stroke dashstyle="solid"/>
            <w10:wrap type="topAndBottom"/>
          </v:line>
        </w:pict>
      </w:r>
    </w:p>
    <w:p>
      <w:pPr>
        <w:spacing w:before="42"/>
        <w:ind w:left="122" w:right="0" w:firstLine="0"/>
        <w:jc w:val="left"/>
        <w:rPr>
          <w:sz w:val="20"/>
        </w:rPr>
      </w:pPr>
      <w:r>
        <w:rPr>
          <w:position w:val="9"/>
          <w:sz w:val="13"/>
        </w:rPr>
        <w:t>5 </w:t>
      </w:r>
      <w:r>
        <w:rPr>
          <w:sz w:val="20"/>
        </w:rPr>
        <w:t>Tais análises continuarão por meio do Observatório dos Sistemas e Planos de Educação do Tocantins, vinculado a Anpae-Tocantins.</w:t>
      </w:r>
    </w:p>
    <w:p>
      <w:pPr>
        <w:spacing w:after="0"/>
        <w:jc w:val="left"/>
        <w:rPr>
          <w:sz w:val="20"/>
        </w:rPr>
        <w:sectPr>
          <w:pgSz w:w="11910" w:h="16840"/>
          <w:pgMar w:header="749" w:footer="0" w:top="960" w:bottom="280" w:left="1580" w:right="1580"/>
        </w:sectPr>
      </w:pPr>
    </w:p>
    <w:p>
      <w:pPr>
        <w:pStyle w:val="BodyText"/>
        <w:rPr>
          <w:sz w:val="20"/>
        </w:rPr>
      </w:pPr>
    </w:p>
    <w:p>
      <w:pPr>
        <w:pStyle w:val="BodyText"/>
        <w:spacing w:line="331" w:lineRule="auto" w:before="210"/>
        <w:ind w:left="122" w:right="123"/>
        <w:jc w:val="both"/>
      </w:pPr>
      <w:r>
        <w:rPr>
          <w:w w:val="99"/>
        </w:rPr>
        <w:t>possí</w:t>
      </w:r>
      <w:r>
        <w:rPr>
          <w:w w:val="100"/>
        </w:rPr>
        <w:t>ve</w:t>
      </w:r>
      <w:r>
        <w:rPr>
          <w:w w:val="100"/>
        </w:rPr>
        <w:t>l</w:t>
      </w:r>
      <w:r>
        <w:rPr/>
        <w:t> </w:t>
      </w:r>
      <w:r>
        <w:rPr>
          <w:w w:val="100"/>
        </w:rPr>
        <w:t>pe</w:t>
      </w:r>
      <w:r>
        <w:rPr>
          <w:w w:val="99"/>
        </w:rPr>
        <w:t>nsarmos </w:t>
      </w:r>
      <w:r>
        <w:rPr>
          <w:w w:val="100"/>
        </w:rPr>
        <w:t>que </w:t>
      </w:r>
      <w:r>
        <w:rPr>
          <w:w w:val="100"/>
        </w:rPr>
        <w:t>a</w:t>
      </w:r>
      <w:r>
        <w:rPr/>
        <w:t> </w:t>
      </w:r>
      <w:r>
        <w:rPr>
          <w:w w:val="100"/>
        </w:rPr>
        <w:t>ideia</w:t>
      </w:r>
      <w:r>
        <w:rPr/>
        <w:t> </w:t>
      </w:r>
      <w:r>
        <w:rPr>
          <w:w w:val="100"/>
        </w:rPr>
        <w:t>é</w:t>
      </w:r>
      <w:r>
        <w:rPr/>
        <w:t> </w:t>
      </w:r>
      <w:r>
        <w:rPr>
          <w:w w:val="100"/>
        </w:rPr>
        <w:t>de</w:t>
      </w:r>
      <w:r>
        <w:rPr/>
        <w:t> </w:t>
      </w:r>
      <w:r>
        <w:rPr>
          <w:w w:val="100"/>
        </w:rPr>
        <w:t>que </w:t>
      </w:r>
      <w:r>
        <w:rPr>
          <w:w w:val="44"/>
        </w:rPr>
        <w:t>―</w:t>
      </w:r>
      <w:r>
        <w:rPr>
          <w:w w:val="99"/>
        </w:rPr>
        <w:t>O</w:t>
      </w:r>
      <w:r>
        <w:rPr/>
        <w:t> </w:t>
      </w:r>
      <w:r>
        <w:rPr>
          <w:w w:val="100"/>
        </w:rPr>
        <w:t>aca</w:t>
      </w:r>
      <w:r>
        <w:rPr>
          <w:w w:val="99"/>
        </w:rPr>
        <w:t>s</w:t>
      </w:r>
      <w:r>
        <w:rPr/>
        <w:t>o </w:t>
      </w:r>
      <w:r>
        <w:rPr>
          <w:w w:val="100"/>
        </w:rPr>
        <w:t>va</w:t>
      </w:r>
      <w:r>
        <w:rPr>
          <w:w w:val="100"/>
        </w:rPr>
        <w:t>i</w:t>
      </w:r>
      <w:r>
        <w:rPr/>
        <w:t> </w:t>
      </w:r>
      <w:r>
        <w:rPr>
          <w:w w:val="100"/>
        </w:rPr>
        <w:t>me</w:t>
      </w:r>
      <w:r>
        <w:rPr/>
        <w:t> pr</w:t>
      </w:r>
      <w:r>
        <w:rPr>
          <w:w w:val="100"/>
        </w:rPr>
        <w:t>otege</w:t>
      </w:r>
      <w:r>
        <w:rPr>
          <w:w w:val="99"/>
        </w:rPr>
        <w:t>r </w:t>
      </w:r>
      <w:r>
        <w:rPr>
          <w:w w:val="100"/>
        </w:rPr>
        <w:t>e</w:t>
      </w:r>
      <w:r>
        <w:rPr/>
        <w:t>nqu</w:t>
      </w:r>
      <w:r>
        <w:rPr>
          <w:w w:val="100"/>
        </w:rPr>
        <w:t>a</w:t>
      </w:r>
      <w:r>
        <w:rPr>
          <w:w w:val="100"/>
        </w:rPr>
        <w:t>nto</w:t>
      </w:r>
      <w:r>
        <w:rPr/>
        <w:t> </w:t>
      </w:r>
      <w:r>
        <w:rPr>
          <w:w w:val="100"/>
        </w:rPr>
        <w:t>e</w:t>
      </w:r>
      <w:r>
        <w:rPr/>
        <w:t>u </w:t>
      </w:r>
      <w:r>
        <w:rPr>
          <w:w w:val="100"/>
        </w:rPr>
        <w:t>a</w:t>
      </w:r>
      <w:r>
        <w:rPr>
          <w:w w:val="100"/>
        </w:rPr>
        <w:t>nda</w:t>
      </w:r>
      <w:r>
        <w:rPr>
          <w:w w:val="99"/>
        </w:rPr>
        <w:t>r </w:t>
      </w:r>
      <w:r>
        <w:rPr/>
        <w:t>distraído‖ (TITANS, Epitáfio, 2002)</w:t>
      </w:r>
      <w:r>
        <w:rPr>
          <w:position w:val="11"/>
          <w:sz w:val="16"/>
        </w:rPr>
        <w:t>6</w:t>
      </w:r>
      <w:r>
        <w:rPr/>
        <w:t>.</w:t>
      </w:r>
    </w:p>
    <w:p>
      <w:pPr>
        <w:pStyle w:val="BodyText"/>
        <w:spacing w:line="360" w:lineRule="auto" w:before="20"/>
        <w:ind w:left="122" w:right="121" w:firstLine="851"/>
        <w:jc w:val="both"/>
      </w:pPr>
      <w:r>
        <w:rPr/>
        <w:t>Vieira e Albuquerque (2002, p.10) advogam quanto a complexidade da ação de </w:t>
      </w:r>
      <w:r>
        <w:rPr>
          <w:w w:val="100"/>
        </w:rPr>
        <w:t>plan</w:t>
      </w:r>
      <w:r>
        <w:rPr>
          <w:spacing w:val="-2"/>
          <w:w w:val="100"/>
        </w:rPr>
        <w:t>e</w:t>
      </w:r>
      <w:r>
        <w:rPr>
          <w:w w:val="100"/>
        </w:rPr>
        <w:t>ja</w:t>
      </w:r>
      <w:r>
        <w:rPr>
          <w:spacing w:val="-2"/>
          <w:w w:val="100"/>
        </w:rPr>
        <w:t>r</w:t>
      </w:r>
      <w:r>
        <w:rPr/>
        <w:t>, </w:t>
      </w:r>
      <w:r>
        <w:rPr>
          <w:spacing w:val="2"/>
        </w:rPr>
        <w:t> </w:t>
      </w:r>
      <w:r>
        <w:rPr>
          <w:w w:val="100"/>
        </w:rPr>
        <w:t>u</w:t>
      </w:r>
      <w:r>
        <w:rPr>
          <w:spacing w:val="2"/>
          <w:w w:val="100"/>
        </w:rPr>
        <w:t>m</w:t>
      </w:r>
      <w:r>
        <w:rPr>
          <w:w w:val="100"/>
        </w:rPr>
        <w:t>a</w:t>
      </w:r>
      <w:r>
        <w:rPr/>
        <w:t> </w:t>
      </w:r>
      <w:r>
        <w:rPr>
          <w:spacing w:val="1"/>
        </w:rPr>
        <w:t> </w:t>
      </w:r>
      <w:r>
        <w:rPr>
          <w:w w:val="100"/>
        </w:rPr>
        <w:t>v</w:t>
      </w:r>
      <w:r>
        <w:rPr>
          <w:spacing w:val="-1"/>
          <w:w w:val="100"/>
        </w:rPr>
        <w:t>e</w:t>
      </w:r>
      <w:r>
        <w:rPr>
          <w:w w:val="100"/>
        </w:rPr>
        <w:t>z</w:t>
      </w:r>
      <w:r>
        <w:rPr/>
        <w:t> </w:t>
      </w:r>
      <w:r>
        <w:rPr>
          <w:spacing w:val="3"/>
        </w:rPr>
        <w:t> </w:t>
      </w:r>
      <w:r>
        <w:rPr>
          <w:w w:val="100"/>
        </w:rPr>
        <w:t>que </w:t>
      </w:r>
      <w:r>
        <w:rPr>
          <w:spacing w:val="5"/>
          <w:w w:val="100"/>
        </w:rPr>
        <w:t> </w:t>
      </w:r>
      <w:r>
        <w:rPr>
          <w:spacing w:val="-1"/>
          <w:w w:val="100"/>
        </w:rPr>
        <w:t>e</w:t>
      </w:r>
      <w:r>
        <w:rPr>
          <w:w w:val="100"/>
        </w:rPr>
        <w:t>sta</w:t>
      </w:r>
      <w:r>
        <w:rPr/>
        <w:t> </w:t>
      </w:r>
      <w:r>
        <w:rPr>
          <w:spacing w:val="1"/>
        </w:rPr>
        <w:t> </w:t>
      </w:r>
      <w:r>
        <w:rPr>
          <w:w w:val="100"/>
        </w:rPr>
        <w:t>tar</w:t>
      </w:r>
      <w:r>
        <w:rPr>
          <w:spacing w:val="-1"/>
          <w:w w:val="100"/>
        </w:rPr>
        <w:t>e</w:t>
      </w:r>
      <w:r>
        <w:rPr>
          <w:w w:val="100"/>
        </w:rPr>
        <w:t>fa</w:t>
      </w:r>
      <w:r>
        <w:rPr/>
        <w:t> </w:t>
      </w:r>
      <w:r>
        <w:rPr>
          <w:spacing w:val="2"/>
        </w:rPr>
        <w:t> </w:t>
      </w:r>
      <w:r>
        <w:rPr>
          <w:spacing w:val="-1"/>
          <w:w w:val="44"/>
        </w:rPr>
        <w:t>―</w:t>
      </w:r>
      <w:r>
        <w:rPr>
          <w:w w:val="100"/>
        </w:rPr>
        <w:t>d</w:t>
      </w:r>
      <w:r>
        <w:rPr>
          <w:spacing w:val="-1"/>
          <w:w w:val="100"/>
        </w:rPr>
        <w:t>e</w:t>
      </w:r>
      <w:r>
        <w:rPr>
          <w:spacing w:val="2"/>
        </w:rPr>
        <w:t>p</w:t>
      </w:r>
      <w:r>
        <w:rPr>
          <w:spacing w:val="-1"/>
          <w:w w:val="100"/>
        </w:rPr>
        <w:t>e</w:t>
      </w:r>
      <w:r>
        <w:rPr>
          <w:w w:val="100"/>
        </w:rPr>
        <w:t>nde </w:t>
      </w:r>
      <w:r>
        <w:rPr>
          <w:spacing w:val="1"/>
          <w:w w:val="100"/>
        </w:rPr>
        <w:t> </w:t>
      </w:r>
      <w:r>
        <w:rPr>
          <w:w w:val="100"/>
        </w:rPr>
        <w:t>d</w:t>
      </w:r>
      <w:r>
        <w:rPr>
          <w:spacing w:val="2"/>
          <w:w w:val="100"/>
        </w:rPr>
        <w:t>o</w:t>
      </w:r>
      <w:r>
        <w:rPr>
          <w:w w:val="99"/>
        </w:rPr>
        <w:t>s</w:t>
      </w:r>
      <w:r>
        <w:rPr/>
        <w:t> </w:t>
      </w:r>
      <w:r>
        <w:rPr>
          <w:spacing w:val="2"/>
        </w:rPr>
        <w:t> </w:t>
      </w:r>
      <w:r>
        <w:rPr>
          <w:w w:val="100"/>
        </w:rPr>
        <w:t>r</w:t>
      </w:r>
      <w:r>
        <w:rPr>
          <w:spacing w:val="-2"/>
          <w:w w:val="100"/>
        </w:rPr>
        <w:t>e</w:t>
      </w:r>
      <w:r>
        <w:rPr>
          <w:spacing w:val="1"/>
          <w:w w:val="99"/>
        </w:rPr>
        <w:t>f</w:t>
      </w:r>
      <w:r>
        <w:rPr>
          <w:spacing w:val="-1"/>
          <w:w w:val="100"/>
        </w:rPr>
        <w:t>e</w:t>
      </w:r>
      <w:r>
        <w:rPr>
          <w:w w:val="100"/>
        </w:rPr>
        <w:t>r</w:t>
      </w:r>
      <w:r>
        <w:rPr>
          <w:spacing w:val="-2"/>
          <w:w w:val="100"/>
        </w:rPr>
        <w:t>e</w:t>
      </w:r>
      <w:r>
        <w:rPr>
          <w:spacing w:val="2"/>
        </w:rPr>
        <w:t>n</w:t>
      </w:r>
      <w:r>
        <w:rPr>
          <w:spacing w:val="-1"/>
          <w:w w:val="100"/>
        </w:rPr>
        <w:t>c</w:t>
      </w:r>
      <w:r>
        <w:rPr>
          <w:w w:val="100"/>
        </w:rPr>
        <w:t>iais</w:t>
      </w:r>
      <w:r>
        <w:rPr/>
        <w:t> </w:t>
      </w:r>
      <w:r>
        <w:rPr>
          <w:spacing w:val="2"/>
        </w:rPr>
        <w:t> </w:t>
      </w:r>
      <w:r>
        <w:rPr>
          <w:w w:val="100"/>
        </w:rPr>
        <w:t>simbóli</w:t>
      </w:r>
      <w:r>
        <w:rPr>
          <w:spacing w:val="-1"/>
          <w:w w:val="100"/>
        </w:rPr>
        <w:t>c</w:t>
      </w:r>
      <w:r>
        <w:rPr>
          <w:w w:val="99"/>
        </w:rPr>
        <w:t>os</w:t>
      </w:r>
      <w:r>
        <w:rPr/>
        <w:t> </w:t>
      </w:r>
      <w:r>
        <w:rPr>
          <w:spacing w:val="2"/>
        </w:rPr>
        <w:t> </w:t>
      </w:r>
      <w:r>
        <w:rPr>
          <w:w w:val="99"/>
        </w:rPr>
        <w:t>dos</w:t>
      </w:r>
      <w:r>
        <w:rPr/>
        <w:t> </w:t>
      </w:r>
      <w:r>
        <w:rPr>
          <w:spacing w:val="2"/>
        </w:rPr>
        <w:t> </w:t>
      </w:r>
      <w:r>
        <w:rPr>
          <w:spacing w:val="-1"/>
          <w:w w:val="100"/>
        </w:rPr>
        <w:t>a</w:t>
      </w:r>
      <w:r>
        <w:rPr>
          <w:w w:val="100"/>
        </w:rPr>
        <w:t>tor</w:t>
      </w:r>
      <w:r>
        <w:rPr>
          <w:spacing w:val="-2"/>
          <w:w w:val="100"/>
        </w:rPr>
        <w:t>e</w:t>
      </w:r>
      <w:r>
        <w:rPr>
          <w:w w:val="99"/>
        </w:rPr>
        <w:t>s </w:t>
      </w:r>
      <w:r>
        <w:rPr>
          <w:w w:val="100"/>
        </w:rPr>
        <w:t>soci</w:t>
      </w:r>
      <w:r>
        <w:rPr>
          <w:spacing w:val="-2"/>
          <w:w w:val="100"/>
        </w:rPr>
        <w:t>a</w:t>
      </w:r>
      <w:r>
        <w:rPr>
          <w:w w:val="100"/>
        </w:rPr>
        <w:t>is </w:t>
      </w:r>
      <w:r>
        <w:rPr>
          <w:spacing w:val="-2"/>
          <w:w w:val="100"/>
        </w:rPr>
        <w:t> </w:t>
      </w:r>
      <w:r>
        <w:rPr>
          <w:spacing w:val="-1"/>
          <w:w w:val="100"/>
        </w:rPr>
        <w:t>e</w:t>
      </w:r>
      <w:r>
        <w:rPr>
          <w:w w:val="100"/>
        </w:rPr>
        <w:t>nvolvi</w:t>
      </w:r>
      <w:r>
        <w:rPr>
          <w:w w:val="108"/>
        </w:rPr>
        <w:t>dos‖.</w:t>
      </w:r>
      <w:r>
        <w:rPr/>
        <w:t> </w:t>
      </w:r>
      <w:r>
        <w:rPr>
          <w:spacing w:val="-4"/>
        </w:rPr>
        <w:t> </w:t>
      </w:r>
      <w:r>
        <w:rPr>
          <w:w w:val="99"/>
        </w:rPr>
        <w:t>A</w:t>
      </w:r>
      <w:r>
        <w:rPr>
          <w:spacing w:val="1"/>
          <w:w w:val="99"/>
        </w:rPr>
        <w:t>s</w:t>
      </w:r>
      <w:r>
        <w:rPr>
          <w:w w:val="100"/>
        </w:rPr>
        <w:t>sim</w:t>
      </w:r>
      <w:r>
        <w:rPr/>
        <w:t>, </w:t>
      </w:r>
      <w:r>
        <w:rPr>
          <w:spacing w:val="-3"/>
        </w:rPr>
        <w:t> </w:t>
      </w:r>
      <w:r>
        <w:rPr>
          <w:spacing w:val="-1"/>
          <w:w w:val="44"/>
        </w:rPr>
        <w:t>―</w:t>
      </w:r>
      <w:r>
        <w:rPr>
          <w:w w:val="99"/>
        </w:rPr>
        <w:t>A</w:t>
      </w:r>
      <w:r>
        <w:rPr/>
        <w:t> </w:t>
      </w:r>
      <w:r>
        <w:rPr>
          <w:spacing w:val="-4"/>
        </w:rPr>
        <w:t> </w:t>
      </w:r>
      <w:r>
        <w:rPr>
          <w:w w:val="100"/>
        </w:rPr>
        <w:t>teo</w:t>
      </w:r>
      <w:r>
        <w:rPr>
          <w:spacing w:val="-2"/>
          <w:w w:val="100"/>
        </w:rPr>
        <w:t>r</w:t>
      </w:r>
      <w:r>
        <w:rPr>
          <w:w w:val="100"/>
        </w:rPr>
        <w:t>i</w:t>
      </w:r>
      <w:r>
        <w:rPr>
          <w:spacing w:val="1"/>
          <w:w w:val="100"/>
        </w:rPr>
        <w:t>z</w:t>
      </w:r>
      <w:r>
        <w:rPr>
          <w:spacing w:val="-1"/>
          <w:w w:val="100"/>
        </w:rPr>
        <w:t>açã</w:t>
      </w:r>
      <w:r>
        <w:rPr/>
        <w:t>o </w:t>
      </w:r>
      <w:r>
        <w:rPr>
          <w:spacing w:val="-3"/>
        </w:rPr>
        <w:t> </w:t>
      </w:r>
      <w:r>
        <w:rPr>
          <w:w w:val="99"/>
        </w:rPr>
        <w:t>so</w:t>
      </w:r>
      <w:r>
        <w:rPr>
          <w:spacing w:val="2"/>
          <w:w w:val="99"/>
        </w:rPr>
        <w:t>b</w:t>
      </w:r>
      <w:r>
        <w:rPr>
          <w:spacing w:val="1"/>
          <w:w w:val="99"/>
        </w:rPr>
        <w:t>r</w:t>
      </w:r>
      <w:r>
        <w:rPr>
          <w:w w:val="100"/>
        </w:rPr>
        <w:t>e</w:t>
      </w:r>
      <w:r>
        <w:rPr/>
        <w:t> </w:t>
      </w:r>
      <w:r>
        <w:rPr>
          <w:spacing w:val="-4"/>
        </w:rPr>
        <w:t> </w:t>
      </w:r>
      <w:r>
        <w:rPr>
          <w:w w:val="100"/>
        </w:rPr>
        <w:t>plan</w:t>
      </w:r>
      <w:r>
        <w:rPr>
          <w:spacing w:val="-2"/>
          <w:w w:val="100"/>
        </w:rPr>
        <w:t>e</w:t>
      </w:r>
      <w:r>
        <w:rPr>
          <w:w w:val="100"/>
        </w:rPr>
        <w:t>jam</w:t>
      </w:r>
      <w:r>
        <w:rPr>
          <w:spacing w:val="-1"/>
          <w:w w:val="100"/>
        </w:rPr>
        <w:t>e</w:t>
      </w:r>
      <w:r>
        <w:rPr>
          <w:w w:val="100"/>
        </w:rPr>
        <w:t>nto</w:t>
      </w:r>
      <w:r>
        <w:rPr/>
        <w:t> </w:t>
      </w:r>
      <w:r>
        <w:rPr>
          <w:spacing w:val="-3"/>
        </w:rPr>
        <w:t> </w:t>
      </w:r>
      <w:r>
        <w:rPr>
          <w:spacing w:val="2"/>
        </w:rPr>
        <w:t>d</w:t>
      </w:r>
      <w:r>
        <w:rPr>
          <w:spacing w:val="-1"/>
          <w:w w:val="100"/>
        </w:rPr>
        <w:t>e</w:t>
      </w:r>
      <w:r>
        <w:rPr>
          <w:w w:val="100"/>
        </w:rPr>
        <w:t>ve</w:t>
      </w:r>
      <w:r>
        <w:rPr/>
        <w:t> </w:t>
      </w:r>
      <w:r>
        <w:rPr>
          <w:spacing w:val="-4"/>
        </w:rPr>
        <w:t> </w:t>
      </w:r>
      <w:r>
        <w:rPr>
          <w:spacing w:val="2"/>
          <w:w w:val="99"/>
        </w:rPr>
        <w:t>s</w:t>
      </w:r>
      <w:r>
        <w:rPr>
          <w:spacing w:val="1"/>
          <w:w w:val="100"/>
        </w:rPr>
        <w:t>e</w:t>
      </w:r>
      <w:r>
        <w:rPr>
          <w:w w:val="99"/>
        </w:rPr>
        <w:t>r </w:t>
      </w:r>
      <w:r>
        <w:rPr>
          <w:spacing w:val="-4"/>
          <w:w w:val="99"/>
        </w:rPr>
        <w:t> </w:t>
      </w:r>
      <w:r>
        <w:rPr>
          <w:w w:val="100"/>
        </w:rPr>
        <w:t>situ</w:t>
      </w:r>
      <w:r>
        <w:rPr>
          <w:spacing w:val="-1"/>
          <w:w w:val="100"/>
        </w:rPr>
        <w:t>a</w:t>
      </w:r>
      <w:r>
        <w:rPr>
          <w:w w:val="100"/>
        </w:rPr>
        <w:t>d</w:t>
      </w:r>
      <w:r>
        <w:rPr>
          <w:spacing w:val="-1"/>
          <w:w w:val="100"/>
        </w:rPr>
        <w:t>a</w:t>
      </w:r>
      <w:r>
        <w:rPr/>
        <w:t>, </w:t>
      </w:r>
      <w:r>
        <w:rPr>
          <w:spacing w:val="-3"/>
        </w:rPr>
        <w:t> </w:t>
      </w:r>
      <w:r>
        <w:rPr>
          <w:w w:val="100"/>
        </w:rPr>
        <w:t>na </w:t>
      </w:r>
      <w:r>
        <w:rPr/>
        <w:t>medida em que este não pode ser tratado indistintivamente do sistema social‖. Desse </w:t>
      </w:r>
      <w:r>
        <w:rPr>
          <w:w w:val="100"/>
        </w:rPr>
        <w:t>modo, </w:t>
      </w:r>
      <w:r>
        <w:rPr>
          <w:spacing w:val="7"/>
          <w:w w:val="100"/>
        </w:rPr>
        <w:t> </w:t>
      </w:r>
      <w:r>
        <w:rPr>
          <w:spacing w:val="-1"/>
          <w:w w:val="44"/>
        </w:rPr>
        <w:t>―</w:t>
      </w:r>
      <w:r>
        <w:rPr>
          <w:w w:val="100"/>
        </w:rPr>
        <w:t>Di</w:t>
      </w:r>
      <w:r>
        <w:rPr>
          <w:spacing w:val="1"/>
          <w:w w:val="100"/>
        </w:rPr>
        <w:t>z</w:t>
      </w:r>
      <w:r>
        <w:rPr>
          <w:spacing w:val="-1"/>
          <w:w w:val="100"/>
        </w:rPr>
        <w:t>e</w:t>
      </w:r>
      <w:r>
        <w:rPr>
          <w:w w:val="99"/>
        </w:rPr>
        <w:t>r </w:t>
      </w:r>
      <w:r>
        <w:rPr>
          <w:spacing w:val="6"/>
          <w:w w:val="99"/>
        </w:rPr>
        <w:t> </w:t>
      </w:r>
      <w:r>
        <w:rPr>
          <w:w w:val="100"/>
        </w:rPr>
        <w:t>que </w:t>
      </w:r>
      <w:r>
        <w:rPr>
          <w:spacing w:val="6"/>
          <w:w w:val="100"/>
        </w:rPr>
        <w:t> </w:t>
      </w:r>
      <w:r>
        <w:rPr>
          <w:w w:val="100"/>
        </w:rPr>
        <w:t>o </w:t>
      </w:r>
      <w:r>
        <w:rPr>
          <w:spacing w:val="6"/>
          <w:w w:val="100"/>
        </w:rPr>
        <w:t> </w:t>
      </w:r>
      <w:r>
        <w:rPr>
          <w:w w:val="100"/>
        </w:rPr>
        <w:t>p</w:t>
      </w:r>
      <w:r>
        <w:rPr>
          <w:spacing w:val="-2"/>
          <w:w w:val="100"/>
        </w:rPr>
        <w:t>l</w:t>
      </w:r>
      <w:r>
        <w:rPr>
          <w:spacing w:val="-1"/>
          <w:w w:val="100"/>
        </w:rPr>
        <w:t>a</w:t>
      </w:r>
      <w:r>
        <w:rPr>
          <w:w w:val="100"/>
        </w:rPr>
        <w:t>n</w:t>
      </w:r>
      <w:r>
        <w:rPr>
          <w:spacing w:val="-1"/>
          <w:w w:val="100"/>
        </w:rPr>
        <w:t>e</w:t>
      </w:r>
      <w:r>
        <w:rPr>
          <w:w w:val="100"/>
        </w:rPr>
        <w:t>jam</w:t>
      </w:r>
      <w:r>
        <w:rPr>
          <w:spacing w:val="-1"/>
          <w:w w:val="100"/>
        </w:rPr>
        <w:t>e</w:t>
      </w:r>
      <w:r>
        <w:rPr>
          <w:w w:val="100"/>
        </w:rPr>
        <w:t>nto</w:t>
      </w:r>
      <w:r>
        <w:rPr/>
        <w:t> </w:t>
      </w:r>
      <w:r>
        <w:rPr>
          <w:spacing w:val="7"/>
        </w:rPr>
        <w:t> </w:t>
      </w:r>
      <w:r>
        <w:rPr>
          <w:w w:val="100"/>
        </w:rPr>
        <w:t>é</w:t>
      </w:r>
      <w:r>
        <w:rPr/>
        <w:t> </w:t>
      </w:r>
      <w:r>
        <w:rPr>
          <w:spacing w:val="6"/>
        </w:rPr>
        <w:t> </w:t>
      </w:r>
      <w:r>
        <w:rPr>
          <w:w w:val="100"/>
        </w:rPr>
        <w:t>uma</w:t>
      </w:r>
      <w:r>
        <w:rPr/>
        <w:t> </w:t>
      </w:r>
      <w:r>
        <w:rPr>
          <w:spacing w:val="6"/>
        </w:rPr>
        <w:t> </w:t>
      </w:r>
      <w:r>
        <w:rPr/>
        <w:t>p</w:t>
      </w:r>
      <w:r>
        <w:rPr>
          <w:spacing w:val="-1"/>
        </w:rPr>
        <w:t>r</w:t>
      </w:r>
      <w:r>
        <w:rPr>
          <w:spacing w:val="-1"/>
          <w:w w:val="100"/>
        </w:rPr>
        <w:t>á</w:t>
      </w:r>
      <w:r>
        <w:rPr>
          <w:w w:val="100"/>
        </w:rPr>
        <w:t>ti</w:t>
      </w:r>
      <w:r>
        <w:rPr>
          <w:spacing w:val="-1"/>
          <w:w w:val="100"/>
        </w:rPr>
        <w:t>c</w:t>
      </w:r>
      <w:r>
        <w:rPr>
          <w:w w:val="100"/>
        </w:rPr>
        <w:t>a</w:t>
      </w:r>
      <w:r>
        <w:rPr/>
        <w:t> </w:t>
      </w:r>
      <w:r>
        <w:rPr>
          <w:spacing w:val="6"/>
        </w:rPr>
        <w:t> </w:t>
      </w:r>
      <w:r>
        <w:rPr>
          <w:w w:val="100"/>
        </w:rPr>
        <w:t>situ</w:t>
      </w:r>
      <w:r>
        <w:rPr>
          <w:spacing w:val="-1"/>
          <w:w w:val="100"/>
        </w:rPr>
        <w:t>a</w:t>
      </w:r>
      <w:r>
        <w:rPr>
          <w:w w:val="100"/>
        </w:rPr>
        <w:t>da</w:t>
      </w:r>
      <w:r>
        <w:rPr/>
        <w:t> </w:t>
      </w:r>
      <w:r>
        <w:rPr>
          <w:spacing w:val="6"/>
        </w:rPr>
        <w:t> </w:t>
      </w:r>
      <w:r>
        <w:rPr/>
        <w:t>si</w:t>
      </w:r>
      <w:r>
        <w:rPr>
          <w:spacing w:val="-2"/>
        </w:rPr>
        <w:t>g</w:t>
      </w:r>
      <w:r>
        <w:rPr>
          <w:w w:val="100"/>
        </w:rPr>
        <w:t>nifi</w:t>
      </w:r>
      <w:r>
        <w:rPr>
          <w:spacing w:val="1"/>
          <w:w w:val="100"/>
        </w:rPr>
        <w:t>c</w:t>
      </w:r>
      <w:r>
        <w:rPr>
          <w:w w:val="100"/>
        </w:rPr>
        <w:t>a</w:t>
      </w:r>
      <w:r>
        <w:rPr/>
        <w:t> </w:t>
      </w:r>
      <w:r>
        <w:rPr>
          <w:spacing w:val="6"/>
        </w:rPr>
        <w:t> </w:t>
      </w:r>
      <w:r>
        <w:rPr>
          <w:w w:val="100"/>
        </w:rPr>
        <w:t>n</w:t>
      </w:r>
      <w:r>
        <w:rPr>
          <w:spacing w:val="1"/>
          <w:w w:val="100"/>
        </w:rPr>
        <w:t>e</w:t>
      </w:r>
      <w:r>
        <w:rPr>
          <w:w w:val="100"/>
        </w:rPr>
        <w:t>g</w:t>
      </w:r>
      <w:r>
        <w:rPr>
          <w:spacing w:val="-1"/>
          <w:w w:val="100"/>
        </w:rPr>
        <w:t>a</w:t>
      </w:r>
      <w:r>
        <w:rPr>
          <w:w w:val="99"/>
        </w:rPr>
        <w:t>r </w:t>
      </w:r>
      <w:r>
        <w:rPr>
          <w:spacing w:val="6"/>
          <w:w w:val="99"/>
        </w:rPr>
        <w:t> </w:t>
      </w:r>
      <w:r>
        <w:rPr>
          <w:w w:val="99"/>
        </w:rPr>
        <w:t>o </w:t>
      </w:r>
      <w:r>
        <w:rPr>
          <w:spacing w:val="6"/>
          <w:w w:val="99"/>
        </w:rPr>
        <w:t> </w:t>
      </w:r>
      <w:r>
        <w:rPr>
          <w:spacing w:val="-1"/>
          <w:w w:val="100"/>
        </w:rPr>
        <w:t>ca</w:t>
      </w:r>
      <w:r>
        <w:rPr>
          <w:w w:val="100"/>
        </w:rPr>
        <w:t>r</w:t>
      </w:r>
      <w:r>
        <w:rPr>
          <w:spacing w:val="-2"/>
          <w:w w:val="100"/>
        </w:rPr>
        <w:t>á</w:t>
      </w:r>
      <w:r>
        <w:rPr>
          <w:w w:val="100"/>
        </w:rPr>
        <w:t>t</w:t>
      </w:r>
      <w:r>
        <w:rPr>
          <w:spacing w:val="1"/>
          <w:w w:val="100"/>
        </w:rPr>
        <w:t>e</w:t>
      </w:r>
      <w:r>
        <w:rPr>
          <w:w w:val="99"/>
        </w:rPr>
        <w:t>r </w:t>
      </w:r>
      <w:r>
        <w:rPr/>
        <w:t>tecnocrático deste como um instrumental de organização racional, neutro. Portanto, o planejamento em suas diferentes acepções apresenta, implícita ou explicitamente, um caráter</w:t>
      </w:r>
      <w:r>
        <w:rPr>
          <w:spacing w:val="31"/>
        </w:rPr>
        <w:t> </w:t>
      </w:r>
      <w:r>
        <w:rPr/>
        <w:t>ideológico‖.</w:t>
      </w:r>
    </w:p>
    <w:p>
      <w:pPr>
        <w:pStyle w:val="BodyText"/>
        <w:spacing w:before="4"/>
        <w:ind w:left="974"/>
      </w:pPr>
      <w:r>
        <w:rPr/>
        <w:t>Para Ferreira (1979, p. 16), em se pensando de forma individual e generalizada,</w:t>
      </w:r>
    </w:p>
    <w:p>
      <w:pPr>
        <w:pStyle w:val="BodyText"/>
        <w:spacing w:line="360" w:lineRule="auto" w:before="139"/>
        <w:ind w:left="122" w:right="121"/>
        <w:jc w:val="both"/>
      </w:pPr>
      <w:r>
        <w:rPr>
          <w:spacing w:val="-1"/>
          <w:w w:val="44"/>
        </w:rPr>
        <w:t>―</w:t>
      </w:r>
      <w:r>
        <w:rPr>
          <w:w w:val="99"/>
        </w:rPr>
        <w:t>se </w:t>
      </w:r>
      <w:r>
        <w:rPr>
          <w:spacing w:val="-6"/>
          <w:w w:val="99"/>
        </w:rPr>
        <w:t> </w:t>
      </w:r>
      <w:r>
        <w:rPr>
          <w:w w:val="100"/>
        </w:rPr>
        <w:t>n</w:t>
      </w:r>
      <w:r>
        <w:rPr>
          <w:spacing w:val="-1"/>
          <w:w w:val="100"/>
        </w:rPr>
        <w:t>ã</w:t>
      </w:r>
      <w:r>
        <w:rPr/>
        <w:t>o </w:t>
      </w:r>
      <w:r>
        <w:rPr>
          <w:spacing w:val="-6"/>
        </w:rPr>
        <w:t> </w:t>
      </w:r>
      <w:r>
        <w:rPr>
          <w:w w:val="100"/>
        </w:rPr>
        <w:t>qu</w:t>
      </w:r>
      <w:r>
        <w:rPr>
          <w:spacing w:val="-1"/>
          <w:w w:val="100"/>
        </w:rPr>
        <w:t>e</w:t>
      </w:r>
      <w:r>
        <w:rPr>
          <w:w w:val="99"/>
        </w:rPr>
        <w:t>ro </w:t>
      </w:r>
      <w:r>
        <w:rPr>
          <w:spacing w:val="-6"/>
          <w:w w:val="99"/>
        </w:rPr>
        <w:t> </w:t>
      </w:r>
      <w:r>
        <w:rPr>
          <w:spacing w:val="-1"/>
          <w:w w:val="100"/>
        </w:rPr>
        <w:t>c</w:t>
      </w:r>
      <w:r>
        <w:rPr>
          <w:w w:val="100"/>
        </w:rPr>
        <w:t>h</w:t>
      </w:r>
      <w:r>
        <w:rPr>
          <w:spacing w:val="1"/>
          <w:w w:val="100"/>
        </w:rPr>
        <w:t>e</w:t>
      </w:r>
      <w:r>
        <w:rPr>
          <w:w w:val="100"/>
        </w:rPr>
        <w:t>g</w:t>
      </w:r>
      <w:r>
        <w:rPr>
          <w:spacing w:val="-1"/>
          <w:w w:val="100"/>
        </w:rPr>
        <w:t>a</w:t>
      </w:r>
      <w:r>
        <w:rPr>
          <w:w w:val="99"/>
        </w:rPr>
        <w:t>r </w:t>
      </w:r>
      <w:r>
        <w:rPr>
          <w:spacing w:val="-6"/>
          <w:w w:val="99"/>
        </w:rPr>
        <w:t> </w:t>
      </w:r>
      <w:r>
        <w:rPr>
          <w:w w:val="100"/>
        </w:rPr>
        <w:t>a</w:t>
      </w:r>
      <w:r>
        <w:rPr/>
        <w:t> </w:t>
      </w:r>
      <w:r>
        <w:rPr>
          <w:spacing w:val="-4"/>
        </w:rPr>
        <w:t> </w:t>
      </w:r>
      <w:r>
        <w:rPr>
          <w:w w:val="100"/>
        </w:rPr>
        <w:t>n</w:t>
      </w:r>
      <w:r>
        <w:rPr>
          <w:spacing w:val="-1"/>
          <w:w w:val="100"/>
        </w:rPr>
        <w:t>a</w:t>
      </w:r>
      <w:r>
        <w:rPr>
          <w:w w:val="100"/>
        </w:rPr>
        <w:t>d</w:t>
      </w:r>
      <w:r>
        <w:rPr>
          <w:spacing w:val="-1"/>
          <w:w w:val="100"/>
        </w:rPr>
        <w:t>a</w:t>
      </w:r>
      <w:r>
        <w:rPr/>
        <w:t>, </w:t>
      </w:r>
      <w:r>
        <w:rPr>
          <w:spacing w:val="-6"/>
        </w:rPr>
        <w:t> </w:t>
      </w:r>
      <w:r>
        <w:rPr/>
        <w:t>se </w:t>
      </w:r>
      <w:r>
        <w:rPr>
          <w:spacing w:val="-6"/>
        </w:rPr>
        <w:t> </w:t>
      </w:r>
      <w:r>
        <w:rPr>
          <w:w w:val="100"/>
        </w:rPr>
        <w:t>qu</w:t>
      </w:r>
      <w:r>
        <w:rPr>
          <w:spacing w:val="-1"/>
          <w:w w:val="100"/>
        </w:rPr>
        <w:t>e</w:t>
      </w:r>
      <w:r>
        <w:rPr>
          <w:w w:val="99"/>
        </w:rPr>
        <w:t>ro </w:t>
      </w:r>
      <w:r>
        <w:rPr>
          <w:spacing w:val="-6"/>
          <w:w w:val="99"/>
        </w:rPr>
        <w:t> </w:t>
      </w:r>
      <w:r>
        <w:rPr>
          <w:w w:val="100"/>
        </w:rPr>
        <w:t>somente</w:t>
      </w:r>
      <w:r>
        <w:rPr/>
        <w:t> </w:t>
      </w:r>
      <w:r>
        <w:rPr>
          <w:spacing w:val="-6"/>
        </w:rPr>
        <w:t> </w:t>
      </w:r>
      <w:r>
        <w:rPr>
          <w:w w:val="100"/>
        </w:rPr>
        <w:t>p</w:t>
      </w:r>
      <w:r>
        <w:rPr>
          <w:spacing w:val="-1"/>
          <w:w w:val="100"/>
        </w:rPr>
        <w:t>a</w:t>
      </w:r>
      <w:r>
        <w:rPr>
          <w:w w:val="99"/>
        </w:rPr>
        <w:t>ssar</w:t>
      </w:r>
      <w:r>
        <w:rPr/>
        <w:t> </w:t>
      </w:r>
      <w:r>
        <w:rPr>
          <w:spacing w:val="-7"/>
        </w:rPr>
        <w:t> </w:t>
      </w:r>
      <w:r>
        <w:rPr/>
        <w:t>o </w:t>
      </w:r>
      <w:r>
        <w:rPr>
          <w:spacing w:val="-6"/>
        </w:rPr>
        <w:t> </w:t>
      </w:r>
      <w:r>
        <w:rPr>
          <w:w w:val="100"/>
        </w:rPr>
        <w:t>tempo,</w:t>
      </w:r>
      <w:r>
        <w:rPr/>
        <w:t> </w:t>
      </w:r>
      <w:r>
        <w:rPr>
          <w:spacing w:val="-6"/>
        </w:rPr>
        <w:t> </w:t>
      </w:r>
      <w:r>
        <w:rPr>
          <w:w w:val="100"/>
        </w:rPr>
        <w:t>viver</w:t>
      </w:r>
      <w:r>
        <w:rPr/>
        <w:t> </w:t>
      </w:r>
      <w:r>
        <w:rPr>
          <w:spacing w:val="-7"/>
        </w:rPr>
        <w:t> </w:t>
      </w:r>
      <w:r>
        <w:rPr/>
        <w:t>o </w:t>
      </w:r>
      <w:r>
        <w:rPr>
          <w:spacing w:val="-6"/>
        </w:rPr>
        <w:t> </w:t>
      </w:r>
      <w:r>
        <w:rPr>
          <w:w w:val="100"/>
        </w:rPr>
        <w:t>mom</w:t>
      </w:r>
      <w:r>
        <w:rPr>
          <w:spacing w:val="-1"/>
          <w:w w:val="100"/>
        </w:rPr>
        <w:t>e</w:t>
      </w:r>
      <w:r>
        <w:rPr>
          <w:w w:val="100"/>
        </w:rPr>
        <w:t>nto </w:t>
      </w:r>
      <w:r>
        <w:rPr/>
        <w:t>presente, deixar-me surpreender pelo que for ocorrendo, vou improvisando todas as </w:t>
      </w:r>
      <w:r>
        <w:rPr>
          <w:w w:val="100"/>
        </w:rPr>
        <w:t>mi</w:t>
      </w:r>
      <w:r>
        <w:rPr>
          <w:w w:val="100"/>
        </w:rPr>
        <w:t>nh</w:t>
      </w:r>
      <w:r>
        <w:rPr>
          <w:spacing w:val="-1"/>
          <w:w w:val="100"/>
        </w:rPr>
        <w:t>a</w:t>
      </w:r>
      <w:r>
        <w:rPr>
          <w:w w:val="99"/>
        </w:rPr>
        <w:t>s</w:t>
      </w:r>
      <w:r>
        <w:rPr/>
        <w:t> </w:t>
      </w:r>
      <w:r>
        <w:rPr>
          <w:w w:val="100"/>
        </w:rPr>
        <w:t>a</w:t>
      </w:r>
      <w:r>
        <w:rPr>
          <w:spacing w:val="-2"/>
          <w:w w:val="100"/>
        </w:rPr>
        <w:t>ç</w:t>
      </w:r>
      <w:r>
        <w:rPr>
          <w:spacing w:val="2"/>
        </w:rPr>
        <w:t>õ</w:t>
      </w:r>
      <w:r>
        <w:rPr>
          <w:spacing w:val="-1"/>
          <w:w w:val="100"/>
        </w:rPr>
        <w:t>e</w:t>
      </w:r>
      <w:r>
        <w:rPr>
          <w:w w:val="99"/>
        </w:rPr>
        <w:t>s,</w:t>
      </w:r>
      <w:r>
        <w:rPr/>
        <w:t> </w:t>
      </w:r>
      <w:r>
        <w:rPr>
          <w:w w:val="100"/>
        </w:rPr>
        <w:t>ao</w:t>
      </w:r>
      <w:r>
        <w:rPr>
          <w:spacing w:val="1"/>
        </w:rPr>
        <w:t> </w:t>
      </w:r>
      <w:r>
        <w:rPr/>
        <w:t>sab</w:t>
      </w:r>
      <w:r>
        <w:rPr>
          <w:spacing w:val="-1"/>
        </w:rPr>
        <w:t>o</w:t>
      </w:r>
      <w:r>
        <w:rPr/>
        <w:t>r</w:t>
      </w:r>
      <w:r>
        <w:rPr>
          <w:spacing w:val="1"/>
        </w:rPr>
        <w:t> </w:t>
      </w:r>
      <w:r>
        <w:rPr>
          <w:spacing w:val="2"/>
        </w:rPr>
        <w:t>d</w:t>
      </w:r>
      <w:r>
        <w:rPr/>
        <w:t>o </w:t>
      </w:r>
      <w:r>
        <w:rPr>
          <w:w w:val="100"/>
        </w:rPr>
        <w:t>v</w:t>
      </w:r>
      <w:r>
        <w:rPr>
          <w:spacing w:val="-1"/>
          <w:w w:val="100"/>
        </w:rPr>
        <w:t>e</w:t>
      </w:r>
      <w:r>
        <w:rPr>
          <w:w w:val="109"/>
        </w:rPr>
        <w:t>nto‖,</w:t>
      </w:r>
      <w:r>
        <w:rPr/>
        <w:t> ou,</w:t>
      </w:r>
      <w:r>
        <w:rPr>
          <w:spacing w:val="1"/>
        </w:rPr>
        <w:t> </w:t>
      </w:r>
      <w:r>
        <w:rPr>
          <w:spacing w:val="-1"/>
          <w:w w:val="100"/>
        </w:rPr>
        <w:t>a</w:t>
      </w:r>
      <w:r>
        <w:rPr/>
        <w:t>o</w:t>
      </w:r>
      <w:r>
        <w:rPr>
          <w:spacing w:val="2"/>
        </w:rPr>
        <w:t> </w:t>
      </w:r>
      <w:r>
        <w:rPr>
          <w:spacing w:val="-1"/>
          <w:w w:val="100"/>
        </w:rPr>
        <w:t>c</w:t>
      </w:r>
      <w:r>
        <w:rPr>
          <w:w w:val="100"/>
        </w:rPr>
        <w:t>ont</w:t>
      </w:r>
      <w:r>
        <w:rPr>
          <w:spacing w:val="1"/>
          <w:w w:val="100"/>
        </w:rPr>
        <w:t>r</w:t>
      </w:r>
      <w:r>
        <w:rPr>
          <w:spacing w:val="-1"/>
          <w:w w:val="100"/>
        </w:rPr>
        <w:t>á</w:t>
      </w:r>
      <w:r>
        <w:rPr>
          <w:w w:val="100"/>
        </w:rPr>
        <w:t>r</w:t>
      </w:r>
      <w:r>
        <w:rPr>
          <w:spacing w:val="1"/>
          <w:w w:val="100"/>
        </w:rPr>
        <w:t>i</w:t>
      </w:r>
      <w:r>
        <w:rPr/>
        <w:t>o, </w:t>
      </w:r>
      <w:r>
        <w:rPr>
          <w:spacing w:val="-1"/>
          <w:w w:val="44"/>
        </w:rPr>
        <w:t>―</w:t>
      </w:r>
      <w:r>
        <w:rPr>
          <w:w w:val="99"/>
        </w:rPr>
        <w:t>se</w:t>
      </w:r>
      <w:r>
        <w:rPr>
          <w:spacing w:val="1"/>
          <w:w w:val="99"/>
        </w:rPr>
        <w:t> [</w:t>
      </w:r>
      <w:r>
        <w:rPr>
          <w:w w:val="99"/>
        </w:rPr>
        <w:t>...]</w:t>
      </w:r>
      <w:r>
        <w:rPr>
          <w:spacing w:val="1"/>
          <w:w w:val="99"/>
        </w:rPr>
        <w:t> </w:t>
      </w:r>
      <w:r>
        <w:rPr>
          <w:w w:val="100"/>
        </w:rPr>
        <w:t>qu</w:t>
      </w:r>
      <w:r>
        <w:rPr>
          <w:spacing w:val="-1"/>
          <w:w w:val="100"/>
        </w:rPr>
        <w:t>e</w:t>
      </w:r>
      <w:r>
        <w:rPr>
          <w:w w:val="99"/>
        </w:rPr>
        <w:t>ro </w:t>
      </w:r>
      <w:r>
        <w:rPr>
          <w:spacing w:val="-2"/>
          <w:w w:val="100"/>
        </w:rPr>
        <w:t>a</w:t>
      </w:r>
      <w:r>
        <w:rPr>
          <w:w w:val="100"/>
        </w:rPr>
        <w:t>l</w:t>
      </w:r>
      <w:r>
        <w:rPr>
          <w:spacing w:val="1"/>
          <w:w w:val="100"/>
        </w:rPr>
        <w:t>c</w:t>
      </w:r>
      <w:r>
        <w:rPr>
          <w:spacing w:val="-1"/>
          <w:w w:val="100"/>
        </w:rPr>
        <w:t>a</w:t>
      </w:r>
      <w:r>
        <w:rPr>
          <w:w w:val="100"/>
        </w:rPr>
        <w:t>n</w:t>
      </w:r>
      <w:r>
        <w:rPr>
          <w:spacing w:val="1"/>
          <w:w w:val="100"/>
        </w:rPr>
        <w:t>ç</w:t>
      </w:r>
      <w:r>
        <w:rPr>
          <w:spacing w:val="-1"/>
          <w:w w:val="100"/>
        </w:rPr>
        <w:t>a</w:t>
      </w:r>
      <w:r>
        <w:rPr>
          <w:w w:val="99"/>
        </w:rPr>
        <w:t>r</w:t>
      </w:r>
      <w:r>
        <w:rPr>
          <w:spacing w:val="1"/>
          <w:w w:val="99"/>
        </w:rPr>
        <w:t> </w:t>
      </w:r>
      <w:r>
        <w:rPr>
          <w:w w:val="100"/>
        </w:rPr>
        <w:t>d</w:t>
      </w:r>
      <w:r>
        <w:rPr>
          <w:spacing w:val="-1"/>
          <w:w w:val="100"/>
        </w:rPr>
        <w:t>e</w:t>
      </w:r>
      <w:r>
        <w:rPr>
          <w:w w:val="100"/>
        </w:rPr>
        <w:t>te</w:t>
      </w:r>
      <w:r>
        <w:rPr>
          <w:spacing w:val="-2"/>
          <w:w w:val="100"/>
        </w:rPr>
        <w:t>r</w:t>
      </w:r>
      <w:r>
        <w:rPr>
          <w:w w:val="100"/>
        </w:rPr>
        <w:t>mi</w:t>
      </w:r>
      <w:r>
        <w:rPr>
          <w:w w:val="100"/>
        </w:rPr>
        <w:t>n</w:t>
      </w:r>
      <w:r>
        <w:rPr>
          <w:spacing w:val="-1"/>
          <w:w w:val="100"/>
        </w:rPr>
        <w:t>a</w:t>
      </w:r>
      <w:r>
        <w:rPr>
          <w:w w:val="99"/>
        </w:rPr>
        <w:t>dos </w:t>
      </w:r>
      <w:r>
        <w:rPr/>
        <w:t>objetivos, então não me resta outro remédio senão tentar prever melhor minhas ações e seus efeitos‖. Em outros termos, pensando no  âmbito individual, tais opções, planejar  ou não, são, de certo modo, permitidas. Mas, quando se parte para questões que envolvem várias pessoas na busca de um objetivo comum, em que organismos participam da ação, sejam interessados ou comprometidos, não há opção a não ser planejar.</w:t>
      </w:r>
    </w:p>
    <w:p>
      <w:pPr>
        <w:pStyle w:val="BodyText"/>
        <w:spacing w:line="360" w:lineRule="auto" w:before="4"/>
        <w:ind w:left="122" w:right="119" w:firstLine="851"/>
        <w:jc w:val="both"/>
      </w:pPr>
      <w:r>
        <w:rPr>
          <w:w w:val="99"/>
        </w:rPr>
        <w:t>F</w:t>
      </w:r>
      <w:r>
        <w:rPr>
          <w:w w:val="100"/>
        </w:rPr>
        <w:t>ri</w:t>
      </w:r>
      <w:r>
        <w:rPr/>
        <w:t>g</w:t>
      </w:r>
      <w:r>
        <w:rPr>
          <w:w w:val="100"/>
        </w:rPr>
        <w:t>ott</w:t>
      </w:r>
      <w:r>
        <w:rPr/>
        <w:t>o (2014, p. 62) </w:t>
      </w:r>
      <w:r>
        <w:rPr>
          <w:w w:val="100"/>
        </w:rPr>
        <w:t>a</w:t>
      </w:r>
      <w:r>
        <w:rPr>
          <w:w w:val="99"/>
        </w:rPr>
        <w:t>rg</w:t>
      </w:r>
      <w:r>
        <w:rPr>
          <w:w w:val="100"/>
        </w:rPr>
        <w:t>umenta</w:t>
      </w:r>
      <w:r>
        <w:rPr/>
        <w:t> </w:t>
      </w:r>
      <w:r>
        <w:rPr>
          <w:w w:val="100"/>
        </w:rPr>
        <w:t>que </w:t>
      </w:r>
      <w:r>
        <w:rPr>
          <w:w w:val="44"/>
        </w:rPr>
        <w:t>―</w:t>
      </w:r>
      <w:r>
        <w:rPr/>
        <w:t>o </w:t>
      </w:r>
      <w:r>
        <w:rPr>
          <w:w w:val="100"/>
        </w:rPr>
        <w:t>homem</w:t>
      </w:r>
      <w:r>
        <w:rPr/>
        <w:t> produz </w:t>
      </w:r>
      <w:r>
        <w:rPr>
          <w:w w:val="100"/>
        </w:rPr>
        <w:t>de</w:t>
      </w:r>
      <w:r>
        <w:rPr/>
        <w:t> for</w:t>
      </w:r>
      <w:r>
        <w:rPr>
          <w:w w:val="100"/>
        </w:rPr>
        <w:t>ma</w:t>
      </w:r>
      <w:r>
        <w:rPr/>
        <w:t> </w:t>
      </w:r>
      <w:r>
        <w:rPr>
          <w:w w:val="100"/>
        </w:rPr>
        <w:t>c</w:t>
      </w:r>
      <w:r>
        <w:rPr>
          <w:w w:val="100"/>
        </w:rPr>
        <w:t>onscie</w:t>
      </w:r>
      <w:r>
        <w:rPr>
          <w:w w:val="100"/>
        </w:rPr>
        <w:t>nte, </w:t>
      </w:r>
      <w:r>
        <w:rPr/>
        <w:t>prevendo, organizando e alterando as formas de produção‖, o que possibilita perceber o planejamento como sendo sempre processo de reflexão; de tomada de decisões dentre possíveis alternativas; de previsão de necessidades e racionalização de emprego de meios e recursos materiais e humanos disponíveis (e, se necessário, de captação de outros), visando à concretização dos objetivos, de metas, de prazos determinados e de etapas definidas, a partir do conhecimento e avaliação científica da situação original.</w:t>
      </w:r>
    </w:p>
    <w:p>
      <w:pPr>
        <w:pStyle w:val="BodyText"/>
        <w:spacing w:line="360" w:lineRule="auto" w:before="6"/>
        <w:ind w:left="122" w:right="115" w:firstLine="851"/>
        <w:jc w:val="both"/>
      </w:pPr>
      <w:r>
        <w:rPr/>
        <w:t>No campo da educação, o planejamento não é uma prática simples ou trivial, e sua materialização dá-se em níveis diferenciados de complexidade, que vão da intervenção na sala de aula à luta pela construção de um sistema educacional. Sendo, também, um campo de disputas entre as políticas governamentais e as demandas da sociedade, que, por vezes, assume uma feição prescritiva, ao limitar-se a adequar suas</w:t>
      </w:r>
    </w:p>
    <w:p>
      <w:pPr>
        <w:pStyle w:val="BodyText"/>
        <w:spacing w:before="2"/>
        <w:rPr>
          <w:sz w:val="13"/>
        </w:rPr>
      </w:pPr>
      <w:r>
        <w:rPr/>
        <w:pict>
          <v:line style="position:absolute;mso-position-horizontal-relative:page;mso-position-vertical-relative:paragraph;z-index:1216;mso-wrap-distance-left:0;mso-wrap-distance-right:0" from="85.103996pt,9.933277pt" to="229.123996pt,9.933277pt" stroked="true" strokeweight=".71997pt" strokecolor="#000000">
            <v:stroke dashstyle="solid"/>
            <w10:wrap type="topAndBottom"/>
          </v:line>
        </w:pict>
      </w:r>
    </w:p>
    <w:p>
      <w:pPr>
        <w:spacing w:before="42"/>
        <w:ind w:left="122" w:right="32" w:firstLine="0"/>
        <w:jc w:val="left"/>
        <w:rPr>
          <w:sz w:val="20"/>
        </w:rPr>
      </w:pPr>
      <w:r>
        <w:rPr>
          <w:position w:val="9"/>
          <w:sz w:val="13"/>
        </w:rPr>
        <w:t>6</w:t>
      </w:r>
      <w:r>
        <w:rPr>
          <w:sz w:val="20"/>
        </w:rPr>
        <w:t>Epitáfio é uma canção e single da banda Titãs, que faz parte do disco A Melhor Banda de Todos os Tempos da Última Semana (2002).</w:t>
      </w:r>
    </w:p>
    <w:p>
      <w:pPr>
        <w:spacing w:after="0"/>
        <w:jc w:val="left"/>
        <w:rPr>
          <w:sz w:val="20"/>
        </w:rPr>
        <w:sectPr>
          <w:pgSz w:w="11910" w:h="16840"/>
          <w:pgMar w:header="749" w:footer="0" w:top="960" w:bottom="280" w:left="1580" w:right="1580"/>
        </w:sectPr>
      </w:pPr>
    </w:p>
    <w:p>
      <w:pPr>
        <w:pStyle w:val="BodyText"/>
        <w:rPr>
          <w:sz w:val="20"/>
        </w:rPr>
      </w:pPr>
    </w:p>
    <w:p>
      <w:pPr>
        <w:pStyle w:val="BodyText"/>
        <w:spacing w:line="360" w:lineRule="auto" w:before="210"/>
        <w:ind w:left="102" w:right="120"/>
        <w:jc w:val="both"/>
      </w:pPr>
      <w:r>
        <w:rPr/>
        <w:t>metas às necessidades imediatas de uma determinada gestão governamental, ou planejar a educação com o sentido social e valorativo com vistas a preparar o indivíduo para gozar em sentido pleno de seus direitos fundamentais no campo da cultura e da atuação no trabalho (FONSECA, 2013).</w:t>
      </w:r>
    </w:p>
    <w:p>
      <w:pPr>
        <w:pStyle w:val="BodyText"/>
        <w:spacing w:line="360" w:lineRule="auto" w:before="3"/>
        <w:ind w:left="102" w:right="121" w:firstLine="851"/>
        <w:jc w:val="both"/>
      </w:pPr>
      <w:r>
        <w:rPr/>
        <w:t>Na concepção de Saviani (1999, p. 130), planejamento é ação que expressa </w:t>
      </w:r>
      <w:r>
        <w:rPr>
          <w:w w:val="99"/>
        </w:rPr>
        <w:t>r</w:t>
      </w:r>
      <w:r>
        <w:rPr>
          <w:spacing w:val="-2"/>
          <w:w w:val="99"/>
        </w:rPr>
        <w:t>a</w:t>
      </w:r>
      <w:r>
        <w:rPr>
          <w:spacing w:val="-1"/>
          <w:w w:val="99"/>
        </w:rPr>
        <w:t>c</w:t>
      </w:r>
      <w:r>
        <w:rPr>
          <w:w w:val="99"/>
        </w:rPr>
        <w:t>ionalida</w:t>
      </w:r>
      <w:r>
        <w:rPr>
          <w:spacing w:val="1"/>
          <w:w w:val="99"/>
        </w:rPr>
        <w:t>d</w:t>
      </w:r>
      <w:r>
        <w:rPr>
          <w:spacing w:val="-1"/>
          <w:w w:val="99"/>
        </w:rPr>
        <w:t>e</w:t>
      </w:r>
      <w:r>
        <w:rPr>
          <w:w w:val="99"/>
        </w:rPr>
        <w:t>,  </w:t>
      </w:r>
      <w:r>
        <w:rPr>
          <w:spacing w:val="-10"/>
          <w:w w:val="99"/>
        </w:rPr>
        <w:t> </w:t>
      </w:r>
      <w:r>
        <w:rPr>
          <w:w w:val="99"/>
        </w:rPr>
        <w:t>por</w:t>
      </w:r>
      <w:r>
        <w:rPr>
          <w:spacing w:val="1"/>
          <w:w w:val="99"/>
        </w:rPr>
        <w:t>t</w:t>
      </w:r>
      <w:r>
        <w:rPr>
          <w:spacing w:val="-1"/>
          <w:w w:val="99"/>
        </w:rPr>
        <w:t>a</w:t>
      </w:r>
      <w:r>
        <w:rPr>
          <w:w w:val="99"/>
        </w:rPr>
        <w:t>nto,  </w:t>
      </w:r>
      <w:r>
        <w:rPr>
          <w:spacing w:val="-10"/>
          <w:w w:val="99"/>
        </w:rPr>
        <w:t> </w:t>
      </w:r>
      <w:r>
        <w:rPr>
          <w:w w:val="99"/>
        </w:rPr>
        <w:t>s</w:t>
      </w:r>
      <w:r>
        <w:rPr>
          <w:spacing w:val="-1"/>
          <w:w w:val="99"/>
        </w:rPr>
        <w:t>e</w:t>
      </w:r>
      <w:r>
        <w:rPr/>
        <w:t>ndo  </w:t>
      </w:r>
      <w:r>
        <w:rPr>
          <w:spacing w:val="-9"/>
        </w:rPr>
        <w:t> </w:t>
      </w:r>
      <w:r>
        <w:rPr>
          <w:w w:val="100"/>
        </w:rPr>
        <w:t>pla</w:t>
      </w:r>
      <w:r>
        <w:rPr>
          <w:spacing w:val="1"/>
          <w:w w:val="100"/>
        </w:rPr>
        <w:t>n</w:t>
      </w:r>
      <w:r>
        <w:rPr>
          <w:spacing w:val="-1"/>
          <w:w w:val="100"/>
        </w:rPr>
        <w:t>e</w:t>
      </w:r>
      <w:r>
        <w:rPr>
          <w:w w:val="100"/>
        </w:rPr>
        <w:t>jad</w:t>
      </w:r>
      <w:r>
        <w:rPr>
          <w:spacing w:val="-2"/>
          <w:w w:val="100"/>
        </w:rPr>
        <w:t>a</w:t>
      </w:r>
      <w:r>
        <w:rPr>
          <w:w w:val="99"/>
        </w:rPr>
        <w:t>s</w:t>
      </w:r>
      <w:r>
        <w:rPr/>
        <w:t>  </w:t>
      </w:r>
      <w:r>
        <w:rPr>
          <w:spacing w:val="-8"/>
        </w:rPr>
        <w:t> </w:t>
      </w:r>
      <w:r>
        <w:rPr>
          <w:spacing w:val="-1"/>
          <w:w w:val="100"/>
        </w:rPr>
        <w:t>aç</w:t>
      </w:r>
      <w:r>
        <w:rPr>
          <w:spacing w:val="2"/>
        </w:rPr>
        <w:t>õ</w:t>
      </w:r>
      <w:r>
        <w:rPr>
          <w:spacing w:val="-1"/>
          <w:w w:val="100"/>
        </w:rPr>
        <w:t>e</w:t>
      </w:r>
      <w:r>
        <w:rPr>
          <w:w w:val="99"/>
        </w:rPr>
        <w:t>s</w:t>
      </w:r>
      <w:r>
        <w:rPr/>
        <w:t>  </w:t>
      </w:r>
      <w:r>
        <w:rPr>
          <w:spacing w:val="-10"/>
        </w:rPr>
        <w:t> </w:t>
      </w:r>
      <w:r>
        <w:rPr>
          <w:spacing w:val="-1"/>
          <w:w w:val="44"/>
        </w:rPr>
        <w:t>―</w:t>
      </w:r>
      <w:r>
        <w:rPr>
          <w:w w:val="100"/>
        </w:rPr>
        <w:t>implem</w:t>
      </w:r>
      <w:r>
        <w:rPr>
          <w:spacing w:val="-1"/>
          <w:w w:val="100"/>
        </w:rPr>
        <w:t>e</w:t>
      </w:r>
      <w:r>
        <w:rPr>
          <w:w w:val="100"/>
        </w:rPr>
        <w:t>nta</w:t>
      </w:r>
      <w:r>
        <w:rPr>
          <w:spacing w:val="1"/>
          <w:w w:val="100"/>
        </w:rPr>
        <w:t>d</w:t>
      </w:r>
      <w:r>
        <w:rPr>
          <w:spacing w:val="-1"/>
          <w:w w:val="100"/>
        </w:rPr>
        <w:t>a</w:t>
      </w:r>
      <w:r>
        <w:rPr>
          <w:w w:val="99"/>
        </w:rPr>
        <w:t>s</w:t>
      </w:r>
      <w:r>
        <w:rPr/>
        <w:t>  </w:t>
      </w:r>
      <w:r>
        <w:rPr>
          <w:spacing w:val="-10"/>
        </w:rPr>
        <w:t> </w:t>
      </w:r>
      <w:r>
        <w:rPr/>
        <w:t>s</w:t>
      </w:r>
      <w:r>
        <w:rPr>
          <w:spacing w:val="1"/>
        </w:rPr>
        <w:t>e</w:t>
      </w:r>
      <w:r>
        <w:rPr/>
        <w:t>gundo  </w:t>
      </w:r>
      <w:r>
        <w:rPr>
          <w:spacing w:val="-10"/>
        </w:rPr>
        <w:t> </w:t>
      </w:r>
      <w:r>
        <w:rPr/>
        <w:t>planos previamente traçados que, a partir do diagnóstico das necessidades, estabeleçam metas e prevejam os meios, aí incluídos os recursos financeiros através dos quais as metas serão atingidas.‖ Entretanto, na educação brasileira, historicamente, o planejamento e os planos expressam diferentes tipos de</w:t>
      </w:r>
      <w:r>
        <w:rPr>
          <w:spacing w:val="-6"/>
        </w:rPr>
        <w:t> </w:t>
      </w:r>
      <w:r>
        <w:rPr/>
        <w:t>racionalidade:</w:t>
      </w:r>
    </w:p>
    <w:p>
      <w:pPr>
        <w:pStyle w:val="BodyText"/>
        <w:spacing w:before="5"/>
        <w:rPr>
          <w:sz w:val="36"/>
        </w:rPr>
      </w:pPr>
    </w:p>
    <w:p>
      <w:pPr>
        <w:pStyle w:val="ListParagraph"/>
        <w:numPr>
          <w:ilvl w:val="2"/>
          <w:numId w:val="5"/>
        </w:numPr>
        <w:tabs>
          <w:tab w:pos="1518" w:val="left" w:leader="none"/>
        </w:tabs>
        <w:spacing w:line="360" w:lineRule="auto" w:before="0" w:after="0"/>
        <w:ind w:left="102" w:right="117" w:firstLine="852"/>
        <w:jc w:val="both"/>
        <w:rPr>
          <w:sz w:val="24"/>
        </w:rPr>
      </w:pPr>
      <w:r>
        <w:rPr>
          <w:spacing w:val="-1"/>
          <w:w w:val="44"/>
          <w:sz w:val="24"/>
        </w:rPr>
        <w:t>―</w:t>
      </w:r>
      <w:r>
        <w:rPr>
          <w:spacing w:val="1"/>
          <w:w w:val="99"/>
          <w:sz w:val="24"/>
        </w:rPr>
        <w:t>[</w:t>
      </w:r>
      <w:r>
        <w:rPr>
          <w:w w:val="99"/>
          <w:sz w:val="24"/>
        </w:rPr>
        <w:t>...] </w:t>
      </w:r>
      <w:r>
        <w:rPr>
          <w:spacing w:val="-21"/>
          <w:w w:val="99"/>
          <w:sz w:val="24"/>
        </w:rPr>
        <w:t> </w:t>
      </w:r>
      <w:r>
        <w:rPr>
          <w:w w:val="99"/>
          <w:sz w:val="24"/>
        </w:rPr>
        <w:t>no </w:t>
      </w:r>
      <w:r>
        <w:rPr>
          <w:spacing w:val="-25"/>
          <w:w w:val="99"/>
          <w:sz w:val="24"/>
        </w:rPr>
        <w:t> </w:t>
      </w:r>
      <w:r>
        <w:rPr>
          <w:w w:val="100"/>
          <w:sz w:val="24"/>
        </w:rPr>
        <w:t>p</w:t>
      </w:r>
      <w:r>
        <w:rPr>
          <w:spacing w:val="-1"/>
          <w:w w:val="100"/>
          <w:sz w:val="24"/>
        </w:rPr>
        <w:t>e</w:t>
      </w:r>
      <w:r>
        <w:rPr>
          <w:w w:val="100"/>
          <w:sz w:val="24"/>
        </w:rPr>
        <w:t>ríodo</w:t>
      </w:r>
      <w:r>
        <w:rPr>
          <w:sz w:val="24"/>
        </w:rPr>
        <w:t> </w:t>
      </w:r>
      <w:r>
        <w:rPr>
          <w:spacing w:val="-23"/>
          <w:sz w:val="24"/>
        </w:rPr>
        <w:t> </w:t>
      </w:r>
      <w:r>
        <w:rPr>
          <w:w w:val="100"/>
          <w:sz w:val="24"/>
        </w:rPr>
        <w:t>de</w:t>
      </w:r>
      <w:r>
        <w:rPr>
          <w:sz w:val="24"/>
        </w:rPr>
        <w:t> </w:t>
      </w:r>
      <w:r>
        <w:rPr>
          <w:spacing w:val="-23"/>
          <w:sz w:val="24"/>
        </w:rPr>
        <w:t> </w:t>
      </w:r>
      <w:r>
        <w:rPr>
          <w:sz w:val="24"/>
        </w:rPr>
        <w:t>19</w:t>
      </w:r>
      <w:r>
        <w:rPr>
          <w:spacing w:val="-3"/>
          <w:sz w:val="24"/>
        </w:rPr>
        <w:t>3</w:t>
      </w:r>
      <w:r>
        <w:rPr>
          <w:sz w:val="24"/>
        </w:rPr>
        <w:t>2 </w:t>
      </w:r>
      <w:r>
        <w:rPr>
          <w:spacing w:val="-22"/>
          <w:sz w:val="24"/>
        </w:rPr>
        <w:t> </w:t>
      </w:r>
      <w:r>
        <w:rPr>
          <w:w w:val="100"/>
          <w:sz w:val="24"/>
        </w:rPr>
        <w:t>a</w:t>
      </w:r>
      <w:r>
        <w:rPr>
          <w:sz w:val="24"/>
        </w:rPr>
        <w:t> </w:t>
      </w:r>
      <w:r>
        <w:rPr>
          <w:spacing w:val="-23"/>
          <w:sz w:val="24"/>
        </w:rPr>
        <w:t> </w:t>
      </w:r>
      <w:r>
        <w:rPr>
          <w:sz w:val="24"/>
        </w:rPr>
        <w:t>1962, </w:t>
      </w:r>
      <w:r>
        <w:rPr>
          <w:spacing w:val="-22"/>
          <w:sz w:val="24"/>
        </w:rPr>
        <w:t> </w:t>
      </w:r>
      <w:r>
        <w:rPr>
          <w:w w:val="100"/>
          <w:sz w:val="24"/>
        </w:rPr>
        <w:t>d</w:t>
      </w:r>
      <w:r>
        <w:rPr>
          <w:spacing w:val="-1"/>
          <w:w w:val="100"/>
          <w:sz w:val="24"/>
        </w:rPr>
        <w:t>e</w:t>
      </w:r>
      <w:r>
        <w:rPr>
          <w:w w:val="99"/>
          <w:sz w:val="24"/>
        </w:rPr>
        <w:t>s</w:t>
      </w:r>
      <w:r>
        <w:rPr>
          <w:spacing w:val="-1"/>
          <w:w w:val="99"/>
          <w:sz w:val="24"/>
        </w:rPr>
        <w:t>c</w:t>
      </w:r>
      <w:r>
        <w:rPr>
          <w:w w:val="99"/>
          <w:sz w:val="24"/>
        </w:rPr>
        <w:t>ontados </w:t>
      </w:r>
      <w:r>
        <w:rPr>
          <w:spacing w:val="-23"/>
          <w:w w:val="99"/>
          <w:sz w:val="24"/>
        </w:rPr>
        <w:t> </w:t>
      </w:r>
      <w:r>
        <w:rPr>
          <w:spacing w:val="-3"/>
          <w:w w:val="99"/>
          <w:sz w:val="24"/>
        </w:rPr>
        <w:t>o</w:t>
      </w:r>
      <w:r>
        <w:rPr>
          <w:w w:val="99"/>
          <w:sz w:val="24"/>
        </w:rPr>
        <w:t>s</w:t>
      </w:r>
      <w:r>
        <w:rPr>
          <w:sz w:val="24"/>
        </w:rPr>
        <w:t> </w:t>
      </w:r>
      <w:r>
        <w:rPr>
          <w:spacing w:val="-22"/>
          <w:sz w:val="24"/>
        </w:rPr>
        <w:t> </w:t>
      </w:r>
      <w:r>
        <w:rPr>
          <w:w w:val="100"/>
          <w:sz w:val="24"/>
        </w:rPr>
        <w:t>dif</w:t>
      </w:r>
      <w:r>
        <w:rPr>
          <w:spacing w:val="-2"/>
          <w:w w:val="100"/>
          <w:sz w:val="24"/>
        </w:rPr>
        <w:t>e</w:t>
      </w:r>
      <w:r>
        <w:rPr>
          <w:w w:val="100"/>
          <w:sz w:val="24"/>
        </w:rPr>
        <w:t>r</w:t>
      </w:r>
      <w:r>
        <w:rPr>
          <w:spacing w:val="-2"/>
          <w:w w:val="100"/>
          <w:sz w:val="24"/>
        </w:rPr>
        <w:t>e</w:t>
      </w:r>
      <w:r>
        <w:rPr>
          <w:w w:val="100"/>
          <w:sz w:val="24"/>
        </w:rPr>
        <w:t>ntes</w:t>
      </w:r>
      <w:r>
        <w:rPr>
          <w:sz w:val="24"/>
        </w:rPr>
        <w:t> </w:t>
      </w:r>
      <w:r>
        <w:rPr>
          <w:spacing w:val="-23"/>
          <w:sz w:val="24"/>
        </w:rPr>
        <w:t> </w:t>
      </w:r>
      <w:r>
        <w:rPr>
          <w:w w:val="100"/>
          <w:sz w:val="24"/>
        </w:rPr>
        <w:t>mati</w:t>
      </w:r>
      <w:r>
        <w:rPr>
          <w:spacing w:val="1"/>
          <w:w w:val="100"/>
          <w:sz w:val="24"/>
        </w:rPr>
        <w:t>z</w:t>
      </w:r>
      <w:r>
        <w:rPr>
          <w:spacing w:val="-1"/>
          <w:w w:val="100"/>
          <w:sz w:val="24"/>
        </w:rPr>
        <w:t>e</w:t>
      </w:r>
      <w:r>
        <w:rPr>
          <w:w w:val="99"/>
          <w:sz w:val="24"/>
        </w:rPr>
        <w:t>s,</w:t>
      </w:r>
      <w:r>
        <w:rPr>
          <w:sz w:val="24"/>
        </w:rPr>
        <w:t> </w:t>
      </w:r>
      <w:r>
        <w:rPr>
          <w:spacing w:val="-22"/>
          <w:sz w:val="24"/>
        </w:rPr>
        <w:t> </w:t>
      </w:r>
      <w:r>
        <w:rPr>
          <w:sz w:val="24"/>
        </w:rPr>
        <w:t>o plano era entendido, grosso modo, como um instrumento de </w:t>
      </w:r>
      <w:r>
        <w:rPr>
          <w:b/>
          <w:sz w:val="24"/>
        </w:rPr>
        <w:t>introdução da racionalidade científica </w:t>
      </w:r>
      <w:r>
        <w:rPr>
          <w:sz w:val="24"/>
        </w:rPr>
        <w:t>na educação sob a égide da concepção escolanovista‖ (SAVIANI, 1999, p. 128). (Grifos</w:t>
      </w:r>
      <w:r>
        <w:rPr>
          <w:spacing w:val="-8"/>
          <w:sz w:val="24"/>
        </w:rPr>
        <w:t> </w:t>
      </w:r>
      <w:r>
        <w:rPr>
          <w:sz w:val="24"/>
        </w:rPr>
        <w:t>nossos):</w:t>
      </w:r>
    </w:p>
    <w:p>
      <w:pPr>
        <w:pStyle w:val="ListParagraph"/>
        <w:numPr>
          <w:ilvl w:val="0"/>
          <w:numId w:val="6"/>
        </w:numPr>
        <w:tabs>
          <w:tab w:pos="1127" w:val="left" w:leader="none"/>
        </w:tabs>
        <w:spacing w:line="360" w:lineRule="auto" w:before="5" w:after="0"/>
        <w:ind w:left="102" w:right="116" w:firstLine="852"/>
        <w:jc w:val="both"/>
        <w:rPr>
          <w:sz w:val="24"/>
        </w:rPr>
      </w:pPr>
      <w:r>
        <w:rPr>
          <w:sz w:val="24"/>
        </w:rPr>
        <w:t>nos anos 1930, para os Pioneiros da Educação Nova, o planejamento seria </w:t>
      </w:r>
      <w:r>
        <w:rPr>
          <w:w w:val="100"/>
          <w:sz w:val="24"/>
        </w:rPr>
        <w:t>p</w:t>
      </w:r>
      <w:r>
        <w:rPr>
          <w:spacing w:val="-1"/>
          <w:w w:val="100"/>
          <w:sz w:val="24"/>
        </w:rPr>
        <w:t>a</w:t>
      </w:r>
      <w:r>
        <w:rPr>
          <w:w w:val="100"/>
          <w:sz w:val="24"/>
        </w:rPr>
        <w:t>ra</w:t>
      </w:r>
      <w:r>
        <w:rPr>
          <w:sz w:val="24"/>
        </w:rPr>
        <w:t>   </w:t>
      </w:r>
      <w:r>
        <w:rPr>
          <w:w w:val="100"/>
          <w:sz w:val="24"/>
        </w:rPr>
        <w:t>a</w:t>
      </w:r>
      <w:r>
        <w:rPr>
          <w:sz w:val="24"/>
        </w:rPr>
        <w:t>  </w:t>
      </w:r>
      <w:r>
        <w:rPr>
          <w:spacing w:val="1"/>
          <w:sz w:val="24"/>
        </w:rPr>
        <w:t> </w:t>
      </w:r>
      <w:r>
        <w:rPr>
          <w:spacing w:val="-1"/>
          <w:w w:val="44"/>
          <w:sz w:val="24"/>
        </w:rPr>
        <w:t>―</w:t>
      </w:r>
      <w:r>
        <w:rPr>
          <w:b/>
          <w:w w:val="99"/>
          <w:sz w:val="24"/>
        </w:rPr>
        <w:t>i</w:t>
      </w:r>
      <w:r>
        <w:rPr>
          <w:b/>
          <w:spacing w:val="1"/>
          <w:w w:val="99"/>
          <w:sz w:val="24"/>
        </w:rPr>
        <w:t>n</w:t>
      </w:r>
      <w:r>
        <w:rPr>
          <w:b/>
          <w:spacing w:val="1"/>
          <w:w w:val="99"/>
          <w:sz w:val="24"/>
        </w:rPr>
        <w:t>t</w:t>
      </w:r>
      <w:r>
        <w:rPr>
          <w:b/>
          <w:spacing w:val="-1"/>
          <w:w w:val="99"/>
          <w:sz w:val="24"/>
        </w:rPr>
        <w:t>r</w:t>
      </w:r>
      <w:r>
        <w:rPr>
          <w:b/>
          <w:w w:val="99"/>
          <w:sz w:val="24"/>
        </w:rPr>
        <w:t>od</w:t>
      </w:r>
      <w:r>
        <w:rPr>
          <w:b/>
          <w:w w:val="99"/>
          <w:sz w:val="24"/>
        </w:rPr>
        <w:t>u</w:t>
      </w:r>
      <w:r>
        <w:rPr>
          <w:b/>
          <w:spacing w:val="-1"/>
          <w:sz w:val="24"/>
        </w:rPr>
        <w:t>ç</w:t>
      </w:r>
      <w:r>
        <w:rPr>
          <w:b/>
          <w:sz w:val="24"/>
        </w:rPr>
        <w:t>ão  </w:t>
      </w:r>
      <w:r>
        <w:rPr>
          <w:b/>
          <w:spacing w:val="2"/>
          <w:sz w:val="24"/>
        </w:rPr>
        <w:t> </w:t>
      </w:r>
      <w:r>
        <w:rPr>
          <w:b/>
          <w:w w:val="99"/>
          <w:sz w:val="24"/>
        </w:rPr>
        <w:t>d</w:t>
      </w:r>
      <w:r>
        <w:rPr>
          <w:b/>
          <w:sz w:val="24"/>
        </w:rPr>
        <w:t>a  </w:t>
      </w:r>
      <w:r>
        <w:rPr>
          <w:b/>
          <w:spacing w:val="2"/>
          <w:sz w:val="24"/>
        </w:rPr>
        <w:t> </w:t>
      </w:r>
      <w:r>
        <w:rPr>
          <w:b/>
          <w:spacing w:val="-1"/>
          <w:sz w:val="24"/>
        </w:rPr>
        <w:t>r</w:t>
      </w:r>
      <w:r>
        <w:rPr>
          <w:b/>
          <w:sz w:val="24"/>
        </w:rPr>
        <w:t>a</w:t>
      </w:r>
      <w:r>
        <w:rPr>
          <w:b/>
          <w:spacing w:val="-1"/>
          <w:sz w:val="24"/>
        </w:rPr>
        <w:t>c</w:t>
      </w:r>
      <w:r>
        <w:rPr>
          <w:b/>
          <w:w w:val="99"/>
          <w:sz w:val="24"/>
        </w:rPr>
        <w:t>io</w:t>
      </w:r>
      <w:r>
        <w:rPr>
          <w:b/>
          <w:spacing w:val="1"/>
          <w:w w:val="99"/>
          <w:sz w:val="24"/>
        </w:rPr>
        <w:t>n</w:t>
      </w:r>
      <w:r>
        <w:rPr>
          <w:b/>
          <w:sz w:val="24"/>
        </w:rPr>
        <w:t>ali</w:t>
      </w:r>
      <w:r>
        <w:rPr>
          <w:b/>
          <w:w w:val="99"/>
          <w:sz w:val="24"/>
        </w:rPr>
        <w:t>d</w:t>
      </w:r>
      <w:r>
        <w:rPr>
          <w:b/>
          <w:w w:val="99"/>
          <w:sz w:val="24"/>
        </w:rPr>
        <w:t>ad</w:t>
      </w:r>
      <w:r>
        <w:rPr>
          <w:b/>
          <w:sz w:val="24"/>
        </w:rPr>
        <w:t>e  </w:t>
      </w:r>
      <w:r>
        <w:rPr>
          <w:b/>
          <w:spacing w:val="1"/>
          <w:sz w:val="24"/>
        </w:rPr>
        <w:t> </w:t>
      </w:r>
      <w:r>
        <w:rPr>
          <w:b/>
          <w:spacing w:val="-1"/>
          <w:sz w:val="24"/>
        </w:rPr>
        <w:t>c</w:t>
      </w:r>
      <w:r>
        <w:rPr>
          <w:b/>
          <w:sz w:val="24"/>
        </w:rPr>
        <w:t>ient</w:t>
      </w:r>
      <w:r>
        <w:rPr>
          <w:b/>
          <w:spacing w:val="-3"/>
          <w:sz w:val="24"/>
        </w:rPr>
        <w:t>í</w:t>
      </w:r>
      <w:r>
        <w:rPr>
          <w:b/>
          <w:spacing w:val="1"/>
          <w:sz w:val="24"/>
        </w:rPr>
        <w:t>f</w:t>
      </w:r>
      <w:r>
        <w:rPr>
          <w:b/>
          <w:sz w:val="24"/>
        </w:rPr>
        <w:t>ica  </w:t>
      </w:r>
      <w:r>
        <w:rPr>
          <w:b/>
          <w:spacing w:val="6"/>
          <w:sz w:val="24"/>
        </w:rPr>
        <w:t> </w:t>
      </w:r>
      <w:r>
        <w:rPr>
          <w:sz w:val="24"/>
        </w:rPr>
        <w:t>no  </w:t>
      </w:r>
      <w:r>
        <w:rPr>
          <w:spacing w:val="2"/>
          <w:sz w:val="24"/>
        </w:rPr>
        <w:t> </w:t>
      </w:r>
      <w:r>
        <w:rPr>
          <w:spacing w:val="-1"/>
          <w:sz w:val="24"/>
        </w:rPr>
        <w:t>ca</w:t>
      </w:r>
      <w:r>
        <w:rPr>
          <w:sz w:val="24"/>
        </w:rPr>
        <w:t>mpo  </w:t>
      </w:r>
      <w:r>
        <w:rPr>
          <w:spacing w:val="2"/>
          <w:sz w:val="24"/>
        </w:rPr>
        <w:t> </w:t>
      </w:r>
      <w:r>
        <w:rPr>
          <w:sz w:val="24"/>
        </w:rPr>
        <w:t>da  </w:t>
      </w:r>
      <w:r>
        <w:rPr>
          <w:spacing w:val="1"/>
          <w:sz w:val="24"/>
        </w:rPr>
        <w:t> </w:t>
      </w:r>
      <w:r>
        <w:rPr>
          <w:spacing w:val="-1"/>
          <w:sz w:val="24"/>
        </w:rPr>
        <w:t>e</w:t>
      </w:r>
      <w:r>
        <w:rPr>
          <w:sz w:val="24"/>
        </w:rPr>
        <w:t>du</w:t>
      </w:r>
      <w:r>
        <w:rPr>
          <w:spacing w:val="-1"/>
          <w:sz w:val="24"/>
        </w:rPr>
        <w:t>ca</w:t>
      </w:r>
      <w:r>
        <w:rPr>
          <w:spacing w:val="1"/>
          <w:sz w:val="24"/>
        </w:rPr>
        <w:t>ç</w:t>
      </w:r>
      <w:r>
        <w:rPr>
          <w:spacing w:val="-1"/>
          <w:sz w:val="24"/>
        </w:rPr>
        <w:t>ã</w:t>
      </w:r>
      <w:r>
        <w:rPr>
          <w:sz w:val="24"/>
        </w:rPr>
        <w:t>o,  </w:t>
      </w:r>
      <w:r>
        <w:rPr>
          <w:spacing w:val="3"/>
          <w:sz w:val="24"/>
        </w:rPr>
        <w:t> </w:t>
      </w:r>
      <w:r>
        <w:rPr>
          <w:spacing w:val="-1"/>
          <w:sz w:val="24"/>
        </w:rPr>
        <w:t>e</w:t>
      </w:r>
      <w:r>
        <w:rPr>
          <w:sz w:val="24"/>
        </w:rPr>
        <w:t>m consonância com o ideário escolanovista‖ (SAVIANI, 1999, p. 127). (Grifos nossos);   no período do Estado Novo, o planejamento é visto como espaço de controle político e ideológico da</w:t>
      </w:r>
      <w:r>
        <w:rPr>
          <w:spacing w:val="-4"/>
          <w:sz w:val="24"/>
        </w:rPr>
        <w:t> </w:t>
      </w:r>
      <w:r>
        <w:rPr>
          <w:sz w:val="24"/>
        </w:rPr>
        <w:t>educação;</w:t>
      </w:r>
    </w:p>
    <w:p>
      <w:pPr>
        <w:pStyle w:val="ListParagraph"/>
        <w:numPr>
          <w:ilvl w:val="0"/>
          <w:numId w:val="6"/>
        </w:numPr>
        <w:tabs>
          <w:tab w:pos="1132" w:val="left" w:leader="none"/>
        </w:tabs>
        <w:spacing w:line="360" w:lineRule="auto" w:before="3" w:after="0"/>
        <w:ind w:left="102" w:right="116" w:firstLine="852"/>
        <w:jc w:val="both"/>
        <w:rPr>
          <w:sz w:val="24"/>
        </w:rPr>
      </w:pPr>
      <w:r>
        <w:rPr>
          <w:w w:val="99"/>
          <w:sz w:val="24"/>
        </w:rPr>
        <w:t>no </w:t>
      </w:r>
      <w:r>
        <w:rPr>
          <w:spacing w:val="-22"/>
          <w:w w:val="99"/>
          <w:sz w:val="24"/>
        </w:rPr>
        <w:t> </w:t>
      </w:r>
      <w:r>
        <w:rPr>
          <w:spacing w:val="2"/>
          <w:w w:val="99"/>
          <w:sz w:val="24"/>
        </w:rPr>
        <w:t>p</w:t>
      </w:r>
      <w:r>
        <w:rPr>
          <w:spacing w:val="-1"/>
          <w:w w:val="100"/>
          <w:sz w:val="24"/>
        </w:rPr>
        <w:t>e</w:t>
      </w:r>
      <w:r>
        <w:rPr>
          <w:w w:val="100"/>
          <w:sz w:val="24"/>
        </w:rPr>
        <w:t>ríodo </w:t>
      </w:r>
      <w:r>
        <w:rPr>
          <w:spacing w:val="-20"/>
          <w:w w:val="100"/>
          <w:sz w:val="24"/>
        </w:rPr>
        <w:t> </w:t>
      </w:r>
      <w:r>
        <w:rPr>
          <w:spacing w:val="-1"/>
          <w:w w:val="100"/>
          <w:sz w:val="24"/>
        </w:rPr>
        <w:t>c</w:t>
      </w:r>
      <w:r>
        <w:rPr>
          <w:w w:val="100"/>
          <w:sz w:val="24"/>
        </w:rPr>
        <w:t>ompre</w:t>
      </w:r>
      <w:r>
        <w:rPr>
          <w:spacing w:val="-1"/>
          <w:w w:val="100"/>
          <w:sz w:val="24"/>
        </w:rPr>
        <w:t>e</w:t>
      </w:r>
      <w:r>
        <w:rPr>
          <w:sz w:val="24"/>
        </w:rPr>
        <w:t>n</w:t>
      </w:r>
      <w:r>
        <w:rPr>
          <w:spacing w:val="2"/>
          <w:sz w:val="24"/>
        </w:rPr>
        <w:t>d</w:t>
      </w:r>
      <w:r>
        <w:rPr>
          <w:w w:val="100"/>
          <w:sz w:val="24"/>
        </w:rPr>
        <w:t>ido</w:t>
      </w:r>
      <w:r>
        <w:rPr>
          <w:sz w:val="24"/>
        </w:rPr>
        <w:t> </w:t>
      </w:r>
      <w:r>
        <w:rPr>
          <w:spacing w:val="-22"/>
          <w:sz w:val="24"/>
        </w:rPr>
        <w:t> </w:t>
      </w:r>
      <w:r>
        <w:rPr>
          <w:spacing w:val="-1"/>
          <w:w w:val="100"/>
          <w:sz w:val="24"/>
        </w:rPr>
        <w:t>e</w:t>
      </w:r>
      <w:r>
        <w:rPr>
          <w:w w:val="100"/>
          <w:sz w:val="24"/>
        </w:rPr>
        <w:t>ntre</w:t>
      </w:r>
      <w:r>
        <w:rPr>
          <w:sz w:val="24"/>
        </w:rPr>
        <w:t> </w:t>
      </w:r>
      <w:r>
        <w:rPr>
          <w:spacing w:val="-21"/>
          <w:sz w:val="24"/>
        </w:rPr>
        <w:t> </w:t>
      </w:r>
      <w:r>
        <w:rPr>
          <w:sz w:val="24"/>
        </w:rPr>
        <w:t>1946 </w:t>
      </w:r>
      <w:r>
        <w:rPr>
          <w:spacing w:val="-20"/>
          <w:sz w:val="24"/>
        </w:rPr>
        <w:t> </w:t>
      </w:r>
      <w:r>
        <w:rPr>
          <w:w w:val="100"/>
          <w:sz w:val="24"/>
        </w:rPr>
        <w:t>e</w:t>
      </w:r>
      <w:r>
        <w:rPr>
          <w:sz w:val="24"/>
        </w:rPr>
        <w:t> </w:t>
      </w:r>
      <w:r>
        <w:rPr>
          <w:spacing w:val="-23"/>
          <w:sz w:val="24"/>
        </w:rPr>
        <w:t> </w:t>
      </w:r>
      <w:r>
        <w:rPr>
          <w:sz w:val="24"/>
        </w:rPr>
        <w:t>1964 </w:t>
      </w:r>
      <w:r>
        <w:rPr>
          <w:spacing w:val="-22"/>
          <w:sz w:val="24"/>
        </w:rPr>
        <w:t> </w:t>
      </w:r>
      <w:r>
        <w:rPr>
          <w:spacing w:val="2"/>
          <w:w w:val="99"/>
          <w:sz w:val="24"/>
        </w:rPr>
        <w:t>s</w:t>
      </w:r>
      <w:r>
        <w:rPr>
          <w:w w:val="100"/>
          <w:sz w:val="24"/>
        </w:rPr>
        <w:t>obr</w:t>
      </w:r>
      <w:r>
        <w:rPr>
          <w:spacing w:val="-2"/>
          <w:w w:val="100"/>
          <w:sz w:val="24"/>
        </w:rPr>
        <w:t>e</w:t>
      </w:r>
      <w:r>
        <w:rPr>
          <w:w w:val="100"/>
          <w:sz w:val="24"/>
        </w:rPr>
        <w:t>ssai </w:t>
      </w:r>
      <w:r>
        <w:rPr>
          <w:spacing w:val="-20"/>
          <w:w w:val="100"/>
          <w:sz w:val="24"/>
        </w:rPr>
        <w:t> </w:t>
      </w:r>
      <w:r>
        <w:rPr>
          <w:spacing w:val="-1"/>
          <w:w w:val="44"/>
          <w:sz w:val="24"/>
        </w:rPr>
        <w:t>―</w:t>
      </w:r>
      <w:r>
        <w:rPr>
          <w:w w:val="100"/>
          <w:sz w:val="24"/>
        </w:rPr>
        <w:t>uma</w:t>
      </w:r>
      <w:r>
        <w:rPr>
          <w:sz w:val="24"/>
        </w:rPr>
        <w:t> </w:t>
      </w:r>
      <w:r>
        <w:rPr>
          <w:spacing w:val="-16"/>
          <w:sz w:val="24"/>
        </w:rPr>
        <w:t> </w:t>
      </w:r>
      <w:r>
        <w:rPr>
          <w:b/>
          <w:sz w:val="24"/>
        </w:rPr>
        <w:t>t</w:t>
      </w:r>
      <w:r>
        <w:rPr>
          <w:b/>
          <w:spacing w:val="-2"/>
          <w:sz w:val="24"/>
        </w:rPr>
        <w:t>e</w:t>
      </w:r>
      <w:r>
        <w:rPr>
          <w:b/>
          <w:w w:val="99"/>
          <w:sz w:val="24"/>
        </w:rPr>
        <w:t>n</w:t>
      </w:r>
      <w:r>
        <w:rPr>
          <w:b/>
          <w:w w:val="99"/>
          <w:sz w:val="24"/>
        </w:rPr>
        <w:t>são</w:t>
      </w:r>
      <w:r>
        <w:rPr>
          <w:b/>
          <w:sz w:val="24"/>
        </w:rPr>
        <w:t> </w:t>
      </w:r>
      <w:r>
        <w:rPr>
          <w:b/>
          <w:spacing w:val="-22"/>
          <w:sz w:val="24"/>
        </w:rPr>
        <w:t> </w:t>
      </w:r>
      <w:r>
        <w:rPr>
          <w:b/>
          <w:spacing w:val="1"/>
          <w:sz w:val="24"/>
        </w:rPr>
        <w:t>e</w:t>
      </w:r>
      <w:r>
        <w:rPr>
          <w:b/>
          <w:w w:val="99"/>
          <w:sz w:val="24"/>
        </w:rPr>
        <w:t>n</w:t>
      </w:r>
      <w:r>
        <w:rPr>
          <w:b/>
          <w:w w:val="99"/>
          <w:sz w:val="24"/>
        </w:rPr>
        <w:t>t</w:t>
      </w:r>
      <w:r>
        <w:rPr>
          <w:b/>
          <w:spacing w:val="-2"/>
          <w:w w:val="99"/>
          <w:sz w:val="24"/>
        </w:rPr>
        <w:t>r</w:t>
      </w:r>
      <w:r>
        <w:rPr>
          <w:b/>
          <w:w w:val="99"/>
          <w:sz w:val="24"/>
        </w:rPr>
        <w:t>e </w:t>
      </w:r>
      <w:r>
        <w:rPr>
          <w:b/>
          <w:sz w:val="24"/>
        </w:rPr>
        <w:t>duas visões de Plano de Educação </w:t>
      </w:r>
      <w:r>
        <w:rPr>
          <w:sz w:val="24"/>
        </w:rPr>
        <w:t>que, de certo modo, expressa a contradição entre as forças que se aglutinaram sob a </w:t>
      </w:r>
      <w:r>
        <w:rPr>
          <w:b/>
          <w:sz w:val="24"/>
        </w:rPr>
        <w:t>bandeira do nacionalismo desenvolvimentista </w:t>
      </w:r>
      <w:r>
        <w:rPr>
          <w:sz w:val="24"/>
        </w:rPr>
        <w:t>que atribuíam ao Estado a tarefa de planejar o desenvolvimento do país libertando-o da </w:t>
      </w:r>
      <w:r>
        <w:rPr>
          <w:w w:val="100"/>
          <w:sz w:val="24"/>
        </w:rPr>
        <w:t>d</w:t>
      </w:r>
      <w:r>
        <w:rPr>
          <w:spacing w:val="-1"/>
          <w:w w:val="100"/>
          <w:sz w:val="24"/>
        </w:rPr>
        <w:t>e</w:t>
      </w:r>
      <w:r>
        <w:rPr>
          <w:w w:val="100"/>
          <w:sz w:val="24"/>
        </w:rPr>
        <w:t>p</w:t>
      </w:r>
      <w:r>
        <w:rPr>
          <w:spacing w:val="-1"/>
          <w:w w:val="100"/>
          <w:sz w:val="24"/>
        </w:rPr>
        <w:t>e</w:t>
      </w:r>
      <w:r>
        <w:rPr>
          <w:w w:val="100"/>
          <w:sz w:val="24"/>
        </w:rPr>
        <w:t>nd</w:t>
      </w:r>
      <w:r>
        <w:rPr>
          <w:spacing w:val="-1"/>
          <w:w w:val="100"/>
          <w:sz w:val="24"/>
        </w:rPr>
        <w:t>ê</w:t>
      </w:r>
      <w:r>
        <w:rPr>
          <w:spacing w:val="2"/>
          <w:sz w:val="24"/>
        </w:rPr>
        <w:t>n</w:t>
      </w:r>
      <w:r>
        <w:rPr>
          <w:spacing w:val="-1"/>
          <w:w w:val="100"/>
          <w:sz w:val="24"/>
        </w:rPr>
        <w:t>c</w:t>
      </w:r>
      <w:r>
        <w:rPr>
          <w:w w:val="100"/>
          <w:sz w:val="24"/>
        </w:rPr>
        <w:t>ia</w:t>
      </w:r>
      <w:r>
        <w:rPr>
          <w:spacing w:val="4"/>
          <w:sz w:val="24"/>
        </w:rPr>
        <w:t> </w:t>
      </w:r>
      <w:r>
        <w:rPr>
          <w:spacing w:val="-1"/>
          <w:w w:val="100"/>
          <w:sz w:val="24"/>
        </w:rPr>
        <w:t>e</w:t>
      </w:r>
      <w:r>
        <w:rPr>
          <w:spacing w:val="2"/>
          <w:sz w:val="24"/>
        </w:rPr>
        <w:t>x</w:t>
      </w:r>
      <w:r>
        <w:rPr>
          <w:w w:val="100"/>
          <w:sz w:val="24"/>
        </w:rPr>
        <w:t>te</w:t>
      </w:r>
      <w:r>
        <w:rPr>
          <w:spacing w:val="-2"/>
          <w:w w:val="100"/>
          <w:sz w:val="24"/>
        </w:rPr>
        <w:t>r</w:t>
      </w:r>
      <w:r>
        <w:rPr>
          <w:w w:val="100"/>
          <w:sz w:val="24"/>
        </w:rPr>
        <w:t>n</w:t>
      </w:r>
      <w:r>
        <w:rPr>
          <w:spacing w:val="1"/>
          <w:w w:val="100"/>
          <w:sz w:val="24"/>
        </w:rPr>
        <w:t>a</w:t>
      </w:r>
      <w:r>
        <w:rPr>
          <w:w w:val="158"/>
          <w:sz w:val="24"/>
        </w:rPr>
        <w:t>‖</w:t>
      </w:r>
      <w:r>
        <w:rPr>
          <w:spacing w:val="3"/>
          <w:sz w:val="24"/>
        </w:rPr>
        <w:t> </w:t>
      </w:r>
      <w:r>
        <w:rPr>
          <w:spacing w:val="-1"/>
          <w:w w:val="100"/>
          <w:sz w:val="24"/>
        </w:rPr>
        <w:t>e</w:t>
      </w:r>
      <w:r>
        <w:rPr>
          <w:sz w:val="24"/>
        </w:rPr>
        <w:t>,</w:t>
      </w:r>
      <w:r>
        <w:rPr>
          <w:spacing w:val="9"/>
          <w:sz w:val="24"/>
        </w:rPr>
        <w:t> </w:t>
      </w:r>
      <w:r>
        <w:rPr>
          <w:sz w:val="24"/>
        </w:rPr>
        <w:t>por</w:t>
      </w:r>
      <w:r>
        <w:rPr>
          <w:spacing w:val="3"/>
          <w:sz w:val="24"/>
        </w:rPr>
        <w:t> </w:t>
      </w:r>
      <w:r>
        <w:rPr>
          <w:sz w:val="24"/>
        </w:rPr>
        <w:t>outro</w:t>
      </w:r>
      <w:r>
        <w:rPr>
          <w:spacing w:val="4"/>
          <w:sz w:val="24"/>
        </w:rPr>
        <w:t> </w:t>
      </w:r>
      <w:r>
        <w:rPr>
          <w:w w:val="100"/>
          <w:sz w:val="24"/>
        </w:rPr>
        <w:t>lado,</w:t>
      </w:r>
      <w:r>
        <w:rPr>
          <w:spacing w:val="6"/>
          <w:sz w:val="24"/>
        </w:rPr>
        <w:t> </w:t>
      </w:r>
      <w:r>
        <w:rPr>
          <w:spacing w:val="-1"/>
          <w:w w:val="44"/>
          <w:sz w:val="24"/>
        </w:rPr>
        <w:t>―</w:t>
      </w:r>
      <w:r>
        <w:rPr>
          <w:spacing w:val="-1"/>
          <w:w w:val="100"/>
          <w:sz w:val="24"/>
        </w:rPr>
        <w:t>a</w:t>
      </w:r>
      <w:r>
        <w:rPr>
          <w:sz w:val="24"/>
        </w:rPr>
        <w:t>q</w:t>
      </w:r>
      <w:r>
        <w:rPr>
          <w:spacing w:val="2"/>
          <w:sz w:val="24"/>
        </w:rPr>
        <w:t>u</w:t>
      </w:r>
      <w:r>
        <w:rPr>
          <w:spacing w:val="-1"/>
          <w:w w:val="100"/>
          <w:sz w:val="24"/>
        </w:rPr>
        <w:t>e</w:t>
      </w:r>
      <w:r>
        <w:rPr>
          <w:w w:val="100"/>
          <w:sz w:val="24"/>
        </w:rPr>
        <w:t>las</w:t>
      </w:r>
      <w:r>
        <w:rPr>
          <w:spacing w:val="6"/>
          <w:sz w:val="24"/>
        </w:rPr>
        <w:t> </w:t>
      </w:r>
      <w:r>
        <w:rPr>
          <w:w w:val="100"/>
          <w:sz w:val="24"/>
        </w:rPr>
        <w:t>que</w:t>
      </w:r>
      <w:r>
        <w:rPr>
          <w:spacing w:val="3"/>
          <w:w w:val="100"/>
          <w:sz w:val="24"/>
        </w:rPr>
        <w:t> </w:t>
      </w:r>
      <w:r>
        <w:rPr>
          <w:w w:val="100"/>
          <w:sz w:val="24"/>
        </w:rPr>
        <w:t>d</w:t>
      </w:r>
      <w:r>
        <w:rPr>
          <w:spacing w:val="-1"/>
          <w:w w:val="100"/>
          <w:sz w:val="24"/>
        </w:rPr>
        <w:t>e</w:t>
      </w:r>
      <w:r>
        <w:rPr>
          <w:spacing w:val="1"/>
          <w:w w:val="99"/>
          <w:sz w:val="24"/>
        </w:rPr>
        <w:t>f</w:t>
      </w:r>
      <w:r>
        <w:rPr>
          <w:spacing w:val="-1"/>
          <w:w w:val="100"/>
          <w:sz w:val="24"/>
        </w:rPr>
        <w:t>e</w:t>
      </w:r>
      <w:r>
        <w:rPr>
          <w:w w:val="100"/>
          <w:sz w:val="24"/>
        </w:rPr>
        <w:t>ndiam</w:t>
      </w:r>
      <w:r>
        <w:rPr>
          <w:spacing w:val="4"/>
          <w:sz w:val="24"/>
        </w:rPr>
        <w:t> </w:t>
      </w:r>
      <w:r>
        <w:rPr>
          <w:w w:val="100"/>
          <w:sz w:val="24"/>
        </w:rPr>
        <w:t>a</w:t>
      </w:r>
      <w:r>
        <w:rPr>
          <w:spacing w:val="11"/>
          <w:sz w:val="24"/>
        </w:rPr>
        <w:t> </w:t>
      </w:r>
      <w:r>
        <w:rPr>
          <w:b/>
          <w:w w:val="99"/>
          <w:sz w:val="24"/>
        </w:rPr>
        <w:t>i</w:t>
      </w:r>
      <w:r>
        <w:rPr>
          <w:b/>
          <w:spacing w:val="1"/>
          <w:w w:val="99"/>
          <w:sz w:val="24"/>
        </w:rPr>
        <w:t>n</w:t>
      </w:r>
      <w:r>
        <w:rPr>
          <w:b/>
          <w:sz w:val="24"/>
        </w:rPr>
        <w:t>i</w:t>
      </w:r>
      <w:r>
        <w:rPr>
          <w:b/>
          <w:spacing w:val="-1"/>
          <w:sz w:val="24"/>
        </w:rPr>
        <w:t>c</w:t>
      </w:r>
      <w:r>
        <w:rPr>
          <w:b/>
          <w:sz w:val="24"/>
        </w:rPr>
        <w:t>iativa</w:t>
      </w:r>
      <w:r>
        <w:rPr>
          <w:b/>
          <w:spacing w:val="4"/>
          <w:sz w:val="24"/>
        </w:rPr>
        <w:t> </w:t>
      </w:r>
      <w:r>
        <w:rPr>
          <w:b/>
          <w:w w:val="99"/>
          <w:sz w:val="24"/>
        </w:rPr>
        <w:t>p</w:t>
      </w:r>
      <w:r>
        <w:rPr>
          <w:b/>
          <w:spacing w:val="-1"/>
          <w:sz w:val="24"/>
        </w:rPr>
        <w:t>r</w:t>
      </w:r>
      <w:r>
        <w:rPr>
          <w:b/>
          <w:sz w:val="24"/>
        </w:rPr>
        <w:t>iva</w:t>
      </w:r>
      <w:r>
        <w:rPr>
          <w:b/>
          <w:spacing w:val="1"/>
          <w:sz w:val="24"/>
        </w:rPr>
        <w:t>d</w:t>
      </w:r>
      <w:r>
        <w:rPr>
          <w:b/>
          <w:sz w:val="24"/>
        </w:rPr>
        <w:t>a</w:t>
      </w:r>
      <w:r>
        <w:rPr>
          <w:b/>
          <w:spacing w:val="4"/>
          <w:sz w:val="24"/>
        </w:rPr>
        <w:t> </w:t>
      </w:r>
      <w:r>
        <w:rPr>
          <w:b/>
          <w:w w:val="99"/>
          <w:sz w:val="24"/>
        </w:rPr>
        <w:t>se </w:t>
      </w:r>
      <w:r>
        <w:rPr>
          <w:b/>
          <w:sz w:val="24"/>
        </w:rPr>
        <w:t>contrapondo à ingerência do Estado na economia </w:t>
      </w:r>
      <w:r>
        <w:rPr>
          <w:sz w:val="24"/>
        </w:rPr>
        <w:t>e àquilo que taxavam de  monopólio estatal do ensino‖: na Lei de Diretrizes e Bases da  Educação  Nacional (LDB) – Lei nº 4.024/1961, o planejamento com a </w:t>
      </w:r>
      <w:r>
        <w:rPr>
          <w:b/>
          <w:sz w:val="24"/>
        </w:rPr>
        <w:t>racionalidade distributiva dos </w:t>
      </w:r>
      <w:r>
        <w:rPr>
          <w:b/>
          <w:spacing w:val="-1"/>
          <w:sz w:val="24"/>
        </w:rPr>
        <w:t>rec</w:t>
      </w:r>
      <w:r>
        <w:rPr>
          <w:b/>
          <w:w w:val="99"/>
          <w:sz w:val="24"/>
        </w:rPr>
        <w:t>u</w:t>
      </w:r>
      <w:r>
        <w:rPr>
          <w:b/>
          <w:spacing w:val="-1"/>
          <w:sz w:val="24"/>
        </w:rPr>
        <w:t>r</w:t>
      </w:r>
      <w:r>
        <w:rPr>
          <w:b/>
          <w:w w:val="99"/>
          <w:sz w:val="24"/>
        </w:rPr>
        <w:t>so</w:t>
      </w:r>
      <w:r>
        <w:rPr>
          <w:b/>
          <w:w w:val="99"/>
          <w:sz w:val="24"/>
        </w:rPr>
        <w:t>s</w:t>
      </w:r>
      <w:r>
        <w:rPr>
          <w:b/>
          <w:spacing w:val="9"/>
          <w:sz w:val="24"/>
        </w:rPr>
        <w:t> </w:t>
      </w:r>
      <w:r>
        <w:rPr>
          <w:b/>
          <w:spacing w:val="-1"/>
          <w:sz w:val="24"/>
        </w:rPr>
        <w:t>e</w:t>
      </w:r>
      <w:r>
        <w:rPr>
          <w:b/>
          <w:w w:val="99"/>
          <w:sz w:val="24"/>
        </w:rPr>
        <w:t>du</w:t>
      </w:r>
      <w:r>
        <w:rPr>
          <w:b/>
          <w:spacing w:val="-1"/>
          <w:sz w:val="24"/>
        </w:rPr>
        <w:t>c</w:t>
      </w:r>
      <w:r>
        <w:rPr>
          <w:b/>
          <w:sz w:val="24"/>
        </w:rPr>
        <w:t>a</w:t>
      </w:r>
      <w:r>
        <w:rPr>
          <w:b/>
          <w:spacing w:val="-1"/>
          <w:sz w:val="24"/>
        </w:rPr>
        <w:t>c</w:t>
      </w:r>
      <w:r>
        <w:rPr>
          <w:b/>
          <w:w w:val="99"/>
          <w:sz w:val="24"/>
        </w:rPr>
        <w:t>io</w:t>
      </w:r>
      <w:r>
        <w:rPr>
          <w:b/>
          <w:spacing w:val="1"/>
          <w:w w:val="99"/>
          <w:sz w:val="24"/>
        </w:rPr>
        <w:t>n</w:t>
      </w:r>
      <w:r>
        <w:rPr>
          <w:b/>
          <w:w w:val="99"/>
          <w:sz w:val="24"/>
        </w:rPr>
        <w:t>ais</w:t>
      </w:r>
      <w:r>
        <w:rPr>
          <w:b/>
          <w:spacing w:val="9"/>
          <w:sz w:val="24"/>
        </w:rPr>
        <w:t> </w:t>
      </w:r>
      <w:r>
        <w:rPr>
          <w:w w:val="100"/>
          <w:sz w:val="24"/>
        </w:rPr>
        <w:t>p</w:t>
      </w:r>
      <w:r>
        <w:rPr>
          <w:spacing w:val="-1"/>
          <w:w w:val="100"/>
          <w:sz w:val="24"/>
        </w:rPr>
        <w:t>a</w:t>
      </w:r>
      <w:r>
        <w:rPr>
          <w:w w:val="100"/>
          <w:sz w:val="24"/>
        </w:rPr>
        <w:t>ra</w:t>
      </w:r>
      <w:r>
        <w:rPr>
          <w:spacing w:val="5"/>
          <w:sz w:val="24"/>
        </w:rPr>
        <w:t> </w:t>
      </w:r>
      <w:r>
        <w:rPr>
          <w:w w:val="99"/>
          <w:sz w:val="24"/>
        </w:rPr>
        <w:t>os</w:t>
      </w:r>
      <w:r>
        <w:rPr>
          <w:spacing w:val="7"/>
          <w:sz w:val="24"/>
        </w:rPr>
        <w:t> </w:t>
      </w:r>
      <w:r>
        <w:rPr>
          <w:w w:val="100"/>
          <w:sz w:val="24"/>
        </w:rPr>
        <w:t>d</w:t>
      </w:r>
      <w:r>
        <w:rPr>
          <w:spacing w:val="2"/>
          <w:w w:val="100"/>
          <w:sz w:val="24"/>
        </w:rPr>
        <w:t>i</w:t>
      </w:r>
      <w:r>
        <w:rPr>
          <w:w w:val="100"/>
          <w:sz w:val="24"/>
        </w:rPr>
        <w:t>f</w:t>
      </w:r>
      <w:r>
        <w:rPr>
          <w:spacing w:val="-2"/>
          <w:w w:val="100"/>
          <w:sz w:val="24"/>
        </w:rPr>
        <w:t>e</w:t>
      </w:r>
      <w:r>
        <w:rPr>
          <w:spacing w:val="1"/>
          <w:w w:val="99"/>
          <w:sz w:val="24"/>
        </w:rPr>
        <w:t>r</w:t>
      </w:r>
      <w:r>
        <w:rPr>
          <w:spacing w:val="-1"/>
          <w:w w:val="100"/>
          <w:sz w:val="24"/>
        </w:rPr>
        <w:t>e</w:t>
      </w:r>
      <w:r>
        <w:rPr>
          <w:w w:val="100"/>
          <w:sz w:val="24"/>
        </w:rPr>
        <w:t>ntes</w:t>
      </w:r>
      <w:r>
        <w:rPr>
          <w:spacing w:val="6"/>
          <w:w w:val="100"/>
          <w:sz w:val="24"/>
        </w:rPr>
        <w:t> </w:t>
      </w:r>
      <w:r>
        <w:rPr>
          <w:w w:val="100"/>
          <w:sz w:val="24"/>
        </w:rPr>
        <w:t>níveis</w:t>
      </w:r>
      <w:r>
        <w:rPr>
          <w:spacing w:val="7"/>
          <w:w w:val="100"/>
          <w:sz w:val="24"/>
        </w:rPr>
        <w:t> </w:t>
      </w:r>
      <w:r>
        <w:rPr>
          <w:spacing w:val="2"/>
          <w:w w:val="100"/>
          <w:sz w:val="24"/>
        </w:rPr>
        <w:t>d</w:t>
      </w:r>
      <w:r>
        <w:rPr>
          <w:w w:val="100"/>
          <w:sz w:val="24"/>
        </w:rPr>
        <w:t>e</w:t>
      </w:r>
      <w:r>
        <w:rPr>
          <w:spacing w:val="6"/>
          <w:sz w:val="24"/>
        </w:rPr>
        <w:t> </w:t>
      </w:r>
      <w:r>
        <w:rPr>
          <w:spacing w:val="-1"/>
          <w:w w:val="100"/>
          <w:sz w:val="24"/>
        </w:rPr>
        <w:t>e</w:t>
      </w:r>
      <w:r>
        <w:rPr>
          <w:sz w:val="24"/>
        </w:rPr>
        <w:t>nsino.</w:t>
      </w:r>
      <w:r>
        <w:rPr>
          <w:spacing w:val="6"/>
          <w:sz w:val="24"/>
        </w:rPr>
        <w:t> </w:t>
      </w:r>
      <w:r>
        <w:rPr>
          <w:spacing w:val="1"/>
          <w:w w:val="44"/>
          <w:sz w:val="24"/>
        </w:rPr>
        <w:t>―</w:t>
      </w:r>
      <w:r>
        <w:rPr>
          <w:w w:val="99"/>
          <w:sz w:val="24"/>
        </w:rPr>
        <w:t>De</w:t>
      </w:r>
      <w:r>
        <w:rPr>
          <w:spacing w:val="7"/>
          <w:w w:val="99"/>
          <w:sz w:val="24"/>
        </w:rPr>
        <w:t> </w:t>
      </w:r>
      <w:r>
        <w:rPr>
          <w:w w:val="100"/>
          <w:sz w:val="24"/>
        </w:rPr>
        <w:t>f</w:t>
      </w:r>
      <w:r>
        <w:rPr>
          <w:spacing w:val="-2"/>
          <w:w w:val="100"/>
          <w:sz w:val="24"/>
        </w:rPr>
        <w:t>a</w:t>
      </w:r>
      <w:r>
        <w:rPr>
          <w:w w:val="100"/>
          <w:sz w:val="24"/>
        </w:rPr>
        <w:t>to,</w:t>
      </w:r>
      <w:r>
        <w:rPr>
          <w:spacing w:val="7"/>
          <w:sz w:val="24"/>
        </w:rPr>
        <w:t> </w:t>
      </w:r>
      <w:r>
        <w:rPr>
          <w:sz w:val="24"/>
        </w:rPr>
        <w:t>p</w:t>
      </w:r>
      <w:r>
        <w:rPr>
          <w:spacing w:val="1"/>
          <w:sz w:val="24"/>
        </w:rPr>
        <w:t>r</w:t>
      </w:r>
      <w:r>
        <w:rPr>
          <w:spacing w:val="-1"/>
          <w:w w:val="100"/>
          <w:sz w:val="24"/>
        </w:rPr>
        <w:t>e</w:t>
      </w:r>
      <w:r>
        <w:rPr>
          <w:w w:val="100"/>
          <w:sz w:val="24"/>
        </w:rPr>
        <w:t>t</w:t>
      </w:r>
      <w:r>
        <w:rPr>
          <w:spacing w:val="1"/>
          <w:w w:val="100"/>
          <w:sz w:val="24"/>
        </w:rPr>
        <w:t>e</w:t>
      </w:r>
      <w:r>
        <w:rPr>
          <w:w w:val="100"/>
          <w:sz w:val="24"/>
        </w:rPr>
        <w:t>ndi</w:t>
      </w:r>
      <w:r>
        <w:rPr>
          <w:spacing w:val="4"/>
          <w:w w:val="100"/>
          <w:sz w:val="24"/>
        </w:rPr>
        <w:t>a</w:t>
      </w:r>
      <w:r>
        <w:rPr>
          <w:spacing w:val="-1"/>
          <w:w w:val="99"/>
          <w:sz w:val="24"/>
        </w:rPr>
        <w:t>-</w:t>
      </w:r>
      <w:r>
        <w:rPr>
          <w:w w:val="99"/>
          <w:sz w:val="24"/>
        </w:rPr>
        <w:t>se</w:t>
      </w:r>
      <w:r>
        <w:rPr>
          <w:spacing w:val="6"/>
          <w:sz w:val="24"/>
        </w:rPr>
        <w:t> </w:t>
      </w:r>
      <w:r>
        <w:rPr>
          <w:sz w:val="24"/>
        </w:rPr>
        <w:t>que</w:t>
      </w:r>
      <w:r>
        <w:rPr>
          <w:spacing w:val="8"/>
          <w:sz w:val="24"/>
        </w:rPr>
        <w:t> </w:t>
      </w:r>
      <w:r>
        <w:rPr>
          <w:sz w:val="24"/>
        </w:rPr>
        <w:t>o Plano garantisse o acesso das escolas particulares, em especial as católicas, aos recursos públicos destinados à educação‖; na Ditadura, a </w:t>
      </w:r>
      <w:r>
        <w:rPr>
          <w:b/>
          <w:sz w:val="24"/>
        </w:rPr>
        <w:t>racionalidade tecnocrática</w:t>
      </w:r>
      <w:r>
        <w:rPr>
          <w:sz w:val="24"/>
        </w:rPr>
        <w:t>, com a </w:t>
      </w:r>
      <w:r>
        <w:rPr>
          <w:w w:val="99"/>
          <w:sz w:val="24"/>
        </w:rPr>
        <w:t>su</w:t>
      </w:r>
      <w:r>
        <w:rPr>
          <w:w w:val="99"/>
          <w:sz w:val="24"/>
        </w:rPr>
        <w:t>bordin</w:t>
      </w:r>
      <w:r>
        <w:rPr>
          <w:spacing w:val="-2"/>
          <w:w w:val="99"/>
          <w:sz w:val="24"/>
        </w:rPr>
        <w:t>a</w:t>
      </w:r>
      <w:r>
        <w:rPr>
          <w:spacing w:val="-1"/>
          <w:w w:val="99"/>
          <w:sz w:val="24"/>
        </w:rPr>
        <w:t>çã</w:t>
      </w:r>
      <w:r>
        <w:rPr>
          <w:w w:val="99"/>
          <w:sz w:val="24"/>
        </w:rPr>
        <w:t>o </w:t>
      </w:r>
      <w:r>
        <w:rPr>
          <w:spacing w:val="16"/>
          <w:w w:val="99"/>
          <w:sz w:val="24"/>
        </w:rPr>
        <w:t> </w:t>
      </w:r>
      <w:r>
        <w:rPr>
          <w:spacing w:val="-1"/>
          <w:w w:val="99"/>
          <w:sz w:val="24"/>
        </w:rPr>
        <w:t>ec</w:t>
      </w:r>
      <w:r>
        <w:rPr>
          <w:w w:val="99"/>
          <w:sz w:val="24"/>
        </w:rPr>
        <w:t>onômi</w:t>
      </w:r>
      <w:r>
        <w:rPr>
          <w:spacing w:val="1"/>
          <w:w w:val="99"/>
          <w:sz w:val="24"/>
        </w:rPr>
        <w:t>co</w:t>
      </w:r>
      <w:r>
        <w:rPr>
          <w:spacing w:val="-1"/>
          <w:w w:val="99"/>
          <w:sz w:val="24"/>
        </w:rPr>
        <w:t>-</w:t>
      </w:r>
      <w:r>
        <w:rPr>
          <w:spacing w:val="-1"/>
          <w:w w:val="100"/>
          <w:sz w:val="24"/>
        </w:rPr>
        <w:t>a</w:t>
      </w:r>
      <w:r>
        <w:rPr>
          <w:w w:val="100"/>
          <w:sz w:val="24"/>
        </w:rPr>
        <w:t>dministr</w:t>
      </w:r>
      <w:r>
        <w:rPr>
          <w:spacing w:val="-2"/>
          <w:w w:val="100"/>
          <w:sz w:val="24"/>
        </w:rPr>
        <w:t>a</w:t>
      </w:r>
      <w:r>
        <w:rPr>
          <w:w w:val="100"/>
          <w:sz w:val="24"/>
        </w:rPr>
        <w:t>ti</w:t>
      </w:r>
      <w:r>
        <w:rPr>
          <w:w w:val="100"/>
          <w:sz w:val="24"/>
        </w:rPr>
        <w:t>va</w:t>
      </w:r>
      <w:r>
        <w:rPr>
          <w:sz w:val="24"/>
        </w:rPr>
        <w:t> </w:t>
      </w:r>
      <w:r>
        <w:rPr>
          <w:spacing w:val="13"/>
          <w:sz w:val="24"/>
        </w:rPr>
        <w:t> </w:t>
      </w:r>
      <w:r>
        <w:rPr>
          <w:w w:val="100"/>
          <w:sz w:val="24"/>
        </w:rPr>
        <w:t>da</w:t>
      </w:r>
      <w:r>
        <w:rPr>
          <w:sz w:val="24"/>
        </w:rPr>
        <w:t> </w:t>
      </w:r>
      <w:r>
        <w:rPr>
          <w:spacing w:val="15"/>
          <w:sz w:val="24"/>
        </w:rPr>
        <w:t> </w:t>
      </w:r>
      <w:r>
        <w:rPr>
          <w:spacing w:val="-1"/>
          <w:w w:val="100"/>
          <w:sz w:val="24"/>
        </w:rPr>
        <w:t>e</w:t>
      </w:r>
      <w:r>
        <w:rPr>
          <w:sz w:val="24"/>
        </w:rPr>
        <w:t>d</w:t>
      </w:r>
      <w:r>
        <w:rPr>
          <w:spacing w:val="2"/>
          <w:sz w:val="24"/>
        </w:rPr>
        <w:t>u</w:t>
      </w:r>
      <w:r>
        <w:rPr>
          <w:spacing w:val="-1"/>
          <w:w w:val="100"/>
          <w:sz w:val="24"/>
        </w:rPr>
        <w:t>ca</w:t>
      </w:r>
      <w:r>
        <w:rPr>
          <w:spacing w:val="1"/>
          <w:w w:val="100"/>
          <w:sz w:val="24"/>
        </w:rPr>
        <w:t>ç</w:t>
      </w:r>
      <w:r>
        <w:rPr>
          <w:spacing w:val="-1"/>
          <w:w w:val="100"/>
          <w:sz w:val="24"/>
        </w:rPr>
        <w:t>ã</w:t>
      </w:r>
      <w:r>
        <w:rPr>
          <w:sz w:val="24"/>
        </w:rPr>
        <w:t>o, </w:t>
      </w:r>
      <w:r>
        <w:rPr>
          <w:spacing w:val="14"/>
          <w:sz w:val="24"/>
        </w:rPr>
        <w:t> </w:t>
      </w:r>
      <w:r>
        <w:rPr>
          <w:sz w:val="24"/>
        </w:rPr>
        <w:t>ou </w:t>
      </w:r>
      <w:r>
        <w:rPr>
          <w:spacing w:val="14"/>
          <w:sz w:val="24"/>
        </w:rPr>
        <w:t> </w:t>
      </w:r>
      <w:r>
        <w:rPr>
          <w:sz w:val="24"/>
        </w:rPr>
        <w:t>s</w:t>
      </w:r>
      <w:r>
        <w:rPr>
          <w:spacing w:val="-1"/>
          <w:sz w:val="24"/>
        </w:rPr>
        <w:t>e</w:t>
      </w:r>
      <w:r>
        <w:rPr>
          <w:spacing w:val="2"/>
          <w:w w:val="100"/>
          <w:sz w:val="24"/>
        </w:rPr>
        <w:t>j</w:t>
      </w:r>
      <w:r>
        <w:rPr>
          <w:spacing w:val="-1"/>
          <w:w w:val="100"/>
          <w:sz w:val="24"/>
        </w:rPr>
        <w:t>a</w:t>
      </w:r>
      <w:r>
        <w:rPr>
          <w:sz w:val="24"/>
        </w:rPr>
        <w:t>, </w:t>
      </w:r>
      <w:r>
        <w:rPr>
          <w:spacing w:val="14"/>
          <w:sz w:val="24"/>
        </w:rPr>
        <w:t> </w:t>
      </w:r>
      <w:r>
        <w:rPr>
          <w:spacing w:val="2"/>
          <w:w w:val="44"/>
          <w:sz w:val="24"/>
        </w:rPr>
        <w:t>―</w:t>
      </w:r>
      <w:r>
        <w:rPr>
          <w:sz w:val="24"/>
        </w:rPr>
        <w:t>o </w:t>
      </w:r>
      <w:r>
        <w:rPr>
          <w:spacing w:val="14"/>
          <w:sz w:val="24"/>
        </w:rPr>
        <w:t> </w:t>
      </w:r>
      <w:r>
        <w:rPr>
          <w:spacing w:val="2"/>
          <w:sz w:val="24"/>
        </w:rPr>
        <w:t>p</w:t>
      </w:r>
      <w:r>
        <w:rPr>
          <w:sz w:val="24"/>
        </w:rPr>
        <w:t>ro</w:t>
      </w:r>
      <w:r>
        <w:rPr>
          <w:spacing w:val="1"/>
          <w:sz w:val="24"/>
        </w:rPr>
        <w:t>t</w:t>
      </w:r>
      <w:r>
        <w:rPr>
          <w:spacing w:val="-1"/>
          <w:sz w:val="24"/>
        </w:rPr>
        <w:t>a</w:t>
      </w:r>
      <w:r>
        <w:rPr>
          <w:spacing w:val="-3"/>
          <w:sz w:val="24"/>
        </w:rPr>
        <w:t>g</w:t>
      </w:r>
      <w:r>
        <w:rPr>
          <w:sz w:val="24"/>
        </w:rPr>
        <w:t>onis</w:t>
      </w:r>
      <w:r>
        <w:rPr>
          <w:spacing w:val="1"/>
          <w:sz w:val="24"/>
        </w:rPr>
        <w:t>m</w:t>
      </w:r>
      <w:r>
        <w:rPr>
          <w:sz w:val="24"/>
        </w:rPr>
        <w:t>o </w:t>
      </w:r>
      <w:r>
        <w:rPr>
          <w:spacing w:val="14"/>
          <w:sz w:val="24"/>
        </w:rPr>
        <w:t> </w:t>
      </w:r>
      <w:r>
        <w:rPr>
          <w:sz w:val="24"/>
        </w:rPr>
        <w:t>no âmbito do planejamento educacional se transfere dos educadores para os tecnocratas, o que,  em  termos  organizacionais,  se  expressa  na  subordinação  do  Ministério       </w:t>
      </w:r>
      <w:r>
        <w:rPr>
          <w:spacing w:val="15"/>
          <w:sz w:val="24"/>
        </w:rPr>
        <w:t> </w:t>
      </w:r>
      <w:r>
        <w:rPr>
          <w:sz w:val="24"/>
        </w:rPr>
        <w:t>da</w:t>
      </w:r>
    </w:p>
    <w:p>
      <w:pPr>
        <w:spacing w:after="0" w:line="360" w:lineRule="auto"/>
        <w:jc w:val="both"/>
        <w:rPr>
          <w:sz w:val="24"/>
        </w:rPr>
        <w:sectPr>
          <w:pgSz w:w="11910" w:h="16840"/>
          <w:pgMar w:header="749" w:footer="0" w:top="960" w:bottom="280" w:left="1600" w:right="1580"/>
        </w:sectPr>
      </w:pPr>
    </w:p>
    <w:p>
      <w:pPr>
        <w:pStyle w:val="BodyText"/>
        <w:rPr>
          <w:sz w:val="20"/>
        </w:rPr>
      </w:pPr>
    </w:p>
    <w:p>
      <w:pPr>
        <w:pStyle w:val="BodyText"/>
        <w:spacing w:line="360" w:lineRule="auto" w:before="210"/>
        <w:ind w:left="102" w:right="120"/>
        <w:jc w:val="both"/>
      </w:pPr>
      <w:r>
        <w:rPr/>
        <w:t>Educação ao Ministério do Planejamento cujos corpos dirigente e técnico eram, via de regra, oriundos da área de formação correspondente às ciências econômicas.‖ (SAVIANI, 1999, p. 127-8). (Grifos nossos);</w:t>
      </w:r>
    </w:p>
    <w:p>
      <w:pPr>
        <w:pStyle w:val="BodyText"/>
        <w:spacing w:before="4"/>
        <w:rPr>
          <w:sz w:val="36"/>
        </w:rPr>
      </w:pPr>
    </w:p>
    <w:p>
      <w:pPr>
        <w:pStyle w:val="ListParagraph"/>
        <w:numPr>
          <w:ilvl w:val="2"/>
          <w:numId w:val="5"/>
        </w:numPr>
        <w:tabs>
          <w:tab w:pos="1518" w:val="left" w:leader="none"/>
        </w:tabs>
        <w:spacing w:line="360" w:lineRule="auto" w:before="0" w:after="0"/>
        <w:ind w:left="102" w:right="117" w:firstLine="852"/>
        <w:jc w:val="both"/>
        <w:rPr>
          <w:sz w:val="24"/>
        </w:rPr>
      </w:pPr>
      <w:r>
        <w:rPr>
          <w:spacing w:val="-1"/>
          <w:w w:val="44"/>
          <w:sz w:val="24"/>
        </w:rPr>
        <w:t>―</w:t>
      </w:r>
      <w:r>
        <w:rPr>
          <w:spacing w:val="1"/>
          <w:w w:val="99"/>
          <w:sz w:val="24"/>
        </w:rPr>
        <w:t>[</w:t>
      </w:r>
      <w:r>
        <w:rPr>
          <w:w w:val="99"/>
          <w:sz w:val="24"/>
        </w:rPr>
        <w:t>...] </w:t>
      </w:r>
      <w:r>
        <w:rPr>
          <w:spacing w:val="-18"/>
          <w:w w:val="99"/>
          <w:sz w:val="24"/>
        </w:rPr>
        <w:t> </w:t>
      </w:r>
      <w:r>
        <w:rPr>
          <w:w w:val="99"/>
          <w:sz w:val="24"/>
        </w:rPr>
        <w:t>no </w:t>
      </w:r>
      <w:r>
        <w:rPr>
          <w:spacing w:val="-20"/>
          <w:w w:val="99"/>
          <w:sz w:val="24"/>
        </w:rPr>
        <w:t> </w:t>
      </w:r>
      <w:r>
        <w:rPr>
          <w:w w:val="100"/>
          <w:sz w:val="24"/>
        </w:rPr>
        <w:t>p</w:t>
      </w:r>
      <w:r>
        <w:rPr>
          <w:spacing w:val="-1"/>
          <w:w w:val="100"/>
          <w:sz w:val="24"/>
        </w:rPr>
        <w:t>e</w:t>
      </w:r>
      <w:r>
        <w:rPr>
          <w:w w:val="100"/>
          <w:sz w:val="24"/>
        </w:rPr>
        <w:t>ríodo</w:t>
      </w:r>
      <w:r>
        <w:rPr>
          <w:sz w:val="24"/>
        </w:rPr>
        <w:t> </w:t>
      </w:r>
      <w:r>
        <w:rPr>
          <w:spacing w:val="-20"/>
          <w:sz w:val="24"/>
        </w:rPr>
        <w:t> </w:t>
      </w:r>
      <w:r>
        <w:rPr>
          <w:sz w:val="24"/>
        </w:rPr>
        <w:t>s</w:t>
      </w:r>
      <w:r>
        <w:rPr>
          <w:spacing w:val="-1"/>
          <w:sz w:val="24"/>
        </w:rPr>
        <w:t>e</w:t>
      </w:r>
      <w:r>
        <w:rPr>
          <w:spacing w:val="-3"/>
          <w:sz w:val="24"/>
        </w:rPr>
        <w:t>g</w:t>
      </w:r>
      <w:r>
        <w:rPr>
          <w:w w:val="100"/>
          <w:sz w:val="24"/>
        </w:rPr>
        <w:t>uint</w:t>
      </w:r>
      <w:r>
        <w:rPr>
          <w:w w:val="100"/>
          <w:sz w:val="24"/>
        </w:rPr>
        <w:t>e</w:t>
      </w:r>
      <w:r>
        <w:rPr>
          <w:sz w:val="24"/>
        </w:rPr>
        <w:t> </w:t>
      </w:r>
      <w:r>
        <w:rPr>
          <w:spacing w:val="-21"/>
          <w:sz w:val="24"/>
        </w:rPr>
        <w:t> </w:t>
      </w:r>
      <w:r>
        <w:rPr>
          <w:w w:val="100"/>
          <w:sz w:val="24"/>
        </w:rPr>
        <w:t>que </w:t>
      </w:r>
      <w:r>
        <w:rPr>
          <w:spacing w:val="-21"/>
          <w:w w:val="100"/>
          <w:sz w:val="24"/>
        </w:rPr>
        <w:t> </w:t>
      </w:r>
      <w:r>
        <w:rPr>
          <w:w w:val="99"/>
          <w:sz w:val="24"/>
        </w:rPr>
        <w:t>se </w:t>
      </w:r>
      <w:r>
        <w:rPr>
          <w:spacing w:val="-21"/>
          <w:w w:val="99"/>
          <w:sz w:val="24"/>
        </w:rPr>
        <w:t> </w:t>
      </w:r>
      <w:r>
        <w:rPr>
          <w:spacing w:val="-1"/>
          <w:w w:val="100"/>
          <w:sz w:val="24"/>
        </w:rPr>
        <w:t>e</w:t>
      </w:r>
      <w:r>
        <w:rPr>
          <w:w w:val="100"/>
          <w:sz w:val="24"/>
        </w:rPr>
        <w:t>s</w:t>
      </w:r>
      <w:r>
        <w:rPr>
          <w:spacing w:val="2"/>
          <w:w w:val="100"/>
          <w:sz w:val="24"/>
        </w:rPr>
        <w:t>t</w:t>
      </w:r>
      <w:r>
        <w:rPr>
          <w:spacing w:val="-1"/>
          <w:w w:val="100"/>
          <w:sz w:val="24"/>
        </w:rPr>
        <w:t>e</w:t>
      </w:r>
      <w:r>
        <w:rPr>
          <w:w w:val="100"/>
          <w:sz w:val="24"/>
        </w:rPr>
        <w:t>nde </w:t>
      </w:r>
      <w:r>
        <w:rPr>
          <w:spacing w:val="-21"/>
          <w:w w:val="100"/>
          <w:sz w:val="24"/>
        </w:rPr>
        <w:t> </w:t>
      </w:r>
      <w:r>
        <w:rPr>
          <w:spacing w:val="-1"/>
          <w:w w:val="100"/>
          <w:sz w:val="24"/>
        </w:rPr>
        <w:t>a</w:t>
      </w:r>
      <w:r>
        <w:rPr>
          <w:spacing w:val="2"/>
          <w:w w:val="100"/>
          <w:sz w:val="24"/>
        </w:rPr>
        <w:t>t</w:t>
      </w:r>
      <w:r>
        <w:rPr>
          <w:w w:val="100"/>
          <w:sz w:val="24"/>
        </w:rPr>
        <w:t>é</w:t>
      </w:r>
      <w:r>
        <w:rPr>
          <w:sz w:val="24"/>
        </w:rPr>
        <w:t> </w:t>
      </w:r>
      <w:r>
        <w:rPr>
          <w:spacing w:val="-21"/>
          <w:sz w:val="24"/>
        </w:rPr>
        <w:t> </w:t>
      </w:r>
      <w:r>
        <w:rPr>
          <w:sz w:val="24"/>
        </w:rPr>
        <w:t>1</w:t>
      </w:r>
      <w:r>
        <w:rPr>
          <w:spacing w:val="2"/>
          <w:sz w:val="24"/>
        </w:rPr>
        <w:t>9</w:t>
      </w:r>
      <w:r>
        <w:rPr>
          <w:sz w:val="24"/>
        </w:rPr>
        <w:t>85 </w:t>
      </w:r>
      <w:r>
        <w:rPr>
          <w:spacing w:val="-20"/>
          <w:sz w:val="24"/>
        </w:rPr>
        <w:t> </w:t>
      </w:r>
      <w:r>
        <w:rPr>
          <w:w w:val="100"/>
          <w:sz w:val="24"/>
        </w:rPr>
        <w:t>a</w:t>
      </w:r>
      <w:r>
        <w:rPr>
          <w:sz w:val="24"/>
        </w:rPr>
        <w:t> </w:t>
      </w:r>
      <w:r>
        <w:rPr>
          <w:spacing w:val="-21"/>
          <w:sz w:val="24"/>
        </w:rPr>
        <w:t> </w:t>
      </w:r>
      <w:r>
        <w:rPr>
          <w:w w:val="100"/>
          <w:sz w:val="24"/>
        </w:rPr>
        <w:t>ideia</w:t>
      </w:r>
      <w:r>
        <w:rPr>
          <w:sz w:val="24"/>
        </w:rPr>
        <w:t> </w:t>
      </w:r>
      <w:r>
        <w:rPr>
          <w:spacing w:val="-21"/>
          <w:sz w:val="24"/>
        </w:rPr>
        <w:t> </w:t>
      </w:r>
      <w:r>
        <w:rPr>
          <w:w w:val="100"/>
          <w:sz w:val="24"/>
        </w:rPr>
        <w:t>de</w:t>
      </w:r>
      <w:r>
        <w:rPr>
          <w:sz w:val="24"/>
        </w:rPr>
        <w:t> </w:t>
      </w:r>
      <w:r>
        <w:rPr>
          <w:spacing w:val="-21"/>
          <w:sz w:val="24"/>
        </w:rPr>
        <w:t> </w:t>
      </w:r>
      <w:r>
        <w:rPr>
          <w:w w:val="100"/>
          <w:sz w:val="24"/>
        </w:rPr>
        <w:t>pla</w:t>
      </w:r>
      <w:r>
        <w:rPr>
          <w:spacing w:val="5"/>
          <w:w w:val="100"/>
          <w:sz w:val="24"/>
        </w:rPr>
        <w:t>n</w:t>
      </w:r>
      <w:r>
        <w:rPr>
          <w:sz w:val="24"/>
        </w:rPr>
        <w:t>o </w:t>
      </w:r>
      <w:r>
        <w:rPr>
          <w:spacing w:val="-20"/>
          <w:sz w:val="24"/>
        </w:rPr>
        <w:t> </w:t>
      </w:r>
      <w:r>
        <w:rPr>
          <w:spacing w:val="2"/>
          <w:w w:val="99"/>
          <w:sz w:val="24"/>
        </w:rPr>
        <w:t>s</w:t>
      </w:r>
      <w:r>
        <w:rPr>
          <w:sz w:val="24"/>
        </w:rPr>
        <w:t>e converte num instrumento de racionalidade tecnocrática consoante à </w:t>
      </w:r>
      <w:r>
        <w:rPr>
          <w:b/>
          <w:sz w:val="24"/>
        </w:rPr>
        <w:t>concepção tecnicista de educação</w:t>
      </w:r>
      <w:r>
        <w:rPr>
          <w:sz w:val="24"/>
        </w:rPr>
        <w:t>.‖ (SAVIANI, 1999, p. 128-9). (Grifos</w:t>
      </w:r>
      <w:r>
        <w:rPr>
          <w:spacing w:val="27"/>
          <w:sz w:val="24"/>
        </w:rPr>
        <w:t> </w:t>
      </w:r>
      <w:r>
        <w:rPr>
          <w:sz w:val="24"/>
        </w:rPr>
        <w:t>nossos);</w:t>
      </w:r>
    </w:p>
    <w:p>
      <w:pPr>
        <w:pStyle w:val="ListParagraph"/>
        <w:numPr>
          <w:ilvl w:val="0"/>
          <w:numId w:val="6"/>
        </w:numPr>
        <w:tabs>
          <w:tab w:pos="1163" w:val="left" w:leader="none"/>
        </w:tabs>
        <w:spacing w:line="360" w:lineRule="auto" w:before="6" w:after="0"/>
        <w:ind w:left="102" w:right="118" w:firstLine="852"/>
        <w:jc w:val="both"/>
        <w:rPr>
          <w:sz w:val="24"/>
        </w:rPr>
      </w:pPr>
      <w:r>
        <w:rPr>
          <w:spacing w:val="-1"/>
          <w:w w:val="44"/>
          <w:sz w:val="24"/>
        </w:rPr>
        <w:t>―</w:t>
      </w:r>
      <w:r>
        <w:rPr>
          <w:w w:val="100"/>
          <w:sz w:val="24"/>
        </w:rPr>
        <w:t>C</w:t>
      </w:r>
      <w:r>
        <w:rPr>
          <w:w w:val="100"/>
          <w:sz w:val="24"/>
        </w:rPr>
        <w:t>om</w:t>
      </w:r>
      <w:r>
        <w:rPr>
          <w:sz w:val="24"/>
        </w:rPr>
        <w:t> </w:t>
      </w:r>
      <w:r>
        <w:rPr>
          <w:spacing w:val="9"/>
          <w:sz w:val="24"/>
        </w:rPr>
        <w:t> </w:t>
      </w:r>
      <w:r>
        <w:rPr>
          <w:sz w:val="24"/>
        </w:rPr>
        <w:t>o </w:t>
      </w:r>
      <w:r>
        <w:rPr>
          <w:spacing w:val="9"/>
          <w:sz w:val="24"/>
        </w:rPr>
        <w:t> </w:t>
      </w:r>
      <w:r>
        <w:rPr>
          <w:spacing w:val="-1"/>
          <w:w w:val="100"/>
          <w:sz w:val="24"/>
        </w:rPr>
        <w:t>a</w:t>
      </w:r>
      <w:r>
        <w:rPr>
          <w:w w:val="100"/>
          <w:sz w:val="24"/>
        </w:rPr>
        <w:t>dv</w:t>
      </w:r>
      <w:r>
        <w:rPr>
          <w:spacing w:val="-1"/>
          <w:w w:val="100"/>
          <w:sz w:val="24"/>
        </w:rPr>
        <w:t>e</w:t>
      </w:r>
      <w:r>
        <w:rPr>
          <w:w w:val="100"/>
          <w:sz w:val="24"/>
        </w:rPr>
        <w:t>nto </w:t>
      </w:r>
      <w:r>
        <w:rPr>
          <w:spacing w:val="9"/>
          <w:w w:val="100"/>
          <w:sz w:val="24"/>
        </w:rPr>
        <w:t> </w:t>
      </w:r>
      <w:r>
        <w:rPr>
          <w:w w:val="100"/>
          <w:sz w:val="24"/>
        </w:rPr>
        <w:t>da </w:t>
      </w:r>
      <w:r>
        <w:rPr>
          <w:spacing w:val="10"/>
          <w:w w:val="100"/>
          <w:sz w:val="24"/>
        </w:rPr>
        <w:t> </w:t>
      </w:r>
      <w:r>
        <w:rPr>
          <w:spacing w:val="-1"/>
          <w:w w:val="44"/>
          <w:sz w:val="24"/>
        </w:rPr>
        <w:t>―</w:t>
      </w:r>
      <w:r>
        <w:rPr>
          <w:w w:val="99"/>
          <w:sz w:val="24"/>
        </w:rPr>
        <w:t>Nova </w:t>
      </w:r>
      <w:r>
        <w:rPr>
          <w:spacing w:val="7"/>
          <w:w w:val="99"/>
          <w:sz w:val="24"/>
        </w:rPr>
        <w:t> </w:t>
      </w:r>
      <w:r>
        <w:rPr>
          <w:w w:val="99"/>
          <w:sz w:val="24"/>
        </w:rPr>
        <w:t>R</w:t>
      </w:r>
      <w:r>
        <w:rPr>
          <w:spacing w:val="-1"/>
          <w:w w:val="100"/>
          <w:sz w:val="24"/>
        </w:rPr>
        <w:t>e</w:t>
      </w:r>
      <w:r>
        <w:rPr>
          <w:w w:val="100"/>
          <w:sz w:val="24"/>
        </w:rPr>
        <w:t>públi</w:t>
      </w:r>
      <w:r>
        <w:rPr>
          <w:spacing w:val="-1"/>
          <w:w w:val="100"/>
          <w:sz w:val="24"/>
        </w:rPr>
        <w:t>c</w:t>
      </w:r>
      <w:r>
        <w:rPr>
          <w:spacing w:val="1"/>
          <w:w w:val="100"/>
          <w:sz w:val="24"/>
        </w:rPr>
        <w:t>a</w:t>
      </w:r>
      <w:r>
        <w:rPr>
          <w:w w:val="158"/>
          <w:sz w:val="24"/>
        </w:rPr>
        <w:t>‖</w:t>
      </w:r>
      <w:r>
        <w:rPr>
          <w:sz w:val="24"/>
        </w:rPr>
        <w:t> </w:t>
      </w:r>
      <w:r>
        <w:rPr>
          <w:spacing w:val="8"/>
          <w:sz w:val="24"/>
        </w:rPr>
        <w:t> </w:t>
      </w:r>
      <w:r>
        <w:rPr>
          <w:sz w:val="24"/>
        </w:rPr>
        <w:t>p</w:t>
      </w:r>
      <w:r>
        <w:rPr>
          <w:spacing w:val="-1"/>
          <w:sz w:val="24"/>
        </w:rPr>
        <w:t>r</w:t>
      </w:r>
      <w:r>
        <w:rPr>
          <w:w w:val="100"/>
          <w:sz w:val="24"/>
        </w:rPr>
        <w:t>iv</w:t>
      </w:r>
      <w:r>
        <w:rPr>
          <w:spacing w:val="3"/>
          <w:w w:val="100"/>
          <w:sz w:val="24"/>
        </w:rPr>
        <w:t>i</w:t>
      </w:r>
      <w:r>
        <w:rPr>
          <w:w w:val="100"/>
          <w:sz w:val="24"/>
        </w:rPr>
        <w:t>le</w:t>
      </w:r>
      <w:r>
        <w:rPr>
          <w:spacing w:val="-3"/>
          <w:w w:val="100"/>
          <w:sz w:val="24"/>
        </w:rPr>
        <w:t>g</w:t>
      </w:r>
      <w:r>
        <w:rPr>
          <w:w w:val="100"/>
          <w:sz w:val="24"/>
        </w:rPr>
        <w:t>io</w:t>
      </w:r>
      <w:r>
        <w:rPr>
          <w:spacing w:val="4"/>
          <w:w w:val="100"/>
          <w:sz w:val="24"/>
        </w:rPr>
        <w:t>u</w:t>
      </w:r>
      <w:r>
        <w:rPr>
          <w:spacing w:val="-1"/>
          <w:w w:val="99"/>
          <w:sz w:val="24"/>
        </w:rPr>
        <w:t>-</w:t>
      </w:r>
      <w:r>
        <w:rPr>
          <w:spacing w:val="2"/>
          <w:w w:val="99"/>
          <w:sz w:val="24"/>
        </w:rPr>
        <w:t>s</w:t>
      </w:r>
      <w:r>
        <w:rPr>
          <w:sz w:val="24"/>
        </w:rPr>
        <w:t>e </w:t>
      </w:r>
      <w:r>
        <w:rPr>
          <w:spacing w:val="8"/>
          <w:sz w:val="24"/>
        </w:rPr>
        <w:t> </w:t>
      </w:r>
      <w:r>
        <w:rPr>
          <w:sz w:val="24"/>
        </w:rPr>
        <w:t>uma </w:t>
      </w:r>
      <w:r>
        <w:rPr>
          <w:spacing w:val="8"/>
          <w:sz w:val="24"/>
        </w:rPr>
        <w:t> </w:t>
      </w:r>
      <w:r>
        <w:rPr>
          <w:spacing w:val="-1"/>
          <w:sz w:val="24"/>
        </w:rPr>
        <w:t>e</w:t>
      </w:r>
      <w:r>
        <w:rPr>
          <w:w w:val="99"/>
          <w:sz w:val="24"/>
        </w:rPr>
        <w:t>st</w:t>
      </w:r>
      <w:r>
        <w:rPr>
          <w:spacing w:val="2"/>
          <w:w w:val="99"/>
          <w:sz w:val="24"/>
        </w:rPr>
        <w:t>r</w:t>
      </w:r>
      <w:r>
        <w:rPr>
          <w:spacing w:val="-1"/>
          <w:sz w:val="24"/>
        </w:rPr>
        <w:t>a</w:t>
      </w:r>
      <w:r>
        <w:rPr>
          <w:sz w:val="24"/>
        </w:rPr>
        <w:t>t</w:t>
      </w:r>
      <w:r>
        <w:rPr>
          <w:spacing w:val="1"/>
          <w:sz w:val="24"/>
        </w:rPr>
        <w:t>é</w:t>
      </w:r>
      <w:r>
        <w:rPr>
          <w:spacing w:val="-3"/>
          <w:sz w:val="24"/>
        </w:rPr>
        <w:t>g</w:t>
      </w:r>
      <w:r>
        <w:rPr>
          <w:sz w:val="24"/>
        </w:rPr>
        <w:t>ia </w:t>
      </w:r>
      <w:r>
        <w:rPr>
          <w:spacing w:val="8"/>
          <w:sz w:val="24"/>
        </w:rPr>
        <w:t> </w:t>
      </w:r>
      <w:r>
        <w:rPr>
          <w:sz w:val="24"/>
        </w:rPr>
        <w:t>de repasse aos Estados e Municípios, com objetivos clientelistas, [...] passando de uma estratégia de formulação de políticas, planejamento e gestão tecnocrática, concentrada no topo da pirâmide no governo autoritário, para o pólo oposto, da fragmentação e do descontrole, justificado pela </w:t>
      </w:r>
      <w:r>
        <w:rPr>
          <w:b/>
          <w:sz w:val="24"/>
        </w:rPr>
        <w:t>descentralização, mas imposto e mantido por mecanismos autoritários</w:t>
      </w:r>
      <w:r>
        <w:rPr>
          <w:sz w:val="24"/>
        </w:rPr>
        <w:t>‖ (SAVIANI, 1999, p. 129). (Grifos</w:t>
      </w:r>
      <w:r>
        <w:rPr>
          <w:spacing w:val="23"/>
          <w:sz w:val="24"/>
        </w:rPr>
        <w:t> </w:t>
      </w:r>
      <w:r>
        <w:rPr>
          <w:sz w:val="24"/>
        </w:rPr>
        <w:t>nossos);</w:t>
      </w:r>
    </w:p>
    <w:p>
      <w:pPr>
        <w:pStyle w:val="ListParagraph"/>
        <w:numPr>
          <w:ilvl w:val="0"/>
          <w:numId w:val="6"/>
        </w:numPr>
        <w:tabs>
          <w:tab w:pos="1127" w:val="left" w:leader="none"/>
        </w:tabs>
        <w:spacing w:line="360" w:lineRule="auto" w:before="6" w:after="0"/>
        <w:ind w:left="102" w:right="117" w:firstLine="852"/>
        <w:jc w:val="both"/>
        <w:rPr>
          <w:sz w:val="24"/>
        </w:rPr>
      </w:pPr>
      <w:r>
        <w:rPr>
          <w:spacing w:val="-1"/>
          <w:w w:val="100"/>
          <w:sz w:val="24"/>
        </w:rPr>
        <w:t>e</w:t>
      </w:r>
      <w:r>
        <w:rPr>
          <w:w w:val="100"/>
          <w:sz w:val="24"/>
        </w:rPr>
        <w:t>m</w:t>
      </w:r>
      <w:r>
        <w:rPr>
          <w:sz w:val="24"/>
        </w:rPr>
        <w:t> </w:t>
      </w:r>
      <w:r>
        <w:rPr>
          <w:spacing w:val="-27"/>
          <w:sz w:val="24"/>
        </w:rPr>
        <w:t> </w:t>
      </w:r>
      <w:r>
        <w:rPr>
          <w:sz w:val="24"/>
        </w:rPr>
        <w:t>1993, </w:t>
      </w:r>
      <w:r>
        <w:rPr>
          <w:spacing w:val="-27"/>
          <w:sz w:val="24"/>
        </w:rPr>
        <w:t> </w:t>
      </w:r>
      <w:r>
        <w:rPr>
          <w:sz w:val="24"/>
        </w:rPr>
        <w:t>o </w:t>
      </w:r>
      <w:r>
        <w:rPr>
          <w:spacing w:val="-27"/>
          <w:sz w:val="24"/>
        </w:rPr>
        <w:t> </w:t>
      </w:r>
      <w:r>
        <w:rPr>
          <w:w w:val="99"/>
          <w:sz w:val="24"/>
        </w:rPr>
        <w:t>P</w:t>
      </w:r>
      <w:r>
        <w:rPr>
          <w:w w:val="100"/>
          <w:sz w:val="24"/>
        </w:rPr>
        <w:t>lano</w:t>
      </w:r>
      <w:r>
        <w:rPr>
          <w:sz w:val="24"/>
        </w:rPr>
        <w:t> </w:t>
      </w:r>
      <w:r>
        <w:rPr>
          <w:spacing w:val="-28"/>
          <w:sz w:val="24"/>
        </w:rPr>
        <w:t> </w:t>
      </w:r>
      <w:r>
        <w:rPr>
          <w:spacing w:val="1"/>
          <w:w w:val="99"/>
          <w:sz w:val="24"/>
        </w:rPr>
        <w:t>D</w:t>
      </w:r>
      <w:r>
        <w:rPr>
          <w:spacing w:val="-1"/>
          <w:w w:val="100"/>
          <w:sz w:val="24"/>
        </w:rPr>
        <w:t>e</w:t>
      </w:r>
      <w:r>
        <w:rPr>
          <w:spacing w:val="1"/>
          <w:w w:val="100"/>
          <w:sz w:val="24"/>
        </w:rPr>
        <w:t>c</w:t>
      </w:r>
      <w:r>
        <w:rPr>
          <w:spacing w:val="-1"/>
          <w:w w:val="100"/>
          <w:sz w:val="24"/>
        </w:rPr>
        <w:t>e</w:t>
      </w:r>
      <w:r>
        <w:rPr>
          <w:w w:val="100"/>
          <w:sz w:val="24"/>
        </w:rPr>
        <w:t>n</w:t>
      </w:r>
      <w:r>
        <w:rPr>
          <w:spacing w:val="-1"/>
          <w:w w:val="100"/>
          <w:sz w:val="24"/>
        </w:rPr>
        <w:t>a</w:t>
      </w:r>
      <w:r>
        <w:rPr>
          <w:w w:val="100"/>
          <w:sz w:val="24"/>
        </w:rPr>
        <w:t>l</w:t>
      </w:r>
      <w:r>
        <w:rPr>
          <w:sz w:val="24"/>
        </w:rPr>
        <w:t> </w:t>
      </w:r>
      <w:r>
        <w:rPr>
          <w:spacing w:val="-27"/>
          <w:sz w:val="24"/>
        </w:rPr>
        <w:t> </w:t>
      </w:r>
      <w:r>
        <w:rPr>
          <w:w w:val="100"/>
          <w:sz w:val="24"/>
        </w:rPr>
        <w:t>de</w:t>
      </w:r>
      <w:r>
        <w:rPr>
          <w:sz w:val="24"/>
        </w:rPr>
        <w:t> </w:t>
      </w:r>
      <w:r>
        <w:rPr>
          <w:spacing w:val="-28"/>
          <w:sz w:val="24"/>
        </w:rPr>
        <w:t> </w:t>
      </w:r>
      <w:r>
        <w:rPr>
          <w:sz w:val="24"/>
        </w:rPr>
        <w:t>Ed</w:t>
      </w:r>
      <w:r>
        <w:rPr>
          <w:spacing w:val="1"/>
          <w:sz w:val="24"/>
        </w:rPr>
        <w:t>u</w:t>
      </w:r>
      <w:r>
        <w:rPr>
          <w:spacing w:val="-1"/>
          <w:w w:val="100"/>
          <w:sz w:val="24"/>
        </w:rPr>
        <w:t>c</w:t>
      </w:r>
      <w:r>
        <w:rPr>
          <w:spacing w:val="1"/>
          <w:w w:val="100"/>
          <w:sz w:val="24"/>
        </w:rPr>
        <w:t>a</w:t>
      </w:r>
      <w:r>
        <w:rPr>
          <w:spacing w:val="-1"/>
          <w:w w:val="100"/>
          <w:sz w:val="24"/>
        </w:rPr>
        <w:t>çã</w:t>
      </w:r>
      <w:r>
        <w:rPr>
          <w:sz w:val="24"/>
        </w:rPr>
        <w:t>o </w:t>
      </w:r>
      <w:r>
        <w:rPr>
          <w:spacing w:val="-27"/>
          <w:sz w:val="24"/>
        </w:rPr>
        <w:t> </w:t>
      </w:r>
      <w:r>
        <w:rPr>
          <w:spacing w:val="2"/>
          <w:sz w:val="24"/>
        </w:rPr>
        <w:t>p</w:t>
      </w:r>
      <w:r>
        <w:rPr>
          <w:spacing w:val="-1"/>
          <w:w w:val="100"/>
          <w:sz w:val="24"/>
        </w:rPr>
        <w:t>a</w:t>
      </w:r>
      <w:r>
        <w:rPr>
          <w:w w:val="100"/>
          <w:sz w:val="24"/>
        </w:rPr>
        <w:t>ra</w:t>
      </w:r>
      <w:r>
        <w:rPr>
          <w:sz w:val="24"/>
        </w:rPr>
        <w:t> </w:t>
      </w:r>
      <w:r>
        <w:rPr>
          <w:spacing w:val="-26"/>
          <w:sz w:val="24"/>
        </w:rPr>
        <w:t> </w:t>
      </w:r>
      <w:r>
        <w:rPr>
          <w:sz w:val="24"/>
        </w:rPr>
        <w:t>Todos, </w:t>
      </w:r>
      <w:r>
        <w:rPr>
          <w:spacing w:val="-27"/>
          <w:sz w:val="24"/>
        </w:rPr>
        <w:t> </w:t>
      </w:r>
      <w:r>
        <w:rPr>
          <w:spacing w:val="-1"/>
          <w:w w:val="44"/>
          <w:sz w:val="24"/>
        </w:rPr>
        <w:t>―</w:t>
      </w:r>
      <w:r>
        <w:rPr>
          <w:w w:val="100"/>
          <w:sz w:val="24"/>
        </w:rPr>
        <w:t>Em</w:t>
      </w:r>
      <w:r>
        <w:rPr>
          <w:sz w:val="24"/>
        </w:rPr>
        <w:t> </w:t>
      </w:r>
      <w:r>
        <w:rPr>
          <w:spacing w:val="-27"/>
          <w:sz w:val="24"/>
        </w:rPr>
        <w:t> </w:t>
      </w:r>
      <w:r>
        <w:rPr>
          <w:w w:val="100"/>
          <w:sz w:val="24"/>
        </w:rPr>
        <w:t>v</w:t>
      </w:r>
      <w:r>
        <w:rPr>
          <w:spacing w:val="-1"/>
          <w:w w:val="100"/>
          <w:sz w:val="24"/>
        </w:rPr>
        <w:t>e</w:t>
      </w:r>
      <w:r>
        <w:rPr>
          <w:w w:val="99"/>
          <w:sz w:val="24"/>
        </w:rPr>
        <w:t>r</w:t>
      </w:r>
      <w:r>
        <w:rPr>
          <w:spacing w:val="1"/>
          <w:w w:val="99"/>
          <w:sz w:val="24"/>
        </w:rPr>
        <w:t>d</w:t>
      </w:r>
      <w:r>
        <w:rPr>
          <w:spacing w:val="-1"/>
          <w:w w:val="100"/>
          <w:sz w:val="24"/>
        </w:rPr>
        <w:t>a</w:t>
      </w:r>
      <w:r>
        <w:rPr>
          <w:w w:val="100"/>
          <w:sz w:val="24"/>
        </w:rPr>
        <w:t>d</w:t>
      </w:r>
      <w:r>
        <w:rPr>
          <w:spacing w:val="-1"/>
          <w:w w:val="100"/>
          <w:sz w:val="24"/>
        </w:rPr>
        <w:t>e</w:t>
      </w:r>
      <w:r>
        <w:rPr>
          <w:sz w:val="24"/>
        </w:rPr>
        <w:t>, </w:t>
      </w:r>
      <w:r>
        <w:rPr>
          <w:spacing w:val="-25"/>
          <w:sz w:val="24"/>
        </w:rPr>
        <w:t> </w:t>
      </w:r>
      <w:r>
        <w:rPr>
          <w:spacing w:val="-1"/>
          <w:w w:val="100"/>
          <w:sz w:val="24"/>
        </w:rPr>
        <w:t>a</w:t>
      </w:r>
      <w:r>
        <w:rPr>
          <w:sz w:val="24"/>
        </w:rPr>
        <w:t>o </w:t>
      </w:r>
      <w:r>
        <w:rPr>
          <w:spacing w:val="-25"/>
          <w:sz w:val="24"/>
        </w:rPr>
        <w:t> </w:t>
      </w:r>
      <w:r>
        <w:rPr>
          <w:w w:val="100"/>
          <w:sz w:val="24"/>
        </w:rPr>
        <w:t>que </w:t>
      </w:r>
      <w:r>
        <w:rPr>
          <w:sz w:val="24"/>
        </w:rPr>
        <w:t>parece, [...] foi formulado mais em conformidade com o </w:t>
      </w:r>
      <w:r>
        <w:rPr>
          <w:b/>
          <w:sz w:val="24"/>
        </w:rPr>
        <w:t>objetivo pragmático de atender a condições internacionais de obtenção de financiamento </w:t>
      </w:r>
      <w:r>
        <w:rPr>
          <w:sz w:val="24"/>
        </w:rPr>
        <w:t>para a educação, em</w:t>
      </w:r>
      <w:r>
        <w:rPr>
          <w:spacing w:val="40"/>
          <w:sz w:val="24"/>
        </w:rPr>
        <w:t> </w:t>
      </w:r>
      <w:r>
        <w:rPr>
          <w:sz w:val="24"/>
        </w:rPr>
        <w:t>especial</w:t>
      </w:r>
      <w:r>
        <w:rPr>
          <w:spacing w:val="40"/>
          <w:sz w:val="24"/>
        </w:rPr>
        <w:t> </w:t>
      </w:r>
      <w:r>
        <w:rPr>
          <w:sz w:val="24"/>
        </w:rPr>
        <w:t>aquele</w:t>
      </w:r>
      <w:r>
        <w:rPr>
          <w:spacing w:val="39"/>
          <w:sz w:val="24"/>
        </w:rPr>
        <w:t> </w:t>
      </w:r>
      <w:r>
        <w:rPr>
          <w:sz w:val="24"/>
        </w:rPr>
        <w:t>de</w:t>
      </w:r>
      <w:r>
        <w:rPr>
          <w:spacing w:val="39"/>
          <w:sz w:val="24"/>
        </w:rPr>
        <w:t> </w:t>
      </w:r>
      <w:r>
        <w:rPr>
          <w:sz w:val="24"/>
        </w:rPr>
        <w:t>algum</w:t>
      </w:r>
      <w:r>
        <w:rPr>
          <w:spacing w:val="40"/>
          <w:sz w:val="24"/>
        </w:rPr>
        <w:t> </w:t>
      </w:r>
      <w:r>
        <w:rPr>
          <w:sz w:val="24"/>
        </w:rPr>
        <w:t>modo</w:t>
      </w:r>
      <w:r>
        <w:rPr>
          <w:spacing w:val="40"/>
          <w:sz w:val="24"/>
        </w:rPr>
        <w:t> </w:t>
      </w:r>
      <w:r>
        <w:rPr>
          <w:sz w:val="24"/>
        </w:rPr>
        <w:t>ligado</w:t>
      </w:r>
      <w:r>
        <w:rPr>
          <w:spacing w:val="40"/>
          <w:sz w:val="24"/>
        </w:rPr>
        <w:t> </w:t>
      </w:r>
      <w:r>
        <w:rPr>
          <w:sz w:val="24"/>
        </w:rPr>
        <w:t>ao</w:t>
      </w:r>
      <w:r>
        <w:rPr>
          <w:spacing w:val="40"/>
          <w:sz w:val="24"/>
        </w:rPr>
        <w:t> </w:t>
      </w:r>
      <w:r>
        <w:rPr>
          <w:sz w:val="24"/>
        </w:rPr>
        <w:t>Banco</w:t>
      </w:r>
      <w:r>
        <w:rPr>
          <w:spacing w:val="40"/>
          <w:sz w:val="24"/>
        </w:rPr>
        <w:t> </w:t>
      </w:r>
      <w:r>
        <w:rPr>
          <w:sz w:val="24"/>
        </w:rPr>
        <w:t>Mundial.‖</w:t>
      </w:r>
      <w:r>
        <w:rPr>
          <w:spacing w:val="39"/>
          <w:sz w:val="24"/>
        </w:rPr>
        <w:t> </w:t>
      </w:r>
      <w:r>
        <w:rPr>
          <w:sz w:val="24"/>
        </w:rPr>
        <w:t>(SAVIANI,</w:t>
      </w:r>
      <w:r>
        <w:rPr>
          <w:spacing w:val="40"/>
          <w:sz w:val="24"/>
        </w:rPr>
        <w:t> </w:t>
      </w:r>
      <w:r>
        <w:rPr>
          <w:sz w:val="24"/>
        </w:rPr>
        <w:t>1999,</w:t>
      </w:r>
      <w:r>
        <w:rPr>
          <w:spacing w:val="42"/>
          <w:sz w:val="24"/>
        </w:rPr>
        <w:t> </w:t>
      </w:r>
      <w:r>
        <w:rPr>
          <w:sz w:val="24"/>
        </w:rPr>
        <w:t>p.</w:t>
      </w:r>
    </w:p>
    <w:p>
      <w:pPr>
        <w:pStyle w:val="BodyText"/>
        <w:spacing w:before="6"/>
        <w:ind w:left="102"/>
        <w:jc w:val="both"/>
      </w:pPr>
      <w:r>
        <w:rPr/>
        <w:t>129) (Grifos nossos);</w:t>
      </w:r>
    </w:p>
    <w:p>
      <w:pPr>
        <w:pStyle w:val="BodyText"/>
        <w:rPr>
          <w:sz w:val="26"/>
        </w:rPr>
      </w:pPr>
    </w:p>
    <w:p>
      <w:pPr>
        <w:pStyle w:val="BodyText"/>
        <w:rPr>
          <w:sz w:val="22"/>
        </w:rPr>
      </w:pPr>
    </w:p>
    <w:p>
      <w:pPr>
        <w:pStyle w:val="ListParagraph"/>
        <w:numPr>
          <w:ilvl w:val="2"/>
          <w:numId w:val="5"/>
        </w:numPr>
        <w:tabs>
          <w:tab w:pos="1518" w:val="left" w:leader="none"/>
        </w:tabs>
        <w:spacing w:line="360" w:lineRule="auto" w:before="0" w:after="0"/>
        <w:ind w:left="102" w:right="117" w:firstLine="852"/>
        <w:jc w:val="both"/>
        <w:rPr>
          <w:sz w:val="24"/>
        </w:rPr>
      </w:pPr>
      <w:r>
        <w:rPr>
          <w:sz w:val="24"/>
        </w:rPr>
        <w:t>nos anos 1990, no governo Fernando Henrique Cardoso, o planejamento </w:t>
      </w:r>
      <w:r>
        <w:rPr>
          <w:w w:val="99"/>
          <w:sz w:val="24"/>
        </w:rPr>
        <w:t>sust</w:t>
      </w:r>
      <w:r>
        <w:rPr>
          <w:spacing w:val="-1"/>
          <w:sz w:val="24"/>
        </w:rPr>
        <w:t>e</w:t>
      </w:r>
      <w:r>
        <w:rPr>
          <w:sz w:val="24"/>
        </w:rPr>
        <w:t>nt</w:t>
      </w:r>
      <w:r>
        <w:rPr>
          <w:spacing w:val="-1"/>
          <w:sz w:val="24"/>
        </w:rPr>
        <w:t>a-</w:t>
      </w:r>
      <w:r>
        <w:rPr>
          <w:w w:val="99"/>
          <w:sz w:val="24"/>
        </w:rPr>
        <w:t>se</w:t>
      </w:r>
      <w:r>
        <w:rPr>
          <w:sz w:val="24"/>
        </w:rPr>
        <w:t> </w:t>
      </w:r>
      <w:r>
        <w:rPr>
          <w:spacing w:val="-25"/>
          <w:sz w:val="24"/>
        </w:rPr>
        <w:t> </w:t>
      </w:r>
      <w:r>
        <w:rPr>
          <w:sz w:val="24"/>
        </w:rPr>
        <w:t>p</w:t>
      </w:r>
      <w:r>
        <w:rPr>
          <w:spacing w:val="-1"/>
          <w:sz w:val="24"/>
        </w:rPr>
        <w:t>e</w:t>
      </w:r>
      <w:r>
        <w:rPr>
          <w:sz w:val="24"/>
        </w:rPr>
        <w:t>la </w:t>
      </w:r>
      <w:r>
        <w:rPr>
          <w:spacing w:val="-22"/>
          <w:sz w:val="24"/>
        </w:rPr>
        <w:t> </w:t>
      </w:r>
      <w:r>
        <w:rPr>
          <w:b/>
          <w:spacing w:val="-1"/>
          <w:sz w:val="24"/>
        </w:rPr>
        <w:t>r</w:t>
      </w:r>
      <w:r>
        <w:rPr>
          <w:b/>
          <w:sz w:val="24"/>
        </w:rPr>
        <w:t>a</w:t>
      </w:r>
      <w:r>
        <w:rPr>
          <w:b/>
          <w:spacing w:val="-1"/>
          <w:sz w:val="24"/>
        </w:rPr>
        <w:t>c</w:t>
      </w:r>
      <w:r>
        <w:rPr>
          <w:b/>
          <w:w w:val="99"/>
          <w:sz w:val="24"/>
        </w:rPr>
        <w:t>io</w:t>
      </w:r>
      <w:r>
        <w:rPr>
          <w:b/>
          <w:spacing w:val="1"/>
          <w:w w:val="99"/>
          <w:sz w:val="24"/>
        </w:rPr>
        <w:t>n</w:t>
      </w:r>
      <w:r>
        <w:rPr>
          <w:b/>
          <w:sz w:val="24"/>
        </w:rPr>
        <w:t>ali</w:t>
      </w:r>
      <w:r>
        <w:rPr>
          <w:b/>
          <w:w w:val="99"/>
          <w:sz w:val="24"/>
        </w:rPr>
        <w:t>d</w:t>
      </w:r>
      <w:r>
        <w:rPr>
          <w:b/>
          <w:w w:val="99"/>
          <w:sz w:val="24"/>
        </w:rPr>
        <w:t>ad</w:t>
      </w:r>
      <w:r>
        <w:rPr>
          <w:b/>
          <w:sz w:val="24"/>
        </w:rPr>
        <w:t>e </w:t>
      </w:r>
      <w:r>
        <w:rPr>
          <w:b/>
          <w:spacing w:val="-28"/>
          <w:sz w:val="24"/>
        </w:rPr>
        <w:t> </w:t>
      </w:r>
      <w:r>
        <w:rPr>
          <w:b/>
          <w:spacing w:val="1"/>
          <w:sz w:val="24"/>
        </w:rPr>
        <w:t>f</w:t>
      </w:r>
      <w:r>
        <w:rPr>
          <w:b/>
          <w:w w:val="99"/>
          <w:sz w:val="24"/>
        </w:rPr>
        <w:t>i</w:t>
      </w:r>
      <w:r>
        <w:rPr>
          <w:b/>
          <w:spacing w:val="1"/>
          <w:w w:val="99"/>
          <w:sz w:val="24"/>
        </w:rPr>
        <w:t>n</w:t>
      </w:r>
      <w:r>
        <w:rPr>
          <w:b/>
          <w:w w:val="99"/>
          <w:sz w:val="24"/>
        </w:rPr>
        <w:t>an</w:t>
      </w:r>
      <w:r>
        <w:rPr>
          <w:b/>
          <w:spacing w:val="-1"/>
          <w:sz w:val="24"/>
        </w:rPr>
        <w:t>ce</w:t>
      </w:r>
      <w:r>
        <w:rPr>
          <w:b/>
          <w:sz w:val="24"/>
        </w:rPr>
        <w:t>ira </w:t>
      </w:r>
      <w:r>
        <w:rPr>
          <w:b/>
          <w:spacing w:val="-25"/>
          <w:sz w:val="24"/>
        </w:rPr>
        <w:t> </w:t>
      </w:r>
      <w:r>
        <w:rPr>
          <w:b/>
          <w:w w:val="99"/>
          <w:sz w:val="24"/>
        </w:rPr>
        <w:t>d</w:t>
      </w:r>
      <w:r>
        <w:rPr>
          <w:b/>
          <w:sz w:val="24"/>
        </w:rPr>
        <w:t>a </w:t>
      </w:r>
      <w:r>
        <w:rPr>
          <w:b/>
          <w:spacing w:val="-25"/>
          <w:sz w:val="24"/>
        </w:rPr>
        <w:t> </w:t>
      </w:r>
      <w:r>
        <w:rPr>
          <w:b/>
          <w:spacing w:val="-1"/>
          <w:sz w:val="24"/>
        </w:rPr>
        <w:t>e</w:t>
      </w:r>
      <w:r>
        <w:rPr>
          <w:b/>
          <w:spacing w:val="-2"/>
          <w:w w:val="99"/>
          <w:sz w:val="24"/>
        </w:rPr>
        <w:t>d</w:t>
      </w:r>
      <w:r>
        <w:rPr>
          <w:b/>
          <w:w w:val="99"/>
          <w:sz w:val="24"/>
        </w:rPr>
        <w:t>u</w:t>
      </w:r>
      <w:r>
        <w:rPr>
          <w:b/>
          <w:spacing w:val="-1"/>
          <w:sz w:val="24"/>
        </w:rPr>
        <w:t>c</w:t>
      </w:r>
      <w:r>
        <w:rPr>
          <w:b/>
          <w:sz w:val="24"/>
        </w:rPr>
        <w:t>a</w:t>
      </w:r>
      <w:r>
        <w:rPr>
          <w:b/>
          <w:spacing w:val="-1"/>
          <w:sz w:val="24"/>
        </w:rPr>
        <w:t>ç</w:t>
      </w:r>
      <w:r>
        <w:rPr>
          <w:b/>
          <w:sz w:val="24"/>
        </w:rPr>
        <w:t>ã</w:t>
      </w:r>
      <w:r>
        <w:rPr>
          <w:b/>
          <w:spacing w:val="3"/>
          <w:sz w:val="24"/>
        </w:rPr>
        <w:t>o</w:t>
      </w:r>
      <w:r>
        <w:rPr>
          <w:w w:val="100"/>
          <w:sz w:val="24"/>
        </w:rPr>
        <w:t>:</w:t>
      </w:r>
      <w:r>
        <w:rPr>
          <w:sz w:val="24"/>
        </w:rPr>
        <w:t> </w:t>
      </w:r>
      <w:r>
        <w:rPr>
          <w:spacing w:val="-24"/>
          <w:sz w:val="24"/>
        </w:rPr>
        <w:t> </w:t>
      </w:r>
      <w:r>
        <w:rPr>
          <w:spacing w:val="-1"/>
          <w:w w:val="44"/>
          <w:sz w:val="24"/>
        </w:rPr>
        <w:t>―</w:t>
      </w:r>
      <w:r>
        <w:rPr>
          <w:w w:val="99"/>
          <w:sz w:val="24"/>
        </w:rPr>
        <w:t>D</w:t>
      </w:r>
      <w:r>
        <w:rPr>
          <w:spacing w:val="-2"/>
          <w:w w:val="99"/>
          <w:sz w:val="24"/>
        </w:rPr>
        <w:t>e</w:t>
      </w:r>
      <w:r>
        <w:rPr>
          <w:spacing w:val="2"/>
          <w:sz w:val="24"/>
        </w:rPr>
        <w:t>v</w:t>
      </w:r>
      <w:r>
        <w:rPr>
          <w:spacing w:val="-1"/>
          <w:sz w:val="24"/>
        </w:rPr>
        <w:t>e-</w:t>
      </w:r>
      <w:r>
        <w:rPr>
          <w:w w:val="99"/>
          <w:sz w:val="24"/>
        </w:rPr>
        <w:t>se</w:t>
      </w:r>
      <w:r>
        <w:rPr>
          <w:sz w:val="24"/>
        </w:rPr>
        <w:t> </w:t>
      </w:r>
      <w:r>
        <w:rPr>
          <w:spacing w:val="-25"/>
          <w:sz w:val="24"/>
        </w:rPr>
        <w:t> </w:t>
      </w:r>
      <w:r>
        <w:rPr>
          <w:sz w:val="24"/>
        </w:rPr>
        <w:t>not</w:t>
      </w:r>
      <w:r>
        <w:rPr>
          <w:spacing w:val="1"/>
          <w:sz w:val="24"/>
        </w:rPr>
        <w:t>a</w:t>
      </w:r>
      <w:r>
        <w:rPr>
          <w:sz w:val="24"/>
        </w:rPr>
        <w:t>r </w:t>
      </w:r>
      <w:r>
        <w:rPr>
          <w:spacing w:val="-23"/>
          <w:sz w:val="24"/>
        </w:rPr>
        <w:t> </w:t>
      </w:r>
      <w:r>
        <w:rPr>
          <w:sz w:val="24"/>
        </w:rPr>
        <w:t>que </w:t>
      </w:r>
      <w:r>
        <w:rPr>
          <w:spacing w:val="-26"/>
          <w:sz w:val="24"/>
        </w:rPr>
        <w:t> </w:t>
      </w:r>
      <w:r>
        <w:rPr>
          <w:sz w:val="24"/>
        </w:rPr>
        <w:t>o </w:t>
      </w:r>
      <w:r>
        <w:rPr>
          <w:spacing w:val="-25"/>
          <w:sz w:val="24"/>
        </w:rPr>
        <w:t> </w:t>
      </w:r>
      <w:r>
        <w:rPr>
          <w:sz w:val="24"/>
        </w:rPr>
        <w:t>plano agora apresentado pelo MEC explicitamente se reporta ao Plano Decenal de Educação para Todos, colocando-se, portanto, como sua continuidade. [...] dado o empenho em </w:t>
      </w:r>
      <w:r>
        <w:rPr>
          <w:b/>
          <w:sz w:val="24"/>
        </w:rPr>
        <w:t>reorganizar a educação sob a égide da redução de custos traduzida na busca da eficiência sem novos investimentos</w:t>
      </w:r>
      <w:r>
        <w:rPr>
          <w:sz w:val="24"/>
        </w:rPr>
        <w:t>, essa proposta se revela um instrumento de </w:t>
      </w:r>
      <w:r>
        <w:rPr>
          <w:b/>
          <w:sz w:val="24"/>
        </w:rPr>
        <w:t>introdução da racionalidade financeira na educação.</w:t>
      </w:r>
      <w:r>
        <w:rPr>
          <w:sz w:val="24"/>
        </w:rPr>
        <w:t>‖ (SAVIANI, 1999, p. 130) (Grifos</w:t>
      </w:r>
      <w:r>
        <w:rPr>
          <w:spacing w:val="-4"/>
          <w:sz w:val="24"/>
        </w:rPr>
        <w:t> </w:t>
      </w:r>
      <w:r>
        <w:rPr>
          <w:sz w:val="24"/>
        </w:rPr>
        <w:t>nossos);</w:t>
      </w:r>
    </w:p>
    <w:p>
      <w:pPr>
        <w:pStyle w:val="BodyText"/>
        <w:spacing w:before="5"/>
        <w:rPr>
          <w:sz w:val="36"/>
        </w:rPr>
      </w:pPr>
    </w:p>
    <w:p>
      <w:pPr>
        <w:pStyle w:val="ListParagraph"/>
        <w:numPr>
          <w:ilvl w:val="2"/>
          <w:numId w:val="5"/>
        </w:numPr>
        <w:tabs>
          <w:tab w:pos="1518" w:val="left" w:leader="none"/>
        </w:tabs>
        <w:spacing w:line="360" w:lineRule="auto" w:before="0" w:after="0"/>
        <w:ind w:left="102" w:right="119" w:firstLine="852"/>
        <w:jc w:val="both"/>
        <w:rPr>
          <w:sz w:val="24"/>
        </w:rPr>
      </w:pPr>
      <w:r>
        <w:rPr>
          <w:sz w:val="24"/>
        </w:rPr>
        <w:t>no final dos anos 1990, continua a tensão entre a racionalidade financeira e</w:t>
      </w:r>
      <w:r>
        <w:rPr>
          <w:spacing w:val="8"/>
          <w:sz w:val="24"/>
        </w:rPr>
        <w:t> </w:t>
      </w:r>
      <w:r>
        <w:rPr>
          <w:sz w:val="24"/>
        </w:rPr>
        <w:t>a</w:t>
      </w:r>
      <w:r>
        <w:rPr>
          <w:spacing w:val="8"/>
          <w:sz w:val="24"/>
        </w:rPr>
        <w:t> </w:t>
      </w:r>
      <w:r>
        <w:rPr>
          <w:b/>
          <w:spacing w:val="-1"/>
          <w:sz w:val="24"/>
        </w:rPr>
        <w:t>r</w:t>
      </w:r>
      <w:r>
        <w:rPr>
          <w:b/>
          <w:spacing w:val="2"/>
          <w:sz w:val="24"/>
        </w:rPr>
        <w:t>a</w:t>
      </w:r>
      <w:r>
        <w:rPr>
          <w:b/>
          <w:spacing w:val="-1"/>
          <w:sz w:val="24"/>
        </w:rPr>
        <w:t>c</w:t>
      </w:r>
      <w:r>
        <w:rPr>
          <w:b/>
          <w:w w:val="99"/>
          <w:sz w:val="24"/>
        </w:rPr>
        <w:t>io</w:t>
      </w:r>
      <w:r>
        <w:rPr>
          <w:b/>
          <w:spacing w:val="1"/>
          <w:w w:val="99"/>
          <w:sz w:val="24"/>
        </w:rPr>
        <w:t>n</w:t>
      </w:r>
      <w:r>
        <w:rPr>
          <w:b/>
          <w:sz w:val="24"/>
        </w:rPr>
        <w:t>ali</w:t>
      </w:r>
      <w:r>
        <w:rPr>
          <w:b/>
          <w:w w:val="99"/>
          <w:sz w:val="24"/>
        </w:rPr>
        <w:t>d</w:t>
      </w:r>
      <w:r>
        <w:rPr>
          <w:b/>
          <w:w w:val="99"/>
          <w:sz w:val="24"/>
        </w:rPr>
        <w:t>ad</w:t>
      </w:r>
      <w:r>
        <w:rPr>
          <w:b/>
          <w:sz w:val="24"/>
        </w:rPr>
        <w:t>e</w:t>
      </w:r>
      <w:r>
        <w:rPr>
          <w:b/>
          <w:spacing w:val="8"/>
          <w:sz w:val="24"/>
        </w:rPr>
        <w:t> </w:t>
      </w:r>
      <w:r>
        <w:rPr>
          <w:b/>
          <w:sz w:val="24"/>
        </w:rPr>
        <w:t>social</w:t>
      </w:r>
      <w:r>
        <w:rPr>
          <w:b/>
          <w:spacing w:val="7"/>
          <w:sz w:val="24"/>
        </w:rPr>
        <w:t> </w:t>
      </w:r>
      <w:r>
        <w:rPr>
          <w:b/>
          <w:w w:val="99"/>
          <w:sz w:val="24"/>
        </w:rPr>
        <w:t>n</w:t>
      </w:r>
      <w:r>
        <w:rPr>
          <w:b/>
          <w:sz w:val="24"/>
        </w:rPr>
        <w:t>a</w:t>
      </w:r>
      <w:r>
        <w:rPr>
          <w:b/>
          <w:spacing w:val="9"/>
          <w:sz w:val="24"/>
        </w:rPr>
        <w:t> </w:t>
      </w:r>
      <w:r>
        <w:rPr>
          <w:b/>
          <w:spacing w:val="-1"/>
          <w:sz w:val="24"/>
        </w:rPr>
        <w:t>e</w:t>
      </w:r>
      <w:r>
        <w:rPr>
          <w:b/>
          <w:w w:val="99"/>
          <w:sz w:val="24"/>
        </w:rPr>
        <w:t>du</w:t>
      </w:r>
      <w:r>
        <w:rPr>
          <w:b/>
          <w:spacing w:val="-1"/>
          <w:sz w:val="24"/>
        </w:rPr>
        <w:t>c</w:t>
      </w:r>
      <w:r>
        <w:rPr>
          <w:b/>
          <w:sz w:val="24"/>
        </w:rPr>
        <w:t>a</w:t>
      </w:r>
      <w:r>
        <w:rPr>
          <w:b/>
          <w:spacing w:val="-1"/>
          <w:sz w:val="24"/>
        </w:rPr>
        <w:t>ç</w:t>
      </w:r>
      <w:r>
        <w:rPr>
          <w:b/>
          <w:sz w:val="24"/>
        </w:rPr>
        <w:t>ã</w:t>
      </w:r>
      <w:r>
        <w:rPr>
          <w:b/>
          <w:spacing w:val="3"/>
          <w:sz w:val="24"/>
        </w:rPr>
        <w:t>o</w:t>
      </w:r>
      <w:r>
        <w:rPr>
          <w:sz w:val="24"/>
        </w:rPr>
        <w:t>,</w:t>
      </w:r>
      <w:r>
        <w:rPr>
          <w:spacing w:val="9"/>
          <w:sz w:val="24"/>
        </w:rPr>
        <w:t> </w:t>
      </w:r>
      <w:r>
        <w:rPr>
          <w:spacing w:val="-1"/>
          <w:w w:val="100"/>
          <w:sz w:val="24"/>
        </w:rPr>
        <w:t>e</w:t>
      </w:r>
      <w:r>
        <w:rPr>
          <w:w w:val="100"/>
          <w:sz w:val="24"/>
        </w:rPr>
        <w:t>stando</w:t>
      </w:r>
      <w:r>
        <w:rPr>
          <w:spacing w:val="9"/>
          <w:w w:val="100"/>
          <w:sz w:val="24"/>
        </w:rPr>
        <w:t> </w:t>
      </w:r>
      <w:r>
        <w:rPr>
          <w:w w:val="100"/>
          <w:sz w:val="24"/>
        </w:rPr>
        <w:t>a</w:t>
      </w:r>
      <w:r>
        <w:rPr>
          <w:spacing w:val="12"/>
          <w:sz w:val="24"/>
        </w:rPr>
        <w:t> </w:t>
      </w:r>
      <w:r>
        <w:rPr>
          <w:w w:val="100"/>
          <w:sz w:val="24"/>
        </w:rPr>
        <w:t>última</w:t>
      </w:r>
      <w:r>
        <w:rPr>
          <w:spacing w:val="8"/>
          <w:sz w:val="24"/>
        </w:rPr>
        <w:t> </w:t>
      </w:r>
      <w:r>
        <w:rPr>
          <w:sz w:val="24"/>
        </w:rPr>
        <w:t>no</w:t>
      </w:r>
      <w:r>
        <w:rPr>
          <w:spacing w:val="9"/>
          <w:sz w:val="24"/>
        </w:rPr>
        <w:t> </w:t>
      </w:r>
      <w:r>
        <w:rPr>
          <w:spacing w:val="-1"/>
          <w:w w:val="44"/>
          <w:sz w:val="24"/>
        </w:rPr>
        <w:t>―</w:t>
      </w:r>
      <w:r>
        <w:rPr>
          <w:spacing w:val="-1"/>
          <w:w w:val="100"/>
          <w:sz w:val="24"/>
        </w:rPr>
        <w:t>e</w:t>
      </w:r>
      <w:r>
        <w:rPr>
          <w:w w:val="100"/>
          <w:sz w:val="24"/>
        </w:rPr>
        <w:t>mpenho</w:t>
      </w:r>
      <w:r>
        <w:rPr>
          <w:spacing w:val="8"/>
          <w:w w:val="100"/>
          <w:sz w:val="24"/>
        </w:rPr>
        <w:t> </w:t>
      </w:r>
      <w:r>
        <w:rPr>
          <w:spacing w:val="-1"/>
          <w:w w:val="100"/>
          <w:sz w:val="24"/>
        </w:rPr>
        <w:t>e</w:t>
      </w:r>
      <w:r>
        <w:rPr>
          <w:w w:val="100"/>
          <w:sz w:val="24"/>
        </w:rPr>
        <w:t>m</w:t>
      </w:r>
      <w:r>
        <w:rPr>
          <w:spacing w:val="12"/>
          <w:sz w:val="24"/>
        </w:rPr>
        <w:t> </w:t>
      </w:r>
      <w:r>
        <w:rPr>
          <w:sz w:val="24"/>
        </w:rPr>
        <w:t>se</w:t>
      </w:r>
      <w:r>
        <w:rPr>
          <w:spacing w:val="8"/>
          <w:sz w:val="24"/>
        </w:rPr>
        <w:t> </w:t>
      </w:r>
      <w:r>
        <w:rPr>
          <w:spacing w:val="-3"/>
          <w:sz w:val="24"/>
        </w:rPr>
        <w:t>g</w:t>
      </w:r>
      <w:r>
        <w:rPr>
          <w:w w:val="100"/>
          <w:sz w:val="24"/>
        </w:rPr>
        <w:t>u</w:t>
      </w:r>
      <w:r>
        <w:rPr>
          <w:spacing w:val="2"/>
          <w:w w:val="100"/>
          <w:sz w:val="24"/>
        </w:rPr>
        <w:t>i</w:t>
      </w:r>
      <w:r>
        <w:rPr>
          <w:spacing w:val="-1"/>
          <w:w w:val="100"/>
          <w:sz w:val="24"/>
        </w:rPr>
        <w:t>a</w:t>
      </w:r>
      <w:r>
        <w:rPr>
          <w:w w:val="99"/>
          <w:sz w:val="24"/>
        </w:rPr>
        <w:t>r</w:t>
      </w:r>
      <w:r>
        <w:rPr>
          <w:spacing w:val="8"/>
          <w:w w:val="99"/>
          <w:sz w:val="24"/>
        </w:rPr>
        <w:t> </w:t>
      </w:r>
      <w:r>
        <w:rPr>
          <w:w w:val="100"/>
          <w:sz w:val="24"/>
        </w:rPr>
        <w:t>p</w:t>
      </w:r>
      <w:r>
        <w:rPr>
          <w:spacing w:val="-1"/>
          <w:w w:val="100"/>
          <w:sz w:val="24"/>
        </w:rPr>
        <w:t>e</w:t>
      </w:r>
      <w:r>
        <w:rPr>
          <w:w w:val="100"/>
          <w:sz w:val="24"/>
        </w:rPr>
        <w:t>lo </w:t>
      </w:r>
      <w:r>
        <w:rPr>
          <w:w w:val="99"/>
          <w:sz w:val="24"/>
        </w:rPr>
        <w:t>p</w:t>
      </w:r>
      <w:r>
        <w:rPr>
          <w:spacing w:val="-1"/>
          <w:w w:val="99"/>
          <w:sz w:val="24"/>
        </w:rPr>
        <w:t>r</w:t>
      </w:r>
      <w:r>
        <w:rPr>
          <w:w w:val="100"/>
          <w:sz w:val="24"/>
        </w:rPr>
        <w:t>incípio</w:t>
      </w:r>
      <w:r>
        <w:rPr>
          <w:sz w:val="24"/>
        </w:rPr>
        <w:t> </w:t>
      </w:r>
      <w:r>
        <w:rPr>
          <w:w w:val="100"/>
          <w:sz w:val="24"/>
        </w:rPr>
        <w:t>da</w:t>
      </w:r>
      <w:r>
        <w:rPr>
          <w:sz w:val="24"/>
        </w:rPr>
        <w:t> </w:t>
      </w:r>
      <w:r>
        <w:rPr>
          <w:spacing w:val="-2"/>
          <w:w w:val="44"/>
          <w:sz w:val="24"/>
        </w:rPr>
        <w:t>―</w:t>
      </w:r>
      <w:r>
        <w:rPr>
          <w:w w:val="100"/>
          <w:sz w:val="24"/>
        </w:rPr>
        <w:t>qu</w:t>
      </w:r>
      <w:r>
        <w:rPr>
          <w:spacing w:val="-1"/>
          <w:w w:val="100"/>
          <w:sz w:val="24"/>
        </w:rPr>
        <w:t>a</w:t>
      </w:r>
      <w:r>
        <w:rPr>
          <w:w w:val="100"/>
          <w:sz w:val="24"/>
        </w:rPr>
        <w:t>li</w:t>
      </w:r>
      <w:r>
        <w:rPr>
          <w:w w:val="100"/>
          <w:sz w:val="24"/>
        </w:rPr>
        <w:t>d</w:t>
      </w:r>
      <w:r>
        <w:rPr>
          <w:spacing w:val="-1"/>
          <w:w w:val="100"/>
          <w:sz w:val="24"/>
        </w:rPr>
        <w:t>a</w:t>
      </w:r>
      <w:r>
        <w:rPr>
          <w:spacing w:val="2"/>
          <w:sz w:val="24"/>
        </w:rPr>
        <w:t>d</w:t>
      </w:r>
      <w:r>
        <w:rPr>
          <w:w w:val="100"/>
          <w:sz w:val="24"/>
        </w:rPr>
        <w:t>e</w:t>
      </w:r>
      <w:r>
        <w:rPr>
          <w:spacing w:val="-1"/>
          <w:sz w:val="24"/>
        </w:rPr>
        <w:t> </w:t>
      </w:r>
      <w:r>
        <w:rPr>
          <w:spacing w:val="2"/>
          <w:w w:val="99"/>
          <w:sz w:val="24"/>
        </w:rPr>
        <w:t>s</w:t>
      </w:r>
      <w:r>
        <w:rPr>
          <w:w w:val="100"/>
          <w:sz w:val="24"/>
        </w:rPr>
        <w:t>o</w:t>
      </w:r>
      <w:r>
        <w:rPr>
          <w:spacing w:val="-1"/>
          <w:w w:val="100"/>
          <w:sz w:val="24"/>
        </w:rPr>
        <w:t>c</w:t>
      </w:r>
      <w:r>
        <w:rPr>
          <w:w w:val="100"/>
          <w:sz w:val="24"/>
        </w:rPr>
        <w:t>ia</w:t>
      </w:r>
      <w:r>
        <w:rPr>
          <w:spacing w:val="1"/>
          <w:w w:val="100"/>
          <w:sz w:val="24"/>
        </w:rPr>
        <w:t>l</w:t>
      </w:r>
      <w:r>
        <w:rPr>
          <w:w w:val="158"/>
          <w:sz w:val="24"/>
        </w:rPr>
        <w:t>‖</w:t>
      </w:r>
      <w:r>
        <w:rPr>
          <w:spacing w:val="-1"/>
          <w:sz w:val="24"/>
        </w:rPr>
        <w:t> (</w:t>
      </w:r>
      <w:r>
        <w:rPr>
          <w:w w:val="99"/>
          <w:sz w:val="24"/>
        </w:rPr>
        <w:t>SA</w:t>
      </w:r>
      <w:r>
        <w:rPr>
          <w:spacing w:val="1"/>
          <w:w w:val="99"/>
          <w:sz w:val="24"/>
        </w:rPr>
        <w:t>V</w:t>
      </w:r>
      <w:r>
        <w:rPr>
          <w:spacing w:val="-4"/>
          <w:w w:val="99"/>
          <w:sz w:val="24"/>
        </w:rPr>
        <w:t>I</w:t>
      </w:r>
      <w:r>
        <w:rPr>
          <w:spacing w:val="1"/>
          <w:w w:val="99"/>
          <w:sz w:val="24"/>
        </w:rPr>
        <w:t>AN</w:t>
      </w:r>
      <w:r>
        <w:rPr>
          <w:spacing w:val="-4"/>
          <w:w w:val="99"/>
          <w:sz w:val="24"/>
        </w:rPr>
        <w:t>I</w:t>
      </w:r>
      <w:r>
        <w:rPr>
          <w:w w:val="99"/>
          <w:sz w:val="24"/>
        </w:rPr>
        <w:t>, 1999,</w:t>
      </w:r>
      <w:r>
        <w:rPr>
          <w:spacing w:val="3"/>
          <w:w w:val="99"/>
          <w:sz w:val="24"/>
        </w:rPr>
        <w:t> </w:t>
      </w:r>
      <w:r>
        <w:rPr>
          <w:w w:val="99"/>
          <w:sz w:val="24"/>
        </w:rPr>
        <w:t>p. 130</w:t>
      </w:r>
      <w:r>
        <w:rPr>
          <w:spacing w:val="-1"/>
          <w:w w:val="99"/>
          <w:sz w:val="24"/>
        </w:rPr>
        <w:t>)</w:t>
      </w:r>
      <w:r>
        <w:rPr>
          <w:w w:val="99"/>
          <w:sz w:val="24"/>
        </w:rPr>
        <w:t>. </w:t>
      </w:r>
      <w:r>
        <w:rPr>
          <w:w w:val="99"/>
          <w:sz w:val="24"/>
        </w:rPr>
        <w:t>(</w:t>
      </w:r>
      <w:r>
        <w:rPr>
          <w:spacing w:val="-2"/>
          <w:w w:val="99"/>
          <w:sz w:val="24"/>
        </w:rPr>
        <w:t>G</w:t>
      </w:r>
      <w:r>
        <w:rPr>
          <w:w w:val="99"/>
          <w:sz w:val="24"/>
        </w:rPr>
        <w:t>ri</w:t>
      </w:r>
      <w:r>
        <w:rPr>
          <w:spacing w:val="-1"/>
          <w:w w:val="99"/>
          <w:sz w:val="24"/>
        </w:rPr>
        <w:t>f</w:t>
      </w:r>
      <w:r>
        <w:rPr>
          <w:w w:val="99"/>
          <w:sz w:val="24"/>
        </w:rPr>
        <w:t>os</w:t>
      </w:r>
      <w:r>
        <w:rPr>
          <w:sz w:val="24"/>
        </w:rPr>
        <w:t> </w:t>
      </w:r>
      <w:r>
        <w:rPr>
          <w:w w:val="99"/>
          <w:sz w:val="24"/>
        </w:rPr>
        <w:t>nossos</w:t>
      </w:r>
      <w:r>
        <w:rPr>
          <w:w w:val="99"/>
          <w:sz w:val="24"/>
        </w:rPr>
        <w:t>).</w:t>
      </w:r>
    </w:p>
    <w:p>
      <w:pPr>
        <w:spacing w:after="0" w:line="360" w:lineRule="auto"/>
        <w:jc w:val="both"/>
        <w:rPr>
          <w:sz w:val="24"/>
        </w:rPr>
        <w:sectPr>
          <w:pgSz w:w="11910" w:h="16840"/>
          <w:pgMar w:header="749" w:footer="0" w:top="960" w:bottom="280" w:left="1600" w:right="1580"/>
        </w:sectPr>
      </w:pPr>
    </w:p>
    <w:p>
      <w:pPr>
        <w:pStyle w:val="BodyText"/>
        <w:rPr>
          <w:sz w:val="20"/>
        </w:rPr>
      </w:pPr>
    </w:p>
    <w:p>
      <w:pPr>
        <w:pStyle w:val="Heading1"/>
        <w:numPr>
          <w:ilvl w:val="1"/>
          <w:numId w:val="5"/>
        </w:numPr>
        <w:tabs>
          <w:tab w:pos="854" w:val="left" w:leader="none"/>
        </w:tabs>
        <w:spacing w:line="362" w:lineRule="auto" w:before="215" w:after="0"/>
        <w:ind w:left="405" w:right="119" w:firstLine="0"/>
        <w:jc w:val="left"/>
      </w:pPr>
      <w:r>
        <w:rPr/>
        <w:t>Planejamento educacional no Brasil: elementos e intencionalidades no processo histórico de organização/institucionalização da</w:t>
      </w:r>
      <w:r>
        <w:rPr>
          <w:spacing w:val="-14"/>
        </w:rPr>
        <w:t> </w:t>
      </w:r>
      <w:r>
        <w:rPr/>
        <w:t>educação</w:t>
      </w:r>
    </w:p>
    <w:p>
      <w:pPr>
        <w:pStyle w:val="BodyText"/>
        <w:spacing w:before="8"/>
        <w:rPr>
          <w:b/>
          <w:sz w:val="35"/>
        </w:rPr>
      </w:pPr>
    </w:p>
    <w:p>
      <w:pPr>
        <w:pStyle w:val="BodyText"/>
        <w:spacing w:line="360" w:lineRule="auto"/>
        <w:ind w:left="122" w:right="119" w:firstLine="851"/>
        <w:jc w:val="both"/>
      </w:pPr>
      <w:r>
        <w:rPr/>
        <w:t>Na tentativa de encontrar elementos históricos do planejamento educacional, Coombs (1981, p. 13) descreve que Platão, em </w:t>
      </w:r>
      <w:r>
        <w:rPr>
          <w:i/>
        </w:rPr>
        <w:t>A República, </w:t>
      </w:r>
      <w:r>
        <w:rPr/>
        <w:t>fez proposições acerca de um plano educacional que respondesse, entre outros, aos objetivos políticos de Atenas e </w:t>
      </w:r>
      <w:r>
        <w:rPr>
          <w:spacing w:val="-1"/>
          <w:w w:val="100"/>
        </w:rPr>
        <w:t>c</w:t>
      </w:r>
      <w:r>
        <w:rPr>
          <w:w w:val="100"/>
        </w:rPr>
        <w:t>ompl</w:t>
      </w:r>
      <w:r>
        <w:rPr>
          <w:spacing w:val="-1"/>
          <w:w w:val="100"/>
        </w:rPr>
        <w:t>e</w:t>
      </w:r>
      <w:r>
        <w:rPr>
          <w:w w:val="100"/>
        </w:rPr>
        <w:t>ment</w:t>
      </w:r>
      <w:r>
        <w:rPr>
          <w:spacing w:val="-1"/>
          <w:w w:val="100"/>
        </w:rPr>
        <w:t>a</w:t>
      </w:r>
      <w:r>
        <w:rPr>
          <w:w w:val="100"/>
        </w:rPr>
        <w:t>:</w:t>
      </w:r>
      <w:r>
        <w:rPr/>
        <w:t>   </w:t>
      </w:r>
      <w:r>
        <w:rPr>
          <w:spacing w:val="-19"/>
        </w:rPr>
        <w:t> </w:t>
      </w:r>
      <w:r>
        <w:rPr>
          <w:spacing w:val="-1"/>
          <w:w w:val="44"/>
        </w:rPr>
        <w:t>―</w:t>
      </w:r>
      <w:r>
        <w:rPr>
          <w:spacing w:val="-1"/>
          <w:w w:val="100"/>
        </w:rPr>
        <w:t>e</w:t>
      </w:r>
      <w:r>
        <w:rPr>
          <w:w w:val="99"/>
        </w:rPr>
        <w:t>sses</w:t>
      </w:r>
      <w:r>
        <w:rPr/>
        <w:t>   </w:t>
      </w:r>
      <w:r>
        <w:rPr>
          <w:spacing w:val="-18"/>
        </w:rPr>
        <w:t> </w:t>
      </w:r>
      <w:r>
        <w:rPr/>
        <w:t>p</w:t>
      </w:r>
      <w:r>
        <w:rPr>
          <w:spacing w:val="-1"/>
        </w:rPr>
        <w:t>r</w:t>
      </w:r>
      <w:r>
        <w:rPr>
          <w:w w:val="100"/>
        </w:rPr>
        <w:t>im</w:t>
      </w:r>
      <w:r>
        <w:rPr>
          <w:spacing w:val="-1"/>
          <w:w w:val="100"/>
        </w:rPr>
        <w:t>e</w:t>
      </w:r>
      <w:r>
        <w:rPr/>
        <w:t>iros   </w:t>
      </w:r>
      <w:r>
        <w:rPr>
          <w:spacing w:val="-20"/>
        </w:rPr>
        <w:t> </w:t>
      </w:r>
      <w:r>
        <w:rPr>
          <w:spacing w:val="-1"/>
          <w:w w:val="100"/>
        </w:rPr>
        <w:t>e</w:t>
      </w:r>
      <w:r>
        <w:rPr>
          <w:spacing w:val="2"/>
        </w:rPr>
        <w:t>x</w:t>
      </w:r>
      <w:r>
        <w:rPr>
          <w:spacing w:val="-1"/>
          <w:w w:val="100"/>
        </w:rPr>
        <w:t>e</w:t>
      </w:r>
      <w:r>
        <w:rPr>
          <w:w w:val="100"/>
        </w:rPr>
        <w:t>mpl</w:t>
      </w:r>
      <w:r>
        <w:rPr>
          <w:w w:val="99"/>
        </w:rPr>
        <w:t>os</w:t>
      </w:r>
      <w:r>
        <w:rPr/>
        <w:t>   </w:t>
      </w:r>
      <w:r>
        <w:rPr>
          <w:spacing w:val="-20"/>
        </w:rPr>
        <w:t> </w:t>
      </w:r>
      <w:r>
        <w:rPr>
          <w:spacing w:val="-4"/>
        </w:rPr>
        <w:t>r</w:t>
      </w:r>
      <w:r>
        <w:rPr>
          <w:spacing w:val="-1"/>
          <w:w w:val="100"/>
        </w:rPr>
        <w:t>e</w:t>
      </w:r>
      <w:r>
        <w:rPr>
          <w:w w:val="100"/>
        </w:rPr>
        <w:t>ssaltam</w:t>
      </w:r>
      <w:r>
        <w:rPr/>
        <w:t>   </w:t>
      </w:r>
      <w:r>
        <w:rPr>
          <w:spacing w:val="-20"/>
        </w:rPr>
        <w:t> </w:t>
      </w:r>
      <w:r>
        <w:rPr>
          <w:w w:val="100"/>
        </w:rPr>
        <w:t>a</w:t>
      </w:r>
      <w:r>
        <w:rPr/>
        <w:t>   </w:t>
      </w:r>
      <w:r>
        <w:rPr>
          <w:spacing w:val="-21"/>
        </w:rPr>
        <w:t> </w:t>
      </w:r>
      <w:r>
        <w:rPr>
          <w:w w:val="100"/>
        </w:rPr>
        <w:t>im</w:t>
      </w:r>
      <w:r>
        <w:rPr>
          <w:w w:val="100"/>
        </w:rPr>
        <w:t>port</w:t>
      </w:r>
      <w:r>
        <w:rPr>
          <w:spacing w:val="-2"/>
          <w:w w:val="100"/>
        </w:rPr>
        <w:t>a</w:t>
      </w:r>
      <w:r>
        <w:rPr>
          <w:w w:val="100"/>
        </w:rPr>
        <w:t>nte</w:t>
      </w:r>
      <w:r>
        <w:rPr/>
        <w:t>   </w:t>
      </w:r>
      <w:r>
        <w:rPr>
          <w:spacing w:val="-20"/>
        </w:rPr>
        <w:t> </w:t>
      </w:r>
      <w:r>
        <w:rPr/>
        <w:t>fun</w:t>
      </w:r>
      <w:r>
        <w:rPr>
          <w:spacing w:val="-2"/>
        </w:rPr>
        <w:t>ç</w:t>
      </w:r>
      <w:r>
        <w:rPr>
          <w:spacing w:val="-1"/>
          <w:w w:val="100"/>
        </w:rPr>
        <w:t>ã</w:t>
      </w:r>
      <w:r>
        <w:rPr/>
        <w:t>o   </w:t>
      </w:r>
      <w:r>
        <w:rPr>
          <w:spacing w:val="-20"/>
        </w:rPr>
        <w:t> </w:t>
      </w:r>
      <w:r>
        <w:rPr/>
        <w:t>do planejamento da educação ao ligar o sistema educacional da sociedade a seus objetivos, quaisquer que estes sejam‖. Nesse sentido, o mesmo autor pontua que o Primeiro Plano Quinquenal da União Soviética, em 1923, foi uma tentativa de empregar o planejamento educacional destacando-o como o primeiro dos tempos mais</w:t>
      </w:r>
      <w:r>
        <w:rPr>
          <w:spacing w:val="-6"/>
        </w:rPr>
        <w:t> </w:t>
      </w:r>
      <w:r>
        <w:rPr/>
        <w:t>modernos.</w:t>
      </w:r>
    </w:p>
    <w:p>
      <w:pPr>
        <w:pStyle w:val="BodyText"/>
        <w:spacing w:line="360" w:lineRule="auto" w:before="5"/>
        <w:ind w:left="122" w:right="121" w:firstLine="851"/>
        <w:jc w:val="both"/>
      </w:pPr>
      <w:r>
        <w:rPr/>
        <w:t>Os exemplos históricos de planejamento da educação, pontuados por Coombs (1981, p. 14), possuem variações diversas seja em alcance, objetivos e até mesmo complexidade:</w:t>
      </w:r>
    </w:p>
    <w:p>
      <w:pPr>
        <w:pStyle w:val="BodyText"/>
        <w:spacing w:before="3"/>
        <w:rPr>
          <w:sz w:val="36"/>
        </w:rPr>
      </w:pPr>
    </w:p>
    <w:p>
      <w:pPr>
        <w:spacing w:before="0"/>
        <w:ind w:left="2390" w:right="119" w:firstLine="0"/>
        <w:jc w:val="both"/>
        <w:rPr>
          <w:sz w:val="20"/>
        </w:rPr>
      </w:pPr>
      <w:r>
        <w:rPr>
          <w:sz w:val="20"/>
        </w:rPr>
        <w:t>Alguns se aplicavam a nações inteiras, outros a instituições individuais; alguns, sem dúvida, eram muito mais eficientes que outros; uns eram episódicos, outros envolviam contínuo processo durante longo período;  alguns figuravam em plano altamente autoritário, ao passo que outros em meios mais democráticos e pluralísticos. Todos tinham algo para ensinar, mas nenhum possuía todas as características que um planejamento educacional moderno</w:t>
      </w:r>
      <w:r>
        <w:rPr>
          <w:spacing w:val="-6"/>
          <w:sz w:val="20"/>
        </w:rPr>
        <w:t> </w:t>
      </w:r>
      <w:r>
        <w:rPr>
          <w:sz w:val="20"/>
        </w:rPr>
        <w:t>exige.</w:t>
      </w:r>
    </w:p>
    <w:p>
      <w:pPr>
        <w:pStyle w:val="BodyText"/>
        <w:rPr>
          <w:sz w:val="22"/>
        </w:rPr>
      </w:pPr>
    </w:p>
    <w:p>
      <w:pPr>
        <w:pStyle w:val="BodyText"/>
        <w:spacing w:line="360" w:lineRule="auto" w:before="161"/>
        <w:ind w:left="122" w:right="120" w:firstLine="993"/>
        <w:jc w:val="both"/>
      </w:pPr>
      <w:r>
        <w:rPr/>
        <w:t>E no Brasil, como este elemento do sistema de educação (SAVIANI, 2014) vem sendo discutido, proposto e materializado historicamente? Ou melhor, quais projetos vêm sendo defendidos acerca do planejamento no campo da educação?</w:t>
      </w:r>
    </w:p>
    <w:p>
      <w:pPr>
        <w:pStyle w:val="BodyText"/>
        <w:rPr>
          <w:sz w:val="26"/>
        </w:rPr>
      </w:pPr>
    </w:p>
    <w:p>
      <w:pPr>
        <w:pStyle w:val="BodyText"/>
        <w:rPr>
          <w:sz w:val="26"/>
        </w:rPr>
      </w:pPr>
    </w:p>
    <w:p>
      <w:pPr>
        <w:pStyle w:val="BodyText"/>
        <w:spacing w:before="8"/>
        <w:rPr>
          <w:sz w:val="20"/>
        </w:rPr>
      </w:pPr>
    </w:p>
    <w:p>
      <w:pPr>
        <w:pStyle w:val="Heading2"/>
        <w:numPr>
          <w:ilvl w:val="2"/>
          <w:numId w:val="7"/>
        </w:numPr>
        <w:tabs>
          <w:tab w:pos="691" w:val="left" w:leader="none"/>
        </w:tabs>
        <w:spacing w:line="360" w:lineRule="auto" w:before="0" w:after="0"/>
        <w:ind w:left="122" w:right="115" w:firstLine="0"/>
        <w:jc w:val="left"/>
      </w:pPr>
      <w:r>
        <w:rPr>
          <w:i/>
        </w:rPr>
        <w:t>Planejamento educacional no Brasil: de um ideário do século XX às disputas </w:t>
      </w:r>
      <w:r>
        <w:rPr/>
        <w:t>entre teses socialistas e teses</w:t>
      </w:r>
      <w:r>
        <w:rPr>
          <w:spacing w:val="-7"/>
        </w:rPr>
        <w:t> </w:t>
      </w:r>
      <w:r>
        <w:rPr/>
        <w:t>liberais</w:t>
      </w:r>
    </w:p>
    <w:p>
      <w:pPr>
        <w:pStyle w:val="BodyText"/>
        <w:spacing w:before="11"/>
        <w:rPr>
          <w:b/>
          <w:i/>
          <w:sz w:val="35"/>
        </w:rPr>
      </w:pPr>
    </w:p>
    <w:p>
      <w:pPr>
        <w:pStyle w:val="BodyText"/>
        <w:spacing w:line="328" w:lineRule="auto"/>
        <w:ind w:left="122" w:right="118" w:firstLine="851"/>
        <w:jc w:val="both"/>
      </w:pPr>
      <w:r>
        <w:rPr>
          <w:w w:val="99"/>
        </w:rPr>
        <w:t>No</w:t>
      </w:r>
      <w:r>
        <w:rPr/>
        <w:t>  </w:t>
      </w:r>
      <w:r>
        <w:rPr>
          <w:spacing w:val="-2"/>
        </w:rPr>
        <w:t>B</w:t>
      </w:r>
      <w:r>
        <w:rPr/>
        <w:t>r</w:t>
      </w:r>
      <w:r>
        <w:rPr>
          <w:spacing w:val="-2"/>
        </w:rPr>
        <w:t>a</w:t>
      </w:r>
      <w:r>
        <w:rPr>
          <w:w w:val="99"/>
        </w:rPr>
        <w:t>si</w:t>
      </w:r>
      <w:r>
        <w:rPr>
          <w:spacing w:val="1"/>
          <w:w w:val="99"/>
        </w:rPr>
        <w:t>l</w:t>
      </w:r>
      <w:r>
        <w:rPr/>
        <w:t>,  n</w:t>
      </w:r>
      <w:r>
        <w:rPr>
          <w:spacing w:val="-1"/>
        </w:rPr>
        <w:t>a</w:t>
      </w:r>
      <w:r>
        <w:rPr>
          <w:w w:val="99"/>
        </w:rPr>
        <w:t>s</w:t>
      </w:r>
      <w:r>
        <w:rPr/>
        <w:t>  du</w:t>
      </w:r>
      <w:r>
        <w:rPr>
          <w:spacing w:val="-1"/>
        </w:rPr>
        <w:t>a</w:t>
      </w:r>
      <w:r>
        <w:rPr>
          <w:w w:val="99"/>
        </w:rPr>
        <w:t>s</w:t>
      </w:r>
      <w:r>
        <w:rPr/>
        <w:t>  p</w:t>
      </w:r>
      <w:r>
        <w:rPr>
          <w:spacing w:val="-1"/>
        </w:rPr>
        <w:t>r</w:t>
      </w:r>
      <w:r>
        <w:rPr/>
        <w:t>im</w:t>
      </w:r>
      <w:r>
        <w:rPr>
          <w:spacing w:val="-1"/>
        </w:rPr>
        <w:t>e</w:t>
      </w:r>
      <w:r>
        <w:rPr/>
        <w:t>ir</w:t>
      </w:r>
      <w:r>
        <w:rPr>
          <w:spacing w:val="-2"/>
        </w:rPr>
        <w:t>a</w:t>
      </w:r>
      <w:r>
        <w:rPr>
          <w:w w:val="99"/>
        </w:rPr>
        <w:t>s</w:t>
      </w:r>
      <w:r>
        <w:rPr/>
        <w:t>  d</w:t>
      </w:r>
      <w:r>
        <w:rPr>
          <w:spacing w:val="-1"/>
        </w:rPr>
        <w:t>éca</w:t>
      </w:r>
      <w:r>
        <w:rPr>
          <w:spacing w:val="2"/>
        </w:rPr>
        <w:t>d</w:t>
      </w:r>
      <w:r>
        <w:rPr>
          <w:spacing w:val="-1"/>
        </w:rPr>
        <w:t>a</w:t>
      </w:r>
      <w:r>
        <w:rPr>
          <w:w w:val="99"/>
        </w:rPr>
        <w:t>s</w:t>
      </w:r>
      <w:r>
        <w:rPr/>
        <w:t>  do  </w:t>
      </w:r>
      <w:r>
        <w:rPr>
          <w:w w:val="99"/>
        </w:rPr>
        <w:t>s</w:t>
      </w:r>
      <w:r>
        <w:rPr>
          <w:spacing w:val="-1"/>
          <w:w w:val="99"/>
        </w:rPr>
        <w:t>é</w:t>
      </w:r>
      <w:r>
        <w:rPr>
          <w:spacing w:val="-1"/>
        </w:rPr>
        <w:t>c</w:t>
      </w:r>
      <w:r>
        <w:rPr/>
        <w:t>ulo  </w:t>
      </w:r>
      <w:r>
        <w:rPr>
          <w:w w:val="99"/>
        </w:rPr>
        <w:t>X</w:t>
      </w:r>
      <w:r>
        <w:rPr>
          <w:spacing w:val="2"/>
          <w:w w:val="99"/>
        </w:rPr>
        <w:t>X</w:t>
      </w:r>
      <w:r>
        <w:rPr>
          <w:b/>
        </w:rPr>
        <w:t>,  </w:t>
      </w:r>
      <w:r>
        <w:rPr>
          <w:spacing w:val="-1"/>
          <w:w w:val="44"/>
        </w:rPr>
        <w:t>―</w:t>
      </w:r>
      <w:r>
        <w:rPr>
          <w:spacing w:val="-1"/>
          <w:w w:val="100"/>
        </w:rPr>
        <w:t>a</w:t>
      </w:r>
      <w:r>
        <w:rPr>
          <w:w w:val="99"/>
        </w:rPr>
        <w:t>s</w:t>
      </w:r>
      <w:r>
        <w:rPr/>
        <w:t>  </w:t>
      </w:r>
      <w:r>
        <w:rPr>
          <w:w w:val="100"/>
        </w:rPr>
        <w:t>v</w:t>
      </w:r>
      <w:r>
        <w:rPr>
          <w:spacing w:val="-1"/>
          <w:w w:val="100"/>
        </w:rPr>
        <w:t>á</w:t>
      </w:r>
      <w:r>
        <w:rPr>
          <w:w w:val="100"/>
        </w:rPr>
        <w:t>ri</w:t>
      </w:r>
      <w:r>
        <w:rPr>
          <w:spacing w:val="-2"/>
          <w:w w:val="100"/>
        </w:rPr>
        <w:t>a</w:t>
      </w:r>
      <w:r>
        <w:rPr>
          <w:w w:val="99"/>
        </w:rPr>
        <w:t>s</w:t>
      </w:r>
      <w:r>
        <w:rPr/>
        <w:t>  </w:t>
      </w:r>
      <w:r>
        <w:rPr>
          <w:w w:val="100"/>
        </w:rPr>
        <w:t>r</w:t>
      </w:r>
      <w:r>
        <w:rPr>
          <w:spacing w:val="-2"/>
          <w:w w:val="100"/>
        </w:rPr>
        <w:t>e</w:t>
      </w:r>
      <w:r>
        <w:rPr>
          <w:w w:val="99"/>
        </w:rPr>
        <w:t>for</w:t>
      </w:r>
      <w:r>
        <w:rPr>
          <w:w w:val="100"/>
        </w:rPr>
        <w:t>mas </w:t>
      </w:r>
      <w:r>
        <w:rPr/>
        <w:t>educacionais</w:t>
      </w:r>
      <w:r>
        <w:rPr>
          <w:position w:val="11"/>
          <w:sz w:val="16"/>
        </w:rPr>
        <w:t>7  </w:t>
      </w:r>
      <w:r>
        <w:rPr/>
        <w:t>ajudam no amadurecimento da percepção coletiva da educação como  um</w:t>
      </w:r>
    </w:p>
    <w:p>
      <w:pPr>
        <w:pStyle w:val="BodyText"/>
        <w:rPr>
          <w:sz w:val="20"/>
        </w:rPr>
      </w:pPr>
    </w:p>
    <w:p>
      <w:pPr>
        <w:pStyle w:val="BodyText"/>
        <w:spacing w:before="10"/>
        <w:rPr>
          <w:sz w:val="10"/>
        </w:rPr>
      </w:pPr>
      <w:r>
        <w:rPr/>
        <w:pict>
          <v:line style="position:absolute;mso-position-horizontal-relative:page;mso-position-vertical-relative:paragraph;z-index:1240;mso-wrap-distance-left:0;mso-wrap-distance-right:0" from="85.103996pt,8.575648pt" to="229.123996pt,8.575648pt" stroked="true" strokeweight=".71997pt" strokecolor="#000000">
            <v:stroke dashstyle="solid"/>
            <w10:wrap type="topAndBottom"/>
          </v:line>
        </w:pict>
      </w:r>
    </w:p>
    <w:p>
      <w:pPr>
        <w:spacing w:before="42"/>
        <w:ind w:left="122" w:right="118" w:firstLine="0"/>
        <w:jc w:val="both"/>
        <w:rPr>
          <w:sz w:val="20"/>
        </w:rPr>
      </w:pPr>
      <w:r>
        <w:rPr>
          <w:position w:val="9"/>
          <w:sz w:val="13"/>
        </w:rPr>
        <w:t>7 </w:t>
      </w:r>
      <w:r>
        <w:rPr>
          <w:sz w:val="20"/>
        </w:rPr>
        <w:t>Podemos destacar: Em 1920, Sampaio Dória realiza, em São Paulo, a primeira dessas reformas regionais do ensino; Em1922 e 1923, </w:t>
      </w:r>
      <w:hyperlink r:id="rId25">
        <w:r>
          <w:rPr>
            <w:sz w:val="20"/>
          </w:rPr>
          <w:t>Lourenço Filho</w:t>
        </w:r>
      </w:hyperlink>
      <w:r>
        <w:rPr>
          <w:sz w:val="20"/>
        </w:rPr>
        <w:t> é chamado ao Ceará para realizar a segunda dessas reformas. Abriu-se assim um grande espaço para propostas em prol da educação. Em 1924, </w:t>
      </w:r>
      <w:hyperlink r:id="rId26">
        <w:r>
          <w:rPr>
            <w:sz w:val="20"/>
          </w:rPr>
          <w:t>Anísio Teixeira</w:t>
        </w:r>
      </w:hyperlink>
      <w:r>
        <w:rPr>
          <w:sz w:val="20"/>
        </w:rPr>
        <w:t> traz para a Bahia a experiência que acumulou em cursos de educação nos Estados Unidos, onde foi aluno de John</w:t>
      </w:r>
      <w:r>
        <w:rPr>
          <w:spacing w:val="24"/>
          <w:sz w:val="20"/>
        </w:rPr>
        <w:t> </w:t>
      </w:r>
      <w:r>
        <w:rPr>
          <w:sz w:val="20"/>
        </w:rPr>
        <w:t>Dewey,</w:t>
      </w:r>
      <w:r>
        <w:rPr>
          <w:spacing w:val="26"/>
          <w:sz w:val="20"/>
        </w:rPr>
        <w:t> </w:t>
      </w:r>
      <w:r>
        <w:rPr>
          <w:sz w:val="20"/>
        </w:rPr>
        <w:t>o</w:t>
      </w:r>
      <w:r>
        <w:rPr>
          <w:spacing w:val="27"/>
          <w:sz w:val="20"/>
        </w:rPr>
        <w:t> </w:t>
      </w:r>
      <w:r>
        <w:rPr>
          <w:sz w:val="20"/>
        </w:rPr>
        <w:t>grande</w:t>
      </w:r>
      <w:r>
        <w:rPr>
          <w:spacing w:val="26"/>
          <w:sz w:val="20"/>
        </w:rPr>
        <w:t> </w:t>
      </w:r>
      <w:r>
        <w:rPr>
          <w:sz w:val="20"/>
        </w:rPr>
        <w:t>idealizador</w:t>
      </w:r>
      <w:r>
        <w:rPr>
          <w:spacing w:val="26"/>
          <w:sz w:val="20"/>
        </w:rPr>
        <w:t> </w:t>
      </w:r>
      <w:r>
        <w:rPr>
          <w:sz w:val="20"/>
        </w:rPr>
        <w:t>do</w:t>
      </w:r>
      <w:r>
        <w:rPr>
          <w:spacing w:val="27"/>
          <w:sz w:val="20"/>
        </w:rPr>
        <w:t> </w:t>
      </w:r>
      <w:r>
        <w:rPr>
          <w:sz w:val="20"/>
        </w:rPr>
        <w:t>movimento</w:t>
      </w:r>
      <w:r>
        <w:rPr>
          <w:spacing w:val="29"/>
          <w:sz w:val="20"/>
        </w:rPr>
        <w:t> </w:t>
      </w:r>
      <w:r>
        <w:rPr>
          <w:sz w:val="20"/>
        </w:rPr>
        <w:t>norte-americano</w:t>
      </w:r>
      <w:r>
        <w:rPr>
          <w:spacing w:val="27"/>
          <w:sz w:val="20"/>
        </w:rPr>
        <w:t> </w:t>
      </w:r>
      <w:r>
        <w:rPr>
          <w:sz w:val="20"/>
        </w:rPr>
        <w:t>da</w:t>
      </w:r>
      <w:r>
        <w:rPr>
          <w:spacing w:val="26"/>
          <w:sz w:val="20"/>
        </w:rPr>
        <w:t> </w:t>
      </w:r>
      <w:r>
        <w:rPr>
          <w:sz w:val="20"/>
        </w:rPr>
        <w:t>Escola</w:t>
      </w:r>
      <w:r>
        <w:rPr>
          <w:spacing w:val="26"/>
          <w:sz w:val="20"/>
        </w:rPr>
        <w:t> </w:t>
      </w:r>
      <w:r>
        <w:rPr>
          <w:sz w:val="20"/>
        </w:rPr>
        <w:t>Nova,</w:t>
      </w:r>
      <w:r>
        <w:rPr>
          <w:spacing w:val="26"/>
          <w:sz w:val="20"/>
        </w:rPr>
        <w:t> </w:t>
      </w:r>
      <w:r>
        <w:rPr>
          <w:sz w:val="20"/>
        </w:rPr>
        <w:t>que</w:t>
      </w:r>
      <w:r>
        <w:rPr>
          <w:spacing w:val="26"/>
          <w:sz w:val="20"/>
        </w:rPr>
        <w:t> </w:t>
      </w:r>
      <w:r>
        <w:rPr>
          <w:sz w:val="20"/>
        </w:rPr>
        <w:t>inspirou</w:t>
      </w:r>
      <w:r>
        <w:rPr>
          <w:spacing w:val="24"/>
          <w:sz w:val="20"/>
        </w:rPr>
        <w:t> </w:t>
      </w:r>
      <w:r>
        <w:rPr>
          <w:sz w:val="20"/>
        </w:rPr>
        <w:t>o</w:t>
      </w:r>
      <w:r>
        <w:rPr>
          <w:spacing w:val="27"/>
          <w:sz w:val="20"/>
        </w:rPr>
        <w:t> </w:t>
      </w:r>
      <w:r>
        <w:rPr>
          <w:sz w:val="20"/>
        </w:rPr>
        <w:t>do</w:t>
      </w:r>
    </w:p>
    <w:p>
      <w:pPr>
        <w:spacing w:after="0"/>
        <w:jc w:val="both"/>
        <w:rPr>
          <w:sz w:val="20"/>
        </w:rPr>
        <w:sectPr>
          <w:headerReference w:type="default" r:id="rId24"/>
          <w:pgSz w:w="11910" w:h="16840"/>
          <w:pgMar w:header="749" w:footer="0" w:top="960" w:bottom="280" w:left="1580" w:right="1580"/>
        </w:sectPr>
      </w:pPr>
    </w:p>
    <w:p>
      <w:pPr>
        <w:pStyle w:val="BodyText"/>
        <w:rPr>
          <w:sz w:val="20"/>
        </w:rPr>
      </w:pPr>
    </w:p>
    <w:p>
      <w:pPr>
        <w:pStyle w:val="BodyText"/>
        <w:spacing w:line="362" w:lineRule="auto" w:before="210"/>
        <w:ind w:left="122" w:right="32"/>
      </w:pPr>
      <w:r>
        <w:rPr/>
        <w:t>problema nacional‖, cujos indícios, no campo das ideias, tratam do planejamento como um instrumento para a educação (ALVES, 2014, p. 16).</w:t>
      </w:r>
    </w:p>
    <w:p>
      <w:pPr>
        <w:pStyle w:val="BodyText"/>
        <w:spacing w:line="360" w:lineRule="auto"/>
        <w:ind w:left="122" w:right="118" w:firstLine="851"/>
        <w:jc w:val="both"/>
      </w:pPr>
      <w:r>
        <w:rPr/>
        <w:t>Assim, a partir dos anos 1920, o debate em torno da educação ganha espaço social de modo ampliado e torna-se problema que afeta o próprio destino da Nação (AZANHA, 1993). No campo político, o planejamento é pensado como instrumento do desenvolvimento econômico e educacional, mesmo nos países mais avançados. É,  então, a origem da ‗possibilidade teórica‘ do planejamento em educação no Brasil (ZAINCO, 2000, p.</w:t>
      </w:r>
      <w:r>
        <w:rPr>
          <w:spacing w:val="-6"/>
        </w:rPr>
        <w:t> </w:t>
      </w:r>
      <w:r>
        <w:rPr/>
        <w:t>132).</w:t>
      </w:r>
    </w:p>
    <w:p>
      <w:pPr>
        <w:pStyle w:val="BodyText"/>
        <w:spacing w:line="360" w:lineRule="auto" w:before="3"/>
        <w:ind w:left="122" w:right="227" w:firstLine="851"/>
        <w:jc w:val="both"/>
      </w:pPr>
      <w:r>
        <w:rPr/>
        <w:t>No período correspondente aos anos 1930, alteram-se as funções e a própria </w:t>
      </w:r>
      <w:r>
        <w:rPr>
          <w:spacing w:val="-1"/>
        </w:rPr>
        <w:t>e</w:t>
      </w:r>
      <w:r>
        <w:rPr/>
        <w:t>strutura</w:t>
      </w:r>
      <w:r>
        <w:rPr>
          <w:spacing w:val="20"/>
        </w:rPr>
        <w:t> </w:t>
      </w:r>
      <w:r>
        <w:rPr/>
        <w:t>do</w:t>
      </w:r>
      <w:r>
        <w:rPr>
          <w:spacing w:val="21"/>
        </w:rPr>
        <w:t> </w:t>
      </w:r>
      <w:r>
        <w:rPr/>
        <w:t>Estado</w:t>
      </w:r>
      <w:r>
        <w:rPr>
          <w:spacing w:val="20"/>
        </w:rPr>
        <w:t> </w:t>
      </w:r>
      <w:r>
        <w:rPr>
          <w:spacing w:val="2"/>
        </w:rPr>
        <w:t>b</w:t>
      </w:r>
      <w:r>
        <w:rPr/>
        <w:t>r</w:t>
      </w:r>
      <w:r>
        <w:rPr>
          <w:spacing w:val="-2"/>
        </w:rPr>
        <w:t>a</w:t>
      </w:r>
      <w:r>
        <w:rPr>
          <w:w w:val="99"/>
        </w:rPr>
        <w:t>s</w:t>
      </w:r>
      <w:r>
        <w:rPr>
          <w:spacing w:val="2"/>
          <w:w w:val="99"/>
        </w:rPr>
        <w:t>i</w:t>
      </w:r>
      <w:r>
        <w:rPr>
          <w:w w:val="99"/>
        </w:rPr>
        <w:t>leiro.</w:t>
      </w:r>
      <w:r>
        <w:rPr>
          <w:spacing w:val="20"/>
          <w:w w:val="99"/>
        </w:rPr>
        <w:t> </w:t>
      </w:r>
      <w:r>
        <w:rPr>
          <w:w w:val="99"/>
        </w:rPr>
        <w:t>P</w:t>
      </w:r>
      <w:r>
        <w:rPr>
          <w:spacing w:val="-1"/>
        </w:rPr>
        <w:t>a</w:t>
      </w:r>
      <w:r>
        <w:rPr/>
        <w:t>ra</w:t>
      </w:r>
      <w:r>
        <w:rPr>
          <w:spacing w:val="22"/>
        </w:rPr>
        <w:t> </w:t>
      </w:r>
      <w:r>
        <w:rPr>
          <w:spacing w:val="-4"/>
        </w:rPr>
        <w:t>I</w:t>
      </w:r>
      <w:r>
        <w:rPr>
          <w:spacing w:val="1"/>
        </w:rPr>
        <w:t>a</w:t>
      </w:r>
      <w:r>
        <w:rPr/>
        <w:t>nni</w:t>
      </w:r>
      <w:r>
        <w:rPr>
          <w:spacing w:val="21"/>
        </w:rPr>
        <w:t> </w:t>
      </w:r>
      <w:r>
        <w:rPr/>
        <w:t>(198</w:t>
      </w:r>
      <w:r>
        <w:rPr>
          <w:spacing w:val="-1"/>
        </w:rPr>
        <w:t>6</w:t>
      </w:r>
      <w:r>
        <w:rPr/>
        <w:t>,</w:t>
      </w:r>
      <w:r>
        <w:rPr>
          <w:spacing w:val="23"/>
        </w:rPr>
        <w:t> </w:t>
      </w:r>
      <w:r>
        <w:rPr/>
        <w:t>p.</w:t>
      </w:r>
      <w:r>
        <w:rPr>
          <w:spacing w:val="21"/>
        </w:rPr>
        <w:t> </w:t>
      </w:r>
      <w:r>
        <w:rPr/>
        <w:t>25),</w:t>
      </w:r>
      <w:r>
        <w:rPr>
          <w:spacing w:val="24"/>
        </w:rPr>
        <w:t> </w:t>
      </w:r>
      <w:r>
        <w:rPr>
          <w:spacing w:val="-1"/>
          <w:w w:val="44"/>
        </w:rPr>
        <w:t>―</w:t>
      </w:r>
      <w:r>
        <w:rPr>
          <w:w w:val="100"/>
        </w:rPr>
        <w:t>a</w:t>
      </w:r>
      <w:r>
        <w:rPr>
          <w:spacing w:val="20"/>
        </w:rPr>
        <w:t> </w:t>
      </w:r>
      <w:r>
        <w:rPr>
          <w:spacing w:val="2"/>
        </w:rPr>
        <w:t>d</w:t>
      </w:r>
      <w:r>
        <w:rPr>
          <w:spacing w:val="-1"/>
          <w:w w:val="100"/>
        </w:rPr>
        <w:t>e</w:t>
      </w:r>
      <w:r>
        <w:rPr>
          <w:w w:val="99"/>
        </w:rPr>
        <w:t>r</w:t>
      </w:r>
      <w:r>
        <w:rPr>
          <w:spacing w:val="-2"/>
          <w:w w:val="99"/>
        </w:rPr>
        <w:t>r</w:t>
      </w:r>
      <w:r>
        <w:rPr>
          <w:w w:val="100"/>
        </w:rPr>
        <w:t>o</w:t>
      </w:r>
      <w:r>
        <w:rPr>
          <w:spacing w:val="2"/>
          <w:w w:val="100"/>
        </w:rPr>
        <w:t>t</w:t>
      </w:r>
      <w:r>
        <w:rPr>
          <w:spacing w:val="-1"/>
          <w:w w:val="100"/>
        </w:rPr>
        <w:t>a</w:t>
      </w:r>
      <w:r>
        <w:rPr/>
        <w:t>,</w:t>
      </w:r>
      <w:r>
        <w:rPr>
          <w:spacing w:val="21"/>
        </w:rPr>
        <w:t> </w:t>
      </w:r>
      <w:r>
        <w:rPr>
          <w:spacing w:val="-1"/>
          <w:w w:val="100"/>
        </w:rPr>
        <w:t>a</w:t>
      </w:r>
      <w:r>
        <w:rPr>
          <w:w w:val="100"/>
        </w:rPr>
        <w:t>inda</w:t>
      </w:r>
      <w:r>
        <w:rPr>
          <w:spacing w:val="23"/>
        </w:rPr>
        <w:t> </w:t>
      </w:r>
      <w:r>
        <w:rPr>
          <w:w w:val="100"/>
        </w:rPr>
        <w:t>que</w:t>
      </w:r>
      <w:r>
        <w:rPr>
          <w:spacing w:val="20"/>
          <w:w w:val="100"/>
        </w:rPr>
        <w:t> </w:t>
      </w:r>
      <w:r>
        <w:rPr>
          <w:w w:val="100"/>
        </w:rPr>
        <w:t>p</w:t>
      </w:r>
      <w:r>
        <w:rPr>
          <w:spacing w:val="-1"/>
          <w:w w:val="100"/>
        </w:rPr>
        <w:t>a</w:t>
      </w:r>
      <w:r>
        <w:rPr>
          <w:spacing w:val="1"/>
          <w:w w:val="99"/>
        </w:rPr>
        <w:t>r</w:t>
      </w:r>
      <w:r>
        <w:rPr>
          <w:spacing w:val="-1"/>
          <w:w w:val="100"/>
        </w:rPr>
        <w:t>c</w:t>
      </w:r>
      <w:r>
        <w:rPr>
          <w:w w:val="100"/>
        </w:rPr>
        <w:t>ial, </w:t>
      </w:r>
      <w:r>
        <w:rPr/>
        <w:t>das oligarquias dominantes até então, pelas novas classes sociais urbanas [...] exprimiu as rupturas estruturais a partir das quais se tornou possível reelaborar as relações entre o</w:t>
      </w:r>
      <w:r>
        <w:rPr>
          <w:spacing w:val="27"/>
        </w:rPr>
        <w:t> </w:t>
      </w:r>
      <w:r>
        <w:rPr/>
        <w:t>estado</w:t>
      </w:r>
      <w:r>
        <w:rPr>
          <w:spacing w:val="26"/>
        </w:rPr>
        <w:t> </w:t>
      </w:r>
      <w:r>
        <w:rPr/>
        <w:t>e</w:t>
      </w:r>
      <w:r>
        <w:rPr>
          <w:spacing w:val="26"/>
        </w:rPr>
        <w:t> </w:t>
      </w:r>
      <w:r>
        <w:rPr/>
        <w:t>a</w:t>
      </w:r>
      <w:r>
        <w:rPr>
          <w:spacing w:val="26"/>
        </w:rPr>
        <w:t> </w:t>
      </w:r>
      <w:r>
        <w:rPr/>
        <w:t>sociedade‖.</w:t>
      </w:r>
      <w:r>
        <w:rPr>
          <w:spacing w:val="29"/>
        </w:rPr>
        <w:t> </w:t>
      </w:r>
      <w:r>
        <w:rPr/>
        <w:t>E</w:t>
      </w:r>
      <w:r>
        <w:rPr>
          <w:spacing w:val="26"/>
        </w:rPr>
        <w:t> </w:t>
      </w:r>
      <w:r>
        <w:rPr/>
        <w:t>acrescenta,</w:t>
      </w:r>
      <w:r>
        <w:rPr>
          <w:spacing w:val="27"/>
        </w:rPr>
        <w:t> </w:t>
      </w:r>
      <w:r>
        <w:rPr/>
        <w:t>como</w:t>
      </w:r>
      <w:r>
        <w:rPr>
          <w:spacing w:val="30"/>
        </w:rPr>
        <w:t> </w:t>
      </w:r>
      <w:r>
        <w:rPr/>
        <w:t>sendo</w:t>
      </w:r>
      <w:r>
        <w:rPr>
          <w:spacing w:val="27"/>
        </w:rPr>
        <w:t> </w:t>
      </w:r>
      <w:r>
        <w:rPr/>
        <w:t>o</w:t>
      </w:r>
      <w:r>
        <w:rPr>
          <w:spacing w:val="27"/>
        </w:rPr>
        <w:t> </w:t>
      </w:r>
      <w:r>
        <w:rPr/>
        <w:t>significado</w:t>
      </w:r>
      <w:r>
        <w:rPr>
          <w:spacing w:val="27"/>
        </w:rPr>
        <w:t> </w:t>
      </w:r>
      <w:r>
        <w:rPr/>
        <w:t>dessa</w:t>
      </w:r>
      <w:r>
        <w:rPr>
          <w:spacing w:val="26"/>
        </w:rPr>
        <w:t> </w:t>
      </w:r>
      <w:r>
        <w:rPr/>
        <w:t>nova</w:t>
      </w:r>
      <w:r>
        <w:rPr>
          <w:spacing w:val="26"/>
        </w:rPr>
        <w:t> </w:t>
      </w:r>
      <w:r>
        <w:rPr/>
        <w:t>relação,</w:t>
      </w:r>
    </w:p>
    <w:p>
      <w:pPr>
        <w:pStyle w:val="BodyText"/>
        <w:spacing w:line="360" w:lineRule="auto" w:before="6"/>
        <w:ind w:left="122" w:right="226"/>
        <w:jc w:val="both"/>
      </w:pPr>
      <w:r>
        <w:rPr>
          <w:spacing w:val="-1"/>
          <w:w w:val="44"/>
        </w:rPr>
        <w:t>―</w:t>
      </w:r>
      <w:r>
        <w:rPr>
          <w:w w:val="100"/>
        </w:rPr>
        <w:t>que </w:t>
      </w:r>
      <w:r>
        <w:rPr>
          <w:spacing w:val="20"/>
          <w:w w:val="100"/>
        </w:rPr>
        <w:t> </w:t>
      </w:r>
      <w:r>
        <w:rPr>
          <w:w w:val="100"/>
        </w:rPr>
        <w:t>o </w:t>
      </w:r>
      <w:r>
        <w:rPr>
          <w:spacing w:val="21"/>
          <w:w w:val="100"/>
        </w:rPr>
        <w:t> </w:t>
      </w:r>
      <w:r>
        <w:rPr>
          <w:w w:val="100"/>
        </w:rPr>
        <w:t>pod</w:t>
      </w:r>
      <w:r>
        <w:rPr>
          <w:spacing w:val="-1"/>
          <w:w w:val="100"/>
        </w:rPr>
        <w:t>e</w:t>
      </w:r>
      <w:r>
        <w:rPr>
          <w:w w:val="99"/>
        </w:rPr>
        <w:t>r </w:t>
      </w:r>
      <w:r>
        <w:rPr>
          <w:spacing w:val="20"/>
          <w:w w:val="99"/>
        </w:rPr>
        <w:t> </w:t>
      </w:r>
      <w:r>
        <w:rPr>
          <w:w w:val="100"/>
        </w:rPr>
        <w:t>públi</w:t>
      </w:r>
      <w:r>
        <w:rPr>
          <w:spacing w:val="-1"/>
          <w:w w:val="100"/>
        </w:rPr>
        <w:t>c</w:t>
      </w:r>
      <w:r>
        <w:rPr/>
        <w:t>o </w:t>
      </w:r>
      <w:r>
        <w:rPr>
          <w:spacing w:val="21"/>
        </w:rPr>
        <w:t> </w:t>
      </w:r>
      <w:r>
        <w:rPr>
          <w:w w:val="100"/>
        </w:rPr>
        <w:t>p</w:t>
      </w:r>
      <w:r>
        <w:rPr>
          <w:spacing w:val="-1"/>
          <w:w w:val="100"/>
        </w:rPr>
        <w:t>a</w:t>
      </w:r>
      <w:r>
        <w:rPr>
          <w:w w:val="99"/>
        </w:rPr>
        <w:t>ssou</w:t>
      </w:r>
      <w:r>
        <w:rPr/>
        <w:t> </w:t>
      </w:r>
      <w:r>
        <w:rPr>
          <w:spacing w:val="21"/>
        </w:rPr>
        <w:t> </w:t>
      </w:r>
      <w:r>
        <w:rPr>
          <w:w w:val="100"/>
        </w:rPr>
        <w:t>a</w:t>
      </w:r>
      <w:r>
        <w:rPr/>
        <w:t> </w:t>
      </w:r>
      <w:r>
        <w:rPr>
          <w:spacing w:val="20"/>
        </w:rPr>
        <w:t> </w:t>
      </w:r>
      <w:r>
        <w:rPr/>
        <w:t>fun</w:t>
      </w:r>
      <w:r>
        <w:rPr>
          <w:spacing w:val="-2"/>
        </w:rPr>
        <w:t>c</w:t>
      </w:r>
      <w:r>
        <w:rPr>
          <w:w w:val="100"/>
        </w:rPr>
        <w:t>ionar</w:t>
      </w:r>
      <w:r>
        <w:rPr/>
        <w:t> </w:t>
      </w:r>
      <w:r>
        <w:rPr>
          <w:spacing w:val="22"/>
        </w:rPr>
        <w:t> </w:t>
      </w:r>
      <w:r>
        <w:rPr/>
        <w:t>– </w:t>
      </w:r>
      <w:r>
        <w:rPr>
          <w:spacing w:val="21"/>
        </w:rPr>
        <w:t> </w:t>
      </w:r>
      <w:r>
        <w:rPr/>
        <w:t>mais </w:t>
      </w:r>
      <w:r>
        <w:rPr>
          <w:spacing w:val="21"/>
        </w:rPr>
        <w:t> </w:t>
      </w:r>
      <w:r>
        <w:rPr>
          <w:spacing w:val="-1"/>
        </w:rPr>
        <w:t>a</w:t>
      </w:r>
      <w:r>
        <w:rPr/>
        <w:t>d</w:t>
      </w:r>
      <w:r>
        <w:rPr>
          <w:spacing w:val="-1"/>
        </w:rPr>
        <w:t>e</w:t>
      </w:r>
      <w:r>
        <w:rPr/>
        <w:t>qu</w:t>
      </w:r>
      <w:r>
        <w:rPr>
          <w:spacing w:val="-1"/>
        </w:rPr>
        <w:t>a</w:t>
      </w:r>
      <w:r>
        <w:rPr/>
        <w:t>d</w:t>
      </w:r>
      <w:r>
        <w:rPr>
          <w:spacing w:val="-1"/>
        </w:rPr>
        <w:t>a</w:t>
      </w:r>
      <w:r>
        <w:rPr/>
        <w:t>mente </w:t>
      </w:r>
      <w:r>
        <w:rPr>
          <w:spacing w:val="21"/>
        </w:rPr>
        <w:t> </w:t>
      </w:r>
      <w:r>
        <w:rPr/>
        <w:t>– </w:t>
      </w:r>
      <w:r>
        <w:rPr>
          <w:spacing w:val="24"/>
        </w:rPr>
        <w:t> </w:t>
      </w:r>
      <w:r>
        <w:rPr>
          <w:w w:val="99"/>
        </w:rPr>
        <w:t>s</w:t>
      </w:r>
      <w:r>
        <w:rPr>
          <w:spacing w:val="-1"/>
          <w:w w:val="99"/>
        </w:rPr>
        <w:t>e</w:t>
      </w:r>
      <w:r>
        <w:rPr>
          <w:spacing w:val="-3"/>
        </w:rPr>
        <w:t>g</w:t>
      </w:r>
      <w:r>
        <w:rPr/>
        <w:t>undo </w:t>
      </w:r>
      <w:r>
        <w:rPr>
          <w:spacing w:val="21"/>
        </w:rPr>
        <w:t> </w:t>
      </w:r>
      <w:r>
        <w:rPr>
          <w:spacing w:val="-1"/>
        </w:rPr>
        <w:t>a</w:t>
      </w:r>
      <w:r>
        <w:rPr>
          <w:w w:val="99"/>
        </w:rPr>
        <w:t>s </w:t>
      </w:r>
      <w:r>
        <w:rPr/>
        <w:t>exigências e as possibilidades estruturais estabelecidas pelo sistema capitalista vigente no Brasil‖. A partir de então, vários acontecimentos e documentos expõem a necessidade do planejamento em educação. Como exemplos, em 1932, o Manifesto  dos Pioneiros da Escola Nova (AZEVEDO, 1984, p. 1) explicita a ideia de um plano  de educação amplo e unitário/universal, para promover a reconstrução da educação no País, em forma de lei. O documento expressa, entre outras ideias, uma relação necessária entre reformas econômicas e</w:t>
      </w:r>
      <w:r>
        <w:rPr>
          <w:spacing w:val="-11"/>
        </w:rPr>
        <w:t> </w:t>
      </w:r>
      <w:r>
        <w:rPr/>
        <w:t>educacionais:</w:t>
      </w:r>
    </w:p>
    <w:p>
      <w:pPr>
        <w:pStyle w:val="BodyText"/>
        <w:spacing w:before="4"/>
        <w:rPr>
          <w:sz w:val="36"/>
        </w:rPr>
      </w:pPr>
    </w:p>
    <w:p>
      <w:pPr>
        <w:spacing w:before="0"/>
        <w:ind w:left="2390" w:right="226" w:firstLine="0"/>
        <w:jc w:val="both"/>
        <w:rPr>
          <w:sz w:val="20"/>
        </w:rPr>
      </w:pPr>
      <w:r>
        <w:rPr>
          <w:sz w:val="20"/>
        </w:rPr>
        <w:t>Se depois de 43 anos de regime republicano, se der um balanço ao estado atual da educação pública, no Brasil, se verificará que, </w:t>
      </w:r>
      <w:r>
        <w:rPr>
          <w:b/>
          <w:sz w:val="20"/>
        </w:rPr>
        <w:t>dissociadas sempre as reformas econômicas e educacionais</w:t>
      </w:r>
      <w:r>
        <w:rPr>
          <w:sz w:val="20"/>
        </w:rPr>
        <w:t>, que era indispensável </w:t>
      </w:r>
      <w:r>
        <w:rPr>
          <w:b/>
          <w:sz w:val="20"/>
        </w:rPr>
        <w:t>entrelaçar e encadear</w:t>
      </w:r>
      <w:r>
        <w:rPr>
          <w:sz w:val="20"/>
        </w:rPr>
        <w:t>, dirigindo-as no mesmo sentido, todos os nossos esforços, </w:t>
      </w:r>
      <w:r>
        <w:rPr>
          <w:b/>
          <w:sz w:val="20"/>
        </w:rPr>
        <w:t>sem unidade de plano e sem espírito de continuidade</w:t>
      </w:r>
      <w:r>
        <w:rPr>
          <w:sz w:val="20"/>
        </w:rPr>
        <w:t>, não lograram ainda  criar um sistema de organização escolar, à altura das necessidades modernas e das necessidades do país. </w:t>
      </w:r>
      <w:r>
        <w:rPr>
          <w:b/>
          <w:sz w:val="20"/>
        </w:rPr>
        <w:t>Tudo fragmentário e desarticulado</w:t>
      </w:r>
      <w:r>
        <w:rPr>
          <w:sz w:val="20"/>
        </w:rPr>
        <w:t>. A  situação atual, criada pela </w:t>
      </w:r>
      <w:r>
        <w:rPr>
          <w:b/>
          <w:sz w:val="20"/>
        </w:rPr>
        <w:t>sucessão periódica de reformas parciais e frequentemente arbitrárias</w:t>
      </w:r>
      <w:r>
        <w:rPr>
          <w:sz w:val="20"/>
        </w:rPr>
        <w:t>, lançadas </w:t>
      </w:r>
      <w:r>
        <w:rPr>
          <w:b/>
          <w:sz w:val="20"/>
        </w:rPr>
        <w:t>sem solidez econômica </w:t>
      </w:r>
      <w:r>
        <w:rPr>
          <w:sz w:val="20"/>
        </w:rPr>
        <w:t>e </w:t>
      </w:r>
      <w:r>
        <w:rPr>
          <w:b/>
          <w:sz w:val="20"/>
        </w:rPr>
        <w:t>sem uma visão global do problema. </w:t>
      </w:r>
      <w:r>
        <w:rPr>
          <w:sz w:val="20"/>
        </w:rPr>
        <w:t>(Grifos</w:t>
      </w:r>
      <w:r>
        <w:rPr>
          <w:spacing w:val="-12"/>
          <w:sz w:val="20"/>
        </w:rPr>
        <w:t> </w:t>
      </w:r>
      <w:r>
        <w:rPr>
          <w:sz w:val="20"/>
        </w:rPr>
        <w:t>nossos).</w:t>
      </w:r>
    </w:p>
    <w:p>
      <w:pPr>
        <w:pStyle w:val="BodyText"/>
        <w:rPr>
          <w:sz w:val="20"/>
        </w:rPr>
      </w:pPr>
    </w:p>
    <w:p>
      <w:pPr>
        <w:pStyle w:val="BodyText"/>
        <w:rPr>
          <w:sz w:val="20"/>
        </w:rPr>
      </w:pPr>
    </w:p>
    <w:p>
      <w:pPr>
        <w:pStyle w:val="BodyText"/>
        <w:rPr>
          <w:sz w:val="20"/>
        </w:rPr>
      </w:pPr>
    </w:p>
    <w:p>
      <w:pPr>
        <w:pStyle w:val="BodyText"/>
        <w:spacing w:before="9"/>
        <w:rPr>
          <w:sz w:val="12"/>
        </w:rPr>
      </w:pPr>
      <w:r>
        <w:rPr/>
        <w:pict>
          <v:line style="position:absolute;mso-position-horizontal-relative:page;mso-position-vertical-relative:paragraph;z-index:1264;mso-wrap-distance-left:0;mso-wrap-distance-right:0" from="85.103996pt,9.680148pt" to="510.333996pt,9.680148pt" stroked="true" strokeweight=".72003pt" strokecolor="#000000">
            <v:stroke dashstyle="solid"/>
            <w10:wrap type="topAndBottom"/>
          </v:line>
        </w:pict>
      </w:r>
    </w:p>
    <w:p>
      <w:pPr>
        <w:tabs>
          <w:tab w:pos="1062" w:val="left" w:leader="none"/>
          <w:tab w:pos="2902" w:val="left" w:leader="none"/>
          <w:tab w:pos="4018" w:val="left" w:leader="none"/>
          <w:tab w:pos="4961" w:val="left" w:leader="none"/>
          <w:tab w:pos="6630" w:val="left" w:leader="none"/>
          <w:tab w:pos="8324" w:val="left" w:leader="none"/>
        </w:tabs>
        <w:spacing w:before="67"/>
        <w:ind w:left="122" w:right="116" w:firstLine="0"/>
        <w:jc w:val="both"/>
        <w:rPr>
          <w:sz w:val="20"/>
        </w:rPr>
      </w:pPr>
      <w:r>
        <w:rPr>
          <w:sz w:val="20"/>
        </w:rPr>
        <w:t>Brasil. Em 1925-1928, José Augusto Bezerra de Menezes, no Rio Grande do Norte, dá continuidade ao movimento de reformas. Nos anos de 1927 e 1928, é a vez do Paraná, com Lisímaco Costa. Nesses mesmos anos, </w:t>
      </w:r>
      <w:hyperlink r:id="rId28">
        <w:r>
          <w:rPr>
            <w:sz w:val="20"/>
          </w:rPr>
          <w:t>Francisco Campos</w:t>
        </w:r>
      </w:hyperlink>
      <w:r>
        <w:rPr>
          <w:sz w:val="20"/>
        </w:rPr>
        <w:t> marca o Estado de Minas Gerais com seu projeto de reforma. A mais importante de todas, no entanto, foi no Distrito Federal, então capital da República, liderada por </w:t>
      </w:r>
      <w:hyperlink r:id="rId29">
        <w:r>
          <w:rPr>
            <w:sz w:val="20"/>
          </w:rPr>
          <w:t>Fernando</w:t>
        </w:r>
      </w:hyperlink>
      <w:r>
        <w:rPr>
          <w:sz w:val="20"/>
        </w:rPr>
        <w:t> </w:t>
      </w:r>
      <w:hyperlink r:id="rId29">
        <w:r>
          <w:rPr>
            <w:sz w:val="20"/>
          </w:rPr>
          <w:t>de</w:t>
          <w:tab/>
          <w:t>Azevedo,</w:t>
        </w:r>
      </w:hyperlink>
      <w:r>
        <w:rPr>
          <w:spacing w:val="-1"/>
          <w:sz w:val="20"/>
        </w:rPr>
        <w:t> </w:t>
      </w:r>
      <w:r>
        <w:rPr>
          <w:sz w:val="20"/>
        </w:rPr>
        <w:t>nos</w:t>
        <w:tab/>
        <w:t>anos</w:t>
        <w:tab/>
        <w:t>de</w:t>
        <w:tab/>
        <w:t>1927-1930.</w:t>
        <w:tab/>
        <w:t>(Disponível</w:t>
        <w:tab/>
        <w:t>em: </w:t>
      </w:r>
      <w:hyperlink r:id="rId30">
        <w:r>
          <w:rPr>
            <w:sz w:val="20"/>
          </w:rPr>
          <w:t>http://cpdoc.fgv.br/producao/dossies/AEraVargas1/anos20/QuestaoSocial/ReformasEducacionais.</w:t>
        </w:r>
      </w:hyperlink>
      <w:r>
        <w:rPr>
          <w:sz w:val="20"/>
        </w:rPr>
        <w:t> Acesso em: 09/12/2014, às</w:t>
      </w:r>
      <w:r>
        <w:rPr>
          <w:spacing w:val="-6"/>
          <w:sz w:val="20"/>
        </w:rPr>
        <w:t> </w:t>
      </w:r>
      <w:r>
        <w:rPr>
          <w:sz w:val="20"/>
        </w:rPr>
        <w:t>22:59)</w:t>
      </w:r>
    </w:p>
    <w:p>
      <w:pPr>
        <w:spacing w:after="0"/>
        <w:jc w:val="both"/>
        <w:rPr>
          <w:sz w:val="20"/>
        </w:rPr>
        <w:sectPr>
          <w:headerReference w:type="default" r:id="rId27"/>
          <w:pgSz w:w="11910" w:h="16840"/>
          <w:pgMar w:header="749" w:footer="0" w:top="960" w:bottom="280" w:left="1580" w:right="1580"/>
          <w:pgNumType w:start="31"/>
        </w:sectPr>
      </w:pPr>
    </w:p>
    <w:p>
      <w:pPr>
        <w:pStyle w:val="BodyText"/>
        <w:rPr>
          <w:sz w:val="20"/>
        </w:rPr>
      </w:pPr>
    </w:p>
    <w:p>
      <w:pPr>
        <w:pStyle w:val="BodyText"/>
        <w:spacing w:line="360" w:lineRule="auto" w:before="210"/>
        <w:ind w:left="102" w:right="118" w:firstLine="851"/>
        <w:jc w:val="both"/>
      </w:pPr>
      <w:r>
        <w:rPr/>
        <w:t>Segundo Bordignon (2011), em 1932, antecipando o Manifesto, acontece em Niterói - Rio de Janeiro, a V Conferência Nacional de Educação, organizada pela Associação Brasileira de Educação (ABE), que dá origem a um Anteprojeto do capítulo da educação para a nova Constituição brasileira e um esboço de um plano nacional de educação. Em 1934, a Constituição da República dos Estados Unidos do Brasil (BRASIL, 1934) estrutura um capítulo sobre a educação e mantém a ideia de plano de educação, aprovado por lei. Em 1937, surge um Plano de Educação Nacional </w:t>
      </w:r>
      <w:r>
        <w:rPr>
          <w:w w:val="99"/>
        </w:rPr>
        <w:t>(SA</w:t>
      </w:r>
      <w:r>
        <w:rPr>
          <w:spacing w:val="1"/>
          <w:w w:val="99"/>
        </w:rPr>
        <w:t>V</w:t>
      </w:r>
      <w:r>
        <w:rPr>
          <w:spacing w:val="-4"/>
          <w:w w:val="99"/>
        </w:rPr>
        <w:t>I</w:t>
      </w:r>
      <w:r>
        <w:rPr>
          <w:w w:val="99"/>
        </w:rPr>
        <w:t>A</w:t>
      </w:r>
      <w:r>
        <w:rPr>
          <w:spacing w:val="1"/>
          <w:w w:val="99"/>
        </w:rPr>
        <w:t>N</w:t>
      </w:r>
      <w:r>
        <w:rPr>
          <w:spacing w:val="-4"/>
          <w:w w:val="99"/>
        </w:rPr>
        <w:t>I</w:t>
      </w:r>
      <w:r>
        <w:rPr>
          <w:w w:val="99"/>
        </w:rPr>
        <w:t>,  </w:t>
      </w:r>
      <w:r>
        <w:rPr>
          <w:spacing w:val="-27"/>
          <w:w w:val="99"/>
        </w:rPr>
        <w:t> </w:t>
      </w:r>
      <w:r>
        <w:rPr>
          <w:w w:val="99"/>
        </w:rPr>
        <w:t>201</w:t>
      </w:r>
      <w:r>
        <w:rPr>
          <w:spacing w:val="2"/>
          <w:w w:val="99"/>
        </w:rPr>
        <w:t>4</w:t>
      </w:r>
      <w:r>
        <w:rPr>
          <w:w w:val="99"/>
        </w:rPr>
        <w:t>),  </w:t>
      </w:r>
      <w:r>
        <w:rPr>
          <w:spacing w:val="-28"/>
          <w:w w:val="99"/>
        </w:rPr>
        <w:t> </w:t>
      </w:r>
      <w:r>
        <w:rPr>
          <w:spacing w:val="-1"/>
          <w:w w:val="99"/>
        </w:rPr>
        <w:t>c</w:t>
      </w:r>
      <w:r>
        <w:rPr>
          <w:spacing w:val="2"/>
          <w:w w:val="99"/>
        </w:rPr>
        <w:t>o</w:t>
      </w:r>
      <w:r>
        <w:rPr>
          <w:w w:val="99"/>
        </w:rPr>
        <w:t>m  </w:t>
      </w:r>
      <w:r>
        <w:rPr>
          <w:spacing w:val="-27"/>
          <w:w w:val="99"/>
        </w:rPr>
        <w:t> </w:t>
      </w:r>
      <w:r>
        <w:rPr>
          <w:w w:val="99"/>
        </w:rPr>
        <w:t>504  </w:t>
      </w:r>
      <w:r>
        <w:rPr>
          <w:spacing w:val="-27"/>
          <w:w w:val="99"/>
        </w:rPr>
        <w:t> </w:t>
      </w:r>
      <w:r>
        <w:rPr>
          <w:spacing w:val="-1"/>
          <w:w w:val="99"/>
        </w:rPr>
        <w:t>a</w:t>
      </w:r>
      <w:r>
        <w:rPr>
          <w:w w:val="99"/>
        </w:rPr>
        <w:t>rt</w:t>
      </w:r>
      <w:r>
        <w:rPr>
          <w:spacing w:val="2"/>
          <w:w w:val="99"/>
        </w:rPr>
        <w:t>i</w:t>
      </w:r>
      <w:r>
        <w:rPr>
          <w:spacing w:val="-3"/>
          <w:w w:val="99"/>
        </w:rPr>
        <w:t>g</w:t>
      </w:r>
      <w:r>
        <w:rPr>
          <w:w w:val="99"/>
        </w:rPr>
        <w:t>os,</w:t>
      </w:r>
      <w:r>
        <w:rPr/>
        <w:t>  </w:t>
      </w:r>
      <w:r>
        <w:rPr>
          <w:spacing w:val="-27"/>
        </w:rPr>
        <w:t> </w:t>
      </w:r>
      <w:r>
        <w:rPr/>
        <w:t>se  </w:t>
      </w:r>
      <w:r>
        <w:rPr>
          <w:spacing w:val="-28"/>
        </w:rPr>
        <w:t> </w:t>
      </w:r>
      <w:r>
        <w:rPr>
          <w:spacing w:val="-1"/>
          <w:w w:val="100"/>
        </w:rPr>
        <w:t>a</w:t>
      </w:r>
      <w:r>
        <w:rPr>
          <w:w w:val="100"/>
        </w:rPr>
        <w:t>u</w:t>
      </w:r>
      <w:r>
        <w:rPr>
          <w:spacing w:val="2"/>
          <w:w w:val="100"/>
        </w:rPr>
        <w:t>t</w:t>
      </w:r>
      <w:r>
        <w:rPr>
          <w:w w:val="100"/>
        </w:rPr>
        <w:t>od</w:t>
      </w:r>
      <w:r>
        <w:rPr>
          <w:spacing w:val="-1"/>
          <w:w w:val="100"/>
        </w:rPr>
        <w:t>e</w:t>
      </w:r>
      <w:r>
        <w:rPr>
          <w:w w:val="100"/>
        </w:rPr>
        <w:t>nomin</w:t>
      </w:r>
      <w:r>
        <w:rPr>
          <w:spacing w:val="-1"/>
          <w:w w:val="100"/>
        </w:rPr>
        <w:t>a</w:t>
      </w:r>
      <w:r>
        <w:rPr>
          <w:w w:val="100"/>
        </w:rPr>
        <w:t>ndo  </w:t>
      </w:r>
      <w:r>
        <w:rPr>
          <w:spacing w:val="-27"/>
          <w:w w:val="100"/>
        </w:rPr>
        <w:t> </w:t>
      </w:r>
      <w:r>
        <w:rPr>
          <w:spacing w:val="-1"/>
          <w:w w:val="44"/>
        </w:rPr>
        <w:t>―</w:t>
      </w:r>
      <w:r>
        <w:rPr>
          <w:w w:val="100"/>
        </w:rPr>
        <w:t>Códi</w:t>
      </w:r>
      <w:r>
        <w:rPr>
          <w:spacing w:val="-2"/>
          <w:w w:val="100"/>
        </w:rPr>
        <w:t>g</w:t>
      </w:r>
      <w:r>
        <w:rPr>
          <w:w w:val="100"/>
        </w:rPr>
        <w:t>o  </w:t>
      </w:r>
      <w:r>
        <w:rPr>
          <w:spacing w:val="-25"/>
          <w:w w:val="100"/>
        </w:rPr>
        <w:t> </w:t>
      </w:r>
      <w:r>
        <w:rPr>
          <w:w w:val="100"/>
        </w:rPr>
        <w:t>da</w:t>
      </w:r>
      <w:r>
        <w:rPr/>
        <w:t>  </w:t>
      </w:r>
      <w:r>
        <w:rPr>
          <w:spacing w:val="-28"/>
        </w:rPr>
        <w:t> </w:t>
      </w:r>
      <w:r>
        <w:rPr>
          <w:w w:val="100"/>
        </w:rPr>
        <w:t>Edu</w:t>
      </w:r>
      <w:r>
        <w:rPr>
          <w:spacing w:val="-2"/>
          <w:w w:val="100"/>
        </w:rPr>
        <w:t>c</w:t>
      </w:r>
      <w:r>
        <w:rPr>
          <w:spacing w:val="-1"/>
          <w:w w:val="100"/>
        </w:rPr>
        <w:t>a</w:t>
      </w:r>
      <w:r>
        <w:rPr>
          <w:spacing w:val="1"/>
          <w:w w:val="100"/>
        </w:rPr>
        <w:t>ç</w:t>
      </w:r>
      <w:r>
        <w:rPr>
          <w:spacing w:val="-1"/>
          <w:w w:val="100"/>
        </w:rPr>
        <w:t>ã</w:t>
      </w:r>
      <w:r>
        <w:rPr/>
        <w:t>o Nacional‖ (BRASIL, 1937, art. 1º) que, segundo Fonseca (2013, p. 87), nasce </w:t>
      </w:r>
      <w:r>
        <w:rPr>
          <w:spacing w:val="-1"/>
          <w:w w:val="100"/>
        </w:rPr>
        <w:t>c</w:t>
      </w:r>
      <w:r>
        <w:rPr>
          <w:w w:val="100"/>
        </w:rPr>
        <w:t>ontr</w:t>
      </w:r>
      <w:r>
        <w:rPr>
          <w:spacing w:val="-2"/>
          <w:w w:val="100"/>
        </w:rPr>
        <w:t>a</w:t>
      </w:r>
      <w:r>
        <w:rPr>
          <w:w w:val="100"/>
        </w:rPr>
        <w:t>dit</w:t>
      </w:r>
      <w:r>
        <w:rPr>
          <w:w w:val="99"/>
        </w:rPr>
        <w:t>o</w:t>
      </w:r>
      <w:r>
        <w:rPr>
          <w:spacing w:val="-1"/>
          <w:w w:val="99"/>
        </w:rPr>
        <w:t>r</w:t>
      </w:r>
      <w:r>
        <w:rPr>
          <w:w w:val="100"/>
        </w:rPr>
        <w:t>iam</w:t>
      </w:r>
      <w:r>
        <w:rPr>
          <w:spacing w:val="-1"/>
          <w:w w:val="100"/>
        </w:rPr>
        <w:t>e</w:t>
      </w:r>
      <w:r>
        <w:rPr>
          <w:w w:val="100"/>
        </w:rPr>
        <w:t>nte</w:t>
      </w:r>
      <w:r>
        <w:rPr>
          <w:spacing w:val="11"/>
        </w:rPr>
        <w:t> </w:t>
      </w:r>
      <w:r>
        <w:rPr>
          <w:w w:val="100"/>
        </w:rPr>
        <w:t>à</w:t>
      </w:r>
      <w:r>
        <w:rPr>
          <w:spacing w:val="8"/>
        </w:rPr>
        <w:t> </w:t>
      </w:r>
      <w:r>
        <w:rPr/>
        <w:t>p</w:t>
      </w:r>
      <w:r>
        <w:rPr>
          <w:spacing w:val="-1"/>
        </w:rPr>
        <w:t>r</w:t>
      </w:r>
      <w:r>
        <w:rPr>
          <w:spacing w:val="2"/>
        </w:rPr>
        <w:t>o</w:t>
      </w:r>
      <w:r>
        <w:rPr/>
        <w:t>post</w:t>
      </w:r>
      <w:r>
        <w:rPr>
          <w:w w:val="100"/>
        </w:rPr>
        <w:t>a</w:t>
      </w:r>
      <w:r>
        <w:rPr>
          <w:spacing w:val="8"/>
        </w:rPr>
        <w:t> </w:t>
      </w:r>
      <w:r>
        <w:rPr>
          <w:w w:val="99"/>
        </w:rPr>
        <w:t>dos</w:t>
      </w:r>
      <w:r>
        <w:rPr>
          <w:spacing w:val="9"/>
        </w:rPr>
        <w:t> </w:t>
      </w:r>
      <w:r>
        <w:rPr>
          <w:w w:val="99"/>
        </w:rPr>
        <w:t>P</w:t>
      </w:r>
      <w:r>
        <w:rPr>
          <w:w w:val="100"/>
        </w:rPr>
        <w:t>ionei</w:t>
      </w:r>
      <w:r>
        <w:rPr>
          <w:spacing w:val="-1"/>
          <w:w w:val="100"/>
        </w:rPr>
        <w:t>r</w:t>
      </w:r>
      <w:r>
        <w:rPr>
          <w:w w:val="99"/>
        </w:rPr>
        <w:t>os,</w:t>
      </w:r>
      <w:r>
        <w:rPr>
          <w:spacing w:val="9"/>
        </w:rPr>
        <w:t> </w:t>
      </w:r>
      <w:r>
        <w:rPr/>
        <w:t>pois,</w:t>
      </w:r>
      <w:r>
        <w:rPr>
          <w:spacing w:val="10"/>
        </w:rPr>
        <w:t> </w:t>
      </w:r>
      <w:r>
        <w:rPr>
          <w:spacing w:val="-1"/>
          <w:w w:val="44"/>
        </w:rPr>
        <w:t>―</w:t>
      </w:r>
      <w:r>
        <w:rPr>
          <w:spacing w:val="-1"/>
          <w:w w:val="100"/>
        </w:rPr>
        <w:t>c</w:t>
      </w:r>
      <w:r>
        <w:rPr>
          <w:w w:val="100"/>
        </w:rPr>
        <w:t>rio</w:t>
      </w:r>
      <w:r>
        <w:rPr>
          <w:spacing w:val="3"/>
          <w:w w:val="100"/>
        </w:rPr>
        <w:t>u</w:t>
      </w:r>
      <w:r>
        <w:rPr>
          <w:spacing w:val="-1"/>
          <w:w w:val="99"/>
        </w:rPr>
        <w:t>-</w:t>
      </w:r>
      <w:r>
        <w:rPr>
          <w:spacing w:val="2"/>
          <w:w w:val="99"/>
        </w:rPr>
        <w:t>s</w:t>
      </w:r>
      <w:r>
        <w:rPr/>
        <w:t>e</w:t>
      </w:r>
      <w:r>
        <w:rPr>
          <w:spacing w:val="8"/>
        </w:rPr>
        <w:t> </w:t>
      </w:r>
      <w:r>
        <w:rPr/>
        <w:t>uma</w:t>
      </w:r>
      <w:r>
        <w:rPr>
          <w:spacing w:val="8"/>
        </w:rPr>
        <w:t> </w:t>
      </w:r>
      <w:r>
        <w:rPr>
          <w:spacing w:val="-1"/>
        </w:rPr>
        <w:t>e</w:t>
      </w:r>
      <w:r>
        <w:rPr/>
        <w:t>d</w:t>
      </w:r>
      <w:r>
        <w:rPr>
          <w:spacing w:val="2"/>
        </w:rPr>
        <w:t>u</w:t>
      </w:r>
      <w:r>
        <w:rPr>
          <w:spacing w:val="-1"/>
        </w:rPr>
        <w:t>ca</w:t>
      </w:r>
      <w:r>
        <w:rPr>
          <w:spacing w:val="1"/>
        </w:rPr>
        <w:t>ç</w:t>
      </w:r>
      <w:r>
        <w:rPr>
          <w:spacing w:val="-1"/>
        </w:rPr>
        <w:t>ã</w:t>
      </w:r>
      <w:r>
        <w:rPr/>
        <w:t>o</w:t>
      </w:r>
      <w:r>
        <w:rPr>
          <w:spacing w:val="11"/>
        </w:rPr>
        <w:t> </w:t>
      </w:r>
      <w:r>
        <w:rPr/>
        <w:t>dif</w:t>
      </w:r>
      <w:r>
        <w:rPr>
          <w:spacing w:val="-2"/>
        </w:rPr>
        <w:t>e</w:t>
      </w:r>
      <w:r>
        <w:rPr/>
        <w:t>r</w:t>
      </w:r>
      <w:r>
        <w:rPr>
          <w:spacing w:val="-2"/>
        </w:rPr>
        <w:t>e</w:t>
      </w:r>
      <w:r>
        <w:rPr>
          <w:spacing w:val="2"/>
        </w:rPr>
        <w:t>n</w:t>
      </w:r>
      <w:r>
        <w:rPr>
          <w:spacing w:val="-1"/>
        </w:rPr>
        <w:t>c</w:t>
      </w:r>
      <w:r>
        <w:rPr/>
        <w:t>iada para a elite, para a mulher e outra, de base profissional, para aqueles que comporiam o grande exército de trabalhadores para dar suporte ao projeto industrial do governo‖. Tal </w:t>
      </w:r>
      <w:r>
        <w:rPr>
          <w:w w:val="99"/>
        </w:rPr>
        <w:t>P</w:t>
      </w:r>
      <w:r>
        <w:rPr/>
        <w:t>lano</w:t>
      </w:r>
      <w:r>
        <w:rPr>
          <w:spacing w:val="4"/>
        </w:rPr>
        <w:t> </w:t>
      </w:r>
      <w:r>
        <w:rPr/>
        <w:t>–</w:t>
      </w:r>
      <w:r>
        <w:rPr>
          <w:spacing w:val="4"/>
        </w:rPr>
        <w:t> </w:t>
      </w:r>
      <w:r>
        <w:rPr/>
        <w:t>Códi</w:t>
      </w:r>
      <w:r>
        <w:rPr>
          <w:spacing w:val="-2"/>
        </w:rPr>
        <w:t>g</w:t>
      </w:r>
      <w:r>
        <w:rPr/>
        <w:t>o</w:t>
      </w:r>
      <w:r>
        <w:rPr>
          <w:spacing w:val="4"/>
        </w:rPr>
        <w:t> </w:t>
      </w:r>
      <w:r>
        <w:rPr/>
        <w:t>da</w:t>
      </w:r>
      <w:r>
        <w:rPr>
          <w:spacing w:val="3"/>
        </w:rPr>
        <w:t> </w:t>
      </w:r>
      <w:r>
        <w:rPr/>
        <w:t>Educ</w:t>
      </w:r>
      <w:r>
        <w:rPr>
          <w:spacing w:val="-1"/>
        </w:rPr>
        <w:t>açã</w:t>
      </w:r>
      <w:r>
        <w:rPr/>
        <w:t>o</w:t>
      </w:r>
      <w:r>
        <w:rPr>
          <w:spacing w:val="4"/>
        </w:rPr>
        <w:t> </w:t>
      </w:r>
      <w:r>
        <w:rPr>
          <w:spacing w:val="1"/>
          <w:w w:val="99"/>
        </w:rPr>
        <w:t>N</w:t>
      </w:r>
      <w:r>
        <w:rPr>
          <w:spacing w:val="-1"/>
        </w:rPr>
        <w:t>ac</w:t>
      </w:r>
      <w:r>
        <w:rPr/>
        <w:t>ional</w:t>
      </w:r>
      <w:r>
        <w:rPr>
          <w:spacing w:val="6"/>
        </w:rPr>
        <w:t> </w:t>
      </w:r>
      <w:r>
        <w:rPr/>
        <w:t>–</w:t>
      </w:r>
      <w:r>
        <w:rPr>
          <w:spacing w:val="4"/>
        </w:rPr>
        <w:t> </w:t>
      </w:r>
      <w:r>
        <w:rPr>
          <w:w w:val="100"/>
        </w:rPr>
        <w:t>é</w:t>
      </w:r>
      <w:r>
        <w:rPr>
          <w:spacing w:val="3"/>
        </w:rPr>
        <w:t> </w:t>
      </w:r>
      <w:r>
        <w:rPr>
          <w:w w:val="100"/>
        </w:rPr>
        <w:t>d</w:t>
      </w:r>
      <w:r>
        <w:rPr>
          <w:spacing w:val="-1"/>
          <w:w w:val="100"/>
        </w:rPr>
        <w:t>e</w:t>
      </w:r>
      <w:r>
        <w:rPr>
          <w:w w:val="100"/>
        </w:rPr>
        <w:t>i</w:t>
      </w:r>
      <w:r>
        <w:rPr>
          <w:spacing w:val="2"/>
          <w:w w:val="100"/>
        </w:rPr>
        <w:t>x</w:t>
      </w:r>
      <w:r>
        <w:rPr>
          <w:spacing w:val="-1"/>
          <w:w w:val="100"/>
        </w:rPr>
        <w:t>a</w:t>
      </w:r>
      <w:r>
        <w:rPr>
          <w:spacing w:val="2"/>
        </w:rPr>
        <w:t>d</w:t>
      </w:r>
      <w:r>
        <w:rPr/>
        <w:t>o</w:t>
      </w:r>
      <w:r>
        <w:rPr>
          <w:spacing w:val="4"/>
        </w:rPr>
        <w:t> </w:t>
      </w:r>
      <w:r>
        <w:rPr>
          <w:w w:val="100"/>
        </w:rPr>
        <w:t>de</w:t>
      </w:r>
      <w:r>
        <w:rPr>
          <w:spacing w:val="3"/>
        </w:rPr>
        <w:t> </w:t>
      </w:r>
      <w:r>
        <w:rPr>
          <w:w w:val="100"/>
        </w:rPr>
        <w:t>lado</w:t>
      </w:r>
      <w:r>
        <w:rPr>
          <w:spacing w:val="4"/>
        </w:rPr>
        <w:t> </w:t>
      </w:r>
      <w:r>
        <w:rPr>
          <w:spacing w:val="-1"/>
          <w:w w:val="100"/>
        </w:rPr>
        <w:t>e</w:t>
      </w:r>
      <w:r>
        <w:rPr>
          <w:w w:val="100"/>
        </w:rPr>
        <w:t>m</w:t>
      </w:r>
      <w:r>
        <w:rPr>
          <w:spacing w:val="5"/>
        </w:rPr>
        <w:t> </w:t>
      </w:r>
      <w:r>
        <w:rPr>
          <w:w w:val="100"/>
        </w:rPr>
        <w:t>r</w:t>
      </w:r>
      <w:r>
        <w:rPr>
          <w:spacing w:val="-2"/>
          <w:w w:val="100"/>
        </w:rPr>
        <w:t>a</w:t>
      </w:r>
      <w:r>
        <w:rPr>
          <w:spacing w:val="1"/>
          <w:w w:val="100"/>
        </w:rPr>
        <w:t>z</w:t>
      </w:r>
      <w:r>
        <w:rPr>
          <w:spacing w:val="-1"/>
          <w:w w:val="100"/>
        </w:rPr>
        <w:t>ã</w:t>
      </w:r>
      <w:r>
        <w:rPr/>
        <w:t>o</w:t>
      </w:r>
      <w:r>
        <w:rPr>
          <w:spacing w:val="4"/>
        </w:rPr>
        <w:t> </w:t>
      </w:r>
      <w:r>
        <w:rPr/>
        <w:t>do</w:t>
      </w:r>
      <w:r>
        <w:rPr>
          <w:spacing w:val="4"/>
        </w:rPr>
        <w:t> </w:t>
      </w:r>
      <w:r>
        <w:rPr>
          <w:spacing w:val="-1"/>
          <w:w w:val="44"/>
        </w:rPr>
        <w:t>―</w:t>
      </w:r>
      <w:r>
        <w:rPr>
          <w:spacing w:val="1"/>
          <w:w w:val="100"/>
        </w:rPr>
        <w:t>E</w:t>
      </w:r>
      <w:r>
        <w:rPr>
          <w:w w:val="100"/>
        </w:rPr>
        <w:t>stado</w:t>
      </w:r>
      <w:r>
        <w:rPr>
          <w:spacing w:val="4"/>
          <w:w w:val="100"/>
        </w:rPr>
        <w:t> </w:t>
      </w:r>
      <w:r>
        <w:rPr>
          <w:w w:val="106"/>
        </w:rPr>
        <w:t>Novo</w:t>
      </w:r>
      <w:r>
        <w:rPr>
          <w:spacing w:val="-2"/>
          <w:w w:val="106"/>
        </w:rPr>
        <w:t>‖</w:t>
      </w:r>
      <w:r>
        <w:rPr/>
        <w:t>, ainda em</w:t>
      </w:r>
      <w:r>
        <w:rPr>
          <w:spacing w:val="-4"/>
        </w:rPr>
        <w:t> </w:t>
      </w:r>
      <w:r>
        <w:rPr/>
        <w:t>1937.</w:t>
      </w:r>
    </w:p>
    <w:p>
      <w:pPr>
        <w:pStyle w:val="BodyText"/>
        <w:spacing w:line="360" w:lineRule="auto" w:before="3"/>
        <w:ind w:left="102" w:right="187" w:firstLine="851"/>
        <w:jc w:val="both"/>
      </w:pPr>
      <w:r>
        <w:rPr/>
        <w:t>Bordignon (2011, p. 4) elenca, também, outras iniciativas desse movimento histórico, iniciado na V Conferência Nacional de Educação, ainda em 1932, e que precede ao Manifesto dos Pioneiros, como marco da história do planejamento educacional no Brasil sendo:</w:t>
      </w:r>
    </w:p>
    <w:p>
      <w:pPr>
        <w:pStyle w:val="BodyText"/>
        <w:spacing w:before="4"/>
        <w:rPr>
          <w:sz w:val="36"/>
        </w:rPr>
      </w:pPr>
    </w:p>
    <w:p>
      <w:pPr>
        <w:spacing w:before="0"/>
        <w:ind w:left="2370" w:right="115" w:firstLine="0"/>
        <w:jc w:val="both"/>
        <w:rPr>
          <w:sz w:val="20"/>
        </w:rPr>
      </w:pPr>
      <w:r>
        <w:rPr>
          <w:sz w:val="20"/>
        </w:rPr>
        <w:t>A liderança do movimento dos educadores, organizados na ABE, na proposta da construção de um plano nacional de educação, que toma forma e  expressão numa V Conferência Nacional de Educação de 1932; A ênfase na organização sistêmica da educação brasileira, como alternativa à superação das reformas fragmentadas e desarticuladas, seja na relação da educação com o projeto de sociedade, seja entre as diferentes etapas e modalidades de educação; A afirmação do direito de cada indivíduo à educação integral e o dever do Estado de oferecer </w:t>
      </w:r>
      <w:r>
        <w:rPr>
          <w:i/>
          <w:sz w:val="20"/>
        </w:rPr>
        <w:t>escola para todos</w:t>
      </w:r>
      <w:r>
        <w:rPr>
          <w:sz w:val="20"/>
        </w:rPr>
        <w:t>; A </w:t>
      </w:r>
      <w:r>
        <w:rPr>
          <w:i/>
          <w:sz w:val="20"/>
        </w:rPr>
        <w:t>função social da escola e </w:t>
      </w:r>
      <w:r>
        <w:rPr>
          <w:i/>
          <w:sz w:val="20"/>
        </w:rPr>
        <w:t>seu caráter eminentemente público</w:t>
      </w:r>
      <w:r>
        <w:rPr>
          <w:sz w:val="20"/>
        </w:rPr>
        <w:t>, fundada nos princípios da </w:t>
      </w:r>
      <w:r>
        <w:rPr>
          <w:i/>
          <w:sz w:val="20"/>
        </w:rPr>
        <w:t>laicidade, </w:t>
      </w:r>
      <w:r>
        <w:rPr>
          <w:i/>
          <w:sz w:val="20"/>
        </w:rPr>
        <w:t>gratuidade e obrigatoriedade</w:t>
      </w:r>
      <w:r>
        <w:rPr>
          <w:sz w:val="20"/>
        </w:rPr>
        <w:t>; A autonomia na gestão da </w:t>
      </w:r>
      <w:r>
        <w:rPr>
          <w:i/>
          <w:sz w:val="20"/>
        </w:rPr>
        <w:t>função educacional</w:t>
      </w:r>
      <w:r>
        <w:rPr>
          <w:sz w:val="20"/>
        </w:rPr>
        <w:t>, </w:t>
      </w:r>
      <w:r>
        <w:rPr>
          <w:w w:val="99"/>
          <w:sz w:val="20"/>
        </w:rPr>
        <w:t>as</w:t>
      </w:r>
      <w:r>
        <w:rPr>
          <w:spacing w:val="-1"/>
          <w:w w:val="99"/>
          <w:sz w:val="20"/>
        </w:rPr>
        <w:t>s</w:t>
      </w:r>
      <w:r>
        <w:rPr>
          <w:spacing w:val="2"/>
          <w:w w:val="99"/>
          <w:sz w:val="20"/>
        </w:rPr>
        <w:t>e</w:t>
      </w:r>
      <w:r>
        <w:rPr>
          <w:spacing w:val="-2"/>
          <w:w w:val="99"/>
          <w:sz w:val="20"/>
        </w:rPr>
        <w:t>gu</w:t>
      </w:r>
      <w:r>
        <w:rPr>
          <w:w w:val="99"/>
          <w:sz w:val="20"/>
        </w:rPr>
        <w:t>r</w:t>
      </w:r>
      <w:r>
        <w:rPr>
          <w:w w:val="99"/>
          <w:sz w:val="20"/>
        </w:rPr>
        <w:t>a</w:t>
      </w:r>
      <w:r>
        <w:rPr>
          <w:spacing w:val="1"/>
          <w:w w:val="99"/>
          <w:sz w:val="20"/>
        </w:rPr>
        <w:t>d</w:t>
      </w:r>
      <w:r>
        <w:rPr>
          <w:w w:val="99"/>
          <w:sz w:val="20"/>
        </w:rPr>
        <w:t>a</w:t>
      </w:r>
      <w:r>
        <w:rPr>
          <w:sz w:val="20"/>
        </w:rPr>
        <w:t>  </w:t>
      </w:r>
      <w:r>
        <w:rPr>
          <w:spacing w:val="15"/>
          <w:sz w:val="20"/>
        </w:rPr>
        <w:t> </w:t>
      </w:r>
      <w:r>
        <w:rPr>
          <w:spacing w:val="-2"/>
          <w:w w:val="44"/>
          <w:sz w:val="20"/>
        </w:rPr>
        <w:t>―</w:t>
      </w:r>
      <w:r>
        <w:rPr>
          <w:spacing w:val="1"/>
          <w:w w:val="99"/>
          <w:sz w:val="20"/>
        </w:rPr>
        <w:t>p</w:t>
      </w:r>
      <w:r>
        <w:rPr>
          <w:w w:val="99"/>
          <w:sz w:val="20"/>
        </w:rPr>
        <w:t>ela</w:t>
      </w:r>
      <w:r>
        <w:rPr>
          <w:sz w:val="20"/>
        </w:rPr>
        <w:t>  </w:t>
      </w:r>
      <w:r>
        <w:rPr>
          <w:spacing w:val="13"/>
          <w:sz w:val="20"/>
        </w:rPr>
        <w:t> </w:t>
      </w:r>
      <w:r>
        <w:rPr>
          <w:spacing w:val="2"/>
          <w:w w:val="99"/>
          <w:sz w:val="20"/>
        </w:rPr>
        <w:t>i</w:t>
      </w:r>
      <w:r>
        <w:rPr>
          <w:spacing w:val="-2"/>
          <w:w w:val="99"/>
          <w:sz w:val="20"/>
        </w:rPr>
        <w:t>n</w:t>
      </w:r>
      <w:r>
        <w:rPr>
          <w:spacing w:val="1"/>
          <w:w w:val="99"/>
          <w:sz w:val="20"/>
        </w:rPr>
        <w:t>s</w:t>
      </w:r>
      <w:r>
        <w:rPr>
          <w:w w:val="99"/>
          <w:sz w:val="20"/>
        </w:rPr>
        <w:t>tituiç</w:t>
      </w:r>
      <w:r>
        <w:rPr>
          <w:spacing w:val="2"/>
          <w:w w:val="99"/>
          <w:sz w:val="20"/>
        </w:rPr>
        <w:t>ã</w:t>
      </w:r>
      <w:r>
        <w:rPr>
          <w:w w:val="99"/>
          <w:sz w:val="20"/>
        </w:rPr>
        <w:t>o</w:t>
      </w:r>
      <w:r>
        <w:rPr>
          <w:sz w:val="20"/>
        </w:rPr>
        <w:t>  </w:t>
      </w:r>
      <w:r>
        <w:rPr>
          <w:spacing w:val="13"/>
          <w:sz w:val="20"/>
        </w:rPr>
        <w:t> </w:t>
      </w:r>
      <w:r>
        <w:rPr>
          <w:spacing w:val="1"/>
          <w:w w:val="99"/>
          <w:sz w:val="20"/>
        </w:rPr>
        <w:t>d</w:t>
      </w:r>
      <w:r>
        <w:rPr>
          <w:w w:val="99"/>
          <w:sz w:val="20"/>
        </w:rPr>
        <w:t>e</w:t>
      </w:r>
      <w:r>
        <w:rPr>
          <w:sz w:val="20"/>
        </w:rPr>
        <w:t>  </w:t>
      </w:r>
      <w:r>
        <w:rPr>
          <w:spacing w:val="13"/>
          <w:sz w:val="20"/>
        </w:rPr>
        <w:t> </w:t>
      </w:r>
      <w:r>
        <w:rPr>
          <w:spacing w:val="1"/>
          <w:w w:val="99"/>
          <w:sz w:val="20"/>
        </w:rPr>
        <w:t>u</w:t>
      </w:r>
      <w:r>
        <w:rPr>
          <w:w w:val="99"/>
          <w:sz w:val="20"/>
        </w:rPr>
        <w:t>m</w:t>
      </w:r>
      <w:r>
        <w:rPr>
          <w:sz w:val="20"/>
        </w:rPr>
        <w:t>  </w:t>
      </w:r>
      <w:r>
        <w:rPr>
          <w:spacing w:val="15"/>
          <w:sz w:val="20"/>
        </w:rPr>
        <w:t> </w:t>
      </w:r>
      <w:r>
        <w:rPr>
          <w:i/>
          <w:w w:val="99"/>
          <w:sz w:val="20"/>
        </w:rPr>
        <w:t>fu</w:t>
      </w:r>
      <w:r>
        <w:rPr>
          <w:i/>
          <w:spacing w:val="1"/>
          <w:w w:val="99"/>
          <w:sz w:val="20"/>
        </w:rPr>
        <w:t>nd</w:t>
      </w:r>
      <w:r>
        <w:rPr>
          <w:i/>
          <w:w w:val="99"/>
          <w:sz w:val="20"/>
        </w:rPr>
        <w:t>o</w:t>
      </w:r>
      <w:r>
        <w:rPr>
          <w:i/>
          <w:sz w:val="20"/>
        </w:rPr>
        <w:t>  </w:t>
      </w:r>
      <w:r>
        <w:rPr>
          <w:i/>
          <w:spacing w:val="13"/>
          <w:sz w:val="20"/>
        </w:rPr>
        <w:t> </w:t>
      </w:r>
      <w:r>
        <w:rPr>
          <w:i/>
          <w:w w:val="99"/>
          <w:sz w:val="20"/>
        </w:rPr>
        <w:t>esp</w:t>
      </w:r>
      <w:r>
        <w:rPr>
          <w:i/>
          <w:w w:val="99"/>
          <w:sz w:val="20"/>
        </w:rPr>
        <w:t>ecial</w:t>
      </w:r>
      <w:r>
        <w:rPr>
          <w:i/>
          <w:sz w:val="20"/>
        </w:rPr>
        <w:t>  </w:t>
      </w:r>
      <w:r>
        <w:rPr>
          <w:i/>
          <w:spacing w:val="12"/>
          <w:sz w:val="20"/>
        </w:rPr>
        <w:t> </w:t>
      </w:r>
      <w:r>
        <w:rPr>
          <w:i/>
          <w:spacing w:val="1"/>
          <w:w w:val="99"/>
          <w:sz w:val="20"/>
        </w:rPr>
        <w:t>o</w:t>
      </w:r>
      <w:r>
        <w:rPr>
          <w:i/>
          <w:w w:val="99"/>
          <w:sz w:val="20"/>
        </w:rPr>
        <w:t>u</w:t>
      </w:r>
      <w:r>
        <w:rPr>
          <w:i/>
          <w:sz w:val="20"/>
        </w:rPr>
        <w:t>  </w:t>
      </w:r>
      <w:r>
        <w:rPr>
          <w:i/>
          <w:spacing w:val="13"/>
          <w:sz w:val="20"/>
        </w:rPr>
        <w:t> </w:t>
      </w:r>
      <w:r>
        <w:rPr>
          <w:i/>
          <w:w w:val="99"/>
          <w:sz w:val="20"/>
        </w:rPr>
        <w:t>esc</w:t>
      </w:r>
      <w:r>
        <w:rPr>
          <w:i/>
          <w:spacing w:val="1"/>
          <w:w w:val="99"/>
          <w:sz w:val="20"/>
        </w:rPr>
        <w:t>o</w:t>
      </w:r>
      <w:r>
        <w:rPr>
          <w:i/>
          <w:w w:val="99"/>
          <w:sz w:val="20"/>
        </w:rPr>
        <w:t>la</w:t>
      </w:r>
      <w:r>
        <w:rPr>
          <w:i/>
          <w:w w:val="99"/>
          <w:sz w:val="20"/>
        </w:rPr>
        <w:t>r</w:t>
      </w:r>
      <w:r>
        <w:rPr>
          <w:i/>
          <w:sz w:val="20"/>
        </w:rPr>
        <w:t>  </w:t>
      </w:r>
      <w:r>
        <w:rPr>
          <w:i/>
          <w:spacing w:val="16"/>
          <w:sz w:val="20"/>
        </w:rPr>
        <w:t> </w:t>
      </w:r>
      <w:r>
        <w:rPr>
          <w:w w:val="99"/>
          <w:sz w:val="20"/>
        </w:rPr>
        <w:t>[..</w:t>
      </w:r>
      <w:r>
        <w:rPr>
          <w:spacing w:val="1"/>
          <w:w w:val="99"/>
          <w:sz w:val="20"/>
        </w:rPr>
        <w:t>.</w:t>
      </w:r>
      <w:r>
        <w:rPr>
          <w:w w:val="99"/>
          <w:sz w:val="20"/>
        </w:rPr>
        <w:t>] </w:t>
      </w:r>
      <w:r>
        <w:rPr>
          <w:sz w:val="20"/>
        </w:rPr>
        <w:t>administrado e aplicado exclusivamente no desenvolvimento da obra educacional, pelos próprios órgãos do ensino, incumbidos de sua direção‖; A busca da </w:t>
      </w:r>
      <w:r>
        <w:rPr>
          <w:i/>
          <w:sz w:val="20"/>
        </w:rPr>
        <w:t>unidade na multiplicidade</w:t>
      </w:r>
      <w:r>
        <w:rPr>
          <w:sz w:val="20"/>
        </w:rPr>
        <w:t>, pela aplicação da </w:t>
      </w:r>
      <w:r>
        <w:rPr>
          <w:i/>
          <w:sz w:val="20"/>
        </w:rPr>
        <w:t>doutrina federativa e </w:t>
      </w:r>
      <w:r>
        <w:rPr>
          <w:i/>
          <w:spacing w:val="1"/>
          <w:w w:val="99"/>
          <w:sz w:val="20"/>
        </w:rPr>
        <w:t>d</w:t>
      </w:r>
      <w:r>
        <w:rPr>
          <w:i/>
          <w:w w:val="99"/>
          <w:sz w:val="20"/>
        </w:rPr>
        <w:t>esce</w:t>
      </w:r>
      <w:r>
        <w:rPr>
          <w:i/>
          <w:spacing w:val="1"/>
          <w:w w:val="99"/>
          <w:sz w:val="20"/>
        </w:rPr>
        <w:t>n</w:t>
      </w:r>
      <w:r>
        <w:rPr>
          <w:i/>
          <w:w w:val="99"/>
          <w:sz w:val="20"/>
        </w:rPr>
        <w:t>t</w:t>
      </w:r>
      <w:r>
        <w:rPr>
          <w:i/>
          <w:spacing w:val="-1"/>
          <w:w w:val="99"/>
          <w:sz w:val="20"/>
        </w:rPr>
        <w:t>r</w:t>
      </w:r>
      <w:r>
        <w:rPr>
          <w:i/>
          <w:spacing w:val="1"/>
          <w:w w:val="99"/>
          <w:sz w:val="20"/>
        </w:rPr>
        <w:t>a</w:t>
      </w:r>
      <w:r>
        <w:rPr>
          <w:i/>
          <w:w w:val="99"/>
          <w:sz w:val="20"/>
        </w:rPr>
        <w:t>li</w:t>
      </w:r>
      <w:r>
        <w:rPr>
          <w:i/>
          <w:spacing w:val="-1"/>
          <w:w w:val="99"/>
          <w:sz w:val="20"/>
        </w:rPr>
        <w:t>z</w:t>
      </w:r>
      <w:r>
        <w:rPr>
          <w:i/>
          <w:spacing w:val="1"/>
          <w:w w:val="99"/>
          <w:sz w:val="20"/>
        </w:rPr>
        <w:t>ado</w:t>
      </w:r>
      <w:r>
        <w:rPr>
          <w:i/>
          <w:spacing w:val="-1"/>
          <w:w w:val="99"/>
          <w:sz w:val="20"/>
        </w:rPr>
        <w:t>r</w:t>
      </w:r>
      <w:r>
        <w:rPr>
          <w:i/>
          <w:spacing w:val="2"/>
          <w:w w:val="99"/>
          <w:sz w:val="20"/>
        </w:rPr>
        <w:t>a</w:t>
      </w:r>
      <w:r>
        <w:rPr>
          <w:w w:val="99"/>
          <w:sz w:val="20"/>
        </w:rPr>
        <w:t>,</w:t>
      </w:r>
      <w:r>
        <w:rPr>
          <w:sz w:val="20"/>
        </w:rPr>
        <w:t> </w:t>
      </w:r>
      <w:r>
        <w:rPr>
          <w:spacing w:val="3"/>
          <w:sz w:val="20"/>
        </w:rPr>
        <w:t> </w:t>
      </w:r>
      <w:r>
        <w:rPr>
          <w:spacing w:val="-1"/>
          <w:w w:val="99"/>
          <w:sz w:val="20"/>
        </w:rPr>
        <w:t>s</w:t>
      </w:r>
      <w:r>
        <w:rPr>
          <w:spacing w:val="-2"/>
          <w:w w:val="99"/>
          <w:sz w:val="20"/>
        </w:rPr>
        <w:t>u</w:t>
      </w:r>
      <w:r>
        <w:rPr>
          <w:spacing w:val="1"/>
          <w:w w:val="99"/>
          <w:sz w:val="20"/>
        </w:rPr>
        <w:t>p</w:t>
      </w:r>
      <w:r>
        <w:rPr>
          <w:w w:val="99"/>
          <w:sz w:val="20"/>
        </w:rPr>
        <w:t>e</w:t>
      </w:r>
      <w:r>
        <w:rPr>
          <w:spacing w:val="1"/>
          <w:w w:val="99"/>
          <w:sz w:val="20"/>
        </w:rPr>
        <w:t>r</w:t>
      </w:r>
      <w:r>
        <w:rPr>
          <w:w w:val="99"/>
          <w:sz w:val="20"/>
        </w:rPr>
        <w:t>a</w:t>
      </w:r>
      <w:r>
        <w:rPr>
          <w:spacing w:val="-1"/>
          <w:w w:val="99"/>
          <w:sz w:val="20"/>
        </w:rPr>
        <w:t>n</w:t>
      </w:r>
      <w:r>
        <w:rPr>
          <w:spacing w:val="1"/>
          <w:w w:val="99"/>
          <w:sz w:val="20"/>
        </w:rPr>
        <w:t>d</w:t>
      </w:r>
      <w:r>
        <w:rPr>
          <w:w w:val="99"/>
          <w:sz w:val="20"/>
        </w:rPr>
        <w:t>o</w:t>
      </w:r>
      <w:r>
        <w:rPr>
          <w:sz w:val="20"/>
        </w:rPr>
        <w:t> </w:t>
      </w:r>
      <w:r>
        <w:rPr>
          <w:spacing w:val="6"/>
          <w:sz w:val="20"/>
        </w:rPr>
        <w:t> </w:t>
      </w:r>
      <w:r>
        <w:rPr>
          <w:spacing w:val="-2"/>
          <w:w w:val="44"/>
          <w:sz w:val="20"/>
        </w:rPr>
        <w:t>―</w:t>
      </w:r>
      <w:r>
        <w:rPr>
          <w:w w:val="99"/>
          <w:sz w:val="20"/>
        </w:rPr>
        <w:t>o</w:t>
      </w:r>
      <w:r>
        <w:rPr>
          <w:sz w:val="20"/>
        </w:rPr>
        <w:t> </w:t>
      </w:r>
      <w:r>
        <w:rPr>
          <w:spacing w:val="4"/>
          <w:sz w:val="20"/>
        </w:rPr>
        <w:t> </w:t>
      </w:r>
      <w:r>
        <w:rPr>
          <w:w w:val="99"/>
          <w:sz w:val="20"/>
        </w:rPr>
        <w:t>c</w:t>
      </w:r>
      <w:r>
        <w:rPr>
          <w:spacing w:val="3"/>
          <w:w w:val="99"/>
          <w:sz w:val="20"/>
        </w:rPr>
        <w:t>e</w:t>
      </w:r>
      <w:r>
        <w:rPr>
          <w:spacing w:val="-2"/>
          <w:w w:val="99"/>
          <w:sz w:val="20"/>
        </w:rPr>
        <w:t>n</w:t>
      </w:r>
      <w:r>
        <w:rPr>
          <w:spacing w:val="2"/>
          <w:w w:val="99"/>
          <w:sz w:val="20"/>
        </w:rPr>
        <w:t>t</w:t>
      </w:r>
      <w:r>
        <w:rPr>
          <w:w w:val="99"/>
          <w:sz w:val="20"/>
        </w:rPr>
        <w:t>ral</w:t>
      </w:r>
      <w:r>
        <w:rPr>
          <w:spacing w:val="2"/>
          <w:w w:val="99"/>
          <w:sz w:val="20"/>
        </w:rPr>
        <w:t>i</w:t>
      </w:r>
      <w:r>
        <w:rPr>
          <w:spacing w:val="1"/>
          <w:w w:val="99"/>
          <w:sz w:val="20"/>
        </w:rPr>
        <w:t>s</w:t>
      </w:r>
      <w:r>
        <w:rPr>
          <w:spacing w:val="-4"/>
          <w:w w:val="99"/>
          <w:sz w:val="20"/>
        </w:rPr>
        <w:t>m</w:t>
      </w:r>
      <w:r>
        <w:rPr>
          <w:w w:val="99"/>
          <w:sz w:val="20"/>
        </w:rPr>
        <w:t>o</w:t>
      </w:r>
      <w:r>
        <w:rPr>
          <w:sz w:val="20"/>
        </w:rPr>
        <w:t> </w:t>
      </w:r>
      <w:r>
        <w:rPr>
          <w:spacing w:val="6"/>
          <w:sz w:val="20"/>
        </w:rPr>
        <w:t> </w:t>
      </w:r>
      <w:r>
        <w:rPr>
          <w:w w:val="99"/>
          <w:sz w:val="20"/>
        </w:rPr>
        <w:t>estéril</w:t>
      </w:r>
      <w:r>
        <w:rPr>
          <w:sz w:val="20"/>
        </w:rPr>
        <w:t> </w:t>
      </w:r>
      <w:r>
        <w:rPr>
          <w:spacing w:val="4"/>
          <w:sz w:val="20"/>
        </w:rPr>
        <w:t> </w:t>
      </w:r>
      <w:r>
        <w:rPr>
          <w:w w:val="99"/>
          <w:sz w:val="20"/>
        </w:rPr>
        <w:t>e</w:t>
      </w:r>
      <w:r>
        <w:rPr>
          <w:sz w:val="20"/>
        </w:rPr>
        <w:t> </w:t>
      </w:r>
      <w:r>
        <w:rPr>
          <w:spacing w:val="3"/>
          <w:sz w:val="20"/>
        </w:rPr>
        <w:t> </w:t>
      </w:r>
      <w:r>
        <w:rPr>
          <w:spacing w:val="1"/>
          <w:w w:val="99"/>
          <w:sz w:val="20"/>
        </w:rPr>
        <w:t>od</w:t>
      </w:r>
      <w:r>
        <w:rPr>
          <w:w w:val="99"/>
          <w:sz w:val="20"/>
        </w:rPr>
        <w:t>io</w:t>
      </w:r>
      <w:r>
        <w:rPr>
          <w:spacing w:val="-1"/>
          <w:w w:val="99"/>
          <w:sz w:val="20"/>
        </w:rPr>
        <w:t>s</w:t>
      </w:r>
      <w:r>
        <w:rPr>
          <w:spacing w:val="1"/>
          <w:w w:val="99"/>
          <w:sz w:val="20"/>
        </w:rPr>
        <w:t>o</w:t>
      </w:r>
      <w:r>
        <w:rPr>
          <w:w w:val="99"/>
          <w:sz w:val="20"/>
        </w:rPr>
        <w:t>,</w:t>
      </w:r>
      <w:r>
        <w:rPr>
          <w:sz w:val="20"/>
        </w:rPr>
        <w:t> </w:t>
      </w:r>
      <w:r>
        <w:rPr>
          <w:spacing w:val="3"/>
          <w:sz w:val="20"/>
        </w:rPr>
        <w:t> </w:t>
      </w:r>
      <w:r>
        <w:rPr>
          <w:w w:val="99"/>
          <w:sz w:val="20"/>
        </w:rPr>
        <w:t>ao</w:t>
      </w:r>
      <w:r>
        <w:rPr>
          <w:sz w:val="20"/>
        </w:rPr>
        <w:t> </w:t>
      </w:r>
      <w:r>
        <w:rPr>
          <w:spacing w:val="4"/>
          <w:sz w:val="20"/>
        </w:rPr>
        <w:t> </w:t>
      </w:r>
      <w:r>
        <w:rPr>
          <w:spacing w:val="1"/>
          <w:w w:val="99"/>
          <w:sz w:val="20"/>
        </w:rPr>
        <w:t>q</w:t>
      </w:r>
      <w:r>
        <w:rPr>
          <w:spacing w:val="-2"/>
          <w:w w:val="99"/>
          <w:sz w:val="20"/>
        </w:rPr>
        <w:t>u</w:t>
      </w:r>
      <w:r>
        <w:rPr>
          <w:w w:val="99"/>
          <w:sz w:val="20"/>
        </w:rPr>
        <w:t>al</w:t>
      </w:r>
      <w:r>
        <w:rPr>
          <w:sz w:val="20"/>
        </w:rPr>
        <w:t> </w:t>
      </w:r>
      <w:r>
        <w:rPr>
          <w:spacing w:val="5"/>
          <w:sz w:val="20"/>
        </w:rPr>
        <w:t> </w:t>
      </w:r>
      <w:r>
        <w:rPr>
          <w:spacing w:val="-1"/>
          <w:w w:val="99"/>
          <w:sz w:val="20"/>
        </w:rPr>
        <w:t>s</w:t>
      </w:r>
      <w:r>
        <w:rPr>
          <w:w w:val="99"/>
          <w:sz w:val="20"/>
        </w:rPr>
        <w:t>e </w:t>
      </w:r>
      <w:r>
        <w:rPr>
          <w:sz w:val="20"/>
        </w:rPr>
        <w:t>opõem as condições geográficas do país e a necessidade de adaptação crescente da escola aos interesses e às exigências regionais‖; A associação entre sistema e plano, este situado no contexto da organização da educação brasileira, e destes com uma concepção de bases e diretrizes nacionais, a articular o todo num projeto nacional de educação. (Grifos do</w:t>
      </w:r>
      <w:r>
        <w:rPr>
          <w:spacing w:val="-22"/>
          <w:sz w:val="20"/>
        </w:rPr>
        <w:t> </w:t>
      </w:r>
      <w:r>
        <w:rPr>
          <w:sz w:val="20"/>
        </w:rPr>
        <w:t>autor).</w:t>
      </w:r>
    </w:p>
    <w:p>
      <w:pPr>
        <w:pStyle w:val="BodyText"/>
        <w:rPr>
          <w:sz w:val="22"/>
        </w:rPr>
      </w:pPr>
    </w:p>
    <w:p>
      <w:pPr>
        <w:pStyle w:val="BodyText"/>
        <w:spacing w:line="360" w:lineRule="auto" w:before="163"/>
        <w:ind w:left="102" w:right="187" w:firstLine="851"/>
        <w:jc w:val="both"/>
      </w:pPr>
      <w:r>
        <w:rPr/>
        <w:t>Essas iniciativas se fazem presentes no capítulo da Educação na Constituição de 1934 e na proposta do Plano de Educação de 1937, ambos engavetados em razão do Estado Novo. Em  seguida, são  recuperadas  na  Constituição dos  Estados Unidos   do</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0" w:lineRule="auto" w:before="210"/>
        <w:ind w:left="102" w:right="185"/>
        <w:jc w:val="both"/>
      </w:pPr>
      <w:r>
        <w:rPr/>
        <w:t>Brasil de 1946, na Lei de Diretrizes e Bases da Educação Nacional (LDB) – Lei nº 4.024/1961 e no Plano Nacional de Educação (PNE) de 1962 e acompanham, na contemporaneidade, a busca por um planejamento da educação, e, mais recentemente, do  </w:t>
      </w:r>
      <w:r>
        <w:rPr>
          <w:w w:val="99"/>
        </w:rPr>
        <w:t>P</w:t>
      </w:r>
      <w:r>
        <w:rPr>
          <w:w w:val="99"/>
        </w:rPr>
        <w:t>NE  </w:t>
      </w:r>
      <w:r>
        <w:rPr>
          <w:w w:val="100"/>
        </w:rPr>
        <w:t>c</w:t>
      </w:r>
      <w:r>
        <w:rPr>
          <w:w w:val="100"/>
        </w:rPr>
        <w:t>omo  </w:t>
      </w:r>
      <w:r>
        <w:rPr>
          <w:w w:val="44"/>
        </w:rPr>
        <w:t>―</w:t>
      </w:r>
      <w:r>
        <w:rPr>
          <w:w w:val="100"/>
        </w:rPr>
        <w:t>articula</w:t>
      </w:r>
      <w:r>
        <w:rPr>
          <w:w w:val="99"/>
        </w:rPr>
        <w:t>dor  do  </w:t>
      </w:r>
      <w:r>
        <w:rPr>
          <w:w w:val="99"/>
        </w:rPr>
        <w:t>S</w:t>
      </w:r>
      <w:r>
        <w:rPr>
          <w:w w:val="100"/>
        </w:rPr>
        <w:t>ist</w:t>
      </w:r>
      <w:r>
        <w:rPr>
          <w:w w:val="100"/>
        </w:rPr>
        <w:t>ema</w:t>
      </w:r>
      <w:r>
        <w:rPr/>
        <w:t>  Na</w:t>
      </w:r>
      <w:r>
        <w:rPr>
          <w:w w:val="100"/>
        </w:rPr>
        <w:t>c</w:t>
      </w:r>
      <w:r>
        <w:rPr>
          <w:w w:val="100"/>
        </w:rPr>
        <w:t>ion</w:t>
      </w:r>
      <w:r>
        <w:rPr>
          <w:w w:val="100"/>
        </w:rPr>
        <w:t>a</w:t>
      </w:r>
      <w:r>
        <w:rPr>
          <w:w w:val="100"/>
        </w:rPr>
        <w:t>l</w:t>
      </w:r>
      <w:r>
        <w:rPr/>
        <w:t>  </w:t>
      </w:r>
      <w:r>
        <w:rPr>
          <w:w w:val="100"/>
        </w:rPr>
        <w:t>de</w:t>
      </w:r>
      <w:r>
        <w:rPr/>
        <w:t>  </w:t>
      </w:r>
      <w:r>
        <w:rPr>
          <w:w w:val="100"/>
        </w:rPr>
        <w:t>Educ</w:t>
      </w:r>
      <w:r>
        <w:rPr>
          <w:w w:val="100"/>
        </w:rPr>
        <w:t>açã</w:t>
      </w:r>
      <w:r>
        <w:rPr/>
        <w:t>o  [</w:t>
      </w:r>
      <w:r>
        <w:rPr>
          <w:w w:val="99"/>
        </w:rPr>
        <w:t>S</w:t>
      </w:r>
      <w:r>
        <w:rPr>
          <w:w w:val="99"/>
        </w:rPr>
        <w:t>NE]</w:t>
      </w:r>
      <w:r>
        <w:rPr>
          <w:w w:val="158"/>
        </w:rPr>
        <w:t>‖</w:t>
      </w:r>
      <w:r>
        <w:rPr/>
        <w:t>  (BR</w:t>
      </w:r>
      <w:r>
        <w:rPr>
          <w:w w:val="99"/>
        </w:rPr>
        <w:t>AS</w:t>
      </w:r>
      <w:r>
        <w:rPr>
          <w:w w:val="100"/>
        </w:rPr>
        <w:t>IL</w:t>
      </w:r>
      <w:r>
        <w:rPr/>
        <w:t>, 2014a).</w:t>
      </w:r>
    </w:p>
    <w:p>
      <w:pPr>
        <w:pStyle w:val="BodyText"/>
        <w:spacing w:line="360" w:lineRule="auto" w:before="5"/>
        <w:ind w:left="102" w:right="224" w:firstLine="851"/>
        <w:jc w:val="both"/>
      </w:pPr>
      <w:r>
        <w:rPr/>
        <w:t>Nesta década, segundo Souza e Duarte (2014, p. 175) é possível afirmar que sobressai a racionalidade científica do planejamento pois:</w:t>
      </w:r>
    </w:p>
    <w:p>
      <w:pPr>
        <w:pStyle w:val="BodyText"/>
        <w:spacing w:before="3"/>
        <w:rPr>
          <w:sz w:val="36"/>
        </w:rPr>
      </w:pPr>
    </w:p>
    <w:p>
      <w:pPr>
        <w:spacing w:before="0"/>
        <w:ind w:left="2370" w:right="231" w:firstLine="0"/>
        <w:jc w:val="both"/>
        <w:rPr>
          <w:sz w:val="20"/>
        </w:rPr>
      </w:pPr>
      <w:r>
        <w:rPr>
          <w:sz w:val="20"/>
        </w:rPr>
        <w:t>estiveram marcados pelas tentativas de regulamentar procedimentos e o uso de recursos financeiros públicos na área da educação, subjazendo aos enunciados da política educacional do período tentativas de capturar as práticas políticas e sociais aos ditames da ciência. O plano como lei, sua abrangência nacional e uniformidade de procedimentos para  todo  o território constituíram elementos essenciais ao projeto nacional desenvolvimentista, estatalmente orientado por vertentes autoritárias.</w:t>
      </w:r>
    </w:p>
    <w:p>
      <w:pPr>
        <w:pStyle w:val="BodyText"/>
        <w:rPr>
          <w:sz w:val="22"/>
        </w:rPr>
      </w:pPr>
    </w:p>
    <w:p>
      <w:pPr>
        <w:pStyle w:val="BodyText"/>
        <w:spacing w:line="360" w:lineRule="auto" w:before="163"/>
        <w:ind w:left="102" w:right="187" w:firstLine="851"/>
        <w:jc w:val="both"/>
      </w:pPr>
      <w:r>
        <w:rPr/>
        <w:t>Nos anos 1940, são várias as tentativas de coordenar, controlar e planificar a economia brasileira, contudo, sem a noção de planejamento propriamente dito. </w:t>
      </w:r>
      <w:r>
        <w:rPr>
          <w:w w:val="99"/>
        </w:rPr>
        <w:t>S</w:t>
      </w:r>
      <w:r>
        <w:rPr>
          <w:spacing w:val="-1"/>
          <w:w w:val="100"/>
        </w:rPr>
        <w:t>e</w:t>
      </w:r>
      <w:r>
        <w:rPr>
          <w:spacing w:val="-3"/>
        </w:rPr>
        <w:t>g</w:t>
      </w:r>
      <w:r>
        <w:rPr/>
        <w:t>undo </w:t>
      </w:r>
      <w:r>
        <w:rPr>
          <w:spacing w:val="-18"/>
        </w:rPr>
        <w:t> </w:t>
      </w:r>
      <w:r>
        <w:rPr>
          <w:spacing w:val="-4"/>
        </w:rPr>
        <w:t>I</w:t>
      </w:r>
      <w:r>
        <w:rPr>
          <w:spacing w:val="-1"/>
          <w:w w:val="100"/>
        </w:rPr>
        <w:t>a</w:t>
      </w:r>
      <w:r>
        <w:rPr>
          <w:w w:val="100"/>
        </w:rPr>
        <w:t>nni</w:t>
      </w:r>
      <w:r>
        <w:rPr/>
        <w:t> </w:t>
      </w:r>
      <w:r>
        <w:rPr>
          <w:spacing w:val="-19"/>
        </w:rPr>
        <w:t> </w:t>
      </w:r>
      <w:r>
        <w:rPr/>
        <w:t>(198</w:t>
      </w:r>
      <w:r>
        <w:rPr>
          <w:spacing w:val="-1"/>
        </w:rPr>
        <w:t>6</w:t>
      </w:r>
      <w:r>
        <w:rPr/>
        <w:t>, </w:t>
      </w:r>
      <w:r>
        <w:rPr>
          <w:spacing w:val="-20"/>
        </w:rPr>
        <w:t> </w:t>
      </w:r>
      <w:r>
        <w:rPr/>
        <w:t>p. </w:t>
      </w:r>
      <w:r>
        <w:rPr>
          <w:spacing w:val="-18"/>
        </w:rPr>
        <w:t> </w:t>
      </w:r>
      <w:r>
        <w:rPr/>
        <w:t>36), </w:t>
      </w:r>
      <w:r>
        <w:rPr>
          <w:spacing w:val="-21"/>
        </w:rPr>
        <w:t> </w:t>
      </w:r>
      <w:r>
        <w:rPr>
          <w:spacing w:val="-1"/>
          <w:w w:val="100"/>
        </w:rPr>
        <w:t>a</w:t>
      </w:r>
      <w:r>
        <w:rPr>
          <w:w w:val="99"/>
        </w:rPr>
        <w:t>s</w:t>
      </w:r>
      <w:r>
        <w:rPr/>
        <w:t> </w:t>
      </w:r>
      <w:r>
        <w:rPr>
          <w:spacing w:val="-20"/>
        </w:rPr>
        <w:t> </w:t>
      </w:r>
      <w:r>
        <w:rPr>
          <w:spacing w:val="-1"/>
          <w:w w:val="100"/>
        </w:rPr>
        <w:t>aç</w:t>
      </w:r>
      <w:r>
        <w:rPr>
          <w:w w:val="100"/>
        </w:rPr>
        <w:t>õ</w:t>
      </w:r>
      <w:r>
        <w:rPr>
          <w:spacing w:val="-1"/>
          <w:w w:val="100"/>
        </w:rPr>
        <w:t>e</w:t>
      </w:r>
      <w:r>
        <w:rPr>
          <w:w w:val="99"/>
        </w:rPr>
        <w:t>s</w:t>
      </w:r>
      <w:r>
        <w:rPr/>
        <w:t> </w:t>
      </w:r>
      <w:r>
        <w:rPr>
          <w:spacing w:val="-20"/>
        </w:rPr>
        <w:t> </w:t>
      </w:r>
      <w:r>
        <w:rPr>
          <w:w w:val="100"/>
        </w:rPr>
        <w:t>d</w:t>
      </w:r>
      <w:r>
        <w:rPr>
          <w:spacing w:val="-1"/>
          <w:w w:val="100"/>
        </w:rPr>
        <w:t>e</w:t>
      </w:r>
      <w:r>
        <w:rPr>
          <w:w w:val="100"/>
        </w:rPr>
        <w:t>ste</w:t>
      </w:r>
      <w:r>
        <w:rPr/>
        <w:t> </w:t>
      </w:r>
      <w:r>
        <w:rPr>
          <w:spacing w:val="-20"/>
        </w:rPr>
        <w:t> </w:t>
      </w:r>
      <w:r>
        <w:rPr>
          <w:w w:val="100"/>
        </w:rPr>
        <w:t>p</w:t>
      </w:r>
      <w:r>
        <w:rPr>
          <w:spacing w:val="1"/>
          <w:w w:val="100"/>
        </w:rPr>
        <w:t>e</w:t>
      </w:r>
      <w:r>
        <w:rPr>
          <w:spacing w:val="1"/>
          <w:w w:val="99"/>
        </w:rPr>
        <w:t>r</w:t>
      </w:r>
      <w:r>
        <w:rPr>
          <w:w w:val="100"/>
        </w:rPr>
        <w:t>íodo </w:t>
      </w:r>
      <w:r>
        <w:rPr>
          <w:spacing w:val="-19"/>
          <w:w w:val="100"/>
        </w:rPr>
        <w:t> </w:t>
      </w:r>
      <w:r>
        <w:rPr>
          <w:spacing w:val="-1"/>
          <w:w w:val="44"/>
        </w:rPr>
        <w:t>―</w:t>
      </w:r>
      <w:r>
        <w:rPr>
          <w:w w:val="100"/>
        </w:rPr>
        <w:t>n</w:t>
      </w:r>
      <w:r>
        <w:rPr>
          <w:spacing w:val="-1"/>
          <w:w w:val="100"/>
        </w:rPr>
        <w:t>ã</w:t>
      </w:r>
      <w:r>
        <w:rPr/>
        <w:t>o </w:t>
      </w:r>
      <w:r>
        <w:rPr>
          <w:spacing w:val="-20"/>
        </w:rPr>
        <w:t> </w:t>
      </w:r>
      <w:r>
        <w:rPr/>
        <w:t>fo</w:t>
      </w:r>
      <w:r>
        <w:rPr>
          <w:spacing w:val="-2"/>
        </w:rPr>
        <w:t>r</w:t>
      </w:r>
      <w:r>
        <w:rPr>
          <w:spacing w:val="-1"/>
          <w:w w:val="100"/>
        </w:rPr>
        <w:t>a</w:t>
      </w:r>
      <w:r>
        <w:rPr>
          <w:w w:val="100"/>
        </w:rPr>
        <w:t>m</w:t>
      </w:r>
      <w:r>
        <w:rPr/>
        <w:t> </w:t>
      </w:r>
      <w:r>
        <w:rPr>
          <w:spacing w:val="-19"/>
        </w:rPr>
        <w:t> </w:t>
      </w:r>
      <w:r>
        <w:rPr/>
        <w:t>o </w:t>
      </w:r>
      <w:r>
        <w:rPr>
          <w:spacing w:val="-20"/>
        </w:rPr>
        <w:t> </w:t>
      </w:r>
      <w:r>
        <w:rPr>
          <w:w w:val="100"/>
        </w:rPr>
        <w:t>r</w:t>
      </w:r>
      <w:r>
        <w:rPr>
          <w:spacing w:val="-2"/>
          <w:w w:val="100"/>
        </w:rPr>
        <w:t>e</w:t>
      </w:r>
      <w:r>
        <w:rPr/>
        <w:t>su</w:t>
      </w:r>
      <w:r>
        <w:rPr>
          <w:spacing w:val="2"/>
        </w:rPr>
        <w:t>l</w:t>
      </w:r>
      <w:r>
        <w:rPr>
          <w:w w:val="100"/>
        </w:rPr>
        <w:t>tado</w:t>
      </w:r>
      <w:r>
        <w:rPr/>
        <w:t> </w:t>
      </w:r>
      <w:r>
        <w:rPr>
          <w:spacing w:val="-20"/>
        </w:rPr>
        <w:t> </w:t>
      </w:r>
      <w:r>
        <w:rPr>
          <w:w w:val="100"/>
        </w:rPr>
        <w:t>de</w:t>
      </w:r>
      <w:r>
        <w:rPr/>
        <w:t> </w:t>
      </w:r>
      <w:r>
        <w:rPr>
          <w:spacing w:val="-21"/>
        </w:rPr>
        <w:t> </w:t>
      </w:r>
      <w:r>
        <w:rPr>
          <w:w w:val="100"/>
        </w:rPr>
        <w:t>um </w:t>
      </w:r>
      <w:r>
        <w:rPr/>
        <w:t>estudo prévio, de caráter global e sistemático. Elas resultaram das situações críticas ou problemáticas surgidas ao longo do processo político e da evolução econômica‖. Isto é, </w:t>
      </w:r>
      <w:r>
        <w:rPr>
          <w:w w:val="99"/>
        </w:rPr>
        <w:t>s</w:t>
      </w:r>
      <w:r>
        <w:rPr>
          <w:spacing w:val="-1"/>
          <w:w w:val="99"/>
        </w:rPr>
        <w:t>e</w:t>
      </w:r>
      <w:r>
        <w:rPr/>
        <w:t>m</w:t>
      </w:r>
      <w:r>
        <w:rPr>
          <w:spacing w:val="7"/>
        </w:rPr>
        <w:t> </w:t>
      </w:r>
      <w:r>
        <w:rPr/>
        <w:t>uma</w:t>
      </w:r>
      <w:r>
        <w:rPr>
          <w:spacing w:val="6"/>
        </w:rPr>
        <w:t> </w:t>
      </w:r>
      <w:r>
        <w:rPr/>
        <w:t>no</w:t>
      </w:r>
      <w:r>
        <w:rPr>
          <w:spacing w:val="-1"/>
        </w:rPr>
        <w:t>çã</w:t>
      </w:r>
      <w:r>
        <w:rPr/>
        <w:t>o</w:t>
      </w:r>
      <w:r>
        <w:rPr>
          <w:spacing w:val="9"/>
        </w:rPr>
        <w:t> </w:t>
      </w:r>
      <w:r>
        <w:rPr/>
        <w:t>de</w:t>
      </w:r>
      <w:r>
        <w:rPr>
          <w:spacing w:val="6"/>
        </w:rPr>
        <w:t> </w:t>
      </w:r>
      <w:r>
        <w:rPr/>
        <w:t>pla</w:t>
      </w:r>
      <w:r>
        <w:rPr>
          <w:spacing w:val="1"/>
        </w:rPr>
        <w:t>n</w:t>
      </w:r>
      <w:r>
        <w:rPr>
          <w:spacing w:val="-1"/>
        </w:rPr>
        <w:t>e</w:t>
      </w:r>
      <w:r>
        <w:rPr/>
        <w:t>jam</w:t>
      </w:r>
      <w:r>
        <w:rPr>
          <w:spacing w:val="-1"/>
        </w:rPr>
        <w:t>e</w:t>
      </w:r>
      <w:r>
        <w:rPr/>
        <w:t>nto</w:t>
      </w:r>
      <w:r>
        <w:rPr>
          <w:spacing w:val="7"/>
        </w:rPr>
        <w:t> </w:t>
      </w:r>
      <w:r>
        <w:rPr>
          <w:spacing w:val="-1"/>
        </w:rPr>
        <w:t>c</w:t>
      </w:r>
      <w:r>
        <w:rPr/>
        <w:t>omo</w:t>
      </w:r>
      <w:r>
        <w:rPr>
          <w:spacing w:val="7"/>
        </w:rPr>
        <w:t> </w:t>
      </w:r>
      <w:r>
        <w:rPr/>
        <w:t>medida</w:t>
      </w:r>
      <w:r>
        <w:rPr>
          <w:spacing w:val="6"/>
        </w:rPr>
        <w:t> </w:t>
      </w:r>
      <w:r>
        <w:rPr/>
        <w:t>un</w:t>
      </w:r>
      <w:r>
        <w:rPr>
          <w:spacing w:val="2"/>
        </w:rPr>
        <w:t>i</w:t>
      </w:r>
      <w:r>
        <w:rPr/>
        <w:t>v</w:t>
      </w:r>
      <w:r>
        <w:rPr>
          <w:spacing w:val="-1"/>
        </w:rPr>
        <w:t>e</w:t>
      </w:r>
      <w:r>
        <w:rPr>
          <w:w w:val="99"/>
        </w:rPr>
        <w:t>rs</w:t>
      </w:r>
      <w:r>
        <w:rPr>
          <w:spacing w:val="-2"/>
          <w:w w:val="99"/>
        </w:rPr>
        <w:t>a</w:t>
      </w:r>
      <w:r>
        <w:rPr/>
        <w:t>l</w:t>
      </w:r>
      <w:r>
        <w:rPr>
          <w:spacing w:val="7"/>
        </w:rPr>
        <w:t> </w:t>
      </w:r>
      <w:r>
        <w:rPr/>
        <w:t>e</w:t>
      </w:r>
      <w:r>
        <w:rPr>
          <w:spacing w:val="8"/>
        </w:rPr>
        <w:t> </w:t>
      </w:r>
      <w:r>
        <w:rPr>
          <w:spacing w:val="-1"/>
        </w:rPr>
        <w:t>c</w:t>
      </w:r>
      <w:r>
        <w:rPr/>
        <w:t>ientífi</w:t>
      </w:r>
      <w:r>
        <w:rPr>
          <w:spacing w:val="-1"/>
        </w:rPr>
        <w:t>ca</w:t>
      </w:r>
      <w:r>
        <w:rPr/>
        <w:t>,</w:t>
      </w:r>
      <w:r>
        <w:rPr>
          <w:spacing w:val="9"/>
        </w:rPr>
        <w:t> </w:t>
      </w:r>
      <w:r>
        <w:rPr/>
        <w:t>ou</w:t>
      </w:r>
      <w:r>
        <w:rPr>
          <w:spacing w:val="11"/>
        </w:rPr>
        <w:t> </w:t>
      </w:r>
      <w:r>
        <w:rPr>
          <w:spacing w:val="-1"/>
          <w:w w:val="44"/>
        </w:rPr>
        <w:t>―</w:t>
      </w:r>
      <w:r>
        <w:rPr>
          <w:w w:val="100"/>
        </w:rPr>
        <w:t>j</w:t>
      </w:r>
      <w:r>
        <w:rPr>
          <w:spacing w:val="2"/>
          <w:w w:val="100"/>
        </w:rPr>
        <w:t>u</w:t>
      </w:r>
      <w:r>
        <w:rPr>
          <w:w w:val="100"/>
        </w:rPr>
        <w:t>stam</w:t>
      </w:r>
      <w:r>
        <w:rPr>
          <w:spacing w:val="-1"/>
          <w:w w:val="100"/>
        </w:rPr>
        <w:t>e</w:t>
      </w:r>
      <w:r>
        <w:rPr>
          <w:w w:val="100"/>
        </w:rPr>
        <w:t>nte,</w:t>
      </w:r>
      <w:r>
        <w:rPr>
          <w:spacing w:val="6"/>
        </w:rPr>
        <w:t> </w:t>
      </w:r>
      <w:r>
        <w:rPr>
          <w:w w:val="100"/>
        </w:rPr>
        <w:t>a </w:t>
      </w:r>
      <w:r>
        <w:rPr/>
        <w:t>fragmentação de iniciativas e ações‖, como afirma Dourado (2011, p.</w:t>
      </w:r>
      <w:r>
        <w:rPr>
          <w:spacing w:val="30"/>
        </w:rPr>
        <w:t> </w:t>
      </w:r>
      <w:r>
        <w:rPr/>
        <w:t>7).</w:t>
      </w:r>
    </w:p>
    <w:p>
      <w:pPr>
        <w:pStyle w:val="BodyText"/>
        <w:spacing w:line="360" w:lineRule="auto" w:before="6"/>
        <w:ind w:left="102" w:right="188" w:firstLine="851"/>
        <w:jc w:val="both"/>
      </w:pPr>
      <w:r>
        <w:rPr/>
        <w:t>Para o período correspondente à década de 1940, o Plano econômico SALTE, que tinha por objetivo estimular o desenvolvimento de setores como saúde, alimentação, transporte e energia, marcaria o período do Governo Eurico Gaspar Dutra (1946-1950), em 1948. Contudo, esse Plano, que não contemplada a educação, é aprovado pelo Parlamento dois anos depois e logo é abandonado (BORDIGNON, 2011).</w:t>
      </w:r>
    </w:p>
    <w:p>
      <w:pPr>
        <w:pStyle w:val="BodyText"/>
        <w:spacing w:line="360" w:lineRule="auto" w:before="6"/>
        <w:ind w:left="102" w:right="189" w:firstLine="851"/>
        <w:jc w:val="both"/>
      </w:pPr>
      <w:r>
        <w:rPr/>
        <w:t>Em relação às tentativas de planejamento promovidas pelo governo brasileiro, </w:t>
      </w:r>
      <w:r>
        <w:rPr>
          <w:spacing w:val="-2"/>
          <w:w w:val="99"/>
        </w:rPr>
        <w:t>F</w:t>
      </w:r>
      <w:r>
        <w:rPr>
          <w:w w:val="99"/>
        </w:rPr>
        <w:t>onseca </w:t>
      </w:r>
      <w:r>
        <w:rPr>
          <w:spacing w:val="-21"/>
          <w:w w:val="99"/>
        </w:rPr>
        <w:t> </w:t>
      </w:r>
      <w:r>
        <w:rPr>
          <w:w w:val="99"/>
        </w:rPr>
        <w:t>(201</w:t>
      </w:r>
      <w:r>
        <w:rPr>
          <w:spacing w:val="-1"/>
          <w:w w:val="99"/>
        </w:rPr>
        <w:t>3</w:t>
      </w:r>
      <w:r>
        <w:rPr>
          <w:w w:val="99"/>
        </w:rPr>
        <w:t>, </w:t>
      </w:r>
      <w:r>
        <w:rPr>
          <w:spacing w:val="-20"/>
          <w:w w:val="99"/>
        </w:rPr>
        <w:t> </w:t>
      </w:r>
      <w:r>
        <w:rPr>
          <w:w w:val="99"/>
        </w:rPr>
        <w:t>p. </w:t>
      </w:r>
      <w:r>
        <w:rPr>
          <w:spacing w:val="-20"/>
          <w:w w:val="99"/>
        </w:rPr>
        <w:t> </w:t>
      </w:r>
      <w:r>
        <w:rPr>
          <w:w w:val="99"/>
        </w:rPr>
        <w:t>83) </w:t>
      </w:r>
      <w:r>
        <w:rPr>
          <w:spacing w:val="-21"/>
          <w:w w:val="99"/>
        </w:rPr>
        <w:t> </w:t>
      </w:r>
      <w:r>
        <w:rPr>
          <w:spacing w:val="2"/>
          <w:w w:val="99"/>
        </w:rPr>
        <w:t>d</w:t>
      </w:r>
      <w:r>
        <w:rPr>
          <w:spacing w:val="-1"/>
          <w:w w:val="100"/>
        </w:rPr>
        <w:t>e</w:t>
      </w:r>
      <w:r>
        <w:rPr>
          <w:w w:val="100"/>
        </w:rPr>
        <w:t>sta</w:t>
      </w:r>
      <w:r>
        <w:rPr>
          <w:spacing w:val="-2"/>
          <w:w w:val="100"/>
        </w:rPr>
        <w:t>c</w:t>
      </w:r>
      <w:r>
        <w:rPr>
          <w:w w:val="100"/>
        </w:rPr>
        <w:t>a</w:t>
      </w:r>
      <w:r>
        <w:rPr/>
        <w:t> </w:t>
      </w:r>
      <w:r>
        <w:rPr>
          <w:spacing w:val="-21"/>
        </w:rPr>
        <w:t> </w:t>
      </w:r>
      <w:r>
        <w:rPr/>
        <w:t>q</w:t>
      </w:r>
      <w:r>
        <w:rPr>
          <w:spacing w:val="2"/>
        </w:rPr>
        <w:t>u</w:t>
      </w:r>
      <w:r>
        <w:rPr>
          <w:w w:val="100"/>
        </w:rPr>
        <w:t>e</w:t>
      </w:r>
      <w:r>
        <w:rPr/>
        <w:t> </w:t>
      </w:r>
      <w:r>
        <w:rPr>
          <w:spacing w:val="-21"/>
        </w:rPr>
        <w:t> </w:t>
      </w:r>
      <w:r>
        <w:rPr>
          <w:spacing w:val="-1"/>
          <w:w w:val="44"/>
        </w:rPr>
        <w:t>―</w:t>
      </w:r>
      <w:r>
        <w:rPr>
          <w:w w:val="100"/>
        </w:rPr>
        <w:t>mais</w:t>
      </w:r>
      <w:r>
        <w:rPr/>
        <w:t> </w:t>
      </w:r>
      <w:r>
        <w:rPr>
          <w:spacing w:val="-20"/>
        </w:rPr>
        <w:t> </w:t>
      </w:r>
      <w:r>
        <w:rPr/>
        <w:t>do </w:t>
      </w:r>
      <w:r>
        <w:rPr>
          <w:spacing w:val="-20"/>
        </w:rPr>
        <w:t> </w:t>
      </w:r>
      <w:r>
        <w:rPr/>
        <w:t>q</w:t>
      </w:r>
      <w:r>
        <w:rPr>
          <w:spacing w:val="2"/>
        </w:rPr>
        <w:t>u</w:t>
      </w:r>
      <w:r>
        <w:rPr>
          <w:w w:val="100"/>
        </w:rPr>
        <w:t>e</w:t>
      </w:r>
      <w:r>
        <w:rPr/>
        <w:t> </w:t>
      </w:r>
      <w:r>
        <w:rPr>
          <w:spacing w:val="-21"/>
        </w:rPr>
        <w:t> </w:t>
      </w:r>
      <w:r>
        <w:rPr>
          <w:w w:val="100"/>
        </w:rPr>
        <w:t>plan</w:t>
      </w:r>
      <w:r>
        <w:rPr>
          <w:spacing w:val="-2"/>
          <w:w w:val="100"/>
        </w:rPr>
        <w:t>e</w:t>
      </w:r>
      <w:r>
        <w:rPr>
          <w:w w:val="100"/>
        </w:rPr>
        <w:t>jar</w:t>
      </w:r>
      <w:r>
        <w:rPr/>
        <w:t> </w:t>
      </w:r>
      <w:r>
        <w:rPr>
          <w:spacing w:val="-21"/>
        </w:rPr>
        <w:t> </w:t>
      </w:r>
      <w:r>
        <w:rPr>
          <w:spacing w:val="2"/>
        </w:rPr>
        <w:t>p</w:t>
      </w:r>
      <w:r>
        <w:rPr/>
        <w:t>rop</w:t>
      </w:r>
      <w:r>
        <w:rPr>
          <w:spacing w:val="-2"/>
        </w:rPr>
        <w:t>r</w:t>
      </w:r>
      <w:r>
        <w:rPr>
          <w:w w:val="100"/>
        </w:rPr>
        <w:t>iam</w:t>
      </w:r>
      <w:r>
        <w:rPr>
          <w:spacing w:val="-1"/>
          <w:w w:val="100"/>
        </w:rPr>
        <w:t>e</w:t>
      </w:r>
      <w:r>
        <w:rPr>
          <w:w w:val="100"/>
        </w:rPr>
        <w:t>n</w:t>
      </w:r>
      <w:r>
        <w:rPr>
          <w:spacing w:val="2"/>
          <w:w w:val="100"/>
        </w:rPr>
        <w:t>t</w:t>
      </w:r>
      <w:r>
        <w:rPr>
          <w:w w:val="100"/>
        </w:rPr>
        <w:t>e</w:t>
      </w:r>
      <w:r>
        <w:rPr/>
        <w:t> </w:t>
      </w:r>
      <w:r>
        <w:rPr>
          <w:spacing w:val="-19"/>
        </w:rPr>
        <w:t> </w:t>
      </w:r>
      <w:r>
        <w:rPr>
          <w:spacing w:val="1"/>
        </w:rPr>
        <w:t>[</w:t>
      </w:r>
      <w:r>
        <w:rPr/>
        <w:t>o </w:t>
      </w:r>
      <w:r>
        <w:rPr>
          <w:spacing w:val="-20"/>
        </w:rPr>
        <w:t> </w:t>
      </w:r>
      <w:r>
        <w:rPr>
          <w:spacing w:val="-3"/>
        </w:rPr>
        <w:t>g</w:t>
      </w:r>
      <w:r>
        <w:rPr>
          <w:w w:val="100"/>
        </w:rPr>
        <w:t>ov</w:t>
      </w:r>
      <w:r>
        <w:rPr>
          <w:spacing w:val="-1"/>
          <w:w w:val="100"/>
        </w:rPr>
        <w:t>e</w:t>
      </w:r>
      <w:r>
        <w:rPr>
          <w:w w:val="99"/>
        </w:rPr>
        <w:t>rno] </w:t>
      </w:r>
      <w:r>
        <w:rPr/>
        <w:t>formulou instrumentos técnicos que se limitavam a organizar o processo orçamentário  e a fixar as metas para a consecução das prioridades na área econômica‖. Em relação a esse aspecto, as preferências do governo estavam voltadas a um compromisso </w:t>
      </w:r>
      <w:r>
        <w:rPr>
          <w:w w:val="100"/>
        </w:rPr>
        <w:t>subordin</w:t>
      </w:r>
      <w:r>
        <w:rPr>
          <w:spacing w:val="-1"/>
          <w:w w:val="100"/>
        </w:rPr>
        <w:t>a</w:t>
      </w:r>
      <w:r>
        <w:rPr>
          <w:w w:val="100"/>
        </w:rPr>
        <w:t>do </w:t>
      </w:r>
      <w:r>
        <w:rPr>
          <w:spacing w:val="4"/>
          <w:w w:val="100"/>
        </w:rPr>
        <w:t> </w:t>
      </w:r>
      <w:r>
        <w:rPr>
          <w:spacing w:val="-1"/>
          <w:w w:val="100"/>
        </w:rPr>
        <w:t>a</w:t>
      </w:r>
      <w:r>
        <w:rPr/>
        <w:t>o </w:t>
      </w:r>
      <w:r>
        <w:rPr>
          <w:spacing w:val="6"/>
        </w:rPr>
        <w:t> </w:t>
      </w:r>
      <w:r>
        <w:rPr>
          <w:spacing w:val="-1"/>
          <w:w w:val="100"/>
        </w:rPr>
        <w:t>ca</w:t>
      </w:r>
      <w:r>
        <w:rPr>
          <w:w w:val="100"/>
        </w:rPr>
        <w:t>pit</w:t>
      </w:r>
      <w:r>
        <w:rPr>
          <w:spacing w:val="-1"/>
          <w:w w:val="100"/>
        </w:rPr>
        <w:t>a</w:t>
      </w:r>
      <w:r>
        <w:rPr>
          <w:w w:val="100"/>
        </w:rPr>
        <w:t>l</w:t>
      </w:r>
      <w:r>
        <w:rPr>
          <w:spacing w:val="3"/>
          <w:w w:val="100"/>
        </w:rPr>
        <w:t>i</w:t>
      </w:r>
      <w:r>
        <w:rPr/>
        <w:t>smo </w:t>
      </w:r>
      <w:r>
        <w:rPr>
          <w:spacing w:val="5"/>
        </w:rPr>
        <w:t> </w:t>
      </w:r>
      <w:r>
        <w:rPr>
          <w:w w:val="100"/>
        </w:rPr>
        <w:t>mundi</w:t>
      </w:r>
      <w:r>
        <w:rPr>
          <w:spacing w:val="-1"/>
          <w:w w:val="100"/>
        </w:rPr>
        <w:t>a</w:t>
      </w:r>
      <w:r>
        <w:rPr>
          <w:w w:val="100"/>
        </w:rPr>
        <w:t>l,</w:t>
      </w:r>
      <w:r>
        <w:rPr/>
        <w:t> </w:t>
      </w:r>
      <w:r>
        <w:rPr>
          <w:spacing w:val="5"/>
        </w:rPr>
        <w:t> </w:t>
      </w:r>
      <w:r>
        <w:rPr/>
        <w:t>pois </w:t>
      </w:r>
      <w:r>
        <w:rPr>
          <w:spacing w:val="5"/>
        </w:rPr>
        <w:t> </w:t>
      </w:r>
      <w:r>
        <w:rPr>
          <w:spacing w:val="-1"/>
          <w:w w:val="44"/>
        </w:rPr>
        <w:t>―</w:t>
      </w:r>
      <w:r>
        <w:rPr>
          <w:w w:val="100"/>
        </w:rPr>
        <w:t>h</w:t>
      </w:r>
      <w:r>
        <w:rPr>
          <w:spacing w:val="1"/>
          <w:w w:val="100"/>
        </w:rPr>
        <w:t>a</w:t>
      </w:r>
      <w:r>
        <w:rPr>
          <w:w w:val="100"/>
        </w:rPr>
        <w:t>via</w:t>
      </w:r>
      <w:r>
        <w:rPr/>
        <w:t> </w:t>
      </w:r>
      <w:r>
        <w:rPr>
          <w:spacing w:val="4"/>
        </w:rPr>
        <w:t> </w:t>
      </w:r>
      <w:r>
        <w:rPr>
          <w:spacing w:val="-1"/>
          <w:w w:val="100"/>
        </w:rPr>
        <w:t>e</w:t>
      </w:r>
      <w:r>
        <w:rPr>
          <w:w w:val="100"/>
        </w:rPr>
        <w:t>mpre</w:t>
      </w:r>
      <w:r>
        <w:rPr>
          <w:spacing w:val="-1"/>
          <w:w w:val="100"/>
        </w:rPr>
        <w:t>e</w:t>
      </w:r>
      <w:r>
        <w:rPr>
          <w:w w:val="100"/>
        </w:rPr>
        <w:t>ndim</w:t>
      </w:r>
      <w:r>
        <w:rPr>
          <w:spacing w:val="-1"/>
          <w:w w:val="100"/>
        </w:rPr>
        <w:t>e</w:t>
      </w:r>
      <w:r>
        <w:rPr/>
        <w:t>ntos </w:t>
      </w:r>
      <w:r>
        <w:rPr>
          <w:spacing w:val="5"/>
        </w:rPr>
        <w:t> </w:t>
      </w:r>
      <w:r>
        <w:rPr>
          <w:w w:val="100"/>
        </w:rPr>
        <w:t>re</w:t>
      </w:r>
      <w:r>
        <w:rPr>
          <w:spacing w:val="-1"/>
          <w:w w:val="100"/>
        </w:rPr>
        <w:t>a</w:t>
      </w:r>
      <w:r>
        <w:rPr/>
        <w:t>is, </w:t>
      </w:r>
      <w:r>
        <w:rPr>
          <w:spacing w:val="5"/>
        </w:rPr>
        <w:t> </w:t>
      </w:r>
      <w:r>
        <w:rPr>
          <w:spacing w:val="-1"/>
          <w:w w:val="100"/>
        </w:rPr>
        <w:t>a</w:t>
      </w:r>
      <w:r>
        <w:rPr>
          <w:w w:val="100"/>
        </w:rPr>
        <w:t>lém</w:t>
      </w:r>
      <w:r>
        <w:rPr/>
        <w:t> </w:t>
      </w:r>
      <w:r>
        <w:rPr>
          <w:spacing w:val="4"/>
        </w:rPr>
        <w:t> </w:t>
      </w:r>
      <w:r>
        <w:rPr>
          <w:w w:val="100"/>
        </w:rPr>
        <w:t>de </w:t>
      </w:r>
      <w:r>
        <w:rPr/>
        <w:t>concepções,   que   revelaram   elevado   índice   de   integração   entre   interesses    </w:t>
      </w:r>
      <w:r>
        <w:rPr>
          <w:spacing w:val="7"/>
        </w:rPr>
        <w:t> </w:t>
      </w:r>
      <w:r>
        <w:rPr/>
        <w:t>de</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2" w:lineRule="auto" w:before="210"/>
        <w:ind w:left="122" w:right="192"/>
        <w:jc w:val="both"/>
      </w:pPr>
      <w:r>
        <w:rPr/>
        <w:t>empresários, comerciantes, importadores, políticos brasileiros e interesses de governos e homens de negócio dos países dominantes‖. (IANNI, 1986, p.</w:t>
      </w:r>
      <w:r>
        <w:rPr>
          <w:spacing w:val="28"/>
        </w:rPr>
        <w:t> </w:t>
      </w:r>
      <w:r>
        <w:rPr/>
        <w:t>81).</w:t>
      </w:r>
    </w:p>
    <w:p>
      <w:pPr>
        <w:pStyle w:val="BodyText"/>
        <w:spacing w:line="360" w:lineRule="auto"/>
        <w:ind w:left="122" w:right="191" w:firstLine="851"/>
        <w:jc w:val="both"/>
      </w:pPr>
      <w:r>
        <w:rPr/>
        <w:t>Com base em Scaf (2007, p. 43), nesse período, tais perspectivas nos permitem apreender duas tendências conceituais frente ao planejamento da   </w:t>
      </w:r>
      <w:r>
        <w:rPr>
          <w:spacing w:val="38"/>
        </w:rPr>
        <w:t> </w:t>
      </w:r>
      <w:r>
        <w:rPr/>
        <w:t>educação:</w:t>
      </w:r>
    </w:p>
    <w:p>
      <w:pPr>
        <w:pStyle w:val="BodyText"/>
        <w:spacing w:line="360" w:lineRule="auto" w:before="3"/>
        <w:ind w:left="122" w:right="188"/>
        <w:jc w:val="both"/>
      </w:pPr>
      <w:r>
        <w:rPr>
          <w:w w:val="44"/>
        </w:rPr>
        <w:t>―</w:t>
      </w:r>
      <w:r>
        <w:rPr>
          <w:w w:val="100"/>
        </w:rPr>
        <w:t>uma</w:t>
      </w:r>
      <w:r>
        <w:rPr/>
        <w:t> </w:t>
      </w:r>
      <w:r>
        <w:rPr>
          <w:w w:val="100"/>
        </w:rPr>
        <w:t>pe</w:t>
      </w:r>
      <w:r>
        <w:rPr>
          <w:w w:val="99"/>
        </w:rPr>
        <w:t>nsad</w:t>
      </w:r>
      <w:r>
        <w:rPr>
          <w:w w:val="100"/>
        </w:rPr>
        <w:t>a</w:t>
      </w:r>
      <w:r>
        <w:rPr/>
        <w:t> por </w:t>
      </w:r>
      <w:r>
        <w:rPr>
          <w:w w:val="99"/>
        </w:rPr>
        <w:t>so</w:t>
      </w:r>
      <w:r>
        <w:rPr>
          <w:w w:val="100"/>
        </w:rPr>
        <w:t>c</w:t>
      </w:r>
      <w:r>
        <w:rPr>
          <w:w w:val="100"/>
        </w:rPr>
        <w:t>ial</w:t>
      </w:r>
      <w:r>
        <w:rPr>
          <w:w w:val="100"/>
        </w:rPr>
        <w:t>ist</w:t>
      </w:r>
      <w:r>
        <w:rPr>
          <w:w w:val="100"/>
        </w:rPr>
        <w:t>a</w:t>
      </w:r>
      <w:r>
        <w:rPr>
          <w:w w:val="99"/>
        </w:rPr>
        <w:t>s</w:t>
      </w:r>
      <w:r>
        <w:rPr/>
        <w:t> </w:t>
      </w:r>
      <w:r>
        <w:rPr>
          <w:w w:val="100"/>
        </w:rPr>
        <w:t>e</w:t>
      </w:r>
      <w:r>
        <w:rPr/>
        <w:t> </w:t>
      </w:r>
      <w:r>
        <w:rPr>
          <w:w w:val="100"/>
        </w:rPr>
        <w:t>outra</w:t>
      </w:r>
      <w:r>
        <w:rPr/>
        <w:t> por </w:t>
      </w:r>
      <w:r>
        <w:rPr>
          <w:w w:val="100"/>
        </w:rPr>
        <w:t>li</w:t>
      </w:r>
      <w:r>
        <w:rPr>
          <w:w w:val="100"/>
        </w:rPr>
        <w:t>bera</w:t>
      </w:r>
      <w:r>
        <w:rPr>
          <w:w w:val="100"/>
        </w:rPr>
        <w:t>is</w:t>
      </w:r>
      <w:r>
        <w:rPr>
          <w:w w:val="158"/>
        </w:rPr>
        <w:t>‖</w:t>
      </w:r>
      <w:r>
        <w:rPr/>
        <w:t>. Na </w:t>
      </w:r>
      <w:r>
        <w:rPr>
          <w:w w:val="100"/>
        </w:rPr>
        <w:t>tend</w:t>
      </w:r>
      <w:r>
        <w:rPr>
          <w:w w:val="100"/>
        </w:rPr>
        <w:t>ê</w:t>
      </w:r>
      <w:r>
        <w:rPr>
          <w:w w:val="100"/>
        </w:rPr>
        <w:t>nc</w:t>
      </w:r>
      <w:r>
        <w:rPr>
          <w:w w:val="100"/>
        </w:rPr>
        <w:t>ia</w:t>
      </w:r>
      <w:r>
        <w:rPr/>
        <w:t> </w:t>
      </w:r>
      <w:r>
        <w:rPr>
          <w:w w:val="100"/>
        </w:rPr>
        <w:t>li</w:t>
      </w:r>
      <w:r>
        <w:rPr>
          <w:w w:val="100"/>
        </w:rPr>
        <w:t>bera</w:t>
      </w:r>
      <w:r>
        <w:rPr>
          <w:w w:val="100"/>
        </w:rPr>
        <w:t>l,</w:t>
      </w:r>
      <w:r>
        <w:rPr/>
        <w:t> </w:t>
      </w:r>
      <w:r>
        <w:rPr>
          <w:w w:val="100"/>
        </w:rPr>
        <w:t>t</w:t>
      </w:r>
      <w:r>
        <w:rPr>
          <w:w w:val="100"/>
        </w:rPr>
        <w:t>e</w:t>
      </w:r>
      <w:r>
        <w:rPr/>
        <w:t>ndo Hay</w:t>
      </w:r>
      <w:r>
        <w:rPr>
          <w:w w:val="100"/>
        </w:rPr>
        <w:t>e</w:t>
      </w:r>
      <w:r>
        <w:rPr/>
        <w:t>k </w:t>
      </w:r>
      <w:r>
        <w:rPr>
          <w:w w:val="100"/>
        </w:rPr>
        <w:t>c</w:t>
      </w:r>
      <w:r>
        <w:rPr>
          <w:w w:val="100"/>
        </w:rPr>
        <w:t>omo um de se</w:t>
      </w:r>
      <w:r>
        <w:rPr>
          <w:w w:val="99"/>
        </w:rPr>
        <w:t>us</w:t>
      </w:r>
      <w:r>
        <w:rPr/>
        <w:t> </w:t>
      </w:r>
      <w:r>
        <w:rPr>
          <w:w w:val="100"/>
        </w:rPr>
        <w:t>re</w:t>
      </w:r>
      <w:r>
        <w:rPr>
          <w:w w:val="99"/>
        </w:rPr>
        <w:t>pr</w:t>
      </w:r>
      <w:r>
        <w:rPr>
          <w:w w:val="100"/>
        </w:rPr>
        <w:t>e</w:t>
      </w:r>
      <w:r>
        <w:rPr>
          <w:w w:val="99"/>
        </w:rPr>
        <w:t>se</w:t>
      </w:r>
      <w:r>
        <w:rPr>
          <w:w w:val="100"/>
        </w:rPr>
        <w:t>ntante</w:t>
      </w:r>
      <w:r>
        <w:rPr>
          <w:w w:val="99"/>
        </w:rPr>
        <w:t>s,</w:t>
      </w:r>
      <w:r>
        <w:rPr/>
        <w:t> </w:t>
      </w:r>
      <w:r>
        <w:rPr>
          <w:w w:val="44"/>
        </w:rPr>
        <w:t>―</w:t>
      </w:r>
      <w:r>
        <w:rPr>
          <w:w w:val="100"/>
        </w:rPr>
        <w:t>é</w:t>
      </w:r>
      <w:r>
        <w:rPr/>
        <w:t> r</w:t>
      </w:r>
      <w:r>
        <w:rPr>
          <w:w w:val="100"/>
        </w:rPr>
        <w:t>ec</w:t>
      </w:r>
      <w:r>
        <w:rPr>
          <w:w w:val="100"/>
        </w:rPr>
        <w:t>ha</w:t>
      </w:r>
      <w:r>
        <w:rPr>
          <w:w w:val="100"/>
        </w:rPr>
        <w:t>ça</w:t>
      </w:r>
      <w:r>
        <w:rPr/>
        <w:t>d</w:t>
      </w:r>
      <w:r>
        <w:rPr>
          <w:w w:val="100"/>
        </w:rPr>
        <w:t>a</w:t>
      </w:r>
      <w:r>
        <w:rPr/>
        <w:t> </w:t>
      </w:r>
      <w:r>
        <w:rPr>
          <w:w w:val="100"/>
        </w:rPr>
        <w:t>a</w:t>
      </w:r>
      <w:r>
        <w:rPr/>
        <w:t> proposta </w:t>
      </w:r>
      <w:r>
        <w:rPr>
          <w:w w:val="99"/>
        </w:rPr>
        <w:t>dos</w:t>
      </w:r>
      <w:r>
        <w:rPr/>
        <w:t> </w:t>
      </w:r>
      <w:r>
        <w:rPr>
          <w:w w:val="90"/>
        </w:rPr>
        <w:t>‗pla</w:t>
      </w:r>
      <w:r>
        <w:rPr>
          <w:w w:val="100"/>
        </w:rPr>
        <w:t>nejadore</w:t>
      </w:r>
      <w:r>
        <w:rPr>
          <w:w w:val="99"/>
        </w:rPr>
        <w:t>s</w:t>
      </w:r>
      <w:r>
        <w:rPr/>
        <w:t> </w:t>
      </w:r>
      <w:r>
        <w:rPr>
          <w:w w:val="100"/>
        </w:rPr>
        <w:t>moder</w:t>
      </w:r>
      <w:r>
        <w:rPr>
          <w:w w:val="99"/>
        </w:rPr>
        <w:t>nos‘ </w:t>
      </w:r>
      <w:r>
        <w:rPr/>
        <w:t>de controle centralizado da atividade econômica, de acordo com um plano único, por considerar a concorrência um método superior, o melhor e único método pelo qual ‗as atividades podem ajustar-se umas às outras sem a intervenção coercitiva e arbitrária da autoridade‘. (Grifos da autora). Como representação da frente socialista, defendendo o controle da força de trabalho e o capital nacional, é possível percebermos, como afirma</w:t>
      </w:r>
    </w:p>
    <w:p>
      <w:pPr>
        <w:pStyle w:val="BodyText"/>
        <w:spacing w:line="282" w:lineRule="exact"/>
        <w:ind w:left="122"/>
        <w:jc w:val="both"/>
      </w:pPr>
      <w:r>
        <w:rPr/>
        <w:t>Ianni (1986, p. 69), o nacionalismo</w:t>
      </w:r>
      <w:r>
        <w:rPr>
          <w:position w:val="11"/>
          <w:sz w:val="16"/>
        </w:rPr>
        <w:t>8  </w:t>
      </w:r>
      <w:r>
        <w:rPr/>
        <w:t>figurando de modo mais frequente em discursos</w:t>
      </w:r>
    </w:p>
    <w:p>
      <w:pPr>
        <w:pStyle w:val="BodyText"/>
        <w:spacing w:before="137"/>
        <w:ind w:left="122"/>
        <w:jc w:val="both"/>
      </w:pPr>
      <w:r>
        <w:rPr/>
        <w:t>dos governantes.</w:t>
      </w:r>
    </w:p>
    <w:p>
      <w:pPr>
        <w:pStyle w:val="BodyText"/>
        <w:spacing w:line="360" w:lineRule="auto" w:before="139"/>
        <w:ind w:left="122" w:right="189" w:firstLine="851"/>
        <w:jc w:val="both"/>
      </w:pPr>
      <w:r>
        <w:rPr/>
        <w:t>Contudo, é possível afirmar que das disputas entre os socialistas e os liberais, saem vitoriosas as intencionalidades liberais, pois, conforme o período seguinte, tomam força e avançam rumo a um projeto de Estado voltado e comprometido com o capital internacional, influenciando, sobremaneira, o planejamento da educação no Brasil, que caminha conforme orientações de organismos internacionais como, por exemplo, a Comissão Econômica para a América Latina (CEPAL) (SCAF, 2007).</w:t>
      </w:r>
    </w:p>
    <w:p>
      <w:pPr>
        <w:pStyle w:val="BodyText"/>
        <w:rPr>
          <w:sz w:val="26"/>
        </w:rPr>
      </w:pPr>
    </w:p>
    <w:p>
      <w:pPr>
        <w:pStyle w:val="BodyText"/>
        <w:rPr>
          <w:sz w:val="26"/>
        </w:rPr>
      </w:pPr>
    </w:p>
    <w:p>
      <w:pPr>
        <w:pStyle w:val="BodyText"/>
        <w:spacing w:before="9"/>
        <w:rPr>
          <w:sz w:val="20"/>
        </w:rPr>
      </w:pPr>
    </w:p>
    <w:p>
      <w:pPr>
        <w:pStyle w:val="Heading2"/>
        <w:numPr>
          <w:ilvl w:val="2"/>
          <w:numId w:val="7"/>
        </w:numPr>
        <w:tabs>
          <w:tab w:pos="720" w:val="left" w:leader="none"/>
        </w:tabs>
        <w:spacing w:line="240" w:lineRule="auto" w:before="0" w:after="0"/>
        <w:ind w:left="122" w:right="192" w:firstLine="0"/>
        <w:jc w:val="both"/>
      </w:pPr>
      <w:r>
        <w:rPr>
          <w:i/>
        </w:rPr>
        <w:t>Dos anos 1950 à ditadura militar: o planejamento tecnocrático no Estado </w:t>
      </w:r>
      <w:r>
        <w:rPr/>
        <w:t>liberal</w:t>
      </w:r>
    </w:p>
    <w:p>
      <w:pPr>
        <w:pStyle w:val="BodyText"/>
        <w:spacing w:before="7"/>
        <w:rPr>
          <w:b/>
          <w:i/>
          <w:sz w:val="35"/>
        </w:rPr>
      </w:pPr>
    </w:p>
    <w:p>
      <w:pPr>
        <w:pStyle w:val="BodyText"/>
        <w:spacing w:line="360" w:lineRule="auto"/>
        <w:ind w:left="122" w:right="227" w:firstLine="851"/>
        <w:jc w:val="both"/>
      </w:pPr>
      <w:r>
        <w:rPr/>
        <w:t>No Governo Juscelino Kubitschek (1956-1961), ainda no segundo dia do mandato é criado, por meio de Decreto, o Conselho de desenvolvimento, com atribuições de formular planos e, também, controlar e coordenar sua implementação (LOPES, 1990). Assim, na experiência de planejamento governamental no Brasil, com o Plano de Metas elaborado no Governo de Juscelino Kubitschek, a educação é </w:t>
      </w:r>
      <w:r>
        <w:rPr>
          <w:w w:val="100"/>
        </w:rPr>
        <w:t>inse</w:t>
      </w:r>
      <w:r>
        <w:rPr>
          <w:spacing w:val="-1"/>
          <w:w w:val="100"/>
        </w:rPr>
        <w:t>r</w:t>
      </w:r>
      <w:r>
        <w:rPr>
          <w:w w:val="100"/>
        </w:rPr>
        <w:t>ida</w:t>
      </w:r>
      <w:r>
        <w:rPr>
          <w:spacing w:val="28"/>
        </w:rPr>
        <w:t> </w:t>
      </w:r>
      <w:r>
        <w:rPr>
          <w:spacing w:val="-1"/>
          <w:w w:val="44"/>
        </w:rPr>
        <w:t>―</w:t>
      </w:r>
      <w:r>
        <w:rPr>
          <w:spacing w:val="-1"/>
          <w:w w:val="100"/>
        </w:rPr>
        <w:t>c</w:t>
      </w:r>
      <w:r>
        <w:rPr>
          <w:w w:val="100"/>
        </w:rPr>
        <w:t>om</w:t>
      </w:r>
      <w:r>
        <w:rPr>
          <w:spacing w:val="29"/>
        </w:rPr>
        <w:t> </w:t>
      </w:r>
      <w:r>
        <w:rPr/>
        <w:t>o</w:t>
      </w:r>
      <w:r>
        <w:rPr>
          <w:spacing w:val="28"/>
        </w:rPr>
        <w:t> </w:t>
      </w:r>
      <w:r>
        <w:rPr>
          <w:w w:val="100"/>
        </w:rPr>
        <w:t>objetivo</w:t>
      </w:r>
      <w:r>
        <w:rPr>
          <w:spacing w:val="29"/>
        </w:rPr>
        <w:t> </w:t>
      </w:r>
      <w:r>
        <w:rPr>
          <w:spacing w:val="1"/>
        </w:rPr>
        <w:t>[</w:t>
      </w:r>
      <w:r>
        <w:rPr>
          <w:w w:val="100"/>
        </w:rPr>
        <w:t>d</w:t>
      </w:r>
      <w:r>
        <w:rPr>
          <w:spacing w:val="-1"/>
          <w:w w:val="100"/>
        </w:rPr>
        <w:t>e</w:t>
      </w:r>
      <w:r>
        <w:rPr>
          <w:w w:val="99"/>
        </w:rPr>
        <w:t>]</w:t>
      </w:r>
      <w:r>
        <w:rPr>
          <w:spacing w:val="27"/>
          <w:w w:val="99"/>
        </w:rPr>
        <w:t> </w:t>
      </w:r>
      <w:r>
        <w:rPr>
          <w:w w:val="100"/>
        </w:rPr>
        <w:t>int</w:t>
      </w:r>
      <w:r>
        <w:rPr>
          <w:spacing w:val="-1"/>
          <w:w w:val="100"/>
        </w:rPr>
        <w:t>e</w:t>
      </w:r>
      <w:r>
        <w:rPr>
          <w:w w:val="100"/>
        </w:rPr>
        <w:t>nsific</w:t>
      </w:r>
      <w:r>
        <w:rPr>
          <w:spacing w:val="-2"/>
          <w:w w:val="100"/>
        </w:rPr>
        <w:t>a</w:t>
      </w:r>
      <w:r>
        <w:rPr>
          <w:w w:val="99"/>
        </w:rPr>
        <w:t>r</w:t>
      </w:r>
      <w:r>
        <w:rPr>
          <w:spacing w:val="27"/>
          <w:w w:val="99"/>
        </w:rPr>
        <w:t> </w:t>
      </w:r>
      <w:r>
        <w:rPr>
          <w:w w:val="100"/>
        </w:rPr>
        <w:t>a</w:t>
      </w:r>
      <w:r>
        <w:rPr>
          <w:spacing w:val="27"/>
        </w:rPr>
        <w:t> </w:t>
      </w:r>
      <w:r>
        <w:rPr/>
        <w:t>fo</w:t>
      </w:r>
      <w:r>
        <w:rPr>
          <w:spacing w:val="-2"/>
        </w:rPr>
        <w:t>r</w:t>
      </w:r>
      <w:r>
        <w:rPr>
          <w:w w:val="100"/>
        </w:rPr>
        <w:t>ma</w:t>
      </w:r>
      <w:r>
        <w:rPr>
          <w:spacing w:val="-2"/>
          <w:w w:val="100"/>
        </w:rPr>
        <w:t>ç</w:t>
      </w:r>
      <w:r>
        <w:rPr>
          <w:spacing w:val="-1"/>
          <w:w w:val="100"/>
        </w:rPr>
        <w:t>ã</w:t>
      </w:r>
      <w:r>
        <w:rPr/>
        <w:t>o</w:t>
      </w:r>
      <w:r>
        <w:rPr>
          <w:spacing w:val="28"/>
        </w:rPr>
        <w:t> </w:t>
      </w:r>
      <w:r>
        <w:rPr>
          <w:w w:val="100"/>
        </w:rPr>
        <w:t>de</w:t>
      </w:r>
      <w:r>
        <w:rPr>
          <w:spacing w:val="27"/>
        </w:rPr>
        <w:t> </w:t>
      </w:r>
      <w:r>
        <w:rPr>
          <w:w w:val="100"/>
        </w:rPr>
        <w:t>p</w:t>
      </w:r>
      <w:r>
        <w:rPr>
          <w:spacing w:val="-1"/>
          <w:w w:val="100"/>
        </w:rPr>
        <w:t>e</w:t>
      </w:r>
      <w:r>
        <w:rPr>
          <w:w w:val="99"/>
        </w:rPr>
        <w:t>ss</w:t>
      </w:r>
      <w:r>
        <w:rPr>
          <w:spacing w:val="2"/>
          <w:w w:val="99"/>
        </w:rPr>
        <w:t>o</w:t>
      </w:r>
      <w:r>
        <w:rPr>
          <w:spacing w:val="-1"/>
          <w:w w:val="100"/>
        </w:rPr>
        <w:t>a</w:t>
      </w:r>
      <w:r>
        <w:rPr>
          <w:w w:val="100"/>
        </w:rPr>
        <w:t>l</w:t>
      </w:r>
      <w:r>
        <w:rPr>
          <w:spacing w:val="29"/>
        </w:rPr>
        <w:t> </w:t>
      </w:r>
      <w:r>
        <w:rPr>
          <w:w w:val="100"/>
        </w:rPr>
        <w:t>té</w:t>
      </w:r>
      <w:r>
        <w:rPr>
          <w:spacing w:val="-2"/>
          <w:w w:val="100"/>
        </w:rPr>
        <w:t>c</w:t>
      </w:r>
      <w:r>
        <w:rPr>
          <w:w w:val="100"/>
        </w:rPr>
        <w:t>nico</w:t>
      </w:r>
      <w:r>
        <w:rPr>
          <w:spacing w:val="28"/>
        </w:rPr>
        <w:t> </w:t>
      </w:r>
      <w:r>
        <w:rPr>
          <w:w w:val="100"/>
        </w:rPr>
        <w:t>e</w:t>
      </w:r>
      <w:r>
        <w:rPr>
          <w:spacing w:val="27"/>
        </w:rPr>
        <w:t> </w:t>
      </w:r>
      <w:r>
        <w:rPr/>
        <w:t>o</w:t>
      </w:r>
      <w:r>
        <w:rPr>
          <w:spacing w:val="-1"/>
        </w:rPr>
        <w:t>r</w:t>
      </w:r>
      <w:r>
        <w:rPr>
          <w:w w:val="100"/>
        </w:rPr>
        <w:t>ient</w:t>
      </w:r>
      <w:r>
        <w:rPr>
          <w:spacing w:val="-1"/>
          <w:w w:val="100"/>
        </w:rPr>
        <w:t>a</w:t>
      </w:r>
      <w:r>
        <w:rPr>
          <w:w w:val="99"/>
        </w:rPr>
        <w:t>r</w:t>
      </w:r>
      <w:r>
        <w:rPr>
          <w:spacing w:val="27"/>
          <w:w w:val="99"/>
        </w:rPr>
        <w:t> </w:t>
      </w:r>
      <w:r>
        <w:rPr>
          <w:w w:val="100"/>
        </w:rPr>
        <w:t>a</w:t>
      </w:r>
    </w:p>
    <w:p>
      <w:pPr>
        <w:pStyle w:val="BodyText"/>
        <w:rPr>
          <w:sz w:val="20"/>
        </w:rPr>
      </w:pPr>
    </w:p>
    <w:p>
      <w:pPr>
        <w:pStyle w:val="BodyText"/>
        <w:rPr>
          <w:sz w:val="20"/>
        </w:rPr>
      </w:pPr>
    </w:p>
    <w:p>
      <w:pPr>
        <w:pStyle w:val="BodyText"/>
        <w:spacing w:before="10"/>
        <w:rPr>
          <w:sz w:val="28"/>
        </w:rPr>
      </w:pPr>
      <w:r>
        <w:rPr/>
        <w:pict>
          <v:line style="position:absolute;mso-position-horizontal-relative:page;mso-position-vertical-relative:paragraph;z-index:1288;mso-wrap-distance-left:0;mso-wrap-distance-right:0" from="85.103996pt,18.964748pt" to="229.123996pt,18.964748pt" stroked="true" strokeweight=".72003pt" strokecolor="#000000">
            <v:stroke dashstyle="solid"/>
            <w10:wrap type="topAndBottom"/>
          </v:line>
        </w:pict>
      </w:r>
    </w:p>
    <w:p>
      <w:pPr>
        <w:spacing w:before="42"/>
        <w:ind w:left="122" w:right="116" w:firstLine="0"/>
        <w:jc w:val="both"/>
        <w:rPr>
          <w:sz w:val="20"/>
        </w:rPr>
      </w:pPr>
      <w:r>
        <w:rPr>
          <w:position w:val="9"/>
          <w:sz w:val="13"/>
        </w:rPr>
        <w:t>8</w:t>
      </w:r>
      <w:r>
        <w:rPr>
          <w:sz w:val="20"/>
        </w:rPr>
        <w:t>Guimarães (2008, p. 147) define o nacionalismo nas colônias – entre esses o Brasil – como movimentos de afirmação da nacionalidade, de recuperação de tradições, de idioma, de autonomia política e de independência, em relação inicialmente às metrópoles coloniais europeias, e, mais tarde, se  transformaram em movimentos de afirmação política e de desenvolvimento econômico</w:t>
      </w:r>
      <w:r>
        <w:rPr>
          <w:spacing w:val="-32"/>
          <w:sz w:val="20"/>
        </w:rPr>
        <w:t> </w:t>
      </w:r>
      <w:r>
        <w:rPr>
          <w:sz w:val="20"/>
        </w:rPr>
        <w:t>independente.</w:t>
      </w:r>
    </w:p>
    <w:p>
      <w:pPr>
        <w:spacing w:after="0"/>
        <w:jc w:val="both"/>
        <w:rPr>
          <w:sz w:val="20"/>
        </w:rPr>
        <w:sectPr>
          <w:pgSz w:w="11910" w:h="16840"/>
          <w:pgMar w:header="749" w:footer="0" w:top="960" w:bottom="280" w:left="1580" w:right="1580"/>
        </w:sectPr>
      </w:pPr>
    </w:p>
    <w:p>
      <w:pPr>
        <w:pStyle w:val="BodyText"/>
        <w:rPr>
          <w:sz w:val="20"/>
        </w:rPr>
      </w:pPr>
    </w:p>
    <w:p>
      <w:pPr>
        <w:pStyle w:val="BodyText"/>
        <w:spacing w:line="362" w:lineRule="auto" w:before="210"/>
        <w:ind w:left="102" w:right="228"/>
        <w:jc w:val="both"/>
      </w:pPr>
      <w:r>
        <w:rPr/>
        <w:t>educação para o desenvolvimento, ou seja: a educação, no planejamento, é vinculada ao desenvolvimento‖ (BORDIGNON, 2011, p.</w:t>
      </w:r>
      <w:r>
        <w:rPr>
          <w:spacing w:val="34"/>
        </w:rPr>
        <w:t> </w:t>
      </w:r>
      <w:r>
        <w:rPr/>
        <w:t>8).</w:t>
      </w:r>
    </w:p>
    <w:p>
      <w:pPr>
        <w:pStyle w:val="BodyText"/>
        <w:spacing w:line="360" w:lineRule="auto"/>
        <w:ind w:left="102" w:right="228" w:firstLine="851"/>
        <w:jc w:val="both"/>
      </w:pPr>
      <w:r>
        <w:rPr/>
        <w:t>Neste contexto, reitera-se a defesa do sistema educacional brasileiro, para </w:t>
      </w:r>
      <w:r>
        <w:rPr>
          <w:spacing w:val="-1"/>
        </w:rPr>
        <w:t>c</w:t>
      </w:r>
      <w:r>
        <w:rPr/>
        <w:t>oloc</w:t>
      </w:r>
      <w:r>
        <w:rPr>
          <w:spacing w:val="-2"/>
        </w:rPr>
        <w:t>á</w:t>
      </w:r>
      <w:r>
        <w:rPr>
          <w:spacing w:val="-1"/>
        </w:rPr>
        <w:t>-</w:t>
      </w:r>
      <w:r>
        <w:rPr>
          <w:w w:val="100"/>
        </w:rPr>
        <w:t>lo</w:t>
      </w:r>
      <w:r>
        <w:rPr>
          <w:spacing w:val="2"/>
        </w:rPr>
        <w:t> </w:t>
      </w:r>
      <w:r>
        <w:rPr>
          <w:w w:val="100"/>
        </w:rPr>
        <w:t>a</w:t>
      </w:r>
      <w:r>
        <w:rPr>
          <w:spacing w:val="1"/>
        </w:rPr>
        <w:t> </w:t>
      </w:r>
      <w:r>
        <w:rPr/>
        <w:t>s</w:t>
      </w:r>
      <w:r>
        <w:rPr>
          <w:spacing w:val="1"/>
        </w:rPr>
        <w:t>e</w:t>
      </w:r>
      <w:r>
        <w:rPr>
          <w:w w:val="100"/>
        </w:rPr>
        <w:t>rvi</w:t>
      </w:r>
      <w:r>
        <w:rPr>
          <w:spacing w:val="-2"/>
          <w:w w:val="100"/>
        </w:rPr>
        <w:t>ç</w:t>
      </w:r>
      <w:r>
        <w:rPr/>
        <w:t>o</w:t>
      </w:r>
      <w:r>
        <w:rPr>
          <w:spacing w:val="2"/>
        </w:rPr>
        <w:t> </w:t>
      </w:r>
      <w:r>
        <w:rPr/>
        <w:t>do</w:t>
      </w:r>
      <w:r>
        <w:rPr>
          <w:spacing w:val="2"/>
        </w:rPr>
        <w:t> </w:t>
      </w:r>
      <w:r>
        <w:rPr>
          <w:w w:val="100"/>
        </w:rPr>
        <w:t>d</w:t>
      </w:r>
      <w:r>
        <w:rPr>
          <w:spacing w:val="1"/>
          <w:w w:val="100"/>
        </w:rPr>
        <w:t>e</w:t>
      </w:r>
      <w:r>
        <w:rPr>
          <w:w w:val="99"/>
        </w:rPr>
        <w:t>s</w:t>
      </w:r>
      <w:r>
        <w:rPr>
          <w:spacing w:val="-1"/>
          <w:w w:val="99"/>
        </w:rPr>
        <w:t>e</w:t>
      </w:r>
      <w:r>
        <w:rPr>
          <w:w w:val="100"/>
        </w:rPr>
        <w:t>nvolvimento</w:t>
      </w:r>
      <w:r>
        <w:rPr>
          <w:spacing w:val="2"/>
        </w:rPr>
        <w:t> </w:t>
      </w:r>
      <w:r>
        <w:rPr>
          <w:spacing w:val="-1"/>
          <w:w w:val="100"/>
        </w:rPr>
        <w:t>ec</w:t>
      </w:r>
      <w:r>
        <w:rPr>
          <w:w w:val="100"/>
        </w:rPr>
        <w:t>onômi</w:t>
      </w:r>
      <w:r>
        <w:rPr>
          <w:spacing w:val="-1"/>
          <w:w w:val="100"/>
        </w:rPr>
        <w:t>c</w:t>
      </w:r>
      <w:r>
        <w:rPr/>
        <w:t>o,</w:t>
      </w:r>
      <w:r>
        <w:rPr>
          <w:spacing w:val="2"/>
        </w:rPr>
        <w:t> </w:t>
      </w:r>
      <w:r>
        <w:rPr/>
        <w:t>pois,</w:t>
      </w:r>
      <w:r>
        <w:rPr>
          <w:spacing w:val="2"/>
        </w:rPr>
        <w:t> </w:t>
      </w:r>
      <w:r>
        <w:rPr>
          <w:spacing w:val="-1"/>
          <w:w w:val="44"/>
        </w:rPr>
        <w:t>―</w:t>
      </w:r>
      <w:r>
        <w:rPr>
          <w:w w:val="100"/>
        </w:rPr>
        <w:t>a</w:t>
      </w:r>
      <w:r>
        <w:rPr>
          <w:spacing w:val="1"/>
        </w:rPr>
        <w:t> </w:t>
      </w:r>
      <w:r>
        <w:rPr>
          <w:spacing w:val="-1"/>
          <w:w w:val="100"/>
        </w:rPr>
        <w:t>e</w:t>
      </w:r>
      <w:r>
        <w:rPr>
          <w:w w:val="100"/>
        </w:rPr>
        <w:t>du</w:t>
      </w:r>
      <w:r>
        <w:rPr>
          <w:spacing w:val="-1"/>
          <w:w w:val="100"/>
        </w:rPr>
        <w:t>c</w:t>
      </w:r>
      <w:r>
        <w:rPr>
          <w:spacing w:val="1"/>
          <w:w w:val="100"/>
        </w:rPr>
        <w:t>a</w:t>
      </w:r>
      <w:r>
        <w:rPr>
          <w:spacing w:val="-1"/>
          <w:w w:val="100"/>
        </w:rPr>
        <w:t>çã</w:t>
      </w:r>
      <w:r>
        <w:rPr/>
        <w:t>o</w:t>
      </w:r>
      <w:r>
        <w:rPr>
          <w:spacing w:val="2"/>
        </w:rPr>
        <w:t> </w:t>
      </w:r>
      <w:r>
        <w:rPr>
          <w:w w:val="100"/>
        </w:rPr>
        <w:t>é</w:t>
      </w:r>
      <w:r>
        <w:rPr>
          <w:spacing w:val="1"/>
        </w:rPr>
        <w:t> </w:t>
      </w:r>
      <w:r>
        <w:rPr/>
        <w:t>vi</w:t>
      </w:r>
      <w:r>
        <w:rPr>
          <w:spacing w:val="2"/>
        </w:rPr>
        <w:t>s</w:t>
      </w:r>
      <w:r>
        <w:rPr>
          <w:w w:val="100"/>
        </w:rPr>
        <w:t>ta</w:t>
      </w:r>
      <w:r>
        <w:rPr>
          <w:spacing w:val="1"/>
        </w:rPr>
        <w:t> </w:t>
      </w:r>
      <w:r>
        <w:rPr>
          <w:spacing w:val="-1"/>
          <w:w w:val="100"/>
        </w:rPr>
        <w:t>c</w:t>
      </w:r>
      <w:r>
        <w:rPr>
          <w:w w:val="100"/>
        </w:rPr>
        <w:t>omo</w:t>
      </w:r>
      <w:r>
        <w:rPr>
          <w:spacing w:val="2"/>
          <w:w w:val="100"/>
        </w:rPr>
        <w:t> </w:t>
      </w:r>
      <w:r>
        <w:rPr>
          <w:w w:val="100"/>
        </w:rPr>
        <w:t>um </w:t>
      </w:r>
      <w:r>
        <w:rPr/>
        <w:t>importante instrumento no planejamento do desenvolvimento à medida em que deve prover o país de </w:t>
      </w:r>
      <w:r>
        <w:rPr>
          <w:b/>
        </w:rPr>
        <w:t>conhecimentos técnicos </w:t>
      </w:r>
      <w:r>
        <w:rPr/>
        <w:t>e de um grau de evolução que favoreça o crescimento da produção e a melhoria do nível de vida dos habitantes‖. (OLIVEIRA, 2009, p. 79). (Grifos nossos). Ainda, é importante destacarmos que tal </w:t>
      </w:r>
      <w:r>
        <w:rPr>
          <w:w w:val="100"/>
        </w:rPr>
        <w:t>d</w:t>
      </w:r>
      <w:r>
        <w:rPr>
          <w:spacing w:val="-1"/>
          <w:w w:val="100"/>
        </w:rPr>
        <w:t>e</w:t>
      </w:r>
      <w:r>
        <w:rPr>
          <w:w w:val="99"/>
        </w:rPr>
        <w:t>s</w:t>
      </w:r>
      <w:r>
        <w:rPr>
          <w:spacing w:val="-1"/>
          <w:w w:val="99"/>
        </w:rPr>
        <w:t>e</w:t>
      </w:r>
      <w:r>
        <w:rPr>
          <w:w w:val="100"/>
        </w:rPr>
        <w:t>nvolvimento</w:t>
      </w:r>
      <w:r>
        <w:rPr>
          <w:spacing w:val="4"/>
        </w:rPr>
        <w:t> </w:t>
      </w:r>
      <w:r>
        <w:rPr>
          <w:w w:val="100"/>
        </w:rPr>
        <w:t>plan</w:t>
      </w:r>
      <w:r>
        <w:rPr>
          <w:spacing w:val="-2"/>
          <w:w w:val="100"/>
        </w:rPr>
        <w:t>e</w:t>
      </w:r>
      <w:r>
        <w:rPr>
          <w:w w:val="100"/>
        </w:rPr>
        <w:t>j</w:t>
      </w:r>
      <w:r>
        <w:rPr>
          <w:spacing w:val="1"/>
          <w:w w:val="100"/>
        </w:rPr>
        <w:t>a</w:t>
      </w:r>
      <w:r>
        <w:rPr/>
        <w:t>do</w:t>
      </w:r>
      <w:r>
        <w:rPr>
          <w:spacing w:val="4"/>
        </w:rPr>
        <w:t> </w:t>
      </w:r>
      <w:r>
        <w:rPr>
          <w:w w:val="100"/>
        </w:rPr>
        <w:t>tom</w:t>
      </w:r>
      <w:r>
        <w:rPr>
          <w:w w:val="100"/>
        </w:rPr>
        <w:t>a</w:t>
      </w:r>
      <w:r>
        <w:rPr>
          <w:spacing w:val="3"/>
        </w:rPr>
        <w:t> </w:t>
      </w:r>
      <w:r>
        <w:rPr>
          <w:w w:val="100"/>
        </w:rPr>
        <w:t>a</w:t>
      </w:r>
      <w:r>
        <w:rPr>
          <w:spacing w:val="3"/>
        </w:rPr>
        <w:t> </w:t>
      </w:r>
      <w:r>
        <w:rPr>
          <w:spacing w:val="-1"/>
          <w:w w:val="100"/>
        </w:rPr>
        <w:t>e</w:t>
      </w:r>
      <w:r>
        <w:rPr>
          <w:w w:val="100"/>
        </w:rPr>
        <w:t>du</w:t>
      </w:r>
      <w:r>
        <w:rPr>
          <w:spacing w:val="-1"/>
          <w:w w:val="100"/>
        </w:rPr>
        <w:t>c</w:t>
      </w:r>
      <w:r>
        <w:rPr>
          <w:spacing w:val="-1"/>
          <w:w w:val="100"/>
        </w:rPr>
        <w:t>açã</w:t>
      </w:r>
      <w:r>
        <w:rPr/>
        <w:t>o</w:t>
      </w:r>
      <w:r>
        <w:rPr>
          <w:spacing w:val="4"/>
        </w:rPr>
        <w:t> </w:t>
      </w:r>
      <w:r>
        <w:rPr>
          <w:spacing w:val="-1"/>
          <w:w w:val="100"/>
        </w:rPr>
        <w:t>e</w:t>
      </w:r>
      <w:r>
        <w:rPr>
          <w:spacing w:val="2"/>
        </w:rPr>
        <w:t>n</w:t>
      </w:r>
      <w:r>
        <w:rPr>
          <w:w w:val="100"/>
        </w:rPr>
        <w:t>f</w:t>
      </w:r>
      <w:r>
        <w:rPr>
          <w:spacing w:val="-2"/>
          <w:w w:val="100"/>
        </w:rPr>
        <w:t>a</w:t>
      </w:r>
      <w:r>
        <w:rPr>
          <w:spacing w:val="2"/>
          <w:w w:val="100"/>
        </w:rPr>
        <w:t>t</w:t>
      </w:r>
      <w:r>
        <w:rPr>
          <w:w w:val="100"/>
        </w:rPr>
        <w:t>i</w:t>
      </w:r>
      <w:r>
        <w:rPr>
          <w:spacing w:val="1"/>
          <w:w w:val="100"/>
        </w:rPr>
        <w:t>z</w:t>
      </w:r>
      <w:r>
        <w:rPr>
          <w:spacing w:val="-1"/>
          <w:w w:val="100"/>
        </w:rPr>
        <w:t>a</w:t>
      </w:r>
      <w:r>
        <w:rPr/>
        <w:t>ndo</w:t>
      </w:r>
      <w:r>
        <w:rPr>
          <w:spacing w:val="4"/>
        </w:rPr>
        <w:t> </w:t>
      </w:r>
      <w:r>
        <w:rPr>
          <w:w w:val="100"/>
        </w:rPr>
        <w:t>a</w:t>
      </w:r>
      <w:r>
        <w:rPr>
          <w:spacing w:val="3"/>
        </w:rPr>
        <w:t> </w:t>
      </w:r>
      <w:r>
        <w:rPr>
          <w:spacing w:val="-1"/>
          <w:w w:val="44"/>
        </w:rPr>
        <w:t>―</w:t>
      </w:r>
      <w:r>
        <w:rPr>
          <w:w w:val="99"/>
        </w:rPr>
        <w:t>fo</w:t>
      </w:r>
      <w:r>
        <w:rPr>
          <w:spacing w:val="-2"/>
          <w:w w:val="99"/>
        </w:rPr>
        <w:t>r</w:t>
      </w:r>
      <w:r>
        <w:rPr>
          <w:w w:val="100"/>
        </w:rPr>
        <w:t>ma</w:t>
      </w:r>
      <w:r>
        <w:rPr>
          <w:spacing w:val="-2"/>
          <w:w w:val="100"/>
        </w:rPr>
        <w:t>ç</w:t>
      </w:r>
      <w:r>
        <w:rPr>
          <w:spacing w:val="-1"/>
          <w:w w:val="100"/>
        </w:rPr>
        <w:t>ã</w:t>
      </w:r>
      <w:r>
        <w:rPr/>
        <w:t>o</w:t>
      </w:r>
      <w:r>
        <w:rPr>
          <w:spacing w:val="4"/>
        </w:rPr>
        <w:t> </w:t>
      </w:r>
      <w:r>
        <w:rPr>
          <w:w w:val="100"/>
        </w:rPr>
        <w:t>de</w:t>
      </w:r>
      <w:r>
        <w:rPr>
          <w:spacing w:val="3"/>
        </w:rPr>
        <w:t> </w:t>
      </w:r>
      <w:r>
        <w:rPr>
          <w:spacing w:val="2"/>
          <w:w w:val="100"/>
        </w:rPr>
        <w:t>m</w:t>
      </w:r>
      <w:r>
        <w:rPr>
          <w:spacing w:val="-1"/>
          <w:w w:val="100"/>
        </w:rPr>
        <w:t>ã</w:t>
      </w:r>
      <w:r>
        <w:rPr/>
        <w:t>o</w:t>
      </w:r>
      <w:r>
        <w:rPr>
          <w:spacing w:val="4"/>
        </w:rPr>
        <w:t> </w:t>
      </w:r>
      <w:r>
        <w:rPr>
          <w:w w:val="100"/>
        </w:rPr>
        <w:t>de</w:t>
      </w:r>
      <w:r>
        <w:rPr>
          <w:spacing w:val="3"/>
        </w:rPr>
        <w:t> </w:t>
      </w:r>
      <w:r>
        <w:rPr/>
        <w:t>obr</w:t>
      </w:r>
      <w:r>
        <w:rPr>
          <w:spacing w:val="-2"/>
        </w:rPr>
        <w:t>a</w:t>
      </w:r>
      <w:r>
        <w:rPr>
          <w:w w:val="158"/>
        </w:rPr>
        <w:t>‖ </w:t>
      </w:r>
      <w:r>
        <w:rPr/>
        <w:t>(MACHADO, 1986, p.</w:t>
      </w:r>
      <w:r>
        <w:rPr>
          <w:spacing w:val="-3"/>
        </w:rPr>
        <w:t> </w:t>
      </w:r>
      <w:r>
        <w:rPr/>
        <w:t>17).</w:t>
      </w:r>
    </w:p>
    <w:p>
      <w:pPr>
        <w:pStyle w:val="BodyText"/>
        <w:spacing w:line="360" w:lineRule="auto" w:before="4"/>
        <w:ind w:left="102" w:right="227" w:firstLine="851"/>
        <w:jc w:val="both"/>
      </w:pPr>
      <w:r>
        <w:rPr/>
        <w:t>Nesse momento, sobressai a concepção de planejamento tecnocrático, decorrente de um Plano de Metas, na qual o planejamento aparece como um instrumento racionalizador do desenvolvimento do ensino brasileiro, com ênfase em critérios como produtividade, eficiência e eficácia, ou seja, de cunho economicista, </w:t>
      </w:r>
      <w:r>
        <w:rPr>
          <w:w w:val="100"/>
        </w:rPr>
        <w:t>c</w:t>
      </w:r>
      <w:r>
        <w:rPr>
          <w:w w:val="100"/>
        </w:rPr>
        <w:t>omo re</w:t>
      </w:r>
      <w:r>
        <w:rPr>
          <w:w w:val="100"/>
        </w:rPr>
        <w:t>it</w:t>
      </w:r>
      <w:r>
        <w:rPr>
          <w:w w:val="100"/>
        </w:rPr>
        <w:t>e</w:t>
      </w:r>
      <w:r>
        <w:rPr>
          <w:w w:val="99"/>
        </w:rPr>
        <w:t>r</w:t>
      </w:r>
      <w:r>
        <w:rPr>
          <w:w w:val="100"/>
        </w:rPr>
        <w:t>a</w:t>
      </w:r>
      <w:r>
        <w:rPr>
          <w:w w:val="100"/>
        </w:rPr>
        <w:t>m</w:t>
      </w:r>
      <w:r>
        <w:rPr/>
        <w:t> </w:t>
      </w:r>
      <w:r>
        <w:rPr>
          <w:w w:val="99"/>
        </w:rPr>
        <w:t>S</w:t>
      </w:r>
      <w:r>
        <w:rPr>
          <w:w w:val="100"/>
        </w:rPr>
        <w:t>ouz</w:t>
      </w:r>
      <w:r>
        <w:rPr>
          <w:w w:val="100"/>
        </w:rPr>
        <w:t>a</w:t>
      </w:r>
      <w:r>
        <w:rPr/>
        <w:t> </w:t>
      </w:r>
      <w:r>
        <w:rPr>
          <w:w w:val="100"/>
        </w:rPr>
        <w:t>e</w:t>
      </w:r>
      <w:r>
        <w:rPr/>
        <w:t> Dua</w:t>
      </w:r>
      <w:r>
        <w:rPr>
          <w:w w:val="100"/>
        </w:rPr>
        <w:t>rte</w:t>
      </w:r>
      <w:r>
        <w:rPr/>
        <w:t> (2014, p. 175</w:t>
      </w:r>
      <w:r>
        <w:rPr>
          <w:w w:val="100"/>
        </w:rPr>
        <w:t>):</w:t>
      </w:r>
      <w:r>
        <w:rPr/>
        <w:t> </w:t>
      </w:r>
      <w:r>
        <w:rPr>
          <w:w w:val="44"/>
        </w:rPr>
        <w:t>―</w:t>
      </w:r>
      <w:r>
        <w:rPr>
          <w:w w:val="99"/>
        </w:rPr>
        <w:t>A</w:t>
      </w:r>
      <w:r>
        <w:rPr/>
        <w:t> </w:t>
      </w:r>
      <w:r>
        <w:rPr>
          <w:w w:val="100"/>
        </w:rPr>
        <w:t>pa</w:t>
      </w:r>
      <w:r>
        <w:rPr>
          <w:w w:val="100"/>
        </w:rPr>
        <w:t>rtir</w:t>
      </w:r>
      <w:r>
        <w:rPr/>
        <w:t> </w:t>
      </w:r>
      <w:r>
        <w:rPr>
          <w:w w:val="99"/>
        </w:rPr>
        <w:t>dos</w:t>
      </w:r>
      <w:r>
        <w:rPr/>
        <w:t> idos </w:t>
      </w:r>
      <w:r>
        <w:rPr>
          <w:w w:val="100"/>
        </w:rPr>
        <w:t>de</w:t>
      </w:r>
      <w:r>
        <w:rPr/>
        <w:t> 1960 e, sobretudo no período da ditadura [...], a submissão do planejamento educacional às diretrizes do desenvolvimentismo econômico, que se projetava, foi legitimada pela contraposição entre o planejamento dos </w:t>
      </w:r>
      <w:r>
        <w:rPr>
          <w:i/>
        </w:rPr>
        <w:t>experts </w:t>
      </w:r>
      <w:r>
        <w:rPr/>
        <w:t>versus a ação assistemática ou interessada dos políticos.‖</w:t>
      </w:r>
    </w:p>
    <w:p>
      <w:pPr>
        <w:pStyle w:val="BodyText"/>
        <w:spacing w:before="6"/>
        <w:ind w:left="954"/>
      </w:pPr>
      <w:r>
        <w:rPr/>
        <w:t>Desse período, conclui Azevedo (2002, p. 57):</w:t>
      </w:r>
    </w:p>
    <w:p>
      <w:pPr>
        <w:pStyle w:val="BodyText"/>
        <w:rPr>
          <w:sz w:val="26"/>
        </w:rPr>
      </w:pPr>
    </w:p>
    <w:p>
      <w:pPr>
        <w:pStyle w:val="BodyText"/>
        <w:spacing w:before="9"/>
        <w:rPr>
          <w:sz w:val="21"/>
        </w:rPr>
      </w:pPr>
    </w:p>
    <w:p>
      <w:pPr>
        <w:spacing w:before="0"/>
        <w:ind w:left="2370" w:right="118" w:firstLine="0"/>
        <w:jc w:val="both"/>
        <w:rPr>
          <w:sz w:val="20"/>
        </w:rPr>
      </w:pPr>
      <w:r>
        <w:rPr>
          <w:sz w:val="20"/>
        </w:rPr>
        <w:t>As práticas sistemáticas do planejamento da educação construíram-se subordinadas aos planos de desenvolvimento econômico concebidos pela alta tecnoburocracia estatal. Foi um período em que a racionalidade técnica que  se deveria imprimir ao desenvolvimento justificou o alto grau da centralização dos recursos e das decisões, mascarando a subordinação das políticas sociais aos interesses</w:t>
      </w:r>
      <w:r>
        <w:rPr>
          <w:spacing w:val="-15"/>
          <w:sz w:val="20"/>
        </w:rPr>
        <w:t> </w:t>
      </w:r>
      <w:r>
        <w:rPr>
          <w:sz w:val="20"/>
        </w:rPr>
        <w:t>econômicos.</w:t>
      </w:r>
    </w:p>
    <w:p>
      <w:pPr>
        <w:pStyle w:val="BodyText"/>
        <w:rPr>
          <w:sz w:val="22"/>
        </w:rPr>
      </w:pPr>
    </w:p>
    <w:p>
      <w:pPr>
        <w:pStyle w:val="BodyText"/>
        <w:spacing w:line="360" w:lineRule="auto" w:before="160"/>
        <w:ind w:left="102" w:right="228" w:firstLine="851"/>
        <w:jc w:val="both"/>
      </w:pPr>
      <w:r>
        <w:rPr/>
        <w:t>Da concepção de planejamento tecnocrático, e voltado para o desenvolvimento da economia, com vistas a uma educação que promova os conhecimentos</w:t>
      </w:r>
      <w:r>
        <w:rPr>
          <w:spacing w:val="33"/>
        </w:rPr>
        <w:t> </w:t>
      </w:r>
      <w:r>
        <w:rPr/>
        <w:t>técnicos</w:t>
      </w:r>
      <w:r>
        <w:rPr>
          <w:spacing w:val="34"/>
        </w:rPr>
        <w:t> </w:t>
      </w:r>
      <w:r>
        <w:rPr/>
        <w:t>para</w:t>
      </w:r>
      <w:r>
        <w:rPr>
          <w:spacing w:val="33"/>
        </w:rPr>
        <w:t> </w:t>
      </w:r>
      <w:r>
        <w:rPr/>
        <w:t>formação</w:t>
      </w:r>
      <w:r>
        <w:rPr>
          <w:spacing w:val="32"/>
        </w:rPr>
        <w:t> </w:t>
      </w:r>
      <w:r>
        <w:rPr/>
        <w:t>de</w:t>
      </w:r>
      <w:r>
        <w:rPr>
          <w:spacing w:val="31"/>
        </w:rPr>
        <w:t> </w:t>
      </w:r>
      <w:r>
        <w:rPr/>
        <w:t>mão</w:t>
      </w:r>
      <w:r>
        <w:rPr>
          <w:spacing w:val="36"/>
        </w:rPr>
        <w:t> </w:t>
      </w:r>
      <w:r>
        <w:rPr/>
        <w:t>de</w:t>
      </w:r>
      <w:r>
        <w:rPr>
          <w:spacing w:val="31"/>
        </w:rPr>
        <w:t> </w:t>
      </w:r>
      <w:r>
        <w:rPr/>
        <w:t>obra,</w:t>
      </w:r>
      <w:r>
        <w:rPr>
          <w:spacing w:val="34"/>
        </w:rPr>
        <w:t> </w:t>
      </w:r>
      <w:r>
        <w:rPr/>
        <w:t>em</w:t>
      </w:r>
      <w:r>
        <w:rPr>
          <w:spacing w:val="32"/>
        </w:rPr>
        <w:t> </w:t>
      </w:r>
      <w:r>
        <w:rPr/>
        <w:t>1961,</w:t>
      </w:r>
      <w:r>
        <w:rPr>
          <w:spacing w:val="34"/>
        </w:rPr>
        <w:t> </w:t>
      </w:r>
      <w:r>
        <w:rPr/>
        <w:t>na</w:t>
      </w:r>
      <w:r>
        <w:rPr>
          <w:spacing w:val="36"/>
        </w:rPr>
        <w:t> </w:t>
      </w:r>
      <w:r>
        <w:rPr/>
        <w:t>LDB</w:t>
      </w:r>
      <w:r>
        <w:rPr>
          <w:spacing w:val="35"/>
        </w:rPr>
        <w:t> </w:t>
      </w:r>
      <w:r>
        <w:rPr/>
        <w:t>–</w:t>
      </w:r>
      <w:r>
        <w:rPr>
          <w:spacing w:val="38"/>
        </w:rPr>
        <w:t> </w:t>
      </w:r>
      <w:r>
        <w:rPr/>
        <w:t>Lei</w:t>
      </w:r>
      <w:r>
        <w:rPr>
          <w:spacing w:val="32"/>
        </w:rPr>
        <w:t> </w:t>
      </w:r>
      <w:r>
        <w:rPr/>
        <w:t>nº</w:t>
      </w:r>
    </w:p>
    <w:p>
      <w:pPr>
        <w:pStyle w:val="BodyText"/>
        <w:spacing w:line="360" w:lineRule="auto" w:before="6"/>
        <w:ind w:left="102" w:right="230"/>
        <w:jc w:val="both"/>
      </w:pPr>
      <w:r>
        <w:rPr/>
        <w:t>4.024 (BRASIL, 1961), a ideia de PNE é reduzida a instrumento de distribuição de recursos financeiros (SAVIANI, 1999). Em 1962, é elaborado e aprovado um PNE mais como um documento técnico para o MEC, não aprovado por meio de uma Lei.</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0" w:lineRule="auto" w:before="210"/>
        <w:ind w:left="102" w:right="120" w:firstLine="851"/>
        <w:jc w:val="both"/>
      </w:pPr>
      <w:r>
        <w:rPr/>
        <w:t>A concepção tecnocrática prevalece forte em todo o período do regime autoritário (1964-1985), cujo protagonismo do planejamento em educação é transferido dos educadores para os tecnocratas (SAVIANI, 1999).</w:t>
      </w:r>
    </w:p>
    <w:p>
      <w:pPr>
        <w:pStyle w:val="BodyText"/>
        <w:spacing w:line="360" w:lineRule="auto" w:before="5"/>
        <w:ind w:left="102" w:right="116" w:firstLine="851"/>
        <w:jc w:val="both"/>
      </w:pPr>
      <w:r>
        <w:rPr>
          <w:w w:val="99"/>
        </w:rPr>
        <w:t>Ga</w:t>
      </w:r>
      <w:r>
        <w:rPr>
          <w:w w:val="100"/>
        </w:rPr>
        <w:t>rc</w:t>
      </w:r>
      <w:r>
        <w:rPr>
          <w:w w:val="100"/>
        </w:rPr>
        <w:t>ia</w:t>
      </w:r>
      <w:r>
        <w:rPr/>
        <w:t> (2003, p. 41) r</w:t>
      </w:r>
      <w:r>
        <w:rPr>
          <w:w w:val="100"/>
        </w:rPr>
        <w:t>e</w:t>
      </w:r>
      <w:r>
        <w:rPr/>
        <w:t>v</w:t>
      </w:r>
      <w:r>
        <w:rPr>
          <w:w w:val="100"/>
        </w:rPr>
        <w:t>e</w:t>
      </w:r>
      <w:r>
        <w:rPr>
          <w:w w:val="100"/>
        </w:rPr>
        <w:t>la</w:t>
      </w:r>
      <w:r>
        <w:rPr/>
        <w:t> </w:t>
      </w:r>
      <w:r>
        <w:rPr>
          <w:w w:val="100"/>
        </w:rPr>
        <w:t>que </w:t>
      </w:r>
      <w:r>
        <w:rPr>
          <w:w w:val="44"/>
        </w:rPr>
        <w:t>―</w:t>
      </w:r>
      <w:r>
        <w:rPr>
          <w:w w:val="99"/>
        </w:rPr>
        <w:t>os</w:t>
      </w:r>
      <w:r>
        <w:rPr/>
        <w:t> </w:t>
      </w:r>
      <w:r>
        <w:rPr>
          <w:w w:val="100"/>
        </w:rPr>
        <w:t>mi</w:t>
      </w:r>
      <w:r>
        <w:rPr>
          <w:w w:val="100"/>
        </w:rPr>
        <w:t>li</w:t>
      </w:r>
      <w:r>
        <w:rPr>
          <w:w w:val="100"/>
        </w:rPr>
        <w:t>tare</w:t>
      </w:r>
      <w:r>
        <w:rPr>
          <w:w w:val="99"/>
        </w:rPr>
        <w:t>s,</w:t>
      </w:r>
      <w:r>
        <w:rPr/>
        <w:t> </w:t>
      </w:r>
      <w:r>
        <w:rPr>
          <w:w w:val="100"/>
        </w:rPr>
        <w:t>a</w:t>
      </w:r>
      <w:r>
        <w:rPr/>
        <w:t>o </w:t>
      </w:r>
      <w:r>
        <w:rPr>
          <w:w w:val="100"/>
        </w:rPr>
        <w:t>tom</w:t>
      </w:r>
      <w:r>
        <w:rPr>
          <w:w w:val="100"/>
        </w:rPr>
        <w:t>a</w:t>
      </w:r>
      <w:r>
        <w:rPr>
          <w:w w:val="100"/>
        </w:rPr>
        <w:t>rem</w:t>
      </w:r>
      <w:r>
        <w:rPr/>
        <w:t> o poder, p</w:t>
      </w:r>
      <w:r>
        <w:rPr>
          <w:w w:val="100"/>
        </w:rPr>
        <w:t>a</w:t>
      </w:r>
      <w:r>
        <w:rPr>
          <w:w w:val="99"/>
        </w:rPr>
        <w:t>ssar</w:t>
      </w:r>
      <w:r>
        <w:rPr>
          <w:w w:val="100"/>
        </w:rPr>
        <w:t>a</w:t>
      </w:r>
      <w:r>
        <w:rPr>
          <w:w w:val="100"/>
        </w:rPr>
        <w:t>m</w:t>
      </w:r>
      <w:r>
        <w:rPr/>
        <w:t> </w:t>
      </w:r>
      <w:r>
        <w:rPr>
          <w:w w:val="100"/>
        </w:rPr>
        <w:t>a </w:t>
      </w:r>
      <w:r>
        <w:rPr/>
        <w:t>ver em cada professor e em cada especialista de educação um inimigo em potencial, que deveria ser mantido sob estrito controle e rigorosa vigilância‖. Desse modo, administrativamente, é a subordinação do MEC ao Ministério do Planejamento. Nesse contexto, os planos para a área de educação decorrem diretamente dos Planos Nacionais de Desenvolvimento, sendo, por isso, denominados de ‗Planos Setoriais de Educação e Cultura‘.</w:t>
      </w:r>
    </w:p>
    <w:p>
      <w:pPr>
        <w:pStyle w:val="BodyText"/>
        <w:spacing w:line="360" w:lineRule="auto" w:before="4"/>
        <w:ind w:left="102" w:right="230" w:firstLine="851"/>
        <w:jc w:val="both"/>
      </w:pPr>
      <w:r>
        <w:rPr/>
        <w:t>O planejamento tecnocrático no campo da educação no Brasil passa a ser </w:t>
      </w:r>
      <w:r>
        <w:rPr>
          <w:w w:val="100"/>
        </w:rPr>
        <w:t>uti</w:t>
      </w:r>
      <w:r>
        <w:rPr>
          <w:w w:val="100"/>
        </w:rPr>
        <w:t>li</w:t>
      </w:r>
      <w:r>
        <w:rPr>
          <w:w w:val="100"/>
        </w:rPr>
        <w:t>za</w:t>
      </w:r>
      <w:r>
        <w:rPr/>
        <w:t>do, </w:t>
      </w:r>
      <w:r>
        <w:rPr>
          <w:w w:val="100"/>
        </w:rPr>
        <w:t>c</w:t>
      </w:r>
      <w:r>
        <w:rPr>
          <w:w w:val="99"/>
        </w:rPr>
        <w:t>onfor</w:t>
      </w:r>
      <w:r>
        <w:rPr>
          <w:w w:val="100"/>
        </w:rPr>
        <w:t>me</w:t>
      </w:r>
      <w:r>
        <w:rPr/>
        <w:t> </w:t>
      </w:r>
      <w:r>
        <w:rPr>
          <w:w w:val="100"/>
        </w:rPr>
        <w:t>indi</w:t>
      </w:r>
      <w:r>
        <w:rPr>
          <w:w w:val="100"/>
        </w:rPr>
        <w:t>ca</w:t>
      </w:r>
      <w:r>
        <w:rPr/>
        <w:t> </w:t>
      </w:r>
      <w:r>
        <w:rPr>
          <w:w w:val="100"/>
        </w:rPr>
        <w:t>Oliveir</w:t>
      </w:r>
      <w:r>
        <w:rPr>
          <w:w w:val="100"/>
        </w:rPr>
        <w:t>a</w:t>
      </w:r>
      <w:r>
        <w:rPr/>
        <w:t> (2009, p. 85),</w:t>
      </w:r>
      <w:r>
        <w:rPr>
          <w:w w:val="44"/>
        </w:rPr>
        <w:t>―</w:t>
      </w:r>
      <w:r>
        <w:rPr>
          <w:w w:val="100"/>
        </w:rPr>
        <w:t>c</w:t>
      </w:r>
      <w:r>
        <w:rPr>
          <w:w w:val="100"/>
        </w:rPr>
        <w:t>omo instrumento funda</w:t>
      </w:r>
      <w:r>
        <w:rPr>
          <w:w w:val="100"/>
        </w:rPr>
        <w:t>menta</w:t>
      </w:r>
      <w:r>
        <w:rPr>
          <w:w w:val="100"/>
        </w:rPr>
        <w:t>l</w:t>
      </w:r>
      <w:r>
        <w:rPr/>
        <w:t> </w:t>
      </w:r>
      <w:r>
        <w:rPr>
          <w:w w:val="100"/>
        </w:rPr>
        <w:t>para </w:t>
      </w:r>
      <w:r>
        <w:rPr/>
        <w:t>o controle empreendido pelo regime autoritário, para pôr em prática sua política de conter os processos sociais e ajustá-los aos imperativos de ordem econômica‖.</w:t>
      </w:r>
    </w:p>
    <w:p>
      <w:pPr>
        <w:pStyle w:val="BodyText"/>
        <w:spacing w:line="360" w:lineRule="auto" w:before="4"/>
        <w:ind w:left="102" w:right="227" w:firstLine="851"/>
        <w:jc w:val="both"/>
      </w:pPr>
      <w:r>
        <w:rPr/>
        <w:t>Dos planos elaborados no período, Lopes (1990, p.75) defende que a preparação, aprovação e publicação destes documentos devem-se mais à imposição legal, citando como exemplo os Planos Nacionais de Desenvolvimento (PNDs). Ainda, </w:t>
      </w:r>
      <w:r>
        <w:rPr>
          <w:w w:val="100"/>
        </w:rPr>
        <w:t>a</w:t>
      </w:r>
      <w:r>
        <w:rPr>
          <w:w w:val="99"/>
        </w:rPr>
        <w:t>rg</w:t>
      </w:r>
      <w:r>
        <w:rPr>
          <w:w w:val="100"/>
        </w:rPr>
        <w:t>umenta</w:t>
      </w:r>
      <w:r>
        <w:rPr/>
        <w:t>  </w:t>
      </w:r>
      <w:r>
        <w:rPr>
          <w:w w:val="100"/>
        </w:rPr>
        <w:t>que  o  plan</w:t>
      </w:r>
      <w:r>
        <w:rPr>
          <w:w w:val="100"/>
        </w:rPr>
        <w:t>ejame</w:t>
      </w:r>
      <w:r>
        <w:rPr>
          <w:w w:val="100"/>
        </w:rPr>
        <w:t>nto</w:t>
      </w:r>
      <w:r>
        <w:rPr/>
        <w:t>  </w:t>
      </w:r>
      <w:r>
        <w:rPr>
          <w:w w:val="44"/>
        </w:rPr>
        <w:t>―</w:t>
      </w:r>
      <w:r>
        <w:rPr>
          <w:w w:val="100"/>
        </w:rPr>
        <w:t>a</w:t>
      </w:r>
      <w:r>
        <w:rPr/>
        <w:t>o  invés  </w:t>
      </w:r>
      <w:r>
        <w:rPr>
          <w:w w:val="100"/>
        </w:rPr>
        <w:t>de</w:t>
      </w:r>
      <w:r>
        <w:rPr/>
        <w:t>  </w:t>
      </w:r>
      <w:r>
        <w:rPr>
          <w:w w:val="99"/>
        </w:rPr>
        <w:t>s</w:t>
      </w:r>
      <w:r>
        <w:rPr>
          <w:w w:val="100"/>
        </w:rPr>
        <w:t>e</w:t>
      </w:r>
      <w:r>
        <w:rPr>
          <w:w w:val="99"/>
        </w:rPr>
        <w:t>r  </w:t>
      </w:r>
      <w:r>
        <w:rPr>
          <w:w w:val="100"/>
        </w:rPr>
        <w:t>uti</w:t>
      </w:r>
      <w:r>
        <w:rPr>
          <w:w w:val="100"/>
        </w:rPr>
        <w:t>li</w:t>
      </w:r>
      <w:r>
        <w:rPr>
          <w:w w:val="100"/>
        </w:rPr>
        <w:t>za</w:t>
      </w:r>
      <w:r>
        <w:rPr/>
        <w:t>do  </w:t>
      </w:r>
      <w:r>
        <w:rPr>
          <w:w w:val="100"/>
        </w:rPr>
        <w:t>c</w:t>
      </w:r>
      <w:r>
        <w:rPr>
          <w:w w:val="100"/>
        </w:rPr>
        <w:t>omo  inst</w:t>
      </w:r>
      <w:r>
        <w:rPr>
          <w:w w:val="99"/>
        </w:rPr>
        <w:t>r</w:t>
      </w:r>
      <w:r>
        <w:rPr>
          <w:w w:val="100"/>
        </w:rPr>
        <w:t>umento</w:t>
      </w:r>
      <w:r>
        <w:rPr/>
        <w:t>  </w:t>
      </w:r>
      <w:r>
        <w:rPr>
          <w:w w:val="100"/>
        </w:rPr>
        <w:t>para </w:t>
      </w:r>
      <w:r>
        <w:rPr/>
        <w:t>atingir um objetivo último, passa ele próprio a ser um fim em si mesmo. Realimenta-se com seus próprios resultados, roda em falso e nada produz de válido, de útil‖.</w:t>
      </w:r>
    </w:p>
    <w:p>
      <w:pPr>
        <w:pStyle w:val="BodyText"/>
        <w:spacing w:line="360" w:lineRule="auto" w:before="4"/>
        <w:ind w:left="102" w:right="226" w:firstLine="851"/>
        <w:jc w:val="both"/>
      </w:pPr>
      <w:r>
        <w:rPr/>
        <w:t>Com relação a essa concepção de planejamento com o plano com fim e si mesmo, além de suas características – ausência de uma visão global; centralização no Governo Federal; autocracia; modelo estático; ritualização do planejamento, com a reprodução de objetivos e modelos de ação, previamente determinados e mais como  um programa de distribuição de recursos financeiros; acentuação da ruptura entre o saber e o poder; discurso da existência de uma suposta autonomia do método de planejar, ou seja, de sua neutralidade e objetividade, sendo um momento técnico e politicamente neutro; fortalecimento do poder dos técnicos, em detrimento das pessoas ligadas a área da educação; decisão a cargo dos chefes e técnicos com a imposição autoritária ou paternalista (participação fictícia); técnico (especialista ou não) e, às vezes o político, planejando e o político (detentor do poder) decidindo; opção pela r</w:t>
      </w:r>
      <w:r>
        <w:rPr>
          <w:spacing w:val="-2"/>
        </w:rPr>
        <w:t>a</w:t>
      </w:r>
      <w:r>
        <w:rPr>
          <w:spacing w:val="-1"/>
        </w:rPr>
        <w:t>c</w:t>
      </w:r>
      <w:r>
        <w:rPr/>
        <w:t>ionalida</w:t>
      </w:r>
      <w:r>
        <w:rPr>
          <w:spacing w:val="1"/>
        </w:rPr>
        <w:t>d</w:t>
      </w:r>
      <w:r>
        <w:rPr>
          <w:spacing w:val="-1"/>
        </w:rPr>
        <w:t>e</w:t>
      </w:r>
      <w:r>
        <w:rPr/>
        <w:t>,</w:t>
      </w:r>
      <w:r>
        <w:rPr>
          <w:spacing w:val="7"/>
        </w:rPr>
        <w:t> </w:t>
      </w:r>
      <w:r>
        <w:rPr/>
        <w:t>p</w:t>
      </w:r>
      <w:r>
        <w:rPr>
          <w:spacing w:val="-1"/>
        </w:rPr>
        <w:t>r</w:t>
      </w:r>
      <w:r>
        <w:rPr>
          <w:w w:val="100"/>
        </w:rPr>
        <w:t>odutividade</w:t>
      </w:r>
      <w:r>
        <w:rPr>
          <w:spacing w:val="5"/>
        </w:rPr>
        <w:t> </w:t>
      </w:r>
      <w:r>
        <w:rPr>
          <w:w w:val="100"/>
        </w:rPr>
        <w:t>e</w:t>
      </w:r>
      <w:r>
        <w:rPr>
          <w:spacing w:val="8"/>
        </w:rPr>
        <w:t> </w:t>
      </w:r>
      <w:r>
        <w:rPr>
          <w:spacing w:val="-1"/>
          <w:w w:val="100"/>
        </w:rPr>
        <w:t>e</w:t>
      </w:r>
      <w:r>
        <w:rPr>
          <w:w w:val="100"/>
        </w:rPr>
        <w:t>fi</w:t>
      </w:r>
      <w:r>
        <w:rPr>
          <w:spacing w:val="-2"/>
          <w:w w:val="100"/>
        </w:rPr>
        <w:t>c</w:t>
      </w:r>
      <w:r>
        <w:rPr>
          <w:w w:val="100"/>
        </w:rPr>
        <w:t>iê</w:t>
      </w:r>
      <w:r>
        <w:rPr>
          <w:spacing w:val="1"/>
          <w:w w:val="100"/>
        </w:rPr>
        <w:t>n</w:t>
      </w:r>
      <w:r>
        <w:rPr>
          <w:spacing w:val="-1"/>
          <w:w w:val="100"/>
        </w:rPr>
        <w:t>c</w:t>
      </w:r>
      <w:r>
        <w:rPr>
          <w:w w:val="100"/>
        </w:rPr>
        <w:t>ia;</w:t>
      </w:r>
      <w:r>
        <w:rPr>
          <w:spacing w:val="6"/>
        </w:rPr>
        <w:t> </w:t>
      </w:r>
      <w:r>
        <w:rPr/>
        <w:t>discu</w:t>
      </w:r>
      <w:r>
        <w:rPr>
          <w:spacing w:val="-1"/>
        </w:rPr>
        <w:t>r</w:t>
      </w:r>
      <w:r>
        <w:rPr>
          <w:w w:val="99"/>
        </w:rPr>
        <w:t>so</w:t>
      </w:r>
      <w:r>
        <w:rPr>
          <w:spacing w:val="9"/>
        </w:rPr>
        <w:t> </w:t>
      </w:r>
      <w:r>
        <w:rPr/>
        <w:t>do</w:t>
      </w:r>
      <w:r>
        <w:rPr>
          <w:spacing w:val="6"/>
        </w:rPr>
        <w:t> </w:t>
      </w:r>
      <w:r>
        <w:rPr>
          <w:spacing w:val="-1"/>
          <w:w w:val="100"/>
        </w:rPr>
        <w:t>c</w:t>
      </w:r>
      <w:r>
        <w:rPr>
          <w:w w:val="100"/>
        </w:rPr>
        <w:t>ontrole</w:t>
      </w:r>
      <w:r>
        <w:rPr>
          <w:spacing w:val="6"/>
        </w:rPr>
        <w:t> </w:t>
      </w:r>
      <w:r>
        <w:rPr>
          <w:w w:val="100"/>
        </w:rPr>
        <w:t>d</w:t>
      </w:r>
      <w:r>
        <w:rPr>
          <w:spacing w:val="-1"/>
          <w:w w:val="100"/>
        </w:rPr>
        <w:t>a</w:t>
      </w:r>
      <w:r>
        <w:rPr>
          <w:w w:val="99"/>
        </w:rPr>
        <w:t>s</w:t>
      </w:r>
      <w:r>
        <w:rPr>
          <w:spacing w:val="7"/>
        </w:rPr>
        <w:t> </w:t>
      </w:r>
      <w:r>
        <w:rPr>
          <w:spacing w:val="-1"/>
          <w:w w:val="44"/>
        </w:rPr>
        <w:t>―</w:t>
      </w:r>
      <w:r>
        <w:rPr>
          <w:w w:val="100"/>
        </w:rPr>
        <w:t>i</w:t>
      </w:r>
      <w:r>
        <w:rPr>
          <w:spacing w:val="1"/>
          <w:w w:val="100"/>
        </w:rPr>
        <w:t>r</w:t>
      </w:r>
      <w:r>
        <w:rPr>
          <w:w w:val="100"/>
        </w:rPr>
        <w:t>r</w:t>
      </w:r>
      <w:r>
        <w:rPr>
          <w:spacing w:val="-2"/>
          <w:w w:val="100"/>
        </w:rPr>
        <w:t>a</w:t>
      </w:r>
      <w:r>
        <w:rPr>
          <w:spacing w:val="-1"/>
          <w:w w:val="100"/>
        </w:rPr>
        <w:t>c</w:t>
      </w:r>
      <w:r>
        <w:rPr>
          <w:w w:val="100"/>
        </w:rPr>
        <w:t>i</w:t>
      </w:r>
      <w:r>
        <w:rPr>
          <w:spacing w:val="2"/>
          <w:w w:val="100"/>
        </w:rPr>
        <w:t>o</w:t>
      </w:r>
      <w:r>
        <w:rPr>
          <w:w w:val="100"/>
        </w:rPr>
        <w:t>n</w:t>
      </w:r>
      <w:r>
        <w:rPr>
          <w:spacing w:val="-1"/>
          <w:w w:val="100"/>
        </w:rPr>
        <w:t>a</w:t>
      </w:r>
      <w:r>
        <w:rPr>
          <w:w w:val="100"/>
        </w:rPr>
        <w:t>li</w:t>
      </w:r>
      <w:r>
        <w:rPr>
          <w:w w:val="100"/>
        </w:rPr>
        <w:t>d</w:t>
      </w:r>
      <w:r>
        <w:rPr>
          <w:spacing w:val="-1"/>
          <w:w w:val="100"/>
        </w:rPr>
        <w:t>a</w:t>
      </w:r>
      <w:r>
        <w:rPr>
          <w:w w:val="100"/>
        </w:rPr>
        <w:t>d</w:t>
      </w:r>
      <w:r>
        <w:rPr>
          <w:spacing w:val="-1"/>
          <w:w w:val="100"/>
        </w:rPr>
        <w:t>e</w:t>
      </w:r>
      <w:r>
        <w:rPr>
          <w:w w:val="124"/>
        </w:rPr>
        <w:t>s‖</w:t>
      </w:r>
      <w:r>
        <w:rPr>
          <w:spacing w:val="6"/>
        </w:rPr>
        <w:t> </w:t>
      </w:r>
      <w:r>
        <w:rPr>
          <w:w w:val="100"/>
        </w:rPr>
        <w:t>e </w:t>
      </w:r>
      <w:r>
        <w:rPr>
          <w:w w:val="99"/>
        </w:rPr>
        <w:t>dos</w:t>
      </w:r>
      <w:r>
        <w:rPr>
          <w:spacing w:val="4"/>
        </w:rPr>
        <w:t> </w:t>
      </w:r>
      <w:r>
        <w:rPr>
          <w:spacing w:val="-1"/>
          <w:w w:val="44"/>
        </w:rPr>
        <w:t>―</w:t>
      </w:r>
      <w:r>
        <w:rPr>
          <w:w w:val="100"/>
        </w:rPr>
        <w:t>d</w:t>
      </w:r>
      <w:r>
        <w:rPr>
          <w:spacing w:val="-1"/>
          <w:w w:val="100"/>
        </w:rPr>
        <w:t>e</w:t>
      </w:r>
      <w:r>
        <w:rPr>
          <w:w w:val="99"/>
        </w:rPr>
        <w:t>svios</w:t>
      </w:r>
      <w:r>
        <w:rPr>
          <w:w w:val="158"/>
        </w:rPr>
        <w:t>‖</w:t>
      </w:r>
      <w:r>
        <w:rPr>
          <w:spacing w:val="3"/>
        </w:rPr>
        <w:t> </w:t>
      </w:r>
      <w:r>
        <w:rPr>
          <w:spacing w:val="-1"/>
          <w:w w:val="100"/>
        </w:rPr>
        <w:t>c</w:t>
      </w:r>
      <w:r>
        <w:rPr>
          <w:spacing w:val="2"/>
        </w:rPr>
        <w:t>u</w:t>
      </w:r>
      <w:r>
        <w:rPr/>
        <w:t>r</w:t>
      </w:r>
      <w:r>
        <w:rPr>
          <w:spacing w:val="-2"/>
        </w:rPr>
        <w:t>r</w:t>
      </w:r>
      <w:r>
        <w:rPr>
          <w:w w:val="100"/>
        </w:rPr>
        <w:t>icul</w:t>
      </w:r>
      <w:r>
        <w:rPr>
          <w:spacing w:val="1"/>
          <w:w w:val="100"/>
        </w:rPr>
        <w:t>a</w:t>
      </w:r>
      <w:r>
        <w:rPr>
          <w:w w:val="100"/>
        </w:rPr>
        <w:t>re</w:t>
      </w:r>
      <w:r>
        <w:rPr>
          <w:w w:val="100"/>
        </w:rPr>
        <w:t>s;</w:t>
      </w:r>
      <w:r>
        <w:rPr>
          <w:spacing w:val="5"/>
          <w:w w:val="100"/>
        </w:rPr>
        <w:t> </w:t>
      </w:r>
      <w:r>
        <w:rPr>
          <w:spacing w:val="-1"/>
          <w:w w:val="100"/>
        </w:rPr>
        <w:t>e</w:t>
      </w:r>
      <w:r>
        <w:rPr>
          <w:w w:val="99"/>
        </w:rPr>
        <w:t>sfo</w:t>
      </w:r>
      <w:r>
        <w:rPr>
          <w:spacing w:val="-2"/>
          <w:w w:val="99"/>
        </w:rPr>
        <w:t>r</w:t>
      </w:r>
      <w:r>
        <w:rPr>
          <w:spacing w:val="-1"/>
          <w:w w:val="100"/>
        </w:rPr>
        <w:t>ç</w:t>
      </w:r>
      <w:r>
        <w:rPr/>
        <w:t>o</w:t>
      </w:r>
      <w:r>
        <w:rPr>
          <w:spacing w:val="4"/>
        </w:rPr>
        <w:t> </w:t>
      </w:r>
      <w:r>
        <w:rPr>
          <w:spacing w:val="2"/>
        </w:rPr>
        <w:t>d</w:t>
      </w:r>
      <w:r>
        <w:rPr>
          <w:w w:val="100"/>
        </w:rPr>
        <w:t>e</w:t>
      </w:r>
      <w:r>
        <w:rPr>
          <w:spacing w:val="3"/>
        </w:rPr>
        <w:t> </w:t>
      </w:r>
      <w:r>
        <w:rPr>
          <w:spacing w:val="-1"/>
          <w:w w:val="100"/>
        </w:rPr>
        <w:t>c</w:t>
      </w:r>
      <w:r>
        <w:rPr>
          <w:w w:val="99"/>
        </w:rPr>
        <w:t>on</w:t>
      </w:r>
      <w:r>
        <w:rPr>
          <w:spacing w:val="2"/>
          <w:w w:val="99"/>
        </w:rPr>
        <w:t>s</w:t>
      </w:r>
      <w:r>
        <w:rPr>
          <w:spacing w:val="-1"/>
          <w:w w:val="100"/>
        </w:rPr>
        <w:t>e</w:t>
      </w:r>
      <w:r>
        <w:rPr>
          <w:w w:val="100"/>
        </w:rPr>
        <w:t>rva</w:t>
      </w:r>
      <w:r>
        <w:rPr>
          <w:spacing w:val="-1"/>
          <w:w w:val="100"/>
        </w:rPr>
        <w:t>ç</w:t>
      </w:r>
      <w:r>
        <w:rPr>
          <w:spacing w:val="1"/>
          <w:w w:val="100"/>
        </w:rPr>
        <w:t>ã</w:t>
      </w:r>
      <w:r>
        <w:rPr/>
        <w:t>o</w:t>
      </w:r>
      <w:r>
        <w:rPr>
          <w:spacing w:val="4"/>
        </w:rPr>
        <w:t> </w:t>
      </w:r>
      <w:r>
        <w:rPr/>
        <w:t>do</w:t>
      </w:r>
      <w:r>
        <w:rPr>
          <w:spacing w:val="4"/>
        </w:rPr>
        <w:t> </w:t>
      </w:r>
      <w:r>
        <w:rPr>
          <w:w w:val="100"/>
        </w:rPr>
        <w:t>ti</w:t>
      </w:r>
      <w:r>
        <w:rPr/>
        <w:t>po</w:t>
      </w:r>
      <w:r>
        <w:rPr>
          <w:spacing w:val="4"/>
        </w:rPr>
        <w:t> </w:t>
      </w:r>
      <w:r>
        <w:rPr>
          <w:w w:val="100"/>
        </w:rPr>
        <w:t>de</w:t>
      </w:r>
      <w:r>
        <w:rPr>
          <w:spacing w:val="3"/>
        </w:rPr>
        <w:t> </w:t>
      </w:r>
      <w:r>
        <w:rPr/>
        <w:t>o</w:t>
      </w:r>
      <w:r>
        <w:rPr>
          <w:spacing w:val="1"/>
        </w:rPr>
        <w:t>r</w:t>
      </w:r>
      <w:r>
        <w:rPr>
          <w:spacing w:val="-3"/>
        </w:rPr>
        <w:t>g</w:t>
      </w:r>
      <w:r>
        <w:rPr>
          <w:spacing w:val="-1"/>
          <w:w w:val="100"/>
        </w:rPr>
        <w:t>a</w:t>
      </w:r>
      <w:r>
        <w:rPr>
          <w:w w:val="100"/>
        </w:rPr>
        <w:t>ni</w:t>
      </w:r>
      <w:r>
        <w:rPr>
          <w:spacing w:val="1"/>
          <w:w w:val="100"/>
        </w:rPr>
        <w:t>z</w:t>
      </w:r>
      <w:r>
        <w:rPr>
          <w:spacing w:val="-1"/>
          <w:w w:val="100"/>
        </w:rPr>
        <w:t>a</w:t>
      </w:r>
      <w:r>
        <w:rPr>
          <w:spacing w:val="1"/>
          <w:w w:val="100"/>
        </w:rPr>
        <w:t>ç</w:t>
      </w:r>
      <w:r>
        <w:rPr>
          <w:spacing w:val="-1"/>
          <w:w w:val="100"/>
        </w:rPr>
        <w:t>ã</w:t>
      </w:r>
      <w:r>
        <w:rPr/>
        <w:t>o</w:t>
      </w:r>
      <w:r>
        <w:rPr>
          <w:spacing w:val="6"/>
        </w:rPr>
        <w:t> </w:t>
      </w:r>
      <w:r>
        <w:rPr>
          <w:w w:val="100"/>
        </w:rPr>
        <w:t>soci</w:t>
      </w:r>
      <w:r>
        <w:rPr>
          <w:spacing w:val="-2"/>
          <w:w w:val="100"/>
        </w:rPr>
        <w:t>a</w:t>
      </w:r>
      <w:r>
        <w:rPr>
          <w:w w:val="100"/>
        </w:rPr>
        <w:t>l</w:t>
      </w:r>
      <w:r>
        <w:rPr>
          <w:spacing w:val="5"/>
        </w:rPr>
        <w:t> </w:t>
      </w:r>
      <w:r>
        <w:rPr>
          <w:spacing w:val="-1"/>
          <w:w w:val="100"/>
        </w:rPr>
        <w:t>a</w:t>
      </w:r>
      <w:r>
        <w:rPr>
          <w:w w:val="100"/>
        </w:rPr>
        <w:t>tual; </w:t>
      </w:r>
      <w:r>
        <w:rPr/>
        <w:t>e,</w:t>
      </w:r>
      <w:r>
        <w:rPr>
          <w:spacing w:val="32"/>
        </w:rPr>
        <w:t> </w:t>
      </w:r>
      <w:r>
        <w:rPr/>
        <w:t>em</w:t>
      </w:r>
      <w:r>
        <w:rPr>
          <w:spacing w:val="32"/>
        </w:rPr>
        <w:t> </w:t>
      </w:r>
      <w:r>
        <w:rPr/>
        <w:t>muitos</w:t>
      </w:r>
      <w:r>
        <w:rPr>
          <w:spacing w:val="33"/>
        </w:rPr>
        <w:t> </w:t>
      </w:r>
      <w:r>
        <w:rPr/>
        <w:t>casos,</w:t>
      </w:r>
      <w:r>
        <w:rPr>
          <w:spacing w:val="32"/>
        </w:rPr>
        <w:t> </w:t>
      </w:r>
      <w:r>
        <w:rPr/>
        <w:t>mais</w:t>
      </w:r>
      <w:r>
        <w:rPr>
          <w:spacing w:val="32"/>
        </w:rPr>
        <w:t> </w:t>
      </w:r>
      <w:r>
        <w:rPr/>
        <w:t>como</w:t>
      </w:r>
      <w:r>
        <w:rPr>
          <w:spacing w:val="32"/>
        </w:rPr>
        <w:t> </w:t>
      </w:r>
      <w:r>
        <w:rPr/>
        <w:t>um</w:t>
      </w:r>
      <w:r>
        <w:rPr>
          <w:spacing w:val="32"/>
        </w:rPr>
        <w:t> </w:t>
      </w:r>
      <w:r>
        <w:rPr/>
        <w:t>instrumento</w:t>
      </w:r>
      <w:r>
        <w:rPr>
          <w:spacing w:val="30"/>
        </w:rPr>
        <w:t> </w:t>
      </w:r>
      <w:r>
        <w:rPr/>
        <w:t>para</w:t>
      </w:r>
      <w:r>
        <w:rPr>
          <w:spacing w:val="30"/>
        </w:rPr>
        <w:t> </w:t>
      </w:r>
      <w:r>
        <w:rPr/>
        <w:t>cumprir</w:t>
      </w:r>
      <w:r>
        <w:rPr>
          <w:spacing w:val="31"/>
        </w:rPr>
        <w:t> </w:t>
      </w:r>
      <w:r>
        <w:rPr/>
        <w:t>uma</w:t>
      </w:r>
      <w:r>
        <w:rPr>
          <w:spacing w:val="31"/>
        </w:rPr>
        <w:t> </w:t>
      </w:r>
      <w:r>
        <w:rPr/>
        <w:t>obrigação</w:t>
      </w:r>
      <w:r>
        <w:rPr>
          <w:spacing w:val="32"/>
        </w:rPr>
        <w:t> </w:t>
      </w:r>
      <w:r>
        <w:rPr/>
        <w:t>e</w:t>
      </w:r>
      <w:r>
        <w:rPr>
          <w:spacing w:val="31"/>
        </w:rPr>
        <w:t> </w:t>
      </w:r>
      <w:r>
        <w:rPr/>
        <w:t>uma</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0" w:lineRule="auto" w:before="210"/>
        <w:ind w:left="102" w:right="233"/>
        <w:jc w:val="both"/>
      </w:pPr>
      <w:r>
        <w:rPr/>
        <w:t>forma de definir atividades – é possível apreender que uma das maiores críticas é quanto a criação de uma grande resistência à atividade de planejamento, pois, segundo Lopes (1990), devido ao plano ser visto como o instrumento em que são explicitadas projeções e estimativas, torna natural a concentração de esperanças de desenvolvimento e, também o alvo de críticas mais provável por ser físico e palpável. Ainda, a elaboração de planos, confundidas, quase sempre, com a prática autoritária gera uma crise do</w:t>
      </w:r>
      <w:r>
        <w:rPr>
          <w:spacing w:val="-5"/>
        </w:rPr>
        <w:t> </w:t>
      </w:r>
      <w:r>
        <w:rPr/>
        <w:t>planejamento.</w:t>
      </w:r>
    </w:p>
    <w:p>
      <w:pPr>
        <w:pStyle w:val="BodyText"/>
        <w:rPr>
          <w:sz w:val="26"/>
        </w:rPr>
      </w:pPr>
    </w:p>
    <w:p>
      <w:pPr>
        <w:pStyle w:val="BodyText"/>
        <w:rPr>
          <w:sz w:val="26"/>
        </w:rPr>
      </w:pPr>
    </w:p>
    <w:p>
      <w:pPr>
        <w:pStyle w:val="BodyText"/>
        <w:spacing w:before="10"/>
        <w:rPr>
          <w:sz w:val="20"/>
        </w:rPr>
      </w:pPr>
    </w:p>
    <w:p>
      <w:pPr>
        <w:pStyle w:val="Heading2"/>
        <w:numPr>
          <w:ilvl w:val="2"/>
          <w:numId w:val="8"/>
        </w:numPr>
        <w:tabs>
          <w:tab w:pos="674" w:val="left" w:leader="none"/>
        </w:tabs>
        <w:spacing w:line="360" w:lineRule="auto" w:before="0" w:after="0"/>
        <w:ind w:left="102" w:right="134" w:firstLine="0"/>
        <w:jc w:val="both"/>
      </w:pPr>
      <w:r>
        <w:rPr>
          <w:i/>
        </w:rPr>
        <w:t>Abertura política e abertura ao exterior: permanência do planejamento como </w:t>
      </w:r>
      <w:r>
        <w:rPr/>
        <w:t>campo de disputa</w:t>
      </w:r>
    </w:p>
    <w:p>
      <w:pPr>
        <w:pStyle w:val="BodyText"/>
        <w:spacing w:before="11"/>
        <w:rPr>
          <w:b/>
          <w:i/>
          <w:sz w:val="35"/>
        </w:rPr>
      </w:pPr>
    </w:p>
    <w:p>
      <w:pPr>
        <w:pStyle w:val="BodyText"/>
        <w:spacing w:line="360" w:lineRule="auto"/>
        <w:ind w:left="102" w:right="229" w:firstLine="851"/>
        <w:jc w:val="both"/>
      </w:pPr>
      <w:r>
        <w:rPr/>
        <w:t>A partir dos anos 1980, o planejamento educacional é concebido como indispensável à organização do processo educacional, quase como um consenso. E, por uma concepção transformadora, que emerge socialmente, é importante para promover  o desenvolvimento integral do indivíduo, sendo considerado como agente transformador da sociedade. Com a transição do regime militar para o democrático, volta ao debate a ideia de um plano amplo e unitário/universal, aprovado em forma de lei.</w:t>
      </w:r>
      <w:r>
        <w:rPr>
          <w:spacing w:val="14"/>
        </w:rPr>
        <w:t> </w:t>
      </w:r>
      <w:r>
        <w:rPr>
          <w:w w:val="99"/>
        </w:rPr>
        <w:t>N</w:t>
      </w:r>
      <w:r>
        <w:rPr>
          <w:spacing w:val="-2"/>
          <w:w w:val="99"/>
        </w:rPr>
        <w:t>e</w:t>
      </w:r>
      <w:r>
        <w:rPr>
          <w:w w:val="99"/>
        </w:rPr>
        <w:t>sse</w:t>
      </w:r>
      <w:r>
        <w:rPr>
          <w:spacing w:val="13"/>
        </w:rPr>
        <w:t> </w:t>
      </w:r>
      <w:r>
        <w:rPr>
          <w:spacing w:val="-1"/>
        </w:rPr>
        <w:t>c</w:t>
      </w:r>
      <w:r>
        <w:rPr/>
        <w:t>on</w:t>
      </w:r>
      <w:r>
        <w:rPr>
          <w:spacing w:val="2"/>
        </w:rPr>
        <w:t>t</w:t>
      </w:r>
      <w:r>
        <w:rPr>
          <w:spacing w:val="-1"/>
        </w:rPr>
        <w:t>e</w:t>
      </w:r>
      <w:r>
        <w:rPr>
          <w:spacing w:val="2"/>
        </w:rPr>
        <w:t>x</w:t>
      </w:r>
      <w:r>
        <w:rPr/>
        <w:t>to,</w:t>
      </w:r>
      <w:r>
        <w:rPr>
          <w:spacing w:val="14"/>
        </w:rPr>
        <w:t> </w:t>
      </w:r>
      <w:r>
        <w:rPr/>
        <w:t>p</w:t>
      </w:r>
      <w:r>
        <w:rPr>
          <w:spacing w:val="-1"/>
        </w:rPr>
        <w:t>a</w:t>
      </w:r>
      <w:r>
        <w:rPr/>
        <w:t>ra</w:t>
      </w:r>
      <w:r>
        <w:rPr>
          <w:spacing w:val="14"/>
        </w:rPr>
        <w:t> </w:t>
      </w:r>
      <w:r>
        <w:rPr/>
        <w:t>o</w:t>
      </w:r>
      <w:r>
        <w:rPr>
          <w:spacing w:val="14"/>
        </w:rPr>
        <w:t> </w:t>
      </w:r>
      <w:r>
        <w:rPr/>
        <w:t>p</w:t>
      </w:r>
      <w:r>
        <w:rPr>
          <w:spacing w:val="-1"/>
        </w:rPr>
        <w:t>e</w:t>
      </w:r>
      <w:r>
        <w:rPr/>
        <w:t>ríodo</w:t>
      </w:r>
      <w:r>
        <w:rPr>
          <w:spacing w:val="13"/>
        </w:rPr>
        <w:t> </w:t>
      </w:r>
      <w:r>
        <w:rPr/>
        <w:t>de</w:t>
      </w:r>
      <w:r>
        <w:rPr>
          <w:spacing w:val="13"/>
        </w:rPr>
        <w:t> </w:t>
      </w:r>
      <w:r>
        <w:rPr/>
        <w:t>1</w:t>
      </w:r>
      <w:r>
        <w:rPr>
          <w:spacing w:val="2"/>
        </w:rPr>
        <w:t>9</w:t>
      </w:r>
      <w:r>
        <w:rPr/>
        <w:t>8</w:t>
      </w:r>
      <w:r>
        <w:rPr>
          <w:spacing w:val="3"/>
        </w:rPr>
        <w:t>6</w:t>
      </w:r>
      <w:r>
        <w:rPr>
          <w:spacing w:val="-1"/>
        </w:rPr>
        <w:t>-</w:t>
      </w:r>
      <w:r>
        <w:rPr/>
        <w:t>198</w:t>
      </w:r>
      <w:r>
        <w:rPr>
          <w:spacing w:val="2"/>
        </w:rPr>
        <w:t>9</w:t>
      </w:r>
      <w:r>
        <w:rPr/>
        <w:t>,</w:t>
      </w:r>
      <w:r>
        <w:rPr>
          <w:spacing w:val="14"/>
        </w:rPr>
        <w:t> </w:t>
      </w:r>
      <w:r>
        <w:rPr>
          <w:w w:val="100"/>
        </w:rPr>
        <w:t>é</w:t>
      </w:r>
      <w:r>
        <w:rPr>
          <w:spacing w:val="13"/>
        </w:rPr>
        <w:t> </w:t>
      </w:r>
      <w:r>
        <w:rPr>
          <w:spacing w:val="-1"/>
          <w:w w:val="100"/>
        </w:rPr>
        <w:t>e</w:t>
      </w:r>
      <w:r>
        <w:rPr>
          <w:w w:val="100"/>
        </w:rPr>
        <w:t>lab</w:t>
      </w:r>
      <w:r>
        <w:rPr>
          <w:spacing w:val="1"/>
          <w:w w:val="100"/>
        </w:rPr>
        <w:t>o</w:t>
      </w:r>
      <w:r>
        <w:rPr>
          <w:w w:val="100"/>
        </w:rPr>
        <w:t>r</w:t>
      </w:r>
      <w:r>
        <w:rPr>
          <w:spacing w:val="-2"/>
          <w:w w:val="100"/>
        </w:rPr>
        <w:t>a</w:t>
      </w:r>
      <w:r>
        <w:rPr/>
        <w:t>do</w:t>
      </w:r>
      <w:r>
        <w:rPr>
          <w:spacing w:val="14"/>
        </w:rPr>
        <w:t> </w:t>
      </w:r>
      <w:r>
        <w:rPr/>
        <w:t>o</w:t>
      </w:r>
      <w:r>
        <w:rPr>
          <w:spacing w:val="16"/>
        </w:rPr>
        <w:t> </w:t>
      </w:r>
      <w:r>
        <w:rPr>
          <w:spacing w:val="-1"/>
          <w:w w:val="44"/>
        </w:rPr>
        <w:t>―</w:t>
      </w:r>
      <w:r>
        <w:rPr>
          <w:w w:val="99"/>
        </w:rPr>
        <w:t>P</w:t>
      </w:r>
      <w:r>
        <w:rPr>
          <w:w w:val="99"/>
        </w:rPr>
        <w:t>r</w:t>
      </w:r>
      <w:r>
        <w:rPr>
          <w:spacing w:val="1"/>
          <w:w w:val="99"/>
        </w:rPr>
        <w:t>o</w:t>
      </w:r>
      <w:r>
        <w:rPr>
          <w:spacing w:val="-3"/>
          <w:w w:val="99"/>
        </w:rPr>
        <w:t>g</w:t>
      </w:r>
      <w:r>
        <w:rPr>
          <w:w w:val="100"/>
        </w:rPr>
        <w:t>rama</w:t>
      </w:r>
      <w:r>
        <w:rPr>
          <w:spacing w:val="13"/>
        </w:rPr>
        <w:t> </w:t>
      </w:r>
      <w:r>
        <w:rPr>
          <w:w w:val="100"/>
        </w:rPr>
        <w:t>Edu</w:t>
      </w:r>
      <w:r>
        <w:rPr>
          <w:spacing w:val="-2"/>
          <w:w w:val="100"/>
        </w:rPr>
        <w:t>c</w:t>
      </w:r>
      <w:r>
        <w:rPr>
          <w:spacing w:val="1"/>
          <w:w w:val="100"/>
        </w:rPr>
        <w:t>a</w:t>
      </w:r>
      <w:r>
        <w:rPr>
          <w:spacing w:val="-1"/>
          <w:w w:val="100"/>
        </w:rPr>
        <w:t>çã</w:t>
      </w:r>
      <w:r>
        <w:rPr/>
        <w:t>o para Todos‖, como parte do I Plano Nacional de Desenvolvimento da Nova República (I PND NR). (CUNHA, 1995, p.</w:t>
      </w:r>
      <w:r>
        <w:rPr>
          <w:spacing w:val="-6"/>
        </w:rPr>
        <w:t> </w:t>
      </w:r>
      <w:r>
        <w:rPr/>
        <w:t>269).</w:t>
      </w:r>
    </w:p>
    <w:p>
      <w:pPr>
        <w:pStyle w:val="BodyText"/>
        <w:spacing w:line="360" w:lineRule="auto" w:before="6"/>
        <w:ind w:left="102" w:right="231" w:firstLine="851"/>
        <w:jc w:val="both"/>
      </w:pPr>
      <w:r>
        <w:rPr>
          <w:w w:val="100"/>
        </w:rPr>
        <w:t>Entretanto,</w:t>
      </w:r>
      <w:r>
        <w:rPr/>
        <w:t> segundo Cun</w:t>
      </w:r>
      <w:r>
        <w:rPr>
          <w:w w:val="100"/>
        </w:rPr>
        <w:t>ha</w:t>
      </w:r>
      <w:r>
        <w:rPr/>
        <w:t> (1995, p. 268), o I </w:t>
      </w:r>
      <w:r>
        <w:rPr>
          <w:w w:val="99"/>
        </w:rPr>
        <w:t>PND</w:t>
      </w:r>
      <w:r>
        <w:rPr/>
        <w:t> </w:t>
      </w:r>
      <w:r>
        <w:rPr>
          <w:w w:val="99"/>
        </w:rPr>
        <w:t>NR</w:t>
      </w:r>
      <w:r>
        <w:rPr/>
        <w:t> </w:t>
      </w:r>
      <w:r>
        <w:rPr>
          <w:w w:val="44"/>
        </w:rPr>
        <w:t>―</w:t>
      </w:r>
      <w:r>
        <w:rPr>
          <w:w w:val="99"/>
        </w:rPr>
        <w:t>s</w:t>
      </w:r>
      <w:r>
        <w:rPr>
          <w:w w:val="100"/>
        </w:rPr>
        <w:t>e</w:t>
      </w:r>
      <w:r>
        <w:rPr/>
        <w:t> r</w:t>
      </w:r>
      <w:r>
        <w:rPr>
          <w:w w:val="100"/>
        </w:rPr>
        <w:t>e</w:t>
      </w:r>
      <w:r>
        <w:rPr>
          <w:w w:val="100"/>
        </w:rPr>
        <w:t>sumiu na </w:t>
      </w:r>
      <w:r>
        <w:rPr>
          <w:w w:val="100"/>
        </w:rPr>
        <w:t>á</w:t>
      </w:r>
      <w:r>
        <w:rPr>
          <w:w w:val="100"/>
        </w:rPr>
        <w:t>re</w:t>
      </w:r>
      <w:r>
        <w:rPr>
          <w:w w:val="100"/>
        </w:rPr>
        <w:t>a </w:t>
      </w:r>
      <w:r>
        <w:rPr/>
        <w:t>educacional a elencar os programas que já se encontravam em desenvolvimento pelo Governo Federal, a que foi justaposto um diagnóstico realizado posteriormente, procurando justificar os programas de que se dispunha‖.</w:t>
      </w:r>
    </w:p>
    <w:p>
      <w:pPr>
        <w:pStyle w:val="BodyText"/>
        <w:spacing w:line="360" w:lineRule="auto" w:before="6"/>
        <w:ind w:left="102" w:right="231" w:firstLine="851"/>
        <w:jc w:val="both"/>
      </w:pPr>
      <w:r>
        <w:rPr/>
        <w:t>No contexto dos anos 1980, sobressai, a partir da Constituinte de 1988, o conceito de participação no campo das políticas públicas (BORDIGNON, 2011). Com esse sentido, entendendo que a educação apresenta uma realidade específica, é  proposto um processo de planejamento com a ideia de tomada de decisões, que  abarque os diferentes olhares presentes no cotidiano educacional, por meio da ativa participação de pais, trabalhadores da educação, alunos e especialistas. Neste</w:t>
      </w:r>
      <w:r>
        <w:rPr>
          <w:spacing w:val="33"/>
        </w:rPr>
        <w:t> </w:t>
      </w:r>
      <w:r>
        <w:rPr/>
        <w:t>contexto,</w:t>
      </w:r>
    </w:p>
    <w:p>
      <w:pPr>
        <w:pStyle w:val="BodyText"/>
        <w:spacing w:line="360" w:lineRule="auto" w:before="3"/>
        <w:ind w:left="102" w:right="231"/>
        <w:jc w:val="both"/>
      </w:pPr>
      <w:r>
        <w:rPr>
          <w:spacing w:val="-1"/>
          <w:w w:val="44"/>
        </w:rPr>
        <w:t>―</w:t>
      </w:r>
      <w:r>
        <w:rPr>
          <w:w w:val="99"/>
        </w:rPr>
        <w:t>A</w:t>
      </w:r>
      <w:r>
        <w:rPr/>
        <w:t> </w:t>
      </w:r>
      <w:r>
        <w:rPr>
          <w:spacing w:val="-20"/>
        </w:rPr>
        <w:t> </w:t>
      </w:r>
      <w:r>
        <w:rPr/>
        <w:t>p</w:t>
      </w:r>
      <w:r>
        <w:rPr>
          <w:spacing w:val="1"/>
        </w:rPr>
        <w:t>r</w:t>
      </w:r>
      <w:r>
        <w:rPr>
          <w:spacing w:val="-1"/>
          <w:w w:val="100"/>
        </w:rPr>
        <w:t>e</w:t>
      </w:r>
      <w:r>
        <w:rPr>
          <w:w w:val="99"/>
        </w:rPr>
        <w:t>s</w:t>
      </w:r>
      <w:r>
        <w:rPr>
          <w:spacing w:val="-1"/>
          <w:w w:val="99"/>
        </w:rPr>
        <w:t>e</w:t>
      </w:r>
      <w:r>
        <w:rPr>
          <w:w w:val="100"/>
        </w:rPr>
        <w:t>n</w:t>
      </w:r>
      <w:r>
        <w:rPr>
          <w:spacing w:val="1"/>
          <w:w w:val="100"/>
        </w:rPr>
        <w:t>ç</w:t>
      </w:r>
      <w:r>
        <w:rPr>
          <w:w w:val="100"/>
        </w:rPr>
        <w:t>a</w:t>
      </w:r>
      <w:r>
        <w:rPr/>
        <w:t> </w:t>
      </w:r>
      <w:r>
        <w:rPr>
          <w:spacing w:val="-21"/>
        </w:rPr>
        <w:t> </w:t>
      </w:r>
      <w:r>
        <w:rPr/>
        <w:t>do </w:t>
      </w:r>
      <w:r>
        <w:rPr>
          <w:spacing w:val="-20"/>
        </w:rPr>
        <w:t> </w:t>
      </w:r>
      <w:r>
        <w:rPr>
          <w:spacing w:val="2"/>
        </w:rPr>
        <w:t>d</w:t>
      </w:r>
      <w:r>
        <w:rPr>
          <w:spacing w:val="-1"/>
          <w:w w:val="100"/>
        </w:rPr>
        <w:t>e</w:t>
      </w:r>
      <w:r>
        <w:rPr>
          <w:w w:val="100"/>
        </w:rPr>
        <w:t>b</w:t>
      </w:r>
      <w:r>
        <w:rPr>
          <w:spacing w:val="-1"/>
          <w:w w:val="100"/>
        </w:rPr>
        <w:t>a</w:t>
      </w:r>
      <w:r>
        <w:rPr>
          <w:w w:val="100"/>
        </w:rPr>
        <w:t>te</w:t>
      </w:r>
      <w:r>
        <w:rPr/>
        <w:t> </w:t>
      </w:r>
      <w:r>
        <w:rPr>
          <w:spacing w:val="-16"/>
        </w:rPr>
        <w:t> </w:t>
      </w:r>
      <w:r>
        <w:rPr>
          <w:w w:val="100"/>
        </w:rPr>
        <w:t>d</w:t>
      </w:r>
      <w:r>
        <w:rPr>
          <w:spacing w:val="-1"/>
          <w:w w:val="100"/>
        </w:rPr>
        <w:t>e</w:t>
      </w:r>
      <w:r>
        <w:rPr>
          <w:w w:val="100"/>
        </w:rPr>
        <w:t>moc</w:t>
      </w:r>
      <w:r>
        <w:rPr>
          <w:spacing w:val="-2"/>
          <w:w w:val="100"/>
        </w:rPr>
        <w:t>r</w:t>
      </w:r>
      <w:r>
        <w:rPr>
          <w:spacing w:val="-1"/>
          <w:w w:val="100"/>
        </w:rPr>
        <w:t>á</w:t>
      </w:r>
      <w:r>
        <w:rPr>
          <w:w w:val="100"/>
        </w:rPr>
        <w:t>t</w:t>
      </w:r>
      <w:r>
        <w:rPr>
          <w:spacing w:val="3"/>
          <w:w w:val="100"/>
        </w:rPr>
        <w:t>i</w:t>
      </w:r>
      <w:r>
        <w:rPr>
          <w:spacing w:val="-1"/>
        </w:rPr>
        <w:t>c</w:t>
      </w:r>
      <w:r>
        <w:rPr/>
        <w:t>o </w:t>
      </w:r>
      <w:r>
        <w:rPr>
          <w:spacing w:val="-18"/>
        </w:rPr>
        <w:t> </w:t>
      </w:r>
      <w:r>
        <w:rPr/>
        <w:t>p</w:t>
      </w:r>
      <w:r>
        <w:rPr>
          <w:spacing w:val="-1"/>
        </w:rPr>
        <w:t>e</w:t>
      </w:r>
      <w:r>
        <w:rPr/>
        <w:t>rmite </w:t>
      </w:r>
      <w:r>
        <w:rPr>
          <w:spacing w:val="-18"/>
        </w:rPr>
        <w:t> </w:t>
      </w:r>
      <w:r>
        <w:rPr/>
        <w:t>a </w:t>
      </w:r>
      <w:r>
        <w:rPr>
          <w:spacing w:val="-21"/>
        </w:rPr>
        <w:t> </w:t>
      </w:r>
      <w:r>
        <w:rPr>
          <w:spacing w:val="1"/>
        </w:rPr>
        <w:t>c</w:t>
      </w:r>
      <w:r>
        <w:rPr/>
        <w:t>onstituiç</w:t>
      </w:r>
      <w:r>
        <w:rPr>
          <w:spacing w:val="-2"/>
        </w:rPr>
        <w:t>ã</w:t>
      </w:r>
      <w:r>
        <w:rPr/>
        <w:t>o </w:t>
      </w:r>
      <w:r>
        <w:rPr>
          <w:spacing w:val="-20"/>
        </w:rPr>
        <w:t> </w:t>
      </w:r>
      <w:r>
        <w:rPr/>
        <w:t>de </w:t>
      </w:r>
      <w:r>
        <w:rPr>
          <w:spacing w:val="-21"/>
        </w:rPr>
        <w:t> </w:t>
      </w:r>
      <w:r>
        <w:rPr>
          <w:spacing w:val="1"/>
        </w:rPr>
        <w:t>c</w:t>
      </w:r>
      <w:r>
        <w:rPr/>
        <w:t>rité</w:t>
      </w:r>
      <w:r>
        <w:rPr>
          <w:spacing w:val="-2"/>
        </w:rPr>
        <w:t>r</w:t>
      </w:r>
      <w:r>
        <w:rPr>
          <w:w w:val="99"/>
        </w:rPr>
        <w:t>ios</w:t>
      </w:r>
      <w:r>
        <w:rPr/>
        <w:t> </w:t>
      </w:r>
      <w:r>
        <w:rPr>
          <w:spacing w:val="-17"/>
        </w:rPr>
        <w:t> </w:t>
      </w:r>
      <w:r>
        <w:rPr>
          <w:spacing w:val="-1"/>
        </w:rPr>
        <w:t>c</w:t>
      </w:r>
      <w:r>
        <w:rPr/>
        <w:t>oletivos </w:t>
      </w:r>
      <w:r>
        <w:rPr>
          <w:spacing w:val="-19"/>
        </w:rPr>
        <w:t> </w:t>
      </w:r>
      <w:r>
        <w:rPr/>
        <w:t>na orientação  do  planejamento  que,  por seu  turno,  incorpora significados  comuns </w:t>
      </w:r>
      <w:r>
        <w:rPr>
          <w:spacing w:val="8"/>
        </w:rPr>
        <w:t> </w:t>
      </w:r>
      <w:r>
        <w:rPr/>
        <w:t>aos</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2" w:lineRule="auto" w:before="210"/>
        <w:ind w:left="102"/>
      </w:pPr>
      <w:r>
        <w:rPr/>
        <w:t>diferentes atores educacionais e favorece a execução de ações por meio daqueles diretamente atingidos pelo planejamento educacional‖ (FREITAS, 2003, p. 19).</w:t>
      </w:r>
    </w:p>
    <w:p>
      <w:pPr>
        <w:pStyle w:val="BodyText"/>
        <w:spacing w:line="360" w:lineRule="auto"/>
        <w:ind w:left="102" w:right="187" w:firstLine="851"/>
        <w:jc w:val="both"/>
      </w:pPr>
      <w:r>
        <w:rPr/>
        <w:t>Vieira e Albuquerque (2002, p. 36) argumentam que o planejamento participativo remonta às reflexões empreendidas pela Equipe Latino-Americana de Planejamento (ELAP), no Chile, influenciada pelas ideias disseminadas na Conferência Episcop</w:t>
      </w:r>
      <w:r>
        <w:rPr>
          <w:spacing w:val="-2"/>
        </w:rPr>
        <w:t>a</w:t>
      </w:r>
      <w:r>
        <w:rPr/>
        <w:t>l </w:t>
      </w:r>
      <w:r>
        <w:rPr>
          <w:spacing w:val="-3"/>
        </w:rPr>
        <w:t> L</w:t>
      </w:r>
      <w:r>
        <w:rPr>
          <w:spacing w:val="-1"/>
        </w:rPr>
        <w:t>a</w:t>
      </w:r>
      <w:r>
        <w:rPr/>
        <w:t>tino </w:t>
      </w:r>
      <w:r>
        <w:rPr>
          <w:spacing w:val="-6"/>
        </w:rPr>
        <w:t> </w:t>
      </w:r>
      <w:r>
        <w:rPr/>
        <w:t>Am</w:t>
      </w:r>
      <w:r>
        <w:rPr>
          <w:spacing w:val="1"/>
        </w:rPr>
        <w:t>e</w:t>
      </w:r>
      <w:r>
        <w:rPr/>
        <w:t>ri</w:t>
      </w:r>
      <w:r>
        <w:rPr>
          <w:spacing w:val="-2"/>
        </w:rPr>
        <w:t>c</w:t>
      </w:r>
      <w:r>
        <w:rPr>
          <w:spacing w:val="-1"/>
        </w:rPr>
        <w:t>a</w:t>
      </w:r>
      <w:r>
        <w:rPr/>
        <w:t>n</w:t>
      </w:r>
      <w:r>
        <w:rPr>
          <w:spacing w:val="-1"/>
        </w:rPr>
        <w:t>a</w:t>
      </w:r>
      <w:r>
        <w:rPr/>
        <w:t>, </w:t>
      </w:r>
      <w:r>
        <w:rPr>
          <w:spacing w:val="-6"/>
        </w:rPr>
        <w:t> </w:t>
      </w:r>
      <w:r>
        <w:rPr>
          <w:spacing w:val="2"/>
        </w:rPr>
        <w:t>n</w:t>
      </w:r>
      <w:r>
        <w:rPr/>
        <w:t>a </w:t>
      </w:r>
      <w:r>
        <w:rPr>
          <w:spacing w:val="-6"/>
        </w:rPr>
        <w:t> </w:t>
      </w:r>
      <w:r>
        <w:rPr>
          <w:spacing w:val="-1"/>
        </w:rPr>
        <w:t>é</w:t>
      </w:r>
      <w:r>
        <w:rPr/>
        <w:t>p</w:t>
      </w:r>
      <w:r>
        <w:rPr>
          <w:spacing w:val="2"/>
        </w:rPr>
        <w:t>o</w:t>
      </w:r>
      <w:r>
        <w:rPr>
          <w:spacing w:val="-1"/>
        </w:rPr>
        <w:t>c</w:t>
      </w:r>
      <w:r>
        <w:rPr/>
        <w:t>a </w:t>
      </w:r>
      <w:r>
        <w:rPr>
          <w:spacing w:val="-6"/>
        </w:rPr>
        <w:t> </w:t>
      </w:r>
      <w:r>
        <w:rPr/>
        <w:t>do </w:t>
      </w:r>
      <w:r>
        <w:rPr>
          <w:spacing w:val="-3"/>
        </w:rPr>
        <w:t> </w:t>
      </w:r>
      <w:r>
        <w:rPr/>
        <w:t>Con</w:t>
      </w:r>
      <w:r>
        <w:rPr>
          <w:spacing w:val="-1"/>
        </w:rPr>
        <w:t>c</w:t>
      </w:r>
      <w:r>
        <w:rPr/>
        <w:t>ílio </w:t>
      </w:r>
      <w:r>
        <w:rPr>
          <w:spacing w:val="-5"/>
        </w:rPr>
        <w:t> </w:t>
      </w:r>
      <w:r>
        <w:rPr>
          <w:w w:val="99"/>
        </w:rPr>
        <w:t>V</w:t>
      </w:r>
      <w:r>
        <w:rPr>
          <w:spacing w:val="-2"/>
          <w:w w:val="99"/>
        </w:rPr>
        <w:t>a</w:t>
      </w:r>
      <w:r>
        <w:rPr/>
        <w:t>ti</w:t>
      </w:r>
      <w:r>
        <w:rPr>
          <w:spacing w:val="-1"/>
        </w:rPr>
        <w:t>ca</w:t>
      </w:r>
      <w:r>
        <w:rPr/>
        <w:t>no </w:t>
      </w:r>
      <w:r>
        <w:rPr>
          <w:spacing w:val="-3"/>
        </w:rPr>
        <w:t> </w:t>
      </w:r>
      <w:r>
        <w:rPr/>
        <w:t>II </w:t>
      </w:r>
      <w:r>
        <w:rPr>
          <w:spacing w:val="-7"/>
        </w:rPr>
        <w:t> </w:t>
      </w:r>
      <w:r>
        <w:rPr/>
        <w:t>(196</w:t>
      </w:r>
      <w:r>
        <w:rPr>
          <w:spacing w:val="6"/>
        </w:rPr>
        <w:t>1</w:t>
      </w:r>
      <w:r>
        <w:rPr>
          <w:spacing w:val="1"/>
        </w:rPr>
        <w:t>-</w:t>
      </w:r>
      <w:r>
        <w:rPr/>
        <w:t>1965</w:t>
      </w:r>
      <w:r>
        <w:rPr>
          <w:spacing w:val="-1"/>
        </w:rPr>
        <w:t>)</w:t>
      </w:r>
      <w:r>
        <w:rPr/>
        <w:t>, </w:t>
      </w:r>
      <w:r>
        <w:rPr>
          <w:spacing w:val="-6"/>
        </w:rPr>
        <w:t> </w:t>
      </w:r>
      <w:r>
        <w:rPr>
          <w:spacing w:val="-1"/>
          <w:w w:val="44"/>
        </w:rPr>
        <w:t>―</w:t>
      </w:r>
      <w:r>
        <w:rPr>
          <w:w w:val="100"/>
        </w:rPr>
        <w:t>que </w:t>
      </w:r>
      <w:r>
        <w:rPr/>
        <w:t>postulavam um novo horizonte da participação e da mudança estrutural para favorecer  a fraternidade, a solidariedade, a justiça social e a</w:t>
      </w:r>
      <w:r>
        <w:rPr>
          <w:spacing w:val="28"/>
        </w:rPr>
        <w:t> </w:t>
      </w:r>
      <w:r>
        <w:rPr/>
        <w:t>liberdade‖.</w:t>
      </w:r>
    </w:p>
    <w:p>
      <w:pPr>
        <w:pStyle w:val="BodyText"/>
        <w:spacing w:line="360" w:lineRule="auto" w:before="3"/>
        <w:ind w:left="102" w:right="189" w:firstLine="851"/>
        <w:jc w:val="both"/>
      </w:pPr>
      <w:r>
        <w:rPr>
          <w:w w:val="99"/>
        </w:rPr>
        <w:t>Essas </w:t>
      </w:r>
      <w:r>
        <w:rPr>
          <w:w w:val="100"/>
        </w:rPr>
        <w:t>ideia</w:t>
      </w:r>
      <w:r>
        <w:rPr>
          <w:w w:val="99"/>
        </w:rPr>
        <w:t>s,</w:t>
      </w:r>
      <w:r>
        <w:rPr/>
        <w:t> </w:t>
      </w:r>
      <w:r>
        <w:rPr>
          <w:w w:val="44"/>
        </w:rPr>
        <w:t>―</w:t>
      </w:r>
      <w:r>
        <w:rPr>
          <w:w w:val="99"/>
        </w:rPr>
        <w:t>sã</w:t>
      </w:r>
      <w:r>
        <w:rPr/>
        <w:t>o, de certa forma, absorvida</w:t>
      </w:r>
      <w:r>
        <w:rPr>
          <w:w w:val="99"/>
        </w:rPr>
        <w:t>s</w:t>
      </w:r>
      <w:r>
        <w:rPr/>
        <w:t> pela política no final do período militar, quando se assiste a uma euforia em torno da vivência de mecanismos de participação.‖ (VIEIRA; ALBUQUERQUE, 2002, p. 36-7).</w:t>
      </w:r>
    </w:p>
    <w:p>
      <w:pPr>
        <w:pStyle w:val="BodyText"/>
        <w:spacing w:line="360" w:lineRule="auto" w:before="6"/>
        <w:ind w:left="102" w:right="191" w:firstLine="851"/>
        <w:jc w:val="both"/>
      </w:pPr>
      <w:r>
        <w:rPr>
          <w:w w:val="99"/>
        </w:rPr>
        <w:t>Ne</w:t>
      </w:r>
      <w:r>
        <w:rPr>
          <w:w w:val="99"/>
        </w:rPr>
        <w:t>ssa</w:t>
      </w:r>
      <w:r>
        <w:rPr/>
        <w:t> </w:t>
      </w:r>
      <w:r>
        <w:rPr>
          <w:w w:val="100"/>
        </w:rPr>
        <w:t>c</w:t>
      </w:r>
      <w:r>
        <w:rPr>
          <w:w w:val="100"/>
        </w:rPr>
        <w:t>onc</w:t>
      </w:r>
      <w:r>
        <w:rPr>
          <w:w w:val="100"/>
        </w:rPr>
        <w:t>e</w:t>
      </w:r>
      <w:r>
        <w:rPr/>
        <w:t>p</w:t>
      </w:r>
      <w:r>
        <w:rPr>
          <w:w w:val="100"/>
        </w:rPr>
        <w:t>çã</w:t>
      </w:r>
      <w:r>
        <w:rPr/>
        <w:t>o, o </w:t>
      </w:r>
      <w:r>
        <w:rPr>
          <w:w w:val="100"/>
        </w:rPr>
        <w:t>plan</w:t>
      </w:r>
      <w:r>
        <w:rPr>
          <w:w w:val="100"/>
        </w:rPr>
        <w:t>ejame</w:t>
      </w:r>
      <w:r>
        <w:rPr>
          <w:w w:val="100"/>
        </w:rPr>
        <w:t>nto</w:t>
      </w:r>
      <w:r>
        <w:rPr/>
        <w:t> </w:t>
      </w:r>
      <w:r>
        <w:rPr>
          <w:w w:val="44"/>
        </w:rPr>
        <w:t>―</w:t>
      </w:r>
      <w:r>
        <w:rPr/>
        <w:t>d</w:t>
      </w:r>
      <w:r>
        <w:rPr>
          <w:w w:val="100"/>
        </w:rPr>
        <w:t>e</w:t>
      </w:r>
      <w:r>
        <w:rPr>
          <w:w w:val="100"/>
        </w:rPr>
        <w:t>ix</w:t>
      </w:r>
      <w:r>
        <w:rPr>
          <w:w w:val="100"/>
        </w:rPr>
        <w:t>a</w:t>
      </w:r>
      <w:r>
        <w:rPr/>
        <w:t> </w:t>
      </w:r>
      <w:r>
        <w:rPr>
          <w:w w:val="100"/>
        </w:rPr>
        <w:t>de</w:t>
      </w:r>
      <w:r>
        <w:rPr/>
        <w:t> </w:t>
      </w:r>
      <w:r>
        <w:rPr>
          <w:w w:val="99"/>
        </w:rPr>
        <w:t>s</w:t>
      </w:r>
      <w:r>
        <w:rPr>
          <w:w w:val="100"/>
        </w:rPr>
        <w:t>e</w:t>
      </w:r>
      <w:r>
        <w:rPr>
          <w:w w:val="99"/>
        </w:rPr>
        <w:t>r u</w:t>
      </w:r>
      <w:r>
        <w:rPr>
          <w:w w:val="100"/>
        </w:rPr>
        <w:t>ma</w:t>
      </w:r>
      <w:r>
        <w:rPr/>
        <w:t> </w:t>
      </w:r>
      <w:r>
        <w:rPr>
          <w:w w:val="100"/>
        </w:rPr>
        <w:t>metodo</w:t>
      </w:r>
      <w:r>
        <w:rPr/>
        <w:t>logia de definição dos objetivos, escolha de estratégia e organização de ação, para se transformar numa metodologia de tomada coletiva de decisões e correspondente de ação que será assumida por todos‖. (FERREIRA, 1979, p. 7).</w:t>
      </w:r>
    </w:p>
    <w:p>
      <w:pPr>
        <w:pStyle w:val="BodyText"/>
        <w:spacing w:line="360" w:lineRule="auto" w:before="6"/>
        <w:ind w:left="102" w:right="187" w:firstLine="851"/>
        <w:jc w:val="both"/>
      </w:pPr>
      <w:r>
        <w:rPr>
          <w:w w:val="99"/>
        </w:rPr>
        <w:t>O</w:t>
      </w:r>
      <w:r>
        <w:rPr/>
        <w:t> </w:t>
      </w:r>
      <w:r>
        <w:rPr>
          <w:spacing w:val="-30"/>
        </w:rPr>
        <w:t> </w:t>
      </w:r>
      <w:r>
        <w:rPr/>
        <w:t>plan</w:t>
      </w:r>
      <w:r>
        <w:rPr>
          <w:spacing w:val="-2"/>
        </w:rPr>
        <w:t>e</w:t>
      </w:r>
      <w:r>
        <w:rPr/>
        <w:t>jam</w:t>
      </w:r>
      <w:r>
        <w:rPr>
          <w:spacing w:val="-1"/>
        </w:rPr>
        <w:t>e</w:t>
      </w:r>
      <w:r>
        <w:rPr/>
        <w:t>nto </w:t>
      </w:r>
      <w:r>
        <w:rPr>
          <w:spacing w:val="-29"/>
        </w:rPr>
        <w:t> </w:t>
      </w:r>
      <w:r>
        <w:rPr>
          <w:spacing w:val="2"/>
        </w:rPr>
        <w:t>p</w:t>
      </w:r>
      <w:r>
        <w:rPr>
          <w:spacing w:val="-1"/>
        </w:rPr>
        <w:t>a</w:t>
      </w:r>
      <w:r>
        <w:rPr/>
        <w:t>rtici</w:t>
      </w:r>
      <w:r>
        <w:rPr>
          <w:spacing w:val="2"/>
        </w:rPr>
        <w:t>p</w:t>
      </w:r>
      <w:r>
        <w:rPr>
          <w:spacing w:val="-1"/>
        </w:rPr>
        <w:t>a</w:t>
      </w:r>
      <w:r>
        <w:rPr/>
        <w:t>tivo </w:t>
      </w:r>
      <w:r>
        <w:rPr>
          <w:spacing w:val="-30"/>
        </w:rPr>
        <w:t> </w:t>
      </w:r>
      <w:r>
        <w:rPr>
          <w:spacing w:val="2"/>
        </w:rPr>
        <w:t>t</w:t>
      </w:r>
      <w:r>
        <w:rPr/>
        <w:t>r</w:t>
      </w:r>
      <w:r>
        <w:rPr>
          <w:spacing w:val="-2"/>
        </w:rPr>
        <w:t>a</w:t>
      </w:r>
      <w:r>
        <w:rPr/>
        <w:t>t</w:t>
      </w:r>
      <w:r>
        <w:rPr>
          <w:spacing w:val="-1"/>
        </w:rPr>
        <w:t>a-</w:t>
      </w:r>
      <w:r>
        <w:rPr/>
        <w:t>s</w:t>
      </w:r>
      <w:r>
        <w:rPr>
          <w:spacing w:val="-1"/>
        </w:rPr>
        <w:t>e</w:t>
      </w:r>
      <w:r>
        <w:rPr/>
        <w:t>, </w:t>
      </w:r>
      <w:r>
        <w:rPr>
          <w:spacing w:val="-27"/>
        </w:rPr>
        <w:t> </w:t>
      </w:r>
      <w:r>
        <w:rPr>
          <w:w w:val="100"/>
        </w:rPr>
        <w:t>port</w:t>
      </w:r>
      <w:r>
        <w:rPr>
          <w:spacing w:val="-2"/>
          <w:w w:val="100"/>
        </w:rPr>
        <w:t>a</w:t>
      </w:r>
      <w:r>
        <w:rPr>
          <w:w w:val="100"/>
        </w:rPr>
        <w:t>nto,</w:t>
      </w:r>
      <w:r>
        <w:rPr/>
        <w:t> </w:t>
      </w:r>
      <w:r>
        <w:rPr>
          <w:spacing w:val="-27"/>
        </w:rPr>
        <w:t> </w:t>
      </w:r>
      <w:r>
        <w:rPr>
          <w:spacing w:val="-3"/>
        </w:rPr>
        <w:t>g</w:t>
      </w:r>
      <w:r>
        <w:rPr>
          <w:spacing w:val="-1"/>
          <w:w w:val="100"/>
        </w:rPr>
        <w:t>e</w:t>
      </w:r>
      <w:r>
        <w:rPr>
          <w:spacing w:val="2"/>
        </w:rPr>
        <w:t>n</w:t>
      </w:r>
      <w:r>
        <w:rPr>
          <w:spacing w:val="-1"/>
          <w:w w:val="100"/>
        </w:rPr>
        <w:t>e</w:t>
      </w:r>
      <w:r>
        <w:rPr>
          <w:w w:val="100"/>
        </w:rPr>
        <w:t>ric</w:t>
      </w:r>
      <w:r>
        <w:rPr>
          <w:spacing w:val="-1"/>
          <w:w w:val="100"/>
        </w:rPr>
        <w:t>a</w:t>
      </w:r>
      <w:r>
        <w:rPr>
          <w:w w:val="100"/>
        </w:rPr>
        <w:t>ment</w:t>
      </w:r>
      <w:r>
        <w:rPr>
          <w:spacing w:val="-1"/>
          <w:w w:val="100"/>
        </w:rPr>
        <w:t>e</w:t>
      </w:r>
      <w:r>
        <w:rPr/>
        <w:t>, </w:t>
      </w:r>
      <w:r>
        <w:rPr>
          <w:spacing w:val="-30"/>
        </w:rPr>
        <w:t> </w:t>
      </w:r>
      <w:r>
        <w:rPr>
          <w:spacing w:val="2"/>
        </w:rPr>
        <w:t>d</w:t>
      </w:r>
      <w:r>
        <w:rPr>
          <w:w w:val="100"/>
        </w:rPr>
        <w:t>e</w:t>
      </w:r>
      <w:r>
        <w:rPr/>
        <w:t> </w:t>
      </w:r>
      <w:r>
        <w:rPr>
          <w:spacing w:val="-30"/>
        </w:rPr>
        <w:t> </w:t>
      </w:r>
      <w:r>
        <w:rPr>
          <w:spacing w:val="-1"/>
          <w:w w:val="44"/>
        </w:rPr>
        <w:t>―</w:t>
      </w:r>
      <w:r>
        <w:rPr>
          <w:spacing w:val="1"/>
          <w:w w:val="99"/>
        </w:rPr>
        <w:t>[</w:t>
      </w:r>
      <w:r>
        <w:rPr>
          <w:w w:val="99"/>
        </w:rPr>
        <w:t>...] </w:t>
      </w:r>
      <w:r>
        <w:rPr>
          <w:spacing w:val="-28"/>
          <w:w w:val="99"/>
        </w:rPr>
        <w:t> </w:t>
      </w:r>
      <w:r>
        <w:rPr>
          <w:w w:val="100"/>
        </w:rPr>
        <w:t>uma </w:t>
      </w:r>
      <w:r>
        <w:rPr/>
        <w:t>estratégia de trabalho, que se caracteriza pela integração de todos os setores da atividade humana social, num processo global, para a solução de problemas comuns. No entendimento do seu verdadeiro sentido está a sua força ou a sua fraqueza‖ (VIANNA, 2000, p. 39). Implicando, assim, na consciência dos sujeitos que dele participam.</w:t>
      </w:r>
    </w:p>
    <w:p>
      <w:pPr>
        <w:pStyle w:val="BodyText"/>
        <w:spacing w:line="360" w:lineRule="auto" w:before="6"/>
        <w:ind w:left="102" w:right="190" w:firstLine="851"/>
        <w:jc w:val="both"/>
      </w:pPr>
      <w:r>
        <w:rPr/>
        <w:t>Das ideias de Cornely (1977) e Vianna (2000), é possível apreender alguns elementos constitutivos dessa concepção, que se constitui em:</w:t>
      </w:r>
    </w:p>
    <w:p>
      <w:pPr>
        <w:pStyle w:val="ListParagraph"/>
        <w:numPr>
          <w:ilvl w:val="0"/>
          <w:numId w:val="9"/>
        </w:numPr>
        <w:tabs>
          <w:tab w:pos="1108" w:val="left" w:leader="none"/>
        </w:tabs>
        <w:spacing w:line="360" w:lineRule="auto" w:before="6" w:after="0"/>
        <w:ind w:left="102" w:right="186" w:firstLine="852"/>
        <w:jc w:val="both"/>
        <w:rPr>
          <w:sz w:val="24"/>
        </w:rPr>
      </w:pPr>
      <w:r>
        <w:rPr>
          <w:sz w:val="24"/>
        </w:rPr>
        <w:t>um processo político – exigindo, então, dos integrantes, um posicionamento individual e social diante da situação-problema a ser estudada e resolvida e das atividades de intervenção propostas; assim como nunca podendo ser uma atividade </w:t>
      </w:r>
      <w:r>
        <w:rPr>
          <w:w w:val="99"/>
          <w:sz w:val="24"/>
        </w:rPr>
        <w:t>n</w:t>
      </w:r>
      <w:r>
        <w:rPr>
          <w:spacing w:val="-1"/>
          <w:w w:val="99"/>
          <w:sz w:val="24"/>
        </w:rPr>
        <w:t>e</w:t>
      </w:r>
      <w:r>
        <w:rPr>
          <w:w w:val="99"/>
          <w:sz w:val="24"/>
        </w:rPr>
        <w:t>utra   </w:t>
      </w:r>
      <w:r>
        <w:rPr>
          <w:spacing w:val="-28"/>
          <w:w w:val="99"/>
          <w:sz w:val="24"/>
        </w:rPr>
        <w:t> </w:t>
      </w:r>
      <w:r>
        <w:rPr>
          <w:w w:val="99"/>
          <w:sz w:val="24"/>
        </w:rPr>
        <w:t>(</w:t>
      </w:r>
      <w:r>
        <w:rPr>
          <w:spacing w:val="3"/>
          <w:w w:val="99"/>
          <w:sz w:val="24"/>
        </w:rPr>
        <w:t>V</w:t>
      </w:r>
      <w:r>
        <w:rPr>
          <w:spacing w:val="-4"/>
          <w:w w:val="99"/>
          <w:sz w:val="24"/>
        </w:rPr>
        <w:t>I</w:t>
      </w:r>
      <w:r>
        <w:rPr>
          <w:w w:val="99"/>
          <w:sz w:val="24"/>
        </w:rPr>
        <w:t>A</w:t>
      </w:r>
      <w:r>
        <w:rPr>
          <w:spacing w:val="-1"/>
          <w:w w:val="99"/>
          <w:sz w:val="24"/>
        </w:rPr>
        <w:t>N</w:t>
      </w:r>
      <w:r>
        <w:rPr>
          <w:spacing w:val="2"/>
          <w:w w:val="99"/>
          <w:sz w:val="24"/>
        </w:rPr>
        <w:t>N</w:t>
      </w:r>
      <w:r>
        <w:rPr>
          <w:w w:val="99"/>
          <w:sz w:val="24"/>
        </w:rPr>
        <w:t>A,</w:t>
      </w:r>
      <w:r>
        <w:rPr>
          <w:sz w:val="24"/>
        </w:rPr>
        <w:t>   </w:t>
      </w:r>
      <w:r>
        <w:rPr>
          <w:spacing w:val="-28"/>
          <w:sz w:val="24"/>
        </w:rPr>
        <w:t> </w:t>
      </w:r>
      <w:r>
        <w:rPr>
          <w:sz w:val="24"/>
        </w:rPr>
        <w:t>2</w:t>
      </w:r>
      <w:r>
        <w:rPr>
          <w:spacing w:val="2"/>
          <w:sz w:val="24"/>
        </w:rPr>
        <w:t>0</w:t>
      </w:r>
      <w:r>
        <w:rPr>
          <w:sz w:val="24"/>
        </w:rPr>
        <w:t>00,   </w:t>
      </w:r>
      <w:r>
        <w:rPr>
          <w:spacing w:val="-27"/>
          <w:sz w:val="24"/>
        </w:rPr>
        <w:t> </w:t>
      </w:r>
      <w:r>
        <w:rPr>
          <w:sz w:val="24"/>
        </w:rPr>
        <w:t>p.   </w:t>
      </w:r>
      <w:r>
        <w:rPr>
          <w:spacing w:val="-27"/>
          <w:sz w:val="24"/>
        </w:rPr>
        <w:t> </w:t>
      </w:r>
      <w:r>
        <w:rPr>
          <w:sz w:val="24"/>
        </w:rPr>
        <w:t>40);   </w:t>
      </w:r>
      <w:r>
        <w:rPr>
          <w:spacing w:val="-27"/>
          <w:sz w:val="24"/>
        </w:rPr>
        <w:t> </w:t>
      </w:r>
      <w:r>
        <w:rPr>
          <w:spacing w:val="-1"/>
          <w:sz w:val="24"/>
        </w:rPr>
        <w:t>c</w:t>
      </w:r>
      <w:r>
        <w:rPr>
          <w:sz w:val="24"/>
        </w:rPr>
        <w:t>onstituind</w:t>
      </w:r>
      <w:r>
        <w:rPr>
          <w:spacing w:val="3"/>
          <w:sz w:val="24"/>
        </w:rPr>
        <w:t>o</w:t>
      </w:r>
      <w:r>
        <w:rPr>
          <w:spacing w:val="-1"/>
          <w:sz w:val="24"/>
        </w:rPr>
        <w:t>-</w:t>
      </w:r>
      <w:r>
        <w:rPr>
          <w:sz w:val="24"/>
        </w:rPr>
        <w:t>s</w:t>
      </w:r>
      <w:r>
        <w:rPr>
          <w:spacing w:val="-1"/>
          <w:sz w:val="24"/>
        </w:rPr>
        <w:t>e</w:t>
      </w:r>
      <w:r>
        <w:rPr>
          <w:sz w:val="24"/>
        </w:rPr>
        <w:t>,   </w:t>
      </w:r>
      <w:r>
        <w:rPr>
          <w:spacing w:val="-27"/>
          <w:sz w:val="24"/>
        </w:rPr>
        <w:t> </w:t>
      </w:r>
      <w:r>
        <w:rPr>
          <w:w w:val="100"/>
          <w:sz w:val="24"/>
        </w:rPr>
        <w:t>port</w:t>
      </w:r>
      <w:r>
        <w:rPr>
          <w:spacing w:val="-2"/>
          <w:w w:val="100"/>
          <w:sz w:val="24"/>
        </w:rPr>
        <w:t>a</w:t>
      </w:r>
      <w:r>
        <w:rPr>
          <w:w w:val="100"/>
          <w:sz w:val="24"/>
        </w:rPr>
        <w:t>nto,</w:t>
      </w:r>
      <w:r>
        <w:rPr>
          <w:sz w:val="24"/>
        </w:rPr>
        <w:t>   </w:t>
      </w:r>
      <w:r>
        <w:rPr>
          <w:spacing w:val="-27"/>
          <w:sz w:val="24"/>
        </w:rPr>
        <w:t> </w:t>
      </w:r>
      <w:r>
        <w:rPr>
          <w:spacing w:val="-1"/>
          <w:w w:val="100"/>
          <w:sz w:val="24"/>
        </w:rPr>
        <w:t>e</w:t>
      </w:r>
      <w:r>
        <w:rPr>
          <w:w w:val="100"/>
          <w:sz w:val="24"/>
        </w:rPr>
        <w:t>m</w:t>
      </w:r>
      <w:r>
        <w:rPr>
          <w:sz w:val="24"/>
        </w:rPr>
        <w:t>   </w:t>
      </w:r>
      <w:r>
        <w:rPr>
          <w:spacing w:val="-24"/>
          <w:sz w:val="24"/>
        </w:rPr>
        <w:t> </w:t>
      </w:r>
      <w:r>
        <w:rPr>
          <w:spacing w:val="-1"/>
          <w:w w:val="44"/>
          <w:sz w:val="24"/>
        </w:rPr>
        <w:t>―</w:t>
      </w:r>
      <w:r>
        <w:rPr>
          <w:w w:val="100"/>
          <w:sz w:val="24"/>
        </w:rPr>
        <w:t>instrum</w:t>
      </w:r>
      <w:r>
        <w:rPr>
          <w:spacing w:val="-2"/>
          <w:w w:val="100"/>
          <w:sz w:val="24"/>
        </w:rPr>
        <w:t>e</w:t>
      </w:r>
      <w:r>
        <w:rPr>
          <w:w w:val="100"/>
          <w:sz w:val="24"/>
        </w:rPr>
        <w:t>nto </w:t>
      </w:r>
      <w:r>
        <w:rPr>
          <w:sz w:val="24"/>
        </w:rPr>
        <w:t>intimamente relacionado com a distribuição dos recursos na sociedade‖ (CORNELY, 1977, p. 41); em um contínuo propósito coletivo (VIANNA, 2000, p.</w:t>
      </w:r>
      <w:r>
        <w:rPr>
          <w:spacing w:val="-7"/>
          <w:sz w:val="24"/>
        </w:rPr>
        <w:t> </w:t>
      </w:r>
      <w:r>
        <w:rPr>
          <w:sz w:val="24"/>
        </w:rPr>
        <w:t>40);</w:t>
      </w:r>
    </w:p>
    <w:p>
      <w:pPr>
        <w:pStyle w:val="ListParagraph"/>
        <w:numPr>
          <w:ilvl w:val="0"/>
          <w:numId w:val="9"/>
        </w:numPr>
        <w:tabs>
          <w:tab w:pos="1096" w:val="left" w:leader="none"/>
        </w:tabs>
        <w:spacing w:line="360" w:lineRule="auto" w:before="3" w:after="0"/>
        <w:ind w:left="102" w:right="189" w:firstLine="852"/>
        <w:jc w:val="both"/>
        <w:rPr>
          <w:sz w:val="24"/>
        </w:rPr>
      </w:pPr>
      <w:r>
        <w:rPr>
          <w:sz w:val="24"/>
        </w:rPr>
        <w:t>uma deliberada e amplamente discutida construção do futuro da comunidade, na qual participe o maior número possível de</w:t>
      </w:r>
      <w:r>
        <w:rPr>
          <w:spacing w:val="-8"/>
          <w:sz w:val="24"/>
        </w:rPr>
        <w:t> </w:t>
      </w:r>
      <w:r>
        <w:rPr>
          <w:sz w:val="24"/>
        </w:rPr>
        <w:t>pessoas;</w:t>
      </w:r>
    </w:p>
    <w:p>
      <w:pPr>
        <w:pStyle w:val="ListParagraph"/>
        <w:numPr>
          <w:ilvl w:val="0"/>
          <w:numId w:val="9"/>
        </w:numPr>
        <w:tabs>
          <w:tab w:pos="1101" w:val="left" w:leader="none"/>
        </w:tabs>
        <w:spacing w:line="360" w:lineRule="auto" w:before="3" w:after="0"/>
        <w:ind w:left="102" w:right="189" w:firstLine="852"/>
        <w:jc w:val="both"/>
        <w:rPr>
          <w:sz w:val="24"/>
        </w:rPr>
      </w:pPr>
      <w:r>
        <w:rPr>
          <w:sz w:val="24"/>
        </w:rPr>
        <w:t>seu aspecto fundamental está centrado no contínuo propósito coletivo, nunca pod</w:t>
      </w:r>
      <w:r>
        <w:rPr>
          <w:spacing w:val="-1"/>
          <w:sz w:val="24"/>
        </w:rPr>
        <w:t>e</w:t>
      </w:r>
      <w:r>
        <w:rPr>
          <w:sz w:val="24"/>
        </w:rPr>
        <w:t>ndo </w:t>
      </w:r>
      <w:r>
        <w:rPr>
          <w:spacing w:val="-18"/>
          <w:sz w:val="24"/>
        </w:rPr>
        <w:t> </w:t>
      </w:r>
      <w:r>
        <w:rPr>
          <w:sz w:val="24"/>
        </w:rPr>
        <w:t>si</w:t>
      </w:r>
      <w:r>
        <w:rPr>
          <w:spacing w:val="-2"/>
          <w:sz w:val="24"/>
        </w:rPr>
        <w:t>g</w:t>
      </w:r>
      <w:r>
        <w:rPr>
          <w:w w:val="100"/>
          <w:sz w:val="24"/>
        </w:rPr>
        <w:t>nifi</w:t>
      </w:r>
      <w:r>
        <w:rPr>
          <w:spacing w:val="-1"/>
          <w:w w:val="100"/>
          <w:sz w:val="24"/>
        </w:rPr>
        <w:t>c</w:t>
      </w:r>
      <w:r>
        <w:rPr>
          <w:spacing w:val="1"/>
          <w:w w:val="100"/>
          <w:sz w:val="24"/>
        </w:rPr>
        <w:t>a</w:t>
      </w:r>
      <w:r>
        <w:rPr>
          <w:w w:val="99"/>
          <w:sz w:val="24"/>
        </w:rPr>
        <w:t>r </w:t>
      </w:r>
      <w:r>
        <w:rPr>
          <w:spacing w:val="-18"/>
          <w:w w:val="99"/>
          <w:sz w:val="24"/>
        </w:rPr>
        <w:t> </w:t>
      </w:r>
      <w:r>
        <w:rPr>
          <w:spacing w:val="-1"/>
          <w:w w:val="44"/>
          <w:sz w:val="24"/>
        </w:rPr>
        <w:t>―</w:t>
      </w:r>
      <w:r>
        <w:rPr>
          <w:w w:val="100"/>
          <w:sz w:val="24"/>
        </w:rPr>
        <w:t>simplesm</w:t>
      </w:r>
      <w:r>
        <w:rPr>
          <w:spacing w:val="-1"/>
          <w:w w:val="100"/>
          <w:sz w:val="24"/>
        </w:rPr>
        <w:t>e</w:t>
      </w:r>
      <w:r>
        <w:rPr>
          <w:w w:val="100"/>
          <w:sz w:val="24"/>
        </w:rPr>
        <w:t>nte</w:t>
      </w:r>
      <w:r>
        <w:rPr>
          <w:sz w:val="24"/>
        </w:rPr>
        <w:t> </w:t>
      </w:r>
      <w:r>
        <w:rPr>
          <w:spacing w:val="-18"/>
          <w:sz w:val="24"/>
        </w:rPr>
        <w:t> </w:t>
      </w:r>
      <w:r>
        <w:rPr>
          <w:w w:val="100"/>
          <w:sz w:val="24"/>
        </w:rPr>
        <w:t>uma</w:t>
      </w:r>
      <w:r>
        <w:rPr>
          <w:sz w:val="24"/>
        </w:rPr>
        <w:t> </w:t>
      </w:r>
      <w:r>
        <w:rPr>
          <w:spacing w:val="-18"/>
          <w:sz w:val="24"/>
        </w:rPr>
        <w:t> </w:t>
      </w:r>
      <w:r>
        <w:rPr>
          <w:spacing w:val="-1"/>
          <w:w w:val="100"/>
          <w:sz w:val="24"/>
        </w:rPr>
        <w:t>açã</w:t>
      </w:r>
      <w:r>
        <w:rPr>
          <w:sz w:val="24"/>
        </w:rPr>
        <w:t>o </w:t>
      </w:r>
      <w:r>
        <w:rPr>
          <w:spacing w:val="-18"/>
          <w:sz w:val="24"/>
        </w:rPr>
        <w:t> </w:t>
      </w:r>
      <w:r>
        <w:rPr>
          <w:w w:val="100"/>
          <w:sz w:val="24"/>
        </w:rPr>
        <w:t>mom</w:t>
      </w:r>
      <w:r>
        <w:rPr>
          <w:spacing w:val="-1"/>
          <w:w w:val="100"/>
          <w:sz w:val="24"/>
        </w:rPr>
        <w:t>e</w:t>
      </w:r>
      <w:r>
        <w:rPr>
          <w:w w:val="100"/>
          <w:sz w:val="24"/>
        </w:rPr>
        <w:t>ntân</w:t>
      </w:r>
      <w:r>
        <w:rPr>
          <w:spacing w:val="-2"/>
          <w:w w:val="100"/>
          <w:sz w:val="24"/>
        </w:rPr>
        <w:t>e</w:t>
      </w:r>
      <w:r>
        <w:rPr>
          <w:spacing w:val="-1"/>
          <w:w w:val="100"/>
          <w:sz w:val="24"/>
        </w:rPr>
        <w:t>a</w:t>
      </w:r>
      <w:r>
        <w:rPr>
          <w:sz w:val="24"/>
        </w:rPr>
        <w:t>, </w:t>
      </w:r>
      <w:r>
        <w:rPr>
          <w:spacing w:val="-18"/>
          <w:sz w:val="24"/>
        </w:rPr>
        <w:t> </w:t>
      </w:r>
      <w:r>
        <w:rPr>
          <w:sz w:val="24"/>
        </w:rPr>
        <w:t>fr</w:t>
      </w:r>
      <w:r>
        <w:rPr>
          <w:spacing w:val="1"/>
          <w:w w:val="100"/>
          <w:sz w:val="24"/>
        </w:rPr>
        <w:t>a</w:t>
      </w:r>
      <w:r>
        <w:rPr>
          <w:spacing w:val="-3"/>
          <w:sz w:val="24"/>
        </w:rPr>
        <w:t>g</w:t>
      </w:r>
      <w:r>
        <w:rPr>
          <w:w w:val="100"/>
          <w:sz w:val="24"/>
        </w:rPr>
        <w:t>ment</w:t>
      </w:r>
      <w:r>
        <w:rPr>
          <w:spacing w:val="-1"/>
          <w:w w:val="100"/>
          <w:sz w:val="24"/>
        </w:rPr>
        <w:t>a</w:t>
      </w:r>
      <w:r>
        <w:rPr>
          <w:w w:val="100"/>
          <w:sz w:val="24"/>
        </w:rPr>
        <w:t>d</w:t>
      </w:r>
      <w:r>
        <w:rPr>
          <w:spacing w:val="-1"/>
          <w:w w:val="100"/>
          <w:sz w:val="24"/>
        </w:rPr>
        <w:t>a</w:t>
      </w:r>
      <w:r>
        <w:rPr>
          <w:sz w:val="24"/>
        </w:rPr>
        <w:t>, </w:t>
      </w:r>
      <w:r>
        <w:rPr>
          <w:spacing w:val="-15"/>
          <w:sz w:val="24"/>
        </w:rPr>
        <w:t> </w:t>
      </w:r>
      <w:r>
        <w:rPr>
          <w:spacing w:val="-1"/>
          <w:w w:val="100"/>
          <w:sz w:val="24"/>
        </w:rPr>
        <w:t>e</w:t>
      </w:r>
      <w:r>
        <w:rPr>
          <w:w w:val="99"/>
          <w:sz w:val="24"/>
        </w:rPr>
        <w:t>spa</w:t>
      </w:r>
      <w:r>
        <w:rPr>
          <w:spacing w:val="-2"/>
          <w:w w:val="99"/>
          <w:sz w:val="24"/>
        </w:rPr>
        <w:t>r</w:t>
      </w:r>
      <w:r>
        <w:rPr>
          <w:w w:val="99"/>
          <w:sz w:val="24"/>
        </w:rPr>
        <w:t>s</w:t>
      </w:r>
      <w:r>
        <w:rPr>
          <w:spacing w:val="-1"/>
          <w:w w:val="99"/>
          <w:sz w:val="24"/>
        </w:rPr>
        <w:t>a</w:t>
      </w:r>
      <w:r>
        <w:rPr>
          <w:w w:val="99"/>
          <w:sz w:val="24"/>
        </w:rPr>
        <w:t>, </w:t>
      </w:r>
      <w:r>
        <w:rPr>
          <w:spacing w:val="-18"/>
          <w:w w:val="99"/>
          <w:sz w:val="24"/>
        </w:rPr>
        <w:t> </w:t>
      </w:r>
      <w:r>
        <w:rPr>
          <w:spacing w:val="-1"/>
          <w:w w:val="100"/>
          <w:sz w:val="24"/>
        </w:rPr>
        <w:t>e</w:t>
      </w:r>
      <w:r>
        <w:rPr>
          <w:w w:val="100"/>
          <w:sz w:val="24"/>
        </w:rPr>
        <w:t>m </w:t>
      </w:r>
      <w:r>
        <w:rPr>
          <w:sz w:val="24"/>
        </w:rPr>
        <w:t>que</w:t>
      </w:r>
      <w:r>
        <w:rPr>
          <w:spacing w:val="24"/>
          <w:sz w:val="24"/>
        </w:rPr>
        <w:t> </w:t>
      </w:r>
      <w:r>
        <w:rPr>
          <w:sz w:val="24"/>
        </w:rPr>
        <w:t>planejadores</w:t>
      </w:r>
      <w:r>
        <w:rPr>
          <w:spacing w:val="27"/>
          <w:sz w:val="24"/>
        </w:rPr>
        <w:t> </w:t>
      </w:r>
      <w:r>
        <w:rPr>
          <w:sz w:val="24"/>
        </w:rPr>
        <w:t>do</w:t>
      </w:r>
      <w:r>
        <w:rPr>
          <w:spacing w:val="27"/>
          <w:sz w:val="24"/>
        </w:rPr>
        <w:t> </w:t>
      </w:r>
      <w:r>
        <w:rPr>
          <w:sz w:val="24"/>
        </w:rPr>
        <w:t>governo</w:t>
      </w:r>
      <w:r>
        <w:rPr>
          <w:spacing w:val="26"/>
          <w:sz w:val="24"/>
        </w:rPr>
        <w:t> </w:t>
      </w:r>
      <w:r>
        <w:rPr>
          <w:sz w:val="24"/>
        </w:rPr>
        <w:t>consultam</w:t>
      </w:r>
      <w:r>
        <w:rPr>
          <w:spacing w:val="25"/>
          <w:sz w:val="24"/>
        </w:rPr>
        <w:t> </w:t>
      </w:r>
      <w:r>
        <w:rPr>
          <w:sz w:val="24"/>
        </w:rPr>
        <w:t>o</w:t>
      </w:r>
      <w:r>
        <w:rPr>
          <w:spacing w:val="25"/>
          <w:sz w:val="24"/>
        </w:rPr>
        <w:t> </w:t>
      </w:r>
      <w:r>
        <w:rPr>
          <w:sz w:val="24"/>
        </w:rPr>
        <w:t>povo</w:t>
      </w:r>
      <w:r>
        <w:rPr>
          <w:spacing w:val="29"/>
          <w:sz w:val="24"/>
        </w:rPr>
        <w:t> </w:t>
      </w:r>
      <w:r>
        <w:rPr>
          <w:sz w:val="24"/>
        </w:rPr>
        <w:t>ou</w:t>
      </w:r>
      <w:r>
        <w:rPr>
          <w:spacing w:val="25"/>
          <w:sz w:val="24"/>
        </w:rPr>
        <w:t> </w:t>
      </w:r>
      <w:r>
        <w:rPr>
          <w:sz w:val="24"/>
        </w:rPr>
        <w:t>alguns</w:t>
      </w:r>
      <w:r>
        <w:rPr>
          <w:spacing w:val="25"/>
          <w:sz w:val="24"/>
        </w:rPr>
        <w:t> </w:t>
      </w:r>
      <w:r>
        <w:rPr>
          <w:sz w:val="24"/>
        </w:rPr>
        <w:t>dos</w:t>
      </w:r>
      <w:r>
        <w:rPr>
          <w:spacing w:val="25"/>
          <w:sz w:val="24"/>
        </w:rPr>
        <w:t> </w:t>
      </w:r>
      <w:r>
        <w:rPr>
          <w:sz w:val="24"/>
        </w:rPr>
        <w:t>seus</w:t>
      </w:r>
      <w:r>
        <w:rPr>
          <w:spacing w:val="25"/>
          <w:sz w:val="24"/>
        </w:rPr>
        <w:t> </w:t>
      </w:r>
      <w:r>
        <w:rPr>
          <w:sz w:val="24"/>
        </w:rPr>
        <w:t>representantes</w:t>
      </w:r>
      <w:r>
        <w:rPr>
          <w:spacing w:val="25"/>
          <w:sz w:val="24"/>
        </w:rPr>
        <w:t> </w:t>
      </w:r>
      <w:r>
        <w:rPr>
          <w:sz w:val="24"/>
        </w:rPr>
        <w:t>de</w:t>
      </w:r>
    </w:p>
    <w:p>
      <w:pPr>
        <w:spacing w:after="0" w:line="360" w:lineRule="auto"/>
        <w:jc w:val="both"/>
        <w:rPr>
          <w:sz w:val="24"/>
        </w:rPr>
        <w:sectPr>
          <w:pgSz w:w="11910" w:h="16840"/>
          <w:pgMar w:header="749" w:footer="0" w:top="960" w:bottom="280" w:left="1600" w:right="1580"/>
        </w:sectPr>
      </w:pPr>
    </w:p>
    <w:p>
      <w:pPr>
        <w:pStyle w:val="BodyText"/>
        <w:rPr>
          <w:sz w:val="20"/>
        </w:rPr>
      </w:pPr>
    </w:p>
    <w:p>
      <w:pPr>
        <w:pStyle w:val="BodyText"/>
        <w:spacing w:line="362" w:lineRule="auto" w:before="210"/>
        <w:ind w:left="102"/>
      </w:pPr>
      <w:r>
        <w:rPr/>
        <w:t>classes ou entidades para legitimar determinadas escolhas, projetos ou medidas, já decididos fora do âmbito da comunidade‖. (VIANNA, 2000, p. 40);</w:t>
      </w:r>
    </w:p>
    <w:p>
      <w:pPr>
        <w:pStyle w:val="ListParagraph"/>
        <w:numPr>
          <w:ilvl w:val="0"/>
          <w:numId w:val="9"/>
        </w:numPr>
        <w:tabs>
          <w:tab w:pos="1175" w:val="left" w:leader="none"/>
        </w:tabs>
        <w:spacing w:line="360" w:lineRule="auto" w:before="0" w:after="0"/>
        <w:ind w:left="102" w:right="187" w:firstLine="852"/>
        <w:jc w:val="both"/>
        <w:rPr>
          <w:sz w:val="24"/>
        </w:rPr>
      </w:pPr>
      <w:r>
        <w:rPr>
          <w:spacing w:val="-1"/>
          <w:w w:val="44"/>
          <w:sz w:val="24"/>
        </w:rPr>
        <w:t>―</w:t>
      </w:r>
      <w:r>
        <w:rPr>
          <w:w w:val="99"/>
          <w:sz w:val="24"/>
        </w:rPr>
        <w:t>S</w:t>
      </w:r>
      <w:r>
        <w:rPr>
          <w:w w:val="100"/>
          <w:sz w:val="24"/>
        </w:rPr>
        <w:t>u</w:t>
      </w:r>
      <w:r>
        <w:rPr>
          <w:spacing w:val="-1"/>
          <w:w w:val="100"/>
          <w:sz w:val="24"/>
        </w:rPr>
        <w:t>a</w:t>
      </w:r>
      <w:r>
        <w:rPr>
          <w:w w:val="99"/>
          <w:sz w:val="24"/>
        </w:rPr>
        <w:t>s</w:t>
      </w:r>
      <w:r>
        <w:rPr>
          <w:sz w:val="24"/>
        </w:rPr>
        <w:t> </w:t>
      </w:r>
      <w:r>
        <w:rPr>
          <w:spacing w:val="21"/>
          <w:sz w:val="24"/>
        </w:rPr>
        <w:t> </w:t>
      </w:r>
      <w:r>
        <w:rPr>
          <w:spacing w:val="-1"/>
          <w:w w:val="100"/>
          <w:sz w:val="24"/>
        </w:rPr>
        <w:t>e</w:t>
      </w:r>
      <w:r>
        <w:rPr>
          <w:w w:val="100"/>
          <w:sz w:val="24"/>
        </w:rPr>
        <w:t>str</w:t>
      </w:r>
      <w:r>
        <w:rPr>
          <w:spacing w:val="-1"/>
          <w:w w:val="100"/>
          <w:sz w:val="24"/>
        </w:rPr>
        <w:t>a</w:t>
      </w:r>
      <w:r>
        <w:rPr>
          <w:w w:val="100"/>
          <w:sz w:val="24"/>
        </w:rPr>
        <w:t>t</w:t>
      </w:r>
      <w:r>
        <w:rPr>
          <w:spacing w:val="1"/>
          <w:w w:val="100"/>
          <w:sz w:val="24"/>
        </w:rPr>
        <w:t>é</w:t>
      </w:r>
      <w:r>
        <w:rPr>
          <w:spacing w:val="-3"/>
          <w:sz w:val="24"/>
        </w:rPr>
        <w:t>g</w:t>
      </w:r>
      <w:r>
        <w:rPr>
          <w:w w:val="100"/>
          <w:sz w:val="24"/>
        </w:rPr>
        <w:t>ias</w:t>
      </w:r>
      <w:r>
        <w:rPr>
          <w:sz w:val="24"/>
        </w:rPr>
        <w:t> </w:t>
      </w:r>
      <w:r>
        <w:rPr>
          <w:spacing w:val="21"/>
          <w:sz w:val="24"/>
        </w:rPr>
        <w:t> </w:t>
      </w:r>
      <w:r>
        <w:rPr>
          <w:sz w:val="24"/>
        </w:rPr>
        <w:t>s</w:t>
      </w:r>
      <w:r>
        <w:rPr>
          <w:spacing w:val="-1"/>
          <w:sz w:val="24"/>
        </w:rPr>
        <w:t>ã</w:t>
      </w:r>
      <w:r>
        <w:rPr>
          <w:sz w:val="24"/>
        </w:rPr>
        <w:t>o </w:t>
      </w:r>
      <w:r>
        <w:rPr>
          <w:spacing w:val="23"/>
          <w:sz w:val="24"/>
        </w:rPr>
        <w:t> </w:t>
      </w:r>
      <w:r>
        <w:rPr>
          <w:sz w:val="24"/>
        </w:rPr>
        <w:t>o </w:t>
      </w:r>
      <w:r>
        <w:rPr>
          <w:spacing w:val="21"/>
          <w:sz w:val="24"/>
        </w:rPr>
        <w:t> </w:t>
      </w:r>
      <w:r>
        <w:rPr>
          <w:w w:val="100"/>
          <w:sz w:val="24"/>
        </w:rPr>
        <w:t>diálo</w:t>
      </w:r>
      <w:r>
        <w:rPr>
          <w:spacing w:val="-3"/>
          <w:w w:val="100"/>
          <w:sz w:val="24"/>
        </w:rPr>
        <w:t>g</w:t>
      </w:r>
      <w:r>
        <w:rPr>
          <w:sz w:val="24"/>
        </w:rPr>
        <w:t>o </w:t>
      </w:r>
      <w:r>
        <w:rPr>
          <w:spacing w:val="21"/>
          <w:sz w:val="24"/>
        </w:rPr>
        <w:t> </w:t>
      </w:r>
      <w:r>
        <w:rPr>
          <w:w w:val="100"/>
          <w:sz w:val="24"/>
        </w:rPr>
        <w:t>e</w:t>
      </w:r>
      <w:r>
        <w:rPr>
          <w:sz w:val="24"/>
        </w:rPr>
        <w:t> </w:t>
      </w:r>
      <w:r>
        <w:rPr>
          <w:spacing w:val="20"/>
          <w:sz w:val="24"/>
        </w:rPr>
        <w:t> </w:t>
      </w:r>
      <w:r>
        <w:rPr>
          <w:w w:val="100"/>
          <w:sz w:val="24"/>
        </w:rPr>
        <w:t>a</w:t>
      </w:r>
      <w:r>
        <w:rPr>
          <w:sz w:val="24"/>
        </w:rPr>
        <w:t> </w:t>
      </w:r>
      <w:r>
        <w:rPr>
          <w:spacing w:val="20"/>
          <w:sz w:val="24"/>
        </w:rPr>
        <w:t> </w:t>
      </w:r>
      <w:r>
        <w:rPr>
          <w:spacing w:val="-1"/>
          <w:w w:val="100"/>
          <w:sz w:val="24"/>
        </w:rPr>
        <w:t>c</w:t>
      </w:r>
      <w:r>
        <w:rPr>
          <w:sz w:val="24"/>
        </w:rPr>
        <w:t>o</w:t>
      </w:r>
      <w:r>
        <w:rPr>
          <w:spacing w:val="3"/>
          <w:sz w:val="24"/>
        </w:rPr>
        <w:t>n</w:t>
      </w:r>
      <w:r>
        <w:rPr>
          <w:sz w:val="24"/>
        </w:rPr>
        <w:t>tri</w:t>
      </w:r>
      <w:r>
        <w:rPr>
          <w:spacing w:val="2"/>
          <w:sz w:val="24"/>
        </w:rPr>
        <w:t>b</w:t>
      </w:r>
      <w:r>
        <w:rPr>
          <w:sz w:val="24"/>
        </w:rPr>
        <w:t>uiç</w:t>
      </w:r>
      <w:r>
        <w:rPr>
          <w:spacing w:val="-2"/>
          <w:sz w:val="24"/>
        </w:rPr>
        <w:t>ã</w:t>
      </w:r>
      <w:r>
        <w:rPr>
          <w:sz w:val="24"/>
        </w:rPr>
        <w:t>o </w:t>
      </w:r>
      <w:r>
        <w:rPr>
          <w:spacing w:val="21"/>
          <w:sz w:val="24"/>
        </w:rPr>
        <w:t> </w:t>
      </w:r>
      <w:r>
        <w:rPr>
          <w:sz w:val="24"/>
        </w:rPr>
        <w:t>p</w:t>
      </w:r>
      <w:r>
        <w:rPr>
          <w:spacing w:val="-1"/>
          <w:sz w:val="24"/>
        </w:rPr>
        <w:t>e</w:t>
      </w:r>
      <w:r>
        <w:rPr>
          <w:w w:val="99"/>
          <w:sz w:val="24"/>
        </w:rPr>
        <w:t>ssoal</w:t>
      </w:r>
      <w:r>
        <w:rPr>
          <w:sz w:val="24"/>
        </w:rPr>
        <w:t> </w:t>
      </w:r>
      <w:r>
        <w:rPr>
          <w:spacing w:val="21"/>
          <w:sz w:val="24"/>
        </w:rPr>
        <w:t> </w:t>
      </w:r>
      <w:r>
        <w:rPr>
          <w:sz w:val="24"/>
        </w:rPr>
        <w:t>de </w:t>
      </w:r>
      <w:r>
        <w:rPr>
          <w:spacing w:val="20"/>
          <w:sz w:val="24"/>
        </w:rPr>
        <w:t> </w:t>
      </w:r>
      <w:r>
        <w:rPr>
          <w:sz w:val="24"/>
        </w:rPr>
        <w:t>todos </w:t>
      </w:r>
      <w:r>
        <w:rPr>
          <w:spacing w:val="21"/>
          <w:sz w:val="24"/>
        </w:rPr>
        <w:t> </w:t>
      </w:r>
      <w:r>
        <w:rPr>
          <w:w w:val="99"/>
          <w:sz w:val="24"/>
        </w:rPr>
        <w:t>os </w:t>
      </w:r>
      <w:r>
        <w:rPr>
          <w:sz w:val="24"/>
        </w:rPr>
        <w:t>envolvidos, para que o consenso da maioria encontre a melhor solução.‖ (VIANNA, 2000, p.</w:t>
      </w:r>
      <w:r>
        <w:rPr>
          <w:spacing w:val="-1"/>
          <w:sz w:val="24"/>
        </w:rPr>
        <w:t> </w:t>
      </w:r>
      <w:r>
        <w:rPr>
          <w:sz w:val="24"/>
        </w:rPr>
        <w:t>41).</w:t>
      </w:r>
    </w:p>
    <w:p>
      <w:pPr>
        <w:pStyle w:val="BodyText"/>
        <w:spacing w:line="360" w:lineRule="auto" w:before="6"/>
        <w:ind w:left="102" w:right="228" w:firstLine="851"/>
        <w:jc w:val="both"/>
      </w:pPr>
      <w:r>
        <w:rPr/>
        <w:t>Segundo Gandin (2007), o planejamento participativo deve ser compreendido como ‗um modo de pensar‘, e não apenas uma forma de definir atividades. E, ainda, como processo, envolvendo pensar e agir em todos os momentos, gerando integração global de todos os elementos humanos e materiais envolvidos. Este planejamento  como ‗modo de pensar e de definir atividades‘ possui algumas ações que </w:t>
      </w:r>
      <w:r>
        <w:rPr>
          <w:spacing w:val="3"/>
        </w:rPr>
        <w:t>lhe </w:t>
      </w:r>
      <w:r>
        <w:rPr/>
        <w:t>são inerentes, construídas de forma ‗democrática, participativa e dialógica‘, que se integram, sem burocratização, ou seja, o exagero de esquemas, modelos, técnicas e instrumentos, mas com rigor. Em síntese,</w:t>
      </w:r>
      <w:r>
        <w:rPr>
          <w:spacing w:val="-8"/>
        </w:rPr>
        <w:t> </w:t>
      </w:r>
      <w:r>
        <w:rPr/>
        <w:t>envolve:</w:t>
      </w:r>
    </w:p>
    <w:p>
      <w:pPr>
        <w:pStyle w:val="ListParagraph"/>
        <w:numPr>
          <w:ilvl w:val="0"/>
          <w:numId w:val="9"/>
        </w:numPr>
        <w:tabs>
          <w:tab w:pos="1137" w:val="left" w:leader="none"/>
        </w:tabs>
        <w:spacing w:line="360" w:lineRule="auto" w:before="6" w:after="0"/>
        <w:ind w:left="102" w:right="228" w:firstLine="852"/>
        <w:jc w:val="both"/>
        <w:rPr>
          <w:sz w:val="24"/>
        </w:rPr>
      </w:pPr>
      <w:r>
        <w:rPr>
          <w:sz w:val="24"/>
        </w:rPr>
        <w:t>sensibilização: sentir a realidade, construir um conceito de planejamento, resgatar a importância, as possibilidades e a esperança nesse processo, percebendo que essa realidade pode ser</w:t>
      </w:r>
      <w:r>
        <w:rPr>
          <w:spacing w:val="-10"/>
          <w:sz w:val="24"/>
        </w:rPr>
        <w:t> </w:t>
      </w:r>
      <w:r>
        <w:rPr>
          <w:sz w:val="24"/>
        </w:rPr>
        <w:t>transformada;</w:t>
      </w:r>
    </w:p>
    <w:p>
      <w:pPr>
        <w:pStyle w:val="ListParagraph"/>
        <w:numPr>
          <w:ilvl w:val="0"/>
          <w:numId w:val="9"/>
        </w:numPr>
        <w:tabs>
          <w:tab w:pos="1096" w:val="left" w:leader="none"/>
        </w:tabs>
        <w:spacing w:line="360" w:lineRule="auto" w:before="3" w:after="0"/>
        <w:ind w:left="102" w:right="231" w:firstLine="852"/>
        <w:jc w:val="both"/>
        <w:rPr>
          <w:sz w:val="24"/>
        </w:rPr>
      </w:pPr>
      <w:r>
        <w:rPr>
          <w:sz w:val="24"/>
        </w:rPr>
        <w:t>diagnóstico: investigação por meio de levantamento de dados e informações, para que se possa ter a compreensão de uma determinada situação e, a partir desta, construir um instrumento, um plano; significa fazer opções alicerçadas no conhecimento da</w:t>
      </w:r>
      <w:r>
        <w:rPr>
          <w:spacing w:val="-6"/>
          <w:sz w:val="24"/>
        </w:rPr>
        <w:t> </w:t>
      </w:r>
      <w:r>
        <w:rPr>
          <w:sz w:val="24"/>
        </w:rPr>
        <w:t>realidade;</w:t>
      </w:r>
    </w:p>
    <w:p>
      <w:pPr>
        <w:pStyle w:val="ListParagraph"/>
        <w:numPr>
          <w:ilvl w:val="0"/>
          <w:numId w:val="9"/>
        </w:numPr>
        <w:tabs>
          <w:tab w:pos="1101" w:val="left" w:leader="none"/>
        </w:tabs>
        <w:spacing w:line="360" w:lineRule="auto" w:before="3" w:after="0"/>
        <w:ind w:left="102" w:right="227" w:firstLine="852"/>
        <w:jc w:val="both"/>
        <w:rPr>
          <w:sz w:val="24"/>
        </w:rPr>
      </w:pPr>
      <w:r>
        <w:rPr>
          <w:sz w:val="24"/>
        </w:rPr>
        <w:t>construção de um instrumento: elaboração de um plano ou de um projeto no qual se faz opções, de forma democrática, embasando-se em uma teoria, ou seja, fomentando a reflexão de rumos e alternativas de ações educacionais oportunas para </w:t>
      </w:r>
      <w:r>
        <w:rPr>
          <w:spacing w:val="-1"/>
          <w:sz w:val="24"/>
        </w:rPr>
        <w:t>ca</w:t>
      </w:r>
      <w:r>
        <w:rPr>
          <w:sz w:val="24"/>
        </w:rPr>
        <w:t>da</w:t>
      </w:r>
      <w:r>
        <w:rPr>
          <w:spacing w:val="1"/>
          <w:sz w:val="24"/>
        </w:rPr>
        <w:t> </w:t>
      </w:r>
      <w:r>
        <w:rPr>
          <w:sz w:val="24"/>
        </w:rPr>
        <w:t>ob</w:t>
      </w:r>
      <w:r>
        <w:rPr>
          <w:spacing w:val="2"/>
          <w:sz w:val="24"/>
        </w:rPr>
        <w:t>j</w:t>
      </w:r>
      <w:r>
        <w:rPr>
          <w:spacing w:val="-1"/>
          <w:sz w:val="24"/>
        </w:rPr>
        <w:t>e</w:t>
      </w:r>
      <w:r>
        <w:rPr>
          <w:sz w:val="24"/>
        </w:rPr>
        <w:t>tivo</w:t>
      </w:r>
      <w:r>
        <w:rPr>
          <w:spacing w:val="2"/>
          <w:sz w:val="24"/>
        </w:rPr>
        <w:t> </w:t>
      </w:r>
      <w:r>
        <w:rPr>
          <w:sz w:val="24"/>
        </w:rPr>
        <w:t>p</w:t>
      </w:r>
      <w:r>
        <w:rPr>
          <w:spacing w:val="-1"/>
          <w:sz w:val="24"/>
        </w:rPr>
        <w:t>re</w:t>
      </w:r>
      <w:r>
        <w:rPr>
          <w:w w:val="99"/>
          <w:sz w:val="24"/>
        </w:rPr>
        <w:t>vis</w:t>
      </w:r>
      <w:r>
        <w:rPr>
          <w:spacing w:val="1"/>
          <w:w w:val="99"/>
          <w:sz w:val="24"/>
        </w:rPr>
        <w:t>t</w:t>
      </w:r>
      <w:r>
        <w:rPr>
          <w:sz w:val="24"/>
        </w:rPr>
        <w:t>o.</w:t>
      </w:r>
      <w:r>
        <w:rPr>
          <w:spacing w:val="2"/>
          <w:sz w:val="24"/>
        </w:rPr>
        <w:t> </w:t>
      </w:r>
      <w:r>
        <w:rPr>
          <w:spacing w:val="1"/>
          <w:w w:val="99"/>
          <w:sz w:val="24"/>
        </w:rPr>
        <w:t>N</w:t>
      </w:r>
      <w:r>
        <w:rPr>
          <w:spacing w:val="-1"/>
          <w:sz w:val="24"/>
        </w:rPr>
        <w:t>e</w:t>
      </w:r>
      <w:r>
        <w:rPr>
          <w:w w:val="99"/>
          <w:sz w:val="24"/>
        </w:rPr>
        <w:t>sse</w:t>
      </w:r>
      <w:r>
        <w:rPr>
          <w:spacing w:val="1"/>
          <w:sz w:val="24"/>
        </w:rPr>
        <w:t> </w:t>
      </w:r>
      <w:r>
        <w:rPr>
          <w:sz w:val="24"/>
        </w:rPr>
        <w:t>p</w:t>
      </w:r>
      <w:r>
        <w:rPr>
          <w:spacing w:val="-1"/>
          <w:sz w:val="24"/>
        </w:rPr>
        <w:t>r</w:t>
      </w:r>
      <w:r>
        <w:rPr>
          <w:spacing w:val="2"/>
          <w:sz w:val="24"/>
        </w:rPr>
        <w:t>o</w:t>
      </w:r>
      <w:r>
        <w:rPr>
          <w:spacing w:val="-1"/>
          <w:sz w:val="24"/>
        </w:rPr>
        <w:t>ce</w:t>
      </w:r>
      <w:r>
        <w:rPr>
          <w:w w:val="99"/>
          <w:sz w:val="24"/>
        </w:rPr>
        <w:t>sso,</w:t>
      </w:r>
      <w:r>
        <w:rPr>
          <w:spacing w:val="2"/>
          <w:sz w:val="24"/>
        </w:rPr>
        <w:t> </w:t>
      </w:r>
      <w:r>
        <w:rPr>
          <w:sz w:val="24"/>
        </w:rPr>
        <w:t>bus</w:t>
      </w:r>
      <w:r>
        <w:rPr>
          <w:spacing w:val="1"/>
          <w:sz w:val="24"/>
        </w:rPr>
        <w:t>c</w:t>
      </w:r>
      <w:r>
        <w:rPr>
          <w:spacing w:val="-1"/>
          <w:sz w:val="24"/>
        </w:rPr>
        <w:t>a</w:t>
      </w:r>
      <w:r>
        <w:rPr>
          <w:spacing w:val="3"/>
          <w:sz w:val="24"/>
        </w:rPr>
        <w:t>m</w:t>
      </w:r>
      <w:r>
        <w:rPr>
          <w:spacing w:val="-1"/>
          <w:sz w:val="24"/>
        </w:rPr>
        <w:t>-</w:t>
      </w:r>
      <w:r>
        <w:rPr>
          <w:sz w:val="24"/>
        </w:rPr>
        <w:t>se</w:t>
      </w:r>
      <w:r>
        <w:rPr>
          <w:spacing w:val="3"/>
          <w:sz w:val="24"/>
        </w:rPr>
        <w:t> </w:t>
      </w:r>
      <w:r>
        <w:rPr>
          <w:w w:val="100"/>
          <w:sz w:val="24"/>
        </w:rPr>
        <w:t>r</w:t>
      </w:r>
      <w:r>
        <w:rPr>
          <w:spacing w:val="-2"/>
          <w:w w:val="100"/>
          <w:sz w:val="24"/>
        </w:rPr>
        <w:t>e</w:t>
      </w:r>
      <w:r>
        <w:rPr>
          <w:w w:val="99"/>
          <w:sz w:val="24"/>
        </w:rPr>
        <w:t>spost</w:t>
      </w:r>
      <w:r>
        <w:rPr>
          <w:spacing w:val="-1"/>
          <w:w w:val="100"/>
          <w:sz w:val="24"/>
        </w:rPr>
        <w:t>a</w:t>
      </w:r>
      <w:r>
        <w:rPr>
          <w:w w:val="99"/>
          <w:sz w:val="24"/>
        </w:rPr>
        <w:t>s</w:t>
      </w:r>
      <w:r>
        <w:rPr>
          <w:spacing w:val="2"/>
          <w:sz w:val="24"/>
        </w:rPr>
        <w:t> p</w:t>
      </w:r>
      <w:r>
        <w:rPr>
          <w:spacing w:val="-1"/>
          <w:w w:val="100"/>
          <w:sz w:val="24"/>
        </w:rPr>
        <w:t>a</w:t>
      </w:r>
      <w:r>
        <w:rPr>
          <w:w w:val="100"/>
          <w:sz w:val="24"/>
        </w:rPr>
        <w:t>ra</w:t>
      </w:r>
      <w:r>
        <w:rPr>
          <w:sz w:val="24"/>
        </w:rPr>
        <w:t> q</w:t>
      </w:r>
      <w:r>
        <w:rPr>
          <w:spacing w:val="2"/>
          <w:sz w:val="24"/>
        </w:rPr>
        <w:t>u</w:t>
      </w:r>
      <w:r>
        <w:rPr>
          <w:spacing w:val="-1"/>
          <w:w w:val="100"/>
          <w:sz w:val="24"/>
        </w:rPr>
        <w:t>e</w:t>
      </w:r>
      <w:r>
        <w:rPr>
          <w:sz w:val="24"/>
        </w:rPr>
        <w:t>stões,</w:t>
      </w:r>
      <w:r>
        <w:rPr>
          <w:spacing w:val="4"/>
          <w:sz w:val="24"/>
        </w:rPr>
        <w:t> </w:t>
      </w:r>
      <w:r>
        <w:rPr>
          <w:spacing w:val="-1"/>
          <w:w w:val="100"/>
          <w:sz w:val="24"/>
        </w:rPr>
        <w:t>c</w:t>
      </w:r>
      <w:r>
        <w:rPr>
          <w:w w:val="100"/>
          <w:sz w:val="24"/>
        </w:rPr>
        <w:t>omo</w:t>
      </w:r>
      <w:r>
        <w:rPr>
          <w:spacing w:val="2"/>
          <w:w w:val="100"/>
          <w:sz w:val="24"/>
        </w:rPr>
        <w:t> </w:t>
      </w:r>
      <w:r>
        <w:rPr>
          <w:spacing w:val="-1"/>
          <w:w w:val="44"/>
          <w:sz w:val="24"/>
        </w:rPr>
        <w:t>―</w:t>
      </w:r>
      <w:r>
        <w:rPr>
          <w:w w:val="99"/>
          <w:sz w:val="24"/>
        </w:rPr>
        <w:t>Que </w:t>
      </w:r>
      <w:r>
        <w:rPr>
          <w:sz w:val="24"/>
        </w:rPr>
        <w:t>concepção de pessoa o sistema de educação defende? Que tipo de cidadão espera-se formar para a sociedade? Como a escola pode cumprir sua função social, dadas as suas condições materiais e técnico-administrativas? Quais objetivos e metas a escola deseja alcançar? Quais as possibilidades reais para a ação proposta?‖ Todo processo de mudança necessita de reflexão crítica e continuada, ancorada por referenciais teóricos, para não se transformar em prática irrealista, sem vínculo com as finalidades da ação.  É a finalidade entendida como um valor a ser perseguido coletivamente, que deve  guiar a vontade reflexiva e deliberativa de qualquer mudança institucional, porque outorga a capacidade de criação pela superação do que estava dado, seja no campo epistemológico, organizacional ou</w:t>
      </w:r>
      <w:r>
        <w:rPr>
          <w:spacing w:val="-8"/>
          <w:sz w:val="24"/>
        </w:rPr>
        <w:t> </w:t>
      </w:r>
      <w:r>
        <w:rPr>
          <w:sz w:val="24"/>
        </w:rPr>
        <w:t>moral;</w:t>
      </w:r>
    </w:p>
    <w:p>
      <w:pPr>
        <w:spacing w:after="0" w:line="360" w:lineRule="auto"/>
        <w:jc w:val="both"/>
        <w:rPr>
          <w:sz w:val="24"/>
        </w:rPr>
        <w:sectPr>
          <w:pgSz w:w="11910" w:h="16840"/>
          <w:pgMar w:header="749" w:footer="0" w:top="960" w:bottom="280" w:left="1600" w:right="1580"/>
        </w:sectPr>
      </w:pPr>
    </w:p>
    <w:p>
      <w:pPr>
        <w:pStyle w:val="BodyText"/>
        <w:rPr>
          <w:sz w:val="20"/>
        </w:rPr>
      </w:pPr>
    </w:p>
    <w:p>
      <w:pPr>
        <w:pStyle w:val="ListParagraph"/>
        <w:numPr>
          <w:ilvl w:val="0"/>
          <w:numId w:val="9"/>
        </w:numPr>
        <w:tabs>
          <w:tab w:pos="1106" w:val="left" w:leader="none"/>
        </w:tabs>
        <w:spacing w:line="362" w:lineRule="auto" w:before="210" w:after="0"/>
        <w:ind w:left="102" w:right="228" w:firstLine="852"/>
        <w:jc w:val="both"/>
        <w:rPr>
          <w:sz w:val="24"/>
        </w:rPr>
      </w:pPr>
      <w:r>
        <w:rPr>
          <w:sz w:val="24"/>
        </w:rPr>
        <w:t>implementação: o desenvolvimento do planejado, sendo uma ação de forma claramente</w:t>
      </w:r>
      <w:r>
        <w:rPr>
          <w:spacing w:val="-6"/>
          <w:sz w:val="24"/>
        </w:rPr>
        <w:t> </w:t>
      </w:r>
      <w:r>
        <w:rPr>
          <w:sz w:val="24"/>
        </w:rPr>
        <w:t>refletida;</w:t>
      </w:r>
    </w:p>
    <w:p>
      <w:pPr>
        <w:pStyle w:val="ListParagraph"/>
        <w:numPr>
          <w:ilvl w:val="0"/>
          <w:numId w:val="9"/>
        </w:numPr>
        <w:tabs>
          <w:tab w:pos="1283" w:val="left" w:leader="none"/>
        </w:tabs>
        <w:spacing w:line="360" w:lineRule="auto" w:before="0" w:after="0"/>
        <w:ind w:left="102" w:right="230" w:firstLine="852"/>
        <w:jc w:val="both"/>
        <w:rPr>
          <w:sz w:val="24"/>
        </w:rPr>
      </w:pPr>
      <w:r>
        <w:rPr>
          <w:sz w:val="24"/>
        </w:rPr>
        <w:t>acompanhamento e avaliação: uma reflexão que deve ocorrer simultaneamente à execução do que foi estabelecido no planejamento, resultando em vantagens, como a identificação de possíveis falhas ou inconveniências das ações, possibilitando intervenções corretivas que assegurem sua continuidade, os resultados futuros e o aprimoramento das técnicas e métodos e implementação de novos recursos quando estes, em um primeiro momento, mostrarem-se insuficientes ou inadequados face à dinâmica educacional e escolar marcada por constantes mudanças;</w:t>
      </w:r>
      <w:r>
        <w:rPr>
          <w:spacing w:val="-11"/>
          <w:sz w:val="24"/>
        </w:rPr>
        <w:t> </w:t>
      </w:r>
      <w:r>
        <w:rPr>
          <w:sz w:val="24"/>
        </w:rPr>
        <w:t>e</w:t>
      </w:r>
    </w:p>
    <w:p>
      <w:pPr>
        <w:pStyle w:val="ListParagraph"/>
        <w:numPr>
          <w:ilvl w:val="0"/>
          <w:numId w:val="9"/>
        </w:numPr>
        <w:tabs>
          <w:tab w:pos="1094" w:val="left" w:leader="none"/>
        </w:tabs>
        <w:spacing w:line="240" w:lineRule="auto" w:before="6" w:after="0"/>
        <w:ind w:left="1093" w:right="0" w:hanging="139"/>
        <w:jc w:val="left"/>
        <w:rPr>
          <w:sz w:val="24"/>
        </w:rPr>
      </w:pPr>
      <w:r>
        <w:rPr>
          <w:sz w:val="24"/>
        </w:rPr>
        <w:t>implementação das mudanças necessárias apontadas pela</w:t>
      </w:r>
      <w:r>
        <w:rPr>
          <w:spacing w:val="-9"/>
          <w:sz w:val="24"/>
        </w:rPr>
        <w:t> </w:t>
      </w:r>
      <w:r>
        <w:rPr>
          <w:sz w:val="24"/>
        </w:rPr>
        <w:t>avaliação.</w:t>
      </w:r>
    </w:p>
    <w:p>
      <w:pPr>
        <w:pStyle w:val="BodyText"/>
        <w:spacing w:line="360" w:lineRule="auto" w:before="137"/>
        <w:ind w:left="102" w:right="116" w:firstLine="851"/>
        <w:jc w:val="both"/>
      </w:pPr>
      <w:r>
        <w:rPr/>
        <w:t>O planejamento em educação na perspectiva da Escola Cidadã (PADILHA, 2001) é, então, um compromisso político; uma abordagem racional e científica dos problemas; uma abordagem global, envolvendo pensar o desenvolvimento educacional como um todo e em seus níveis e modalidades; a definição de princípios, diretrizes e procedimentos; a garantia da racionalização, da organização e da coordenação dos recursos; a garantia de unidade, de coerência e de sua implementação; associado à dialogicidade; o estabelecimento de vínculos; um processo político e técnico; a busca da eficiência, eficácia, efetividade e relevância social; um instrumento de organização do fazer educacional e pedagógico na busca de uma educação democrática e de qualidade; uma atividade coletiva e participativa entre técnicos, profissionais da educação docentes e não-docentes, alunos e sociedade civil na elaboração das ações e situações do cotidiano do sistema educacional; a busca da aceitação e da inclusão de diferentes culturas; o ponderamento quanto a tarefa social de cada sujeito e a função política da educação, aceitando-a como um instrumento eficiente de promoção de mudanças sociais; um processo contínuo tendo em vista a situação presente e possibilidades futuras, para que o desenvolvimento da educação atenda tanto às necessidades da sociedade, quanto às do indivíduo; uma perspectiva de futuro desejável e não imposto pelas circunstâncias; um método educativo, uma vez que se espera o crescimento de  cada pessoa que participa e do grupo como um todo; uma proposta de transformação radical, não imediata, do tipo de organização social atual; em permanente debate, reflexão, problematização, estudo, aplicação, avaliação e reformulação, em função das próprias mudanças sociais e institucionais, visando sua</w:t>
      </w:r>
      <w:r>
        <w:rPr>
          <w:spacing w:val="-8"/>
        </w:rPr>
        <w:t> </w:t>
      </w:r>
      <w:r>
        <w:rPr/>
        <w:t>atualização.</w:t>
      </w:r>
    </w:p>
    <w:p>
      <w:pPr>
        <w:pStyle w:val="BodyText"/>
        <w:spacing w:line="360" w:lineRule="auto" w:before="5"/>
        <w:ind w:left="102" w:right="118" w:firstLine="851"/>
        <w:jc w:val="both"/>
      </w:pPr>
      <w:r>
        <w:rPr/>
        <w:t>Como em todas as concepções, o planejamento participativo encerra críticas, riscos, dificuldades (ZAINKO, 2000, VIANNA, 2000, p. 46-8): o papel da assessoria</w:t>
      </w:r>
    </w:p>
    <w:p>
      <w:pPr>
        <w:spacing w:after="0" w:line="360" w:lineRule="auto"/>
        <w:jc w:val="both"/>
        <w:sectPr>
          <w:headerReference w:type="default" r:id="rId31"/>
          <w:pgSz w:w="11910" w:h="16840"/>
          <w:pgMar w:header="749" w:footer="0" w:top="960" w:bottom="280" w:left="1600" w:right="1580"/>
        </w:sectPr>
      </w:pPr>
    </w:p>
    <w:p>
      <w:pPr>
        <w:pStyle w:val="BodyText"/>
        <w:rPr>
          <w:sz w:val="20"/>
        </w:rPr>
      </w:pPr>
    </w:p>
    <w:p>
      <w:pPr>
        <w:pStyle w:val="BodyText"/>
        <w:spacing w:line="360" w:lineRule="auto" w:before="210"/>
        <w:ind w:left="102" w:right="122"/>
        <w:jc w:val="both"/>
      </w:pPr>
      <w:r>
        <w:rPr/>
        <w:t>especializada, com uma possível manipulação dos interesses da maioria comunitária, ao agir em função de seus próprios valores; a manipulação política da comunidade; a pseudo participação da comunidade; a adesão acrítica a programas oficiais; o desafiante engajamento político e o comprometimento; a pseudo neutralidade; a supervalorização da técnica.</w:t>
      </w:r>
    </w:p>
    <w:p>
      <w:pPr>
        <w:pStyle w:val="BodyText"/>
        <w:rPr>
          <w:sz w:val="26"/>
        </w:rPr>
      </w:pPr>
    </w:p>
    <w:p>
      <w:pPr>
        <w:pStyle w:val="BodyText"/>
        <w:rPr>
          <w:sz w:val="26"/>
        </w:rPr>
      </w:pPr>
    </w:p>
    <w:p>
      <w:pPr>
        <w:pStyle w:val="BodyText"/>
        <w:spacing w:before="10"/>
        <w:rPr>
          <w:sz w:val="20"/>
        </w:rPr>
      </w:pPr>
    </w:p>
    <w:p>
      <w:pPr>
        <w:pStyle w:val="Heading2"/>
        <w:numPr>
          <w:ilvl w:val="2"/>
          <w:numId w:val="8"/>
        </w:numPr>
        <w:tabs>
          <w:tab w:pos="707" w:val="left" w:leader="none"/>
        </w:tabs>
        <w:spacing w:line="360" w:lineRule="auto" w:before="0" w:after="0"/>
        <w:ind w:left="102" w:right="134" w:firstLine="0"/>
        <w:jc w:val="both"/>
      </w:pPr>
      <w:r>
        <w:rPr>
          <w:i/>
        </w:rPr>
        <w:t>Neoliberalismo e reforma do Estado no Brasil: disputa entre as ideias do </w:t>
      </w:r>
      <w:r>
        <w:rPr/>
        <w:t>planejamento normativo/tradicional</w:t>
      </w:r>
      <w:r>
        <w:rPr>
          <w:b w:val="0"/>
          <w:i/>
        </w:rPr>
        <w:t>, </w:t>
      </w:r>
      <w:r>
        <w:rPr>
          <w:i/>
        </w:rPr>
        <w:t>planejamento estratégico e planejamento </w:t>
      </w:r>
      <w:r>
        <w:rPr/>
        <w:t>participativo/social</w:t>
      </w:r>
    </w:p>
    <w:p>
      <w:pPr>
        <w:pStyle w:val="BodyText"/>
        <w:rPr>
          <w:b/>
          <w:i/>
          <w:sz w:val="36"/>
        </w:rPr>
      </w:pPr>
    </w:p>
    <w:p>
      <w:pPr>
        <w:pStyle w:val="BodyText"/>
        <w:spacing w:line="360" w:lineRule="auto"/>
        <w:ind w:left="102" w:right="140" w:firstLine="851"/>
        <w:jc w:val="both"/>
      </w:pPr>
      <w:r>
        <w:rPr/>
        <w:t>Em se tratando das ideias do planejamento participativo no contexto neoliberal (PERRY, 1995) e de defesa da reforma do Estado (SOUZA; MARTINS, 2014), Vieira  e Albuquerque (2002, p. 37)</w:t>
      </w:r>
      <w:r>
        <w:rPr>
          <w:spacing w:val="-5"/>
        </w:rPr>
        <w:t> </w:t>
      </w:r>
      <w:r>
        <w:rPr/>
        <w:t>esclarecem:</w:t>
      </w:r>
    </w:p>
    <w:p>
      <w:pPr>
        <w:pStyle w:val="BodyText"/>
        <w:spacing w:before="3"/>
        <w:rPr>
          <w:sz w:val="36"/>
        </w:rPr>
      </w:pPr>
    </w:p>
    <w:p>
      <w:pPr>
        <w:spacing w:before="0"/>
        <w:ind w:left="2370" w:right="137" w:firstLine="0"/>
        <w:jc w:val="both"/>
        <w:rPr>
          <w:sz w:val="20"/>
        </w:rPr>
      </w:pPr>
      <w:r>
        <w:rPr>
          <w:sz w:val="20"/>
        </w:rPr>
        <w:t>Os governos estabelecidos sob a égide da transição democrática precisaram, assim, responder, em seus planos administrativos, a esta demanda social [o planejamento participativo]. Entretanto, a transição democrática, ao mesmo tempo em que produz esse cenário, vem marcada, contraditoriamente, pelo questionamento do Estado como agente que assegura os direitos sociais, expressos nos serviços públicos; ou seja, exatamente no momento em que os governos são pressionados a desenvolver uma agenda prioritária para a </w:t>
      </w:r>
      <w:r>
        <w:rPr>
          <w:w w:val="99"/>
          <w:sz w:val="20"/>
        </w:rPr>
        <w:t>ed</w:t>
      </w:r>
      <w:r>
        <w:rPr>
          <w:w w:val="99"/>
          <w:sz w:val="20"/>
        </w:rPr>
        <w:t>u</w:t>
      </w:r>
      <w:r>
        <w:rPr>
          <w:w w:val="99"/>
          <w:sz w:val="20"/>
        </w:rPr>
        <w:t>caçã</w:t>
      </w:r>
      <w:r>
        <w:rPr>
          <w:w w:val="99"/>
          <w:sz w:val="20"/>
        </w:rPr>
        <w:t>o,</w:t>
      </w:r>
      <w:r>
        <w:rPr>
          <w:sz w:val="20"/>
        </w:rPr>
        <w:t> </w:t>
      </w:r>
      <w:r>
        <w:rPr>
          <w:w w:val="99"/>
          <w:sz w:val="20"/>
        </w:rPr>
        <w:t>maio</w:t>
      </w:r>
      <w:r>
        <w:rPr>
          <w:w w:val="99"/>
          <w:sz w:val="20"/>
        </w:rPr>
        <w:t>res</w:t>
      </w:r>
      <w:r>
        <w:rPr>
          <w:sz w:val="20"/>
        </w:rPr>
        <w:t> </w:t>
      </w:r>
      <w:r>
        <w:rPr>
          <w:w w:val="99"/>
          <w:sz w:val="20"/>
        </w:rPr>
        <w:t>s</w:t>
      </w:r>
      <w:r>
        <w:rPr>
          <w:w w:val="99"/>
          <w:sz w:val="20"/>
        </w:rPr>
        <w:t>ão</w:t>
      </w:r>
      <w:r>
        <w:rPr>
          <w:sz w:val="20"/>
        </w:rPr>
        <w:t> </w:t>
      </w:r>
      <w:r>
        <w:rPr>
          <w:w w:val="99"/>
          <w:sz w:val="20"/>
        </w:rPr>
        <w:t>as</w:t>
      </w:r>
      <w:r>
        <w:rPr>
          <w:sz w:val="20"/>
        </w:rPr>
        <w:t> </w:t>
      </w:r>
      <w:r>
        <w:rPr>
          <w:w w:val="99"/>
          <w:sz w:val="20"/>
        </w:rPr>
        <w:t>pres</w:t>
      </w:r>
      <w:r>
        <w:rPr>
          <w:w w:val="99"/>
          <w:sz w:val="20"/>
        </w:rPr>
        <w:t>s</w:t>
      </w:r>
      <w:r>
        <w:rPr>
          <w:w w:val="99"/>
          <w:sz w:val="20"/>
        </w:rPr>
        <w:t>ões</w:t>
      </w:r>
      <w:r>
        <w:rPr>
          <w:sz w:val="20"/>
        </w:rPr>
        <w:t> </w:t>
      </w:r>
      <w:r>
        <w:rPr>
          <w:w w:val="99"/>
          <w:sz w:val="20"/>
        </w:rPr>
        <w:t>no</w:t>
      </w:r>
      <w:r>
        <w:rPr>
          <w:sz w:val="20"/>
        </w:rPr>
        <w:t> </w:t>
      </w:r>
      <w:r>
        <w:rPr>
          <w:w w:val="99"/>
          <w:sz w:val="20"/>
        </w:rPr>
        <w:t>s</w:t>
      </w:r>
      <w:r>
        <w:rPr>
          <w:w w:val="99"/>
          <w:sz w:val="20"/>
        </w:rPr>
        <w:t>e</w:t>
      </w:r>
      <w:r>
        <w:rPr>
          <w:w w:val="99"/>
          <w:sz w:val="20"/>
        </w:rPr>
        <w:t>n</w:t>
      </w:r>
      <w:r>
        <w:rPr>
          <w:w w:val="99"/>
          <w:sz w:val="20"/>
        </w:rPr>
        <w:t>tid</w:t>
      </w:r>
      <w:r>
        <w:rPr>
          <w:w w:val="99"/>
          <w:sz w:val="20"/>
        </w:rPr>
        <w:t>o</w:t>
      </w:r>
      <w:r>
        <w:rPr>
          <w:sz w:val="20"/>
        </w:rPr>
        <w:t> </w:t>
      </w:r>
      <w:r>
        <w:rPr>
          <w:w w:val="99"/>
          <w:sz w:val="20"/>
        </w:rPr>
        <w:t>do</w:t>
      </w:r>
      <w:r>
        <w:rPr>
          <w:sz w:val="20"/>
        </w:rPr>
        <w:t> </w:t>
      </w:r>
      <w:r>
        <w:rPr>
          <w:w w:val="44"/>
          <w:sz w:val="20"/>
        </w:rPr>
        <w:t>―</w:t>
      </w:r>
      <w:r>
        <w:rPr>
          <w:w w:val="99"/>
          <w:sz w:val="20"/>
        </w:rPr>
        <w:t>e</w:t>
      </w:r>
      <w:r>
        <w:rPr>
          <w:w w:val="99"/>
          <w:sz w:val="20"/>
        </w:rPr>
        <w:t>nxug</w:t>
      </w:r>
      <w:r>
        <w:rPr>
          <w:w w:val="99"/>
          <w:sz w:val="20"/>
        </w:rPr>
        <w:t>a</w:t>
      </w:r>
      <w:r>
        <w:rPr>
          <w:w w:val="99"/>
          <w:sz w:val="20"/>
        </w:rPr>
        <w:t>mento</w:t>
      </w:r>
      <w:r>
        <w:rPr>
          <w:w w:val="157"/>
          <w:sz w:val="20"/>
        </w:rPr>
        <w:t>‖</w:t>
      </w:r>
      <w:r>
        <w:rPr>
          <w:sz w:val="20"/>
        </w:rPr>
        <w:t> </w:t>
      </w:r>
      <w:r>
        <w:rPr>
          <w:w w:val="99"/>
          <w:sz w:val="20"/>
        </w:rPr>
        <w:t>do</w:t>
      </w:r>
      <w:r>
        <w:rPr>
          <w:sz w:val="20"/>
        </w:rPr>
        <w:t> </w:t>
      </w:r>
      <w:r>
        <w:rPr>
          <w:w w:val="99"/>
          <w:sz w:val="20"/>
        </w:rPr>
        <w:t>E</w:t>
      </w:r>
      <w:r>
        <w:rPr>
          <w:w w:val="99"/>
          <w:sz w:val="20"/>
        </w:rPr>
        <w:t>s</w:t>
      </w:r>
      <w:r>
        <w:rPr>
          <w:w w:val="99"/>
          <w:sz w:val="20"/>
        </w:rPr>
        <w:t>tad</w:t>
      </w:r>
      <w:r>
        <w:rPr>
          <w:w w:val="99"/>
          <w:sz w:val="20"/>
        </w:rPr>
        <w:t>o</w:t>
      </w:r>
      <w:r>
        <w:rPr>
          <w:sz w:val="20"/>
        </w:rPr>
        <w:t> </w:t>
      </w:r>
      <w:r>
        <w:rPr>
          <w:w w:val="99"/>
          <w:sz w:val="20"/>
        </w:rPr>
        <w:t>e </w:t>
      </w:r>
      <w:r>
        <w:rPr>
          <w:sz w:val="20"/>
        </w:rPr>
        <w:t>da redução dos serviços.</w:t>
      </w:r>
    </w:p>
    <w:p>
      <w:pPr>
        <w:pStyle w:val="BodyText"/>
        <w:rPr>
          <w:sz w:val="22"/>
        </w:rPr>
      </w:pPr>
    </w:p>
    <w:p>
      <w:pPr>
        <w:pStyle w:val="BodyText"/>
        <w:spacing w:line="360" w:lineRule="auto" w:before="163"/>
        <w:ind w:left="102" w:right="230" w:firstLine="851"/>
        <w:jc w:val="both"/>
      </w:pPr>
      <w:r>
        <w:rPr/>
        <w:t>Estrategicamente, no Brasil, os grupos econômicos aproveitam da situação e, segundo Cunha (1995, p. 321), defendem, com base no neoliberalismo, um Estado com menos intervenção social:</w:t>
      </w:r>
    </w:p>
    <w:p>
      <w:pPr>
        <w:pStyle w:val="BodyText"/>
        <w:spacing w:before="3"/>
        <w:rPr>
          <w:sz w:val="30"/>
        </w:rPr>
      </w:pPr>
    </w:p>
    <w:p>
      <w:pPr>
        <w:spacing w:before="0"/>
        <w:ind w:left="2370" w:right="230" w:firstLine="0"/>
        <w:jc w:val="both"/>
        <w:rPr>
          <w:sz w:val="20"/>
        </w:rPr>
      </w:pPr>
      <w:r>
        <w:rPr>
          <w:sz w:val="20"/>
        </w:rPr>
        <w:t>passaram a acusar o Estado pela crise dos anos 80, desde a retomada do processo inflacionário até a manutenção de uma grande, onerosa e desnecessária burocracia, passando pela crescente dívida interna – atribuída à necessidade de empréstimos a juros cada vez mais altos, alimentando uma especulação financeira sem precedentes. Omitiam, é claro, que o déficit público resultava do favorecimento ao setor privado mediante a inoperância da máquina fiscal, das isenções tributárias, das transferências diretas e indiretas (como as bolsas de estudos para as escolas privadas), dos empréstimos a juros negativos e dos subsídios a fundo perdido.</w:t>
      </w:r>
    </w:p>
    <w:p>
      <w:pPr>
        <w:pStyle w:val="BodyText"/>
        <w:rPr>
          <w:sz w:val="22"/>
        </w:rPr>
      </w:pPr>
    </w:p>
    <w:p>
      <w:pPr>
        <w:pStyle w:val="BodyText"/>
        <w:spacing w:line="360" w:lineRule="auto" w:before="163"/>
        <w:ind w:left="102" w:right="137" w:firstLine="851"/>
        <w:jc w:val="both"/>
      </w:pPr>
      <w:r>
        <w:rPr/>
        <w:t>Tal situação, juntamente com outras características marcantes desse contexto, influencia diretamente o planejamento da educação para os anos seguintes. A Conferência  Mundial  sobre  Educação  para  Todos,  em  1990,  produz  o   documento</w:t>
      </w:r>
    </w:p>
    <w:p>
      <w:pPr>
        <w:spacing w:after="0" w:line="360" w:lineRule="auto"/>
        <w:jc w:val="both"/>
        <w:sectPr>
          <w:headerReference w:type="default" r:id="rId32"/>
          <w:pgSz w:w="11910" w:h="16840"/>
          <w:pgMar w:header="749" w:footer="0" w:top="960" w:bottom="280" w:left="1600" w:right="1580"/>
          <w:pgNumType w:start="41"/>
        </w:sectPr>
      </w:pPr>
    </w:p>
    <w:p>
      <w:pPr>
        <w:pStyle w:val="BodyText"/>
        <w:rPr>
          <w:sz w:val="20"/>
        </w:rPr>
      </w:pPr>
    </w:p>
    <w:p>
      <w:pPr>
        <w:pStyle w:val="BodyText"/>
        <w:spacing w:line="352" w:lineRule="auto" w:before="210"/>
        <w:ind w:left="122" w:right="134"/>
        <w:jc w:val="both"/>
      </w:pPr>
      <w:r>
        <w:rPr/>
        <w:t>Declaração Mundial sobre Educação para Todos — Marco de Ação para Satisfazer as Necessidades Básicas de Aprendizagem (UNESCO, 1990), o qual indica aos países a nec</w:t>
      </w:r>
      <w:r>
        <w:rPr>
          <w:w w:val="100"/>
        </w:rPr>
        <w:t>e</w:t>
      </w:r>
      <w:r>
        <w:rPr>
          <w:w w:val="99"/>
        </w:rPr>
        <w:t>ssá</w:t>
      </w:r>
      <w:r>
        <w:rPr>
          <w:w w:val="100"/>
        </w:rPr>
        <w:t>ria</w:t>
      </w:r>
      <w:r>
        <w:rPr/>
        <w:t> </w:t>
      </w:r>
      <w:r>
        <w:rPr>
          <w:w w:val="100"/>
        </w:rPr>
        <w:t>e</w:t>
      </w:r>
      <w:r>
        <w:rPr>
          <w:w w:val="100"/>
        </w:rPr>
        <w:t>labor</w:t>
      </w:r>
      <w:r>
        <w:rPr>
          <w:w w:val="100"/>
        </w:rPr>
        <w:t>açã</w:t>
      </w:r>
      <w:r>
        <w:rPr/>
        <w:t>o </w:t>
      </w:r>
      <w:r>
        <w:rPr>
          <w:w w:val="100"/>
        </w:rPr>
        <w:t>de</w:t>
      </w:r>
      <w:r>
        <w:rPr/>
        <w:t> </w:t>
      </w:r>
      <w:r>
        <w:rPr>
          <w:w w:val="44"/>
        </w:rPr>
        <w:t>―</w:t>
      </w:r>
      <w:r>
        <w:rPr>
          <w:w w:val="100"/>
        </w:rPr>
        <w:t>planos d</w:t>
      </w:r>
      <w:r>
        <w:rPr>
          <w:w w:val="100"/>
        </w:rPr>
        <w:t>ece</w:t>
      </w:r>
      <w:r>
        <w:rPr>
          <w:w w:val="100"/>
        </w:rPr>
        <w:t>na</w:t>
      </w:r>
      <w:r>
        <w:rPr>
          <w:w w:val="100"/>
        </w:rPr>
        <w:t>is d</w:t>
      </w:r>
      <w:r>
        <w:rPr>
          <w:w w:val="100"/>
        </w:rPr>
        <w:t>e</w:t>
      </w:r>
      <w:r>
        <w:rPr/>
        <w:t> </w:t>
      </w:r>
      <w:r>
        <w:rPr>
          <w:w w:val="100"/>
        </w:rPr>
        <w:t>e</w:t>
      </w:r>
      <w:r>
        <w:rPr/>
        <w:t>du</w:t>
      </w:r>
      <w:r>
        <w:rPr>
          <w:w w:val="100"/>
        </w:rPr>
        <w:t>caçã</w:t>
      </w:r>
      <w:r>
        <w:rPr>
          <w:w w:val="120"/>
        </w:rPr>
        <w:t>o‖</w:t>
      </w:r>
      <w:r>
        <w:rPr/>
        <w:t>, </w:t>
      </w:r>
      <w:r>
        <w:rPr>
          <w:w w:val="100"/>
        </w:rPr>
        <w:t>t</w:t>
      </w:r>
      <w:r>
        <w:rPr>
          <w:w w:val="100"/>
        </w:rPr>
        <w:t>e</w:t>
      </w:r>
      <w:r>
        <w:rPr/>
        <w:t>ndo </w:t>
      </w:r>
      <w:r>
        <w:rPr>
          <w:w w:val="100"/>
        </w:rPr>
        <w:t>e</w:t>
      </w:r>
      <w:r>
        <w:rPr>
          <w:w w:val="100"/>
        </w:rPr>
        <w:t>m</w:t>
      </w:r>
      <w:r>
        <w:rPr/>
        <w:t> </w:t>
      </w:r>
      <w:r>
        <w:rPr>
          <w:w w:val="100"/>
        </w:rPr>
        <w:t>vist</w:t>
      </w:r>
      <w:r>
        <w:rPr>
          <w:w w:val="100"/>
        </w:rPr>
        <w:t>a</w:t>
      </w:r>
      <w:r>
        <w:rPr/>
        <w:t> </w:t>
      </w:r>
      <w:r>
        <w:rPr>
          <w:w w:val="100"/>
        </w:rPr>
        <w:t>a</w:t>
      </w:r>
      <w:r>
        <w:rPr/>
        <w:t> </w:t>
      </w:r>
      <w:r>
        <w:rPr>
          <w:w w:val="100"/>
        </w:rPr>
        <w:t>ne</w:t>
      </w:r>
      <w:r>
        <w:rPr>
          <w:w w:val="100"/>
        </w:rPr>
        <w:t>ce</w:t>
      </w:r>
      <w:r>
        <w:rPr>
          <w:w w:val="99"/>
        </w:rPr>
        <w:t>ssi</w:t>
      </w:r>
      <w:r>
        <w:rPr>
          <w:w w:val="100"/>
        </w:rPr>
        <w:t>da</w:t>
      </w:r>
      <w:r>
        <w:rPr/>
        <w:t>d</w:t>
      </w:r>
      <w:r>
        <w:rPr>
          <w:w w:val="100"/>
        </w:rPr>
        <w:t>e </w:t>
      </w:r>
      <w:r>
        <w:rPr/>
        <w:t>de uma reforma nos sistemas educativos</w:t>
      </w:r>
      <w:r>
        <w:rPr>
          <w:position w:val="11"/>
          <w:sz w:val="16"/>
        </w:rPr>
        <w:t>9 </w:t>
      </w:r>
      <w:r>
        <w:rPr/>
        <w:t>para atender aos sistemas produtivos, que também estão sendo reestruturados.</w:t>
      </w:r>
    </w:p>
    <w:p>
      <w:pPr>
        <w:pStyle w:val="BodyText"/>
        <w:spacing w:line="360" w:lineRule="auto" w:before="13"/>
        <w:ind w:left="122" w:right="116" w:firstLine="851"/>
        <w:jc w:val="both"/>
      </w:pPr>
      <w:r>
        <w:rPr/>
        <w:t>No Brasil, no Governo Collor de Melo (1990-1992), prevalece a concepção de planejamento tecnocrático, com ações fragmentadas e focalizadas (BORDIGNON, 2011). E, no Governo Itamar Franco (1992-1994),a lógica financeira, com a elaborado do Plano Decenal de Educação para Todos (BRASIL, 1993), que deveria vigorar entre 1993 a 2003, mas não é implementado. Um documento que parece ter sido produzido mais em função do objetivo prático de atender a condições internacionais de obtenção de financiamento para a educação, sobretudo os ligados ao Banco Mundial (SAVIANI, 1998).</w:t>
      </w:r>
    </w:p>
    <w:p>
      <w:pPr>
        <w:pStyle w:val="BodyText"/>
        <w:spacing w:line="360" w:lineRule="auto" w:before="5"/>
        <w:ind w:left="122" w:right="120" w:firstLine="851"/>
        <w:jc w:val="both"/>
      </w:pPr>
      <w:r>
        <w:rPr/>
        <w:t>Acerca deste período, Gentilini (s/d, p. 2) destaca o arrefecimento no âmbito do planejamento nos anos 1990:</w:t>
      </w:r>
    </w:p>
    <w:p>
      <w:pPr>
        <w:pStyle w:val="BodyText"/>
        <w:spacing w:before="3"/>
        <w:rPr>
          <w:sz w:val="36"/>
        </w:rPr>
      </w:pPr>
    </w:p>
    <w:p>
      <w:pPr>
        <w:spacing w:before="0"/>
        <w:ind w:left="2390" w:right="116" w:firstLine="0"/>
        <w:jc w:val="both"/>
        <w:rPr>
          <w:sz w:val="20"/>
        </w:rPr>
      </w:pPr>
      <w:r>
        <w:rPr>
          <w:w w:val="99"/>
          <w:sz w:val="20"/>
        </w:rPr>
        <w:t>e</w:t>
      </w:r>
      <w:r>
        <w:rPr>
          <w:spacing w:val="-1"/>
          <w:w w:val="99"/>
          <w:sz w:val="20"/>
        </w:rPr>
        <w:t>n</w:t>
      </w:r>
      <w:r>
        <w:rPr>
          <w:w w:val="99"/>
          <w:sz w:val="20"/>
        </w:rPr>
        <w:t>tre</w:t>
      </w:r>
      <w:r>
        <w:rPr>
          <w:sz w:val="20"/>
        </w:rPr>
        <w:t> </w:t>
      </w:r>
      <w:r>
        <w:rPr>
          <w:spacing w:val="1"/>
          <w:w w:val="99"/>
          <w:sz w:val="20"/>
        </w:rPr>
        <w:t>o</w:t>
      </w:r>
      <w:r>
        <w:rPr>
          <w:w w:val="99"/>
          <w:sz w:val="20"/>
        </w:rPr>
        <w:t>s</w:t>
      </w:r>
      <w:r>
        <w:rPr>
          <w:spacing w:val="2"/>
          <w:sz w:val="20"/>
        </w:rPr>
        <w:t> </w:t>
      </w:r>
      <w:r>
        <w:rPr>
          <w:spacing w:val="-2"/>
          <w:w w:val="44"/>
          <w:sz w:val="20"/>
        </w:rPr>
        <w:t>―</w:t>
      </w:r>
      <w:r>
        <w:rPr>
          <w:w w:val="99"/>
          <w:sz w:val="20"/>
        </w:rPr>
        <w:t>c</w:t>
      </w:r>
      <w:r>
        <w:rPr>
          <w:spacing w:val="3"/>
          <w:w w:val="99"/>
          <w:sz w:val="20"/>
        </w:rPr>
        <w:t>o</w:t>
      </w:r>
      <w:r>
        <w:rPr>
          <w:spacing w:val="-2"/>
          <w:w w:val="99"/>
          <w:sz w:val="20"/>
        </w:rPr>
        <w:t>n</w:t>
      </w:r>
      <w:r>
        <w:rPr>
          <w:spacing w:val="-1"/>
          <w:w w:val="99"/>
          <w:sz w:val="20"/>
        </w:rPr>
        <w:t>s</w:t>
      </w:r>
      <w:r>
        <w:rPr>
          <w:spacing w:val="2"/>
          <w:w w:val="99"/>
          <w:sz w:val="20"/>
        </w:rPr>
        <w:t>e</w:t>
      </w:r>
      <w:r>
        <w:rPr>
          <w:spacing w:val="-2"/>
          <w:w w:val="99"/>
          <w:sz w:val="20"/>
        </w:rPr>
        <w:t>n</w:t>
      </w:r>
      <w:r>
        <w:rPr>
          <w:spacing w:val="-1"/>
          <w:w w:val="99"/>
          <w:sz w:val="20"/>
        </w:rPr>
        <w:t>s</w:t>
      </w:r>
      <w:r>
        <w:rPr>
          <w:spacing w:val="1"/>
          <w:w w:val="99"/>
          <w:sz w:val="20"/>
        </w:rPr>
        <w:t>o</w:t>
      </w:r>
      <w:r>
        <w:rPr>
          <w:spacing w:val="-1"/>
          <w:w w:val="99"/>
          <w:sz w:val="20"/>
        </w:rPr>
        <w:t>s</w:t>
      </w:r>
      <w:r>
        <w:rPr>
          <w:w w:val="157"/>
          <w:sz w:val="20"/>
        </w:rPr>
        <w:t>‖</w:t>
      </w:r>
      <w:r>
        <w:rPr>
          <w:spacing w:val="2"/>
          <w:sz w:val="20"/>
        </w:rPr>
        <w:t> </w:t>
      </w:r>
      <w:r>
        <w:rPr>
          <w:w w:val="99"/>
          <w:sz w:val="20"/>
        </w:rPr>
        <w:t>estab</w:t>
      </w:r>
      <w:r>
        <w:rPr>
          <w:w w:val="99"/>
          <w:sz w:val="20"/>
        </w:rPr>
        <w:t>ele</w:t>
      </w:r>
      <w:r>
        <w:rPr>
          <w:spacing w:val="3"/>
          <w:w w:val="99"/>
          <w:sz w:val="20"/>
        </w:rPr>
        <w:t>c</w:t>
      </w:r>
      <w:r>
        <w:rPr>
          <w:w w:val="99"/>
          <w:sz w:val="20"/>
        </w:rPr>
        <w:t>id</w:t>
      </w:r>
      <w:r>
        <w:rPr>
          <w:spacing w:val="1"/>
          <w:w w:val="99"/>
          <w:sz w:val="20"/>
        </w:rPr>
        <w:t>o</w:t>
      </w:r>
      <w:r>
        <w:rPr>
          <w:w w:val="99"/>
          <w:sz w:val="20"/>
        </w:rPr>
        <w:t>s</w:t>
      </w:r>
      <w:r>
        <w:rPr>
          <w:spacing w:val="-1"/>
          <w:sz w:val="20"/>
        </w:rPr>
        <w:t> </w:t>
      </w:r>
      <w:r>
        <w:rPr>
          <w:w w:val="99"/>
          <w:sz w:val="20"/>
        </w:rPr>
        <w:t>est</w:t>
      </w:r>
      <w:r>
        <w:rPr>
          <w:spacing w:val="2"/>
          <w:w w:val="99"/>
          <w:sz w:val="20"/>
        </w:rPr>
        <w:t>a</w:t>
      </w:r>
      <w:r>
        <w:rPr>
          <w:spacing w:val="-2"/>
          <w:w w:val="99"/>
          <w:sz w:val="20"/>
        </w:rPr>
        <w:t>v</w:t>
      </w:r>
      <w:r>
        <w:rPr>
          <w:w w:val="99"/>
          <w:sz w:val="20"/>
        </w:rPr>
        <w:t>a</w:t>
      </w:r>
      <w:r>
        <w:rPr>
          <w:sz w:val="20"/>
        </w:rPr>
        <w:t> </w:t>
      </w:r>
      <w:r>
        <w:rPr>
          <w:w w:val="99"/>
          <w:sz w:val="20"/>
        </w:rPr>
        <w:t>o</w:t>
      </w:r>
      <w:r>
        <w:rPr>
          <w:spacing w:val="1"/>
          <w:sz w:val="20"/>
        </w:rPr>
        <w:t> </w:t>
      </w:r>
      <w:r>
        <w:rPr>
          <w:spacing w:val="1"/>
          <w:w w:val="99"/>
          <w:sz w:val="20"/>
        </w:rPr>
        <w:t>d</w:t>
      </w:r>
      <w:r>
        <w:rPr>
          <w:w w:val="99"/>
          <w:sz w:val="20"/>
        </w:rPr>
        <w:t>e</w:t>
      </w:r>
      <w:r>
        <w:rPr>
          <w:sz w:val="20"/>
        </w:rPr>
        <w:t> </w:t>
      </w:r>
      <w:r>
        <w:rPr>
          <w:spacing w:val="1"/>
          <w:w w:val="99"/>
          <w:sz w:val="20"/>
        </w:rPr>
        <w:t>q</w:t>
      </w:r>
      <w:r>
        <w:rPr>
          <w:spacing w:val="-2"/>
          <w:w w:val="99"/>
          <w:sz w:val="20"/>
        </w:rPr>
        <w:t>u</w:t>
      </w:r>
      <w:r>
        <w:rPr>
          <w:w w:val="99"/>
          <w:sz w:val="20"/>
        </w:rPr>
        <w:t>e</w:t>
      </w:r>
      <w:r>
        <w:rPr>
          <w:spacing w:val="2"/>
          <w:sz w:val="20"/>
        </w:rPr>
        <w:t> </w:t>
      </w:r>
      <w:r>
        <w:rPr>
          <w:w w:val="99"/>
          <w:sz w:val="20"/>
        </w:rPr>
        <w:t>o</w:t>
      </w:r>
      <w:r>
        <w:rPr>
          <w:spacing w:val="1"/>
          <w:sz w:val="20"/>
        </w:rPr>
        <w:t> </w:t>
      </w:r>
      <w:r>
        <w:rPr>
          <w:spacing w:val="1"/>
          <w:w w:val="99"/>
          <w:sz w:val="20"/>
        </w:rPr>
        <w:t>p</w:t>
      </w:r>
      <w:r>
        <w:rPr>
          <w:w w:val="99"/>
          <w:sz w:val="20"/>
        </w:rPr>
        <w:t>la</w:t>
      </w:r>
      <w:r>
        <w:rPr>
          <w:spacing w:val="-1"/>
          <w:w w:val="99"/>
          <w:sz w:val="20"/>
        </w:rPr>
        <w:t>n</w:t>
      </w:r>
      <w:r>
        <w:rPr>
          <w:w w:val="99"/>
          <w:sz w:val="20"/>
        </w:rPr>
        <w:t>e</w:t>
      </w:r>
      <w:r>
        <w:rPr>
          <w:spacing w:val="2"/>
          <w:w w:val="99"/>
          <w:sz w:val="20"/>
        </w:rPr>
        <w:t>ja</w:t>
      </w:r>
      <w:r>
        <w:rPr>
          <w:spacing w:val="-2"/>
          <w:w w:val="99"/>
          <w:sz w:val="20"/>
        </w:rPr>
        <w:t>m</w:t>
      </w:r>
      <w:r>
        <w:rPr>
          <w:w w:val="99"/>
          <w:sz w:val="20"/>
        </w:rPr>
        <w:t>e</w:t>
      </w:r>
      <w:r>
        <w:rPr>
          <w:spacing w:val="1"/>
          <w:w w:val="99"/>
          <w:sz w:val="20"/>
        </w:rPr>
        <w:t>n</w:t>
      </w:r>
      <w:r>
        <w:rPr>
          <w:w w:val="99"/>
          <w:sz w:val="20"/>
        </w:rPr>
        <w:t>to</w:t>
      </w:r>
      <w:r>
        <w:rPr>
          <w:spacing w:val="1"/>
          <w:sz w:val="20"/>
        </w:rPr>
        <w:t> </w:t>
      </w:r>
      <w:r>
        <w:rPr>
          <w:spacing w:val="2"/>
          <w:w w:val="99"/>
          <w:sz w:val="20"/>
        </w:rPr>
        <w:t>e</w:t>
      </w:r>
      <w:r>
        <w:rPr>
          <w:w w:val="99"/>
          <w:sz w:val="20"/>
        </w:rPr>
        <w:t>m</w:t>
      </w:r>
      <w:r>
        <w:rPr>
          <w:spacing w:val="1"/>
          <w:sz w:val="20"/>
        </w:rPr>
        <w:t> </w:t>
      </w:r>
      <w:r>
        <w:rPr>
          <w:spacing w:val="-2"/>
          <w:w w:val="99"/>
          <w:sz w:val="20"/>
        </w:rPr>
        <w:t>g</w:t>
      </w:r>
      <w:r>
        <w:rPr>
          <w:w w:val="99"/>
          <w:sz w:val="20"/>
        </w:rPr>
        <w:t>e</w:t>
      </w:r>
      <w:r>
        <w:rPr>
          <w:spacing w:val="1"/>
          <w:w w:val="99"/>
          <w:sz w:val="20"/>
        </w:rPr>
        <w:t>r</w:t>
      </w:r>
      <w:r>
        <w:rPr>
          <w:w w:val="99"/>
          <w:sz w:val="20"/>
        </w:rPr>
        <w:t>al</w:t>
      </w:r>
      <w:r>
        <w:rPr>
          <w:sz w:val="20"/>
        </w:rPr>
        <w:t> </w:t>
      </w:r>
      <w:r>
        <w:rPr>
          <w:w w:val="99"/>
          <w:sz w:val="20"/>
        </w:rPr>
        <w:t>e </w:t>
      </w:r>
      <w:r>
        <w:rPr>
          <w:sz w:val="20"/>
        </w:rPr>
        <w:t>o educacional em sentido amplo, debitário das amplas e compreensivas  visões dos problemas da educação e das formas de se encaminhar sua  solução, se não estavam desacreditados, pelo menos estavam questionados  em sua eficiência e eficácia. Como se sabe, o próprio Ministério da Educação não se arriscou a grandes vôos neste assunto, preferindo lançar um genérico Plano Decenal da Educação (1993-2003) [...]. As causas deste fato – e que levaram as instituições e órgãos dirigentes da educação a pensarem mais em programas de ação ou, no máximo, em planejamento estratégico de médio prazo – são</w:t>
      </w:r>
      <w:r>
        <w:rPr>
          <w:spacing w:val="-6"/>
          <w:sz w:val="20"/>
        </w:rPr>
        <w:t> </w:t>
      </w:r>
      <w:r>
        <w:rPr>
          <w:sz w:val="20"/>
        </w:rPr>
        <w:t>diversas.</w:t>
      </w:r>
    </w:p>
    <w:p>
      <w:pPr>
        <w:pStyle w:val="BodyText"/>
        <w:rPr>
          <w:sz w:val="22"/>
        </w:rPr>
      </w:pPr>
    </w:p>
    <w:p>
      <w:pPr>
        <w:pStyle w:val="BodyText"/>
        <w:spacing w:line="360" w:lineRule="auto" w:before="161"/>
        <w:ind w:left="122" w:right="121" w:firstLine="851"/>
        <w:jc w:val="both"/>
      </w:pPr>
      <w:r>
        <w:rPr/>
        <w:t>Ao tratar da ideia de PNE, previsto na Constituição Federal de 1988 e defendido no País desde o Manifesto dos Pioneiros da Educação Nova de 1932, o Plano Decenal de Educação (BRASIL, 1993, p. 14) (Grifos nossos) explicita que:</w:t>
      </w:r>
    </w:p>
    <w:p>
      <w:pPr>
        <w:pStyle w:val="BodyText"/>
        <w:spacing w:before="8"/>
        <w:rPr>
          <w:sz w:val="36"/>
        </w:rPr>
      </w:pPr>
    </w:p>
    <w:p>
      <w:pPr>
        <w:spacing w:line="240" w:lineRule="auto" w:before="1"/>
        <w:ind w:left="2390" w:right="120" w:firstLine="0"/>
        <w:jc w:val="both"/>
        <w:rPr>
          <w:sz w:val="20"/>
        </w:rPr>
      </w:pPr>
      <w:r>
        <w:rPr>
          <w:b/>
          <w:sz w:val="20"/>
        </w:rPr>
        <w:t>não se confunde com o Plano Nacional de Educação previsto na Constituição </w:t>
      </w:r>
      <w:r>
        <w:rPr>
          <w:sz w:val="20"/>
        </w:rPr>
        <w:t>e que incluirá todos os níveis e modalidades de ensino. Tampouco se caracteriza como um Plano ao estilo tradicional, em respeito mesmo à organização federativa do País. </w:t>
      </w:r>
      <w:r>
        <w:rPr>
          <w:b/>
          <w:sz w:val="20"/>
        </w:rPr>
        <w:t>Delimitando-se no campo da educação básica </w:t>
      </w:r>
      <w:r>
        <w:rPr>
          <w:sz w:val="20"/>
        </w:rPr>
        <w:t>para todos, </w:t>
      </w:r>
      <w:r>
        <w:rPr>
          <w:b/>
          <w:sz w:val="20"/>
        </w:rPr>
        <w:t>que é a prioridade mais importante neste momento</w:t>
      </w:r>
      <w:r>
        <w:rPr>
          <w:sz w:val="20"/>
        </w:rPr>
        <w:t>, o Plano responde ao dispositivo constitucional que determina "eliminar o analfabetismo e universalizar o ensino fundamental" nos próximos dez</w:t>
      </w:r>
      <w:r>
        <w:rPr>
          <w:spacing w:val="-8"/>
          <w:sz w:val="20"/>
        </w:rPr>
        <w:t> </w:t>
      </w:r>
      <w:r>
        <w:rPr>
          <w:sz w:val="20"/>
        </w:rPr>
        <w:t>anos.</w:t>
      </w:r>
    </w:p>
    <w:p>
      <w:pPr>
        <w:pStyle w:val="BodyText"/>
        <w:rPr>
          <w:sz w:val="20"/>
        </w:rPr>
      </w:pPr>
    </w:p>
    <w:p>
      <w:pPr>
        <w:pStyle w:val="BodyText"/>
        <w:rPr>
          <w:sz w:val="20"/>
        </w:rPr>
      </w:pPr>
    </w:p>
    <w:p>
      <w:pPr>
        <w:pStyle w:val="BodyText"/>
        <w:spacing w:before="9"/>
        <w:rPr>
          <w:sz w:val="28"/>
        </w:rPr>
      </w:pPr>
      <w:r>
        <w:rPr/>
        <w:pict>
          <v:line style="position:absolute;mso-position-horizontal-relative:page;mso-position-vertical-relative:paragraph;z-index:1312;mso-wrap-distance-left:0;mso-wrap-distance-right:0" from="85.103996pt,18.877714pt" to="229.123996pt,18.877714pt" stroked="true" strokeweight=".72003pt" strokecolor="#000000">
            <v:stroke dashstyle="solid"/>
            <w10:wrap type="topAndBottom"/>
          </v:line>
        </w:pict>
      </w:r>
    </w:p>
    <w:p>
      <w:pPr>
        <w:spacing w:before="42"/>
        <w:ind w:left="122" w:right="0" w:firstLine="0"/>
        <w:jc w:val="left"/>
        <w:rPr>
          <w:sz w:val="20"/>
        </w:rPr>
      </w:pPr>
      <w:r>
        <w:rPr>
          <w:position w:val="9"/>
          <w:sz w:val="13"/>
        </w:rPr>
        <w:t>9 </w:t>
      </w:r>
      <w:r>
        <w:rPr>
          <w:sz w:val="20"/>
        </w:rPr>
        <w:t>A esse respeito ver Shiroma (2000).</w:t>
      </w:r>
    </w:p>
    <w:p>
      <w:pPr>
        <w:spacing w:after="0"/>
        <w:jc w:val="left"/>
        <w:rPr>
          <w:sz w:val="20"/>
        </w:rPr>
        <w:sectPr>
          <w:pgSz w:w="11910" w:h="16840"/>
          <w:pgMar w:header="749" w:footer="0" w:top="960" w:bottom="280" w:left="1580" w:right="1580"/>
        </w:sectPr>
      </w:pPr>
    </w:p>
    <w:p>
      <w:pPr>
        <w:pStyle w:val="BodyText"/>
        <w:rPr>
          <w:sz w:val="20"/>
        </w:rPr>
      </w:pPr>
    </w:p>
    <w:p>
      <w:pPr>
        <w:pStyle w:val="BodyText"/>
        <w:spacing w:line="360" w:lineRule="auto" w:before="210"/>
        <w:ind w:left="122" w:right="115" w:firstLine="851"/>
        <w:jc w:val="both"/>
      </w:pPr>
      <w:r>
        <w:rPr>
          <w:w w:val="100"/>
        </w:rPr>
        <w:t>Contudo, </w:t>
      </w:r>
      <w:r>
        <w:rPr>
          <w:spacing w:val="-5"/>
          <w:w w:val="100"/>
        </w:rPr>
        <w:t> </w:t>
      </w:r>
      <w:r>
        <w:rPr>
          <w:w w:val="100"/>
        </w:rPr>
        <w:t>o </w:t>
      </w:r>
      <w:r>
        <w:rPr>
          <w:spacing w:val="-6"/>
          <w:w w:val="100"/>
        </w:rPr>
        <w:t> </w:t>
      </w:r>
      <w:r>
        <w:rPr>
          <w:w w:val="99"/>
        </w:rPr>
        <w:t>P</w:t>
      </w:r>
      <w:r>
        <w:rPr>
          <w:w w:val="100"/>
        </w:rPr>
        <w:t>lano</w:t>
      </w:r>
      <w:r>
        <w:rPr/>
        <w:t> </w:t>
      </w:r>
      <w:r>
        <w:rPr>
          <w:spacing w:val="-6"/>
        </w:rPr>
        <w:t> </w:t>
      </w:r>
      <w:r>
        <w:rPr>
          <w:spacing w:val="-1"/>
          <w:w w:val="44"/>
        </w:rPr>
        <w:t>―</w:t>
      </w:r>
      <w:r>
        <w:rPr>
          <w:w w:val="99"/>
        </w:rPr>
        <w:t>p</w:t>
      </w:r>
      <w:r>
        <w:rPr>
          <w:spacing w:val="-1"/>
          <w:w w:val="99"/>
        </w:rPr>
        <w:t>r</w:t>
      </w:r>
      <w:r>
        <w:rPr>
          <w:spacing w:val="-1"/>
          <w:w w:val="100"/>
        </w:rPr>
        <w:t>a</w:t>
      </w:r>
      <w:r>
        <w:rPr>
          <w:w w:val="100"/>
        </w:rPr>
        <w:t>ti</w:t>
      </w:r>
      <w:r>
        <w:rPr>
          <w:spacing w:val="-1"/>
          <w:w w:val="100"/>
        </w:rPr>
        <w:t>ca</w:t>
      </w:r>
      <w:r>
        <w:rPr>
          <w:w w:val="100"/>
        </w:rPr>
        <w:t>mente</w:t>
      </w:r>
      <w:r>
        <w:rPr/>
        <w:t> </w:t>
      </w:r>
      <w:r>
        <w:rPr>
          <w:spacing w:val="-6"/>
        </w:rPr>
        <w:t> </w:t>
      </w:r>
      <w:r>
        <w:rPr>
          <w:w w:val="100"/>
        </w:rPr>
        <w:t>n</w:t>
      </w:r>
      <w:r>
        <w:rPr>
          <w:spacing w:val="-1"/>
          <w:w w:val="100"/>
        </w:rPr>
        <w:t>ã</w:t>
      </w:r>
      <w:r>
        <w:rPr/>
        <w:t>o </w:t>
      </w:r>
      <w:r>
        <w:rPr>
          <w:spacing w:val="-6"/>
        </w:rPr>
        <w:t> </w:t>
      </w:r>
      <w:r>
        <w:rPr>
          <w:spacing w:val="2"/>
          <w:w w:val="99"/>
        </w:rPr>
        <w:t>s</w:t>
      </w:r>
      <w:r>
        <w:rPr>
          <w:spacing w:val="-1"/>
          <w:w w:val="100"/>
        </w:rPr>
        <w:t>a</w:t>
      </w:r>
      <w:r>
        <w:rPr>
          <w:w w:val="100"/>
        </w:rPr>
        <w:t>iu</w:t>
      </w:r>
      <w:r>
        <w:rPr/>
        <w:t> </w:t>
      </w:r>
      <w:r>
        <w:rPr>
          <w:spacing w:val="-5"/>
        </w:rPr>
        <w:t> </w:t>
      </w:r>
      <w:r>
        <w:rPr/>
        <w:t>do </w:t>
      </w:r>
      <w:r>
        <w:rPr>
          <w:spacing w:val="-6"/>
        </w:rPr>
        <w:t> </w:t>
      </w:r>
      <w:r>
        <w:rPr>
          <w:w w:val="100"/>
        </w:rPr>
        <w:t>p</w:t>
      </w:r>
      <w:r>
        <w:rPr>
          <w:spacing w:val="-1"/>
          <w:w w:val="100"/>
        </w:rPr>
        <w:t>a</w:t>
      </w:r>
      <w:r>
        <w:rPr>
          <w:w w:val="100"/>
        </w:rPr>
        <w:t>p</w:t>
      </w:r>
      <w:r>
        <w:rPr>
          <w:spacing w:val="-1"/>
          <w:w w:val="100"/>
        </w:rPr>
        <w:t>e</w:t>
      </w:r>
      <w:r>
        <w:rPr>
          <w:w w:val="100"/>
        </w:rPr>
        <w:t>l,</w:t>
      </w:r>
      <w:r>
        <w:rPr/>
        <w:t> </w:t>
      </w:r>
      <w:r>
        <w:rPr>
          <w:spacing w:val="-5"/>
        </w:rPr>
        <w:t> </w:t>
      </w:r>
      <w:r>
        <w:rPr>
          <w:w w:val="100"/>
        </w:rPr>
        <w:t>li</w:t>
      </w:r>
      <w:r>
        <w:rPr>
          <w:w w:val="100"/>
        </w:rPr>
        <w:t>mi</w:t>
      </w:r>
      <w:r>
        <w:rPr>
          <w:w w:val="100"/>
        </w:rPr>
        <w:t>tand</w:t>
      </w:r>
      <w:r>
        <w:rPr>
          <w:spacing w:val="3"/>
          <w:w w:val="100"/>
        </w:rPr>
        <w:t>o</w:t>
      </w:r>
      <w:r>
        <w:rPr>
          <w:spacing w:val="-1"/>
          <w:w w:val="99"/>
        </w:rPr>
        <w:t>-</w:t>
      </w:r>
      <w:r>
        <w:rPr>
          <w:w w:val="99"/>
        </w:rPr>
        <w:t>se</w:t>
      </w:r>
      <w:r>
        <w:rPr/>
        <w:t> </w:t>
      </w:r>
      <w:r>
        <w:rPr>
          <w:spacing w:val="-6"/>
        </w:rPr>
        <w:t> </w:t>
      </w:r>
      <w:r>
        <w:rPr/>
        <w:t>a </w:t>
      </w:r>
      <w:r>
        <w:rPr>
          <w:spacing w:val="-6"/>
        </w:rPr>
        <w:t> </w:t>
      </w:r>
      <w:r>
        <w:rPr/>
        <w:t>o</w:t>
      </w:r>
      <w:r>
        <w:rPr>
          <w:spacing w:val="-1"/>
        </w:rPr>
        <w:t>r</w:t>
      </w:r>
      <w:r>
        <w:rPr>
          <w:spacing w:val="2"/>
        </w:rPr>
        <w:t>i</w:t>
      </w:r>
      <w:r>
        <w:rPr>
          <w:spacing w:val="-1"/>
        </w:rPr>
        <w:t>e</w:t>
      </w:r>
      <w:r>
        <w:rPr/>
        <w:t>ntar algumas ações na esfera federal. Em verdade, ao que parece, o mencionado plano foi formulado mais em conformidade com o objetivo pragmático de atender a condições internacionais de obtenção de financiamento para a educação, em especial aquele de algum modo ligado ao Banco Mundial.‖ (SAVIANI, 1999, p.</w:t>
      </w:r>
      <w:r>
        <w:rPr>
          <w:spacing w:val="27"/>
        </w:rPr>
        <w:t> </w:t>
      </w:r>
      <w:r>
        <w:rPr/>
        <w:t>129).</w:t>
      </w:r>
    </w:p>
    <w:p>
      <w:pPr>
        <w:pStyle w:val="BodyText"/>
        <w:spacing w:line="360" w:lineRule="auto" w:before="5"/>
        <w:ind w:left="122" w:right="117" w:firstLine="851"/>
        <w:jc w:val="both"/>
      </w:pPr>
      <w:r>
        <w:rPr/>
        <w:t>Sousa (2012) reitera a assertiva, advogando que foi elaborado com intenções de cumprir deliberações/metas da Conferência de Jontiem, ou seja, motivado por acordos internacionais, mesmo que no Brasil já se defendesse, a mais de cinquenta anos, a ideia de um plano nacional. O que nos permite associá-lo a um plano concebido com intencionalidade conservadora/alienadora, com fim em si mesmo, ou melhor, com vistas a obtenção de financiamento internacional, não carecendo de ser implementado efetivamente.</w:t>
      </w:r>
    </w:p>
    <w:p>
      <w:pPr>
        <w:pStyle w:val="BodyText"/>
        <w:spacing w:line="360" w:lineRule="auto" w:before="3"/>
        <w:ind w:left="122" w:right="116" w:firstLine="851"/>
        <w:jc w:val="both"/>
      </w:pPr>
      <w:r>
        <w:rPr/>
        <w:t>A partir do Governo Fernando Henrique Cardoso (1995-1998, 1999-2002), a defesa e ações de reforma do Estado são impulsionadas. Segundo Gentili (1996, p. 10),  o processo dinâmico que conferiu êxito ao neoliberalismo é</w:t>
      </w:r>
      <w:r>
        <w:rPr>
          <w:spacing w:val="-11"/>
        </w:rPr>
        <w:t> </w:t>
      </w:r>
      <w:r>
        <w:rPr/>
        <w:t>duplo:</w:t>
      </w:r>
    </w:p>
    <w:p>
      <w:pPr>
        <w:pStyle w:val="BodyText"/>
        <w:spacing w:before="4"/>
      </w:pPr>
    </w:p>
    <w:p>
      <w:pPr>
        <w:spacing w:before="1"/>
        <w:ind w:left="2390" w:right="121" w:firstLine="0"/>
        <w:jc w:val="both"/>
        <w:rPr>
          <w:sz w:val="20"/>
        </w:rPr>
      </w:pPr>
      <w:r>
        <w:rPr>
          <w:sz w:val="20"/>
        </w:rPr>
        <w:t>Por um lado, trata-se de uma alternativa de poder extremamente vigorosa constituída por uma série de </w:t>
      </w:r>
      <w:r>
        <w:rPr>
          <w:b/>
          <w:sz w:val="20"/>
        </w:rPr>
        <w:t>estratégias políticas, econômicas e jurídicas </w:t>
      </w:r>
      <w:r>
        <w:rPr>
          <w:sz w:val="20"/>
        </w:rPr>
        <w:t>orientadas para encontrar uma saída dominante para a crise capitalista que se inicia ao final dos anos 60 e que se manifesta claramente já nos anos 70. Por outro lado, ela expressa e sintetiza um </w:t>
      </w:r>
      <w:r>
        <w:rPr>
          <w:b/>
          <w:sz w:val="20"/>
        </w:rPr>
        <w:t>ambicioso projeto de reforma ideológica </w:t>
      </w:r>
      <w:r>
        <w:rPr>
          <w:sz w:val="20"/>
        </w:rPr>
        <w:t>de nossas sociedades à construção e a difusão de um novo senso comum que fornece coerência, sentido e uma pretensa legitimidade às propostas de reforma </w:t>
      </w:r>
      <w:r>
        <w:rPr>
          <w:b/>
          <w:sz w:val="20"/>
        </w:rPr>
        <w:t>impulsionadas pelo bloco dominante</w:t>
      </w:r>
      <w:r>
        <w:rPr>
          <w:sz w:val="20"/>
        </w:rPr>
        <w:t>. (Grifos nossos).</w:t>
      </w:r>
    </w:p>
    <w:p>
      <w:pPr>
        <w:pStyle w:val="BodyText"/>
        <w:rPr>
          <w:sz w:val="22"/>
        </w:rPr>
      </w:pPr>
    </w:p>
    <w:p>
      <w:pPr>
        <w:pStyle w:val="BodyText"/>
        <w:spacing w:line="360" w:lineRule="auto" w:before="163"/>
        <w:ind w:left="122" w:right="230" w:firstLine="851"/>
        <w:jc w:val="both"/>
      </w:pPr>
      <w:r>
        <w:rPr/>
        <w:t>Assim, voltados para o reordenamento jurídico, político e econômico que detém os desdobramentos do Estado e com ele as defesas de uma política pública pensada para atender o desenvolvimento a partir das visões e interesses de mercado, o movimento privatista ganha força e crédito, sobretudo com Fernando Henrique </w:t>
      </w:r>
      <w:r>
        <w:rPr>
          <w:w w:val="99"/>
        </w:rPr>
        <w:t>Cardoso, </w:t>
      </w:r>
      <w:r>
        <w:rPr>
          <w:w w:val="99"/>
        </w:rPr>
        <w:t>just</w:t>
      </w:r>
      <w:r>
        <w:rPr>
          <w:w w:val="99"/>
        </w:rPr>
        <w:t>ificando e afirmando q</w:t>
      </w:r>
      <w:r>
        <w:rPr>
          <w:w w:val="100"/>
        </w:rPr>
        <w:t>ue</w:t>
      </w:r>
      <w:r>
        <w:rPr/>
        <w:t> </w:t>
      </w:r>
      <w:r>
        <w:rPr>
          <w:w w:val="44"/>
        </w:rPr>
        <w:t>―</w:t>
      </w:r>
      <w:r>
        <w:rPr>
          <w:w w:val="100"/>
        </w:rPr>
        <w:t>hoje,</w:t>
      </w:r>
      <w:r>
        <w:rPr/>
        <w:t> todos sa</w:t>
      </w:r>
      <w:r>
        <w:rPr>
          <w:w w:val="100"/>
        </w:rPr>
        <w:t>be</w:t>
      </w:r>
      <w:r>
        <w:rPr/>
        <w:t>mos </w:t>
      </w:r>
      <w:r>
        <w:rPr>
          <w:w w:val="100"/>
        </w:rPr>
        <w:t>que </w:t>
      </w:r>
      <w:r>
        <w:rPr>
          <w:w w:val="100"/>
        </w:rPr>
        <w:t>a</w:t>
      </w:r>
      <w:r>
        <w:rPr/>
        <w:t> produç</w:t>
      </w:r>
      <w:r>
        <w:rPr>
          <w:w w:val="100"/>
        </w:rPr>
        <w:t>ã</w:t>
      </w:r>
      <w:r>
        <w:rPr/>
        <w:t>o </w:t>
      </w:r>
      <w:r>
        <w:rPr>
          <w:w w:val="100"/>
        </w:rPr>
        <w:t>de</w:t>
      </w:r>
      <w:r>
        <w:rPr/>
        <w:t> b</w:t>
      </w:r>
      <w:r>
        <w:rPr>
          <w:w w:val="100"/>
        </w:rPr>
        <w:t>e</w:t>
      </w:r>
      <w:r>
        <w:rPr>
          <w:w w:val="99"/>
        </w:rPr>
        <w:t>ns</w:t>
      </w:r>
      <w:r>
        <w:rPr/>
        <w:t> </w:t>
      </w:r>
      <w:r>
        <w:rPr>
          <w:w w:val="100"/>
        </w:rPr>
        <w:t>e </w:t>
      </w:r>
      <w:r>
        <w:rPr/>
        <w:t>serviços pode e deve ser transferida à sociedade, à iniciativa privada, com grande eficiência e com menor custo ao consumidor‖ (CARDOSO, 2006, p. 15).</w:t>
      </w:r>
    </w:p>
    <w:p>
      <w:pPr>
        <w:pStyle w:val="BodyText"/>
        <w:spacing w:line="345" w:lineRule="auto" w:before="3"/>
        <w:ind w:left="122" w:right="227" w:firstLine="851"/>
        <w:jc w:val="both"/>
      </w:pPr>
      <w:r>
        <w:rPr/>
        <w:t>Na presidência da República do Brasil, Fernando Henrique Cardoso, ainda em 1995, trata logo de preparar o terreno, pois, segundo a afirmação de um de seus mi</w:t>
      </w:r>
      <w:r>
        <w:rPr>
          <w:w w:val="99"/>
        </w:rPr>
        <w:t>nistros</w:t>
      </w:r>
      <w:r>
        <w:rPr>
          <w:w w:val="100"/>
          <w:position w:val="11"/>
          <w:sz w:val="16"/>
        </w:rPr>
        <w:t>10</w:t>
      </w:r>
      <w:r>
        <w:rPr>
          <w:position w:val="11"/>
          <w:sz w:val="16"/>
        </w:rPr>
        <w:t>  </w:t>
      </w:r>
      <w:r>
        <w:rPr>
          <w:w w:val="44"/>
        </w:rPr>
        <w:t>―</w:t>
      </w:r>
      <w:r>
        <w:rPr/>
        <w:t>o novo pr</w:t>
      </w:r>
      <w:r>
        <w:rPr>
          <w:w w:val="100"/>
        </w:rPr>
        <w:t>e</w:t>
      </w:r>
      <w:r>
        <w:rPr>
          <w:w w:val="100"/>
        </w:rPr>
        <w:t>sidente</w:t>
      </w:r>
      <w:r>
        <w:rPr/>
        <w:t> </w:t>
      </w:r>
      <w:r>
        <w:rPr>
          <w:w w:val="100"/>
        </w:rPr>
        <w:t>de</w:t>
      </w:r>
      <w:r>
        <w:rPr>
          <w:w w:val="100"/>
        </w:rPr>
        <w:t>cidi</w:t>
      </w:r>
      <w:r>
        <w:rPr/>
        <w:t>u </w:t>
      </w:r>
      <w:r>
        <w:rPr>
          <w:w w:val="100"/>
        </w:rPr>
        <w:t>tra</w:t>
      </w:r>
      <w:r>
        <w:rPr>
          <w:w w:val="99"/>
        </w:rPr>
        <w:t>nsfor</w:t>
      </w:r>
      <w:r>
        <w:rPr>
          <w:w w:val="100"/>
        </w:rPr>
        <w:t>ma</w:t>
      </w:r>
      <w:r>
        <w:rPr>
          <w:w w:val="99"/>
        </w:rPr>
        <w:t>r </w:t>
      </w:r>
      <w:r>
        <w:rPr>
          <w:w w:val="100"/>
        </w:rPr>
        <w:t>a</w:t>
      </w:r>
      <w:r>
        <w:rPr/>
        <w:t> </w:t>
      </w:r>
      <w:r>
        <w:rPr>
          <w:w w:val="100"/>
        </w:rPr>
        <w:t>anti</w:t>
      </w:r>
      <w:r>
        <w:rPr/>
        <w:t>g</w:t>
      </w:r>
      <w:r>
        <w:rPr>
          <w:w w:val="100"/>
        </w:rPr>
        <w:t>a</w:t>
      </w:r>
      <w:r>
        <w:rPr/>
        <w:t> </w:t>
      </w:r>
      <w:r>
        <w:rPr>
          <w:w w:val="100"/>
        </w:rPr>
        <w:t>e</w:t>
      </w:r>
      <w:r>
        <w:rPr/>
        <w:t> burocr</w:t>
      </w:r>
      <w:r>
        <w:rPr>
          <w:w w:val="100"/>
        </w:rPr>
        <w:t>á</w:t>
      </w:r>
      <w:r>
        <w:rPr>
          <w:w w:val="100"/>
        </w:rPr>
        <w:t>ti</w:t>
      </w:r>
      <w:r>
        <w:rPr>
          <w:w w:val="100"/>
        </w:rPr>
        <w:t>ca</w:t>
      </w:r>
      <w:r>
        <w:rPr/>
        <w:t> </w:t>
      </w:r>
      <w:r>
        <w:rPr>
          <w:w w:val="99"/>
        </w:rPr>
        <w:t>S</w:t>
      </w:r>
      <w:r>
        <w:rPr>
          <w:w w:val="100"/>
        </w:rPr>
        <w:t>ec</w:t>
      </w:r>
      <w:r>
        <w:rPr>
          <w:w w:val="100"/>
        </w:rPr>
        <w:t>re</w:t>
      </w:r>
      <w:r>
        <w:rPr>
          <w:w w:val="100"/>
        </w:rPr>
        <w:t>ta</w:t>
      </w:r>
      <w:r>
        <w:rPr>
          <w:w w:val="100"/>
        </w:rPr>
        <w:t>ria</w:t>
      </w:r>
      <w:r>
        <w:rPr/>
        <w:t> </w:t>
      </w:r>
      <w:r>
        <w:rPr>
          <w:w w:val="100"/>
        </w:rPr>
        <w:t>da</w:t>
      </w:r>
    </w:p>
    <w:p>
      <w:pPr>
        <w:pStyle w:val="BodyText"/>
        <w:rPr>
          <w:sz w:val="20"/>
        </w:rPr>
      </w:pPr>
    </w:p>
    <w:p>
      <w:pPr>
        <w:pStyle w:val="BodyText"/>
        <w:rPr>
          <w:sz w:val="20"/>
        </w:rPr>
      </w:pPr>
    </w:p>
    <w:p>
      <w:pPr>
        <w:pStyle w:val="BodyText"/>
        <w:rPr>
          <w:sz w:val="25"/>
        </w:rPr>
      </w:pPr>
      <w:r>
        <w:rPr/>
        <w:pict>
          <v:line style="position:absolute;mso-position-horizontal-relative:page;mso-position-vertical-relative:paragraph;z-index:1336;mso-wrap-distance-left:0;mso-wrap-distance-right:0" from="85.103996pt,16.74448pt" to="229.123996pt,16.74448pt" stroked="true" strokeweight=".72003pt" strokecolor="#000000">
            <v:stroke dashstyle="solid"/>
            <w10:wrap type="topAndBottom"/>
          </v:line>
        </w:pict>
      </w:r>
    </w:p>
    <w:p>
      <w:pPr>
        <w:spacing w:before="42"/>
        <w:ind w:left="122" w:right="0" w:firstLine="0"/>
        <w:jc w:val="left"/>
        <w:rPr>
          <w:sz w:val="20"/>
        </w:rPr>
      </w:pPr>
      <w:r>
        <w:rPr>
          <w:position w:val="9"/>
          <w:sz w:val="13"/>
        </w:rPr>
        <w:t>10 </w:t>
      </w:r>
      <w:r>
        <w:rPr>
          <w:sz w:val="20"/>
        </w:rPr>
        <w:t>Luiz Carlos Bresser Pereira, o gestor do Ministério da Administração Federal e Reforma do Estado.</w:t>
      </w:r>
    </w:p>
    <w:p>
      <w:pPr>
        <w:spacing w:after="0"/>
        <w:jc w:val="left"/>
        <w:rPr>
          <w:sz w:val="20"/>
        </w:rPr>
        <w:sectPr>
          <w:pgSz w:w="11910" w:h="16840"/>
          <w:pgMar w:header="749" w:footer="0" w:top="960" w:bottom="280" w:left="1580" w:right="1580"/>
        </w:sectPr>
      </w:pPr>
    </w:p>
    <w:p>
      <w:pPr>
        <w:pStyle w:val="BodyText"/>
        <w:rPr>
          <w:sz w:val="20"/>
        </w:rPr>
      </w:pPr>
    </w:p>
    <w:p>
      <w:pPr>
        <w:pStyle w:val="BodyText"/>
        <w:spacing w:line="362" w:lineRule="auto" w:before="210"/>
        <w:ind w:left="102"/>
      </w:pPr>
      <w:r>
        <w:rPr/>
        <w:t>Presidência, que geria o serviço público, em um novo ministério, o da Administração Federal e Reforma do Estado.‖ (PEREIRA, 2006, p. 21).</w:t>
      </w:r>
    </w:p>
    <w:p>
      <w:pPr>
        <w:pStyle w:val="BodyText"/>
        <w:spacing w:line="360" w:lineRule="auto"/>
        <w:ind w:left="102" w:right="120" w:firstLine="851"/>
        <w:jc w:val="both"/>
      </w:pPr>
      <w:r>
        <w:rPr/>
        <w:t>Assim, a estrutura estava basicamente formada, faltando alguns apoios, o que acontece em poucos meses. Inicialmente, dos governadores estaduais e, em seguida, dos </w:t>
      </w:r>
      <w:r>
        <w:rPr>
          <w:w w:val="99"/>
        </w:rPr>
        <w:t>prefeit</w:t>
      </w:r>
      <w:r>
        <w:rPr>
          <w:w w:val="99"/>
        </w:rPr>
        <w:t>os,</w:t>
      </w:r>
      <w:r>
        <w:rPr/>
        <w:t>  empre</w:t>
      </w:r>
      <w:r>
        <w:rPr>
          <w:w w:val="99"/>
        </w:rPr>
        <w:t>sários,</w:t>
      </w:r>
      <w:r>
        <w:rPr/>
        <w:t>  i</w:t>
      </w:r>
      <w:r>
        <w:rPr>
          <w:w w:val="100"/>
        </w:rPr>
        <w:t>mpre</w:t>
      </w:r>
      <w:r>
        <w:rPr>
          <w:w w:val="99"/>
        </w:rPr>
        <w:t>nsa  </w:t>
      </w:r>
      <w:r>
        <w:rPr>
          <w:w w:val="100"/>
        </w:rPr>
        <w:t>e</w:t>
      </w:r>
      <w:r>
        <w:rPr/>
        <w:t>,  </w:t>
      </w:r>
      <w:r>
        <w:rPr>
          <w:w w:val="100"/>
        </w:rPr>
        <w:t>fina</w:t>
      </w:r>
      <w:r>
        <w:rPr>
          <w:w w:val="100"/>
        </w:rPr>
        <w:t>lmente</w:t>
      </w:r>
      <w:r>
        <w:rPr/>
        <w:t>,  </w:t>
      </w:r>
      <w:r>
        <w:rPr>
          <w:w w:val="100"/>
        </w:rPr>
        <w:t>da</w:t>
      </w:r>
      <w:r>
        <w:rPr/>
        <w:t>  </w:t>
      </w:r>
      <w:r>
        <w:rPr>
          <w:w w:val="100"/>
        </w:rPr>
        <w:t>opini</w:t>
      </w:r>
      <w:r>
        <w:rPr>
          <w:w w:val="100"/>
        </w:rPr>
        <w:t>ã</w:t>
      </w:r>
      <w:r>
        <w:rPr/>
        <w:t>o  </w:t>
      </w:r>
      <w:r>
        <w:rPr>
          <w:w w:val="100"/>
        </w:rPr>
        <w:t>públi</w:t>
      </w:r>
      <w:r>
        <w:rPr>
          <w:w w:val="100"/>
        </w:rPr>
        <w:t>ca</w:t>
      </w:r>
      <w:r>
        <w:rPr/>
        <w:t>.  </w:t>
      </w:r>
      <w:r>
        <w:rPr>
          <w:w w:val="44"/>
        </w:rPr>
        <w:t>―</w:t>
      </w:r>
      <w:r>
        <w:rPr>
          <w:w w:val="99"/>
        </w:rPr>
        <w:t>D</w:t>
      </w:r>
      <w:r>
        <w:rPr>
          <w:w w:val="100"/>
        </w:rPr>
        <w:t>e</w:t>
      </w:r>
      <w:r>
        <w:rPr/>
        <w:t>  </w:t>
      </w:r>
      <w:r>
        <w:rPr>
          <w:w w:val="100"/>
        </w:rPr>
        <w:t>re</w:t>
      </w:r>
      <w:r>
        <w:rPr/>
        <w:t>p</w:t>
      </w:r>
      <w:r>
        <w:rPr>
          <w:w w:val="100"/>
        </w:rPr>
        <w:t>e</w:t>
      </w:r>
      <w:r>
        <w:rPr>
          <w:w w:val="100"/>
        </w:rPr>
        <w:t>nte,</w:t>
      </w:r>
      <w:r>
        <w:rPr/>
        <w:t>  </w:t>
      </w:r>
      <w:r>
        <w:rPr>
          <w:w w:val="100"/>
        </w:rPr>
        <w:t>a </w:t>
      </w:r>
      <w:r>
        <w:rPr/>
        <w:t>reforma passava a ser vista como necessidade crucial, não apenas interna, mas exigida também pelos investidores estrangeiros e pelas agências financeiras multilaterais. (PEREIRA, 2006, p. 22).</w:t>
      </w:r>
    </w:p>
    <w:p>
      <w:pPr>
        <w:pStyle w:val="BodyText"/>
        <w:spacing w:line="360" w:lineRule="auto" w:before="3"/>
        <w:ind w:left="102" w:right="120" w:firstLine="851"/>
        <w:jc w:val="both"/>
      </w:pPr>
      <w:r>
        <w:rPr/>
        <w:t>Com essa estrutura e a ideia de que a reforma é uma necessidade crucial, são importantes as afirmações de Gentili (1996, p. 9):</w:t>
      </w:r>
    </w:p>
    <w:p>
      <w:pPr>
        <w:pStyle w:val="BodyText"/>
        <w:spacing w:before="4"/>
        <w:rPr>
          <w:sz w:val="36"/>
        </w:rPr>
      </w:pPr>
    </w:p>
    <w:p>
      <w:pPr>
        <w:spacing w:before="0"/>
        <w:ind w:left="2370" w:right="227" w:firstLine="0"/>
        <w:jc w:val="both"/>
        <w:rPr>
          <w:sz w:val="20"/>
        </w:rPr>
      </w:pPr>
      <w:r>
        <w:rPr>
          <w:sz w:val="20"/>
        </w:rPr>
        <w:t>trata-se de uma estratégia de poder que se implementa em dois sentidos articulados: por um lado, através de um conjunto razoavelmente regular de reformas concretas no plano econômico, político, jurídico, educacional, etc. e, por outro, através de uma série de estratégias culturais orientadas a impor novos diagnósticos acerca da crise e construir novos significados sociais a partir dos quais legitimar as reformas neoliberais como sendo as únicas que podem (e devem) ser aplicadas no atual contexto histórico de nossas sociedades.</w:t>
      </w:r>
    </w:p>
    <w:p>
      <w:pPr>
        <w:pStyle w:val="BodyText"/>
        <w:spacing w:before="10"/>
        <w:rPr>
          <w:sz w:val="23"/>
        </w:rPr>
      </w:pPr>
    </w:p>
    <w:p>
      <w:pPr>
        <w:pStyle w:val="BodyText"/>
        <w:spacing w:line="360" w:lineRule="auto"/>
        <w:ind w:left="102" w:right="227" w:firstLine="851"/>
        <w:jc w:val="both"/>
      </w:pPr>
      <w:r>
        <w:rPr/>
        <w:t>É assim que, no Governo Fernando Henrique Cardoso, prevalece uma nova concepção e forma de planejamento em educação, o planejamento estratégico (PARENTE, 2003). Uma concepção gerencial, com novas estruturas corporativas, novas formas organizacionais, novas formas de gestão, com críticas a concepção tecnocrática. Assim, mudar, em especial, a escola, passa a ser prioridade dos sistemas educacionais. Dentre as medidas necessárias, é de fundamental importância a que diz respeito à melhoria de sua gestão (GENTILI, 1996).</w:t>
      </w:r>
    </w:p>
    <w:p>
      <w:pPr>
        <w:pStyle w:val="BodyText"/>
        <w:spacing w:line="360" w:lineRule="auto" w:before="6"/>
        <w:ind w:left="102" w:right="227" w:firstLine="851"/>
        <w:jc w:val="both"/>
      </w:pPr>
      <w:r>
        <w:rPr/>
        <w:t>Com essa perspectiva gerencial, sobressai, também, a concepção de Gerenciamento da Qualidade Total, sob a liderança do Japão, cujo horizonte é o lucro, com o objetivo de satisfação do cliente e algumas características marcantes como: os fins/os objetivos maiores já estão estabelecidos e são intocáveis; a ideia de missão,  com a satisfação do cliente; a ideia de participação limitando-se a colaboração ou decisão em aspectos particulares e menores; a busca pala eficiência; a manutenção de esquemas hierárquicos; a padronização de tarefas, de procedimentos e de resultados; e a avaliação da qualidade do processo. Assim, o planejamento limita-se aos meios, e, planejar, é sinônimo de solucionar problemas (GENTILI,</w:t>
      </w:r>
      <w:r>
        <w:rPr>
          <w:spacing w:val="-13"/>
        </w:rPr>
        <w:t> </w:t>
      </w:r>
      <w:r>
        <w:rPr/>
        <w:t>1996).</w:t>
      </w:r>
    </w:p>
    <w:p>
      <w:pPr>
        <w:pStyle w:val="BodyText"/>
        <w:spacing w:line="360" w:lineRule="auto" w:before="4"/>
        <w:ind w:left="102" w:right="229" w:firstLine="851"/>
        <w:jc w:val="both"/>
      </w:pPr>
      <w:r>
        <w:rPr/>
        <w:t>Na educação, em 1996, é aprovada, no dia 20 de dezembro, a Lei nº 9.394, que, segundo Saviani (1997, p. 161), em relação ao conteúdo, é dada ênfase ao aspecto</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0" w:lineRule="auto" w:before="210"/>
        <w:ind w:left="102" w:right="224"/>
        <w:jc w:val="both"/>
      </w:pPr>
      <w:r>
        <w:rPr>
          <w:spacing w:val="-1"/>
          <w:w w:val="44"/>
        </w:rPr>
        <w:t>―</w:t>
      </w:r>
      <w:r>
        <w:rPr>
          <w:w w:val="99"/>
        </w:rPr>
        <w:t>o</w:t>
      </w:r>
      <w:r>
        <w:rPr>
          <w:spacing w:val="1"/>
          <w:w w:val="99"/>
        </w:rPr>
        <w:t>r</w:t>
      </w:r>
      <w:r>
        <w:rPr>
          <w:spacing w:val="-3"/>
          <w:w w:val="99"/>
        </w:rPr>
        <w:t>g</w:t>
      </w:r>
      <w:r>
        <w:rPr>
          <w:spacing w:val="-1"/>
          <w:w w:val="100"/>
        </w:rPr>
        <w:t>a</w:t>
      </w:r>
      <w:r>
        <w:rPr>
          <w:w w:val="100"/>
        </w:rPr>
        <w:t>ni</w:t>
      </w:r>
      <w:r>
        <w:rPr>
          <w:spacing w:val="1"/>
          <w:w w:val="100"/>
        </w:rPr>
        <w:t>z</w:t>
      </w:r>
      <w:r>
        <w:rPr>
          <w:spacing w:val="-1"/>
          <w:w w:val="100"/>
        </w:rPr>
        <w:t>açã</w:t>
      </w:r>
      <w:r>
        <w:rPr/>
        <w:t>o </w:t>
      </w:r>
      <w:r>
        <w:rPr>
          <w:spacing w:val="-18"/>
        </w:rPr>
        <w:t> </w:t>
      </w:r>
      <w:r>
        <w:rPr>
          <w:w w:val="100"/>
        </w:rPr>
        <w:t>d</w:t>
      </w:r>
      <w:r>
        <w:rPr>
          <w:spacing w:val="-1"/>
          <w:w w:val="100"/>
        </w:rPr>
        <w:t>a</w:t>
      </w:r>
      <w:r>
        <w:rPr>
          <w:w w:val="99"/>
        </w:rPr>
        <w:t>s</w:t>
      </w:r>
      <w:r>
        <w:rPr/>
        <w:t> </w:t>
      </w:r>
      <w:r>
        <w:rPr>
          <w:spacing w:val="-20"/>
        </w:rPr>
        <w:t> </w:t>
      </w:r>
      <w:r>
        <w:rPr>
          <w:spacing w:val="2"/>
        </w:rPr>
        <w:t>b</w:t>
      </w:r>
      <w:r>
        <w:rPr>
          <w:spacing w:val="-1"/>
          <w:w w:val="100"/>
        </w:rPr>
        <w:t>a</w:t>
      </w:r>
      <w:r>
        <w:rPr>
          <w:w w:val="99"/>
        </w:rPr>
        <w:t>s</w:t>
      </w:r>
      <w:r>
        <w:rPr>
          <w:spacing w:val="-1"/>
          <w:w w:val="99"/>
        </w:rPr>
        <w:t>e</w:t>
      </w:r>
      <w:r>
        <w:rPr>
          <w:w w:val="99"/>
        </w:rPr>
        <w:t>s,</w:t>
      </w:r>
      <w:r>
        <w:rPr/>
        <w:t> </w:t>
      </w:r>
      <w:r>
        <w:rPr>
          <w:spacing w:val="-18"/>
        </w:rPr>
        <w:t> </w:t>
      </w:r>
      <w:r>
        <w:rPr>
          <w:w w:val="100"/>
        </w:rPr>
        <w:t>ist</w:t>
      </w:r>
      <w:r>
        <w:rPr/>
        <w:t>o </w:t>
      </w:r>
      <w:r>
        <w:rPr>
          <w:spacing w:val="-20"/>
        </w:rPr>
        <w:t> </w:t>
      </w:r>
      <w:r>
        <w:rPr>
          <w:spacing w:val="-1"/>
          <w:w w:val="100"/>
        </w:rPr>
        <w:t>é</w:t>
      </w:r>
      <w:r>
        <w:rPr/>
        <w:t>, </w:t>
      </w:r>
      <w:r>
        <w:rPr>
          <w:spacing w:val="-20"/>
        </w:rPr>
        <w:t> </w:t>
      </w:r>
      <w:r>
        <w:rPr>
          <w:w w:val="99"/>
        </w:rPr>
        <w:t>dos</w:t>
      </w:r>
      <w:r>
        <w:rPr/>
        <w:t> </w:t>
      </w:r>
      <w:r>
        <w:rPr>
          <w:spacing w:val="-20"/>
        </w:rPr>
        <w:t> </w:t>
      </w:r>
      <w:r>
        <w:rPr>
          <w:w w:val="100"/>
        </w:rPr>
        <w:t>níveis</w:t>
      </w:r>
      <w:r>
        <w:rPr/>
        <w:t> </w:t>
      </w:r>
      <w:r>
        <w:rPr>
          <w:spacing w:val="-17"/>
        </w:rPr>
        <w:t> </w:t>
      </w:r>
      <w:r>
        <w:rPr>
          <w:w w:val="100"/>
        </w:rPr>
        <w:t>e</w:t>
      </w:r>
      <w:r>
        <w:rPr/>
        <w:t> </w:t>
      </w:r>
      <w:r>
        <w:rPr>
          <w:spacing w:val="-21"/>
        </w:rPr>
        <w:t> </w:t>
      </w:r>
      <w:r>
        <w:rPr>
          <w:w w:val="100"/>
        </w:rPr>
        <w:t>m</w:t>
      </w:r>
      <w:r>
        <w:rPr>
          <w:spacing w:val="2"/>
          <w:w w:val="100"/>
        </w:rPr>
        <w:t>o</w:t>
      </w:r>
      <w:r>
        <w:rPr>
          <w:w w:val="100"/>
        </w:rPr>
        <w:t>d</w:t>
      </w:r>
      <w:r>
        <w:rPr>
          <w:spacing w:val="-1"/>
          <w:w w:val="100"/>
        </w:rPr>
        <w:t>a</w:t>
      </w:r>
      <w:r>
        <w:rPr>
          <w:w w:val="100"/>
        </w:rPr>
        <w:t>li</w:t>
      </w:r>
      <w:r>
        <w:rPr>
          <w:w w:val="100"/>
        </w:rPr>
        <w:t>d</w:t>
      </w:r>
      <w:r>
        <w:rPr>
          <w:spacing w:val="-1"/>
          <w:w w:val="100"/>
        </w:rPr>
        <w:t>a</w:t>
      </w:r>
      <w:r>
        <w:rPr>
          <w:w w:val="100"/>
        </w:rPr>
        <w:t>d</w:t>
      </w:r>
      <w:r>
        <w:rPr>
          <w:spacing w:val="-1"/>
          <w:w w:val="100"/>
        </w:rPr>
        <w:t>e</w:t>
      </w:r>
      <w:r>
        <w:rPr>
          <w:w w:val="99"/>
        </w:rPr>
        <w:t>s</w:t>
      </w:r>
      <w:r>
        <w:rPr/>
        <w:t> </w:t>
      </w:r>
      <w:r>
        <w:rPr>
          <w:spacing w:val="-20"/>
        </w:rPr>
        <w:t> </w:t>
      </w:r>
      <w:r>
        <w:rPr>
          <w:w w:val="100"/>
        </w:rPr>
        <w:t>de</w:t>
      </w:r>
      <w:r>
        <w:rPr/>
        <w:t> </w:t>
      </w:r>
      <w:r>
        <w:rPr>
          <w:spacing w:val="-19"/>
        </w:rPr>
        <w:t> </w:t>
      </w:r>
      <w:r>
        <w:rPr>
          <w:spacing w:val="-1"/>
          <w:w w:val="100"/>
        </w:rPr>
        <w:t>e</w:t>
      </w:r>
      <w:r>
        <w:rPr/>
        <w:t>nsino</w:t>
      </w:r>
      <w:r>
        <w:rPr>
          <w:spacing w:val="-1"/>
          <w:w w:val="158"/>
        </w:rPr>
        <w:t>‖</w:t>
      </w:r>
      <w:r>
        <w:rPr/>
        <w:t>, </w:t>
      </w:r>
      <w:r>
        <w:rPr>
          <w:spacing w:val="-18"/>
        </w:rPr>
        <w:t> </w:t>
      </w:r>
      <w:r>
        <w:rPr>
          <w:spacing w:val="-1"/>
          <w:w w:val="100"/>
        </w:rPr>
        <w:t>e</w:t>
      </w:r>
      <w:r>
        <w:rPr/>
        <w:t>, </w:t>
      </w:r>
      <w:r>
        <w:rPr>
          <w:spacing w:val="-18"/>
        </w:rPr>
        <w:t> </w:t>
      </w:r>
      <w:r>
        <w:rPr/>
        <w:t>no </w:t>
      </w:r>
      <w:r>
        <w:rPr>
          <w:spacing w:val="-20"/>
        </w:rPr>
        <w:t> </w:t>
      </w:r>
      <w:r>
        <w:rPr>
          <w:w w:val="100"/>
        </w:rPr>
        <w:t>que </w:t>
      </w:r>
      <w:r>
        <w:rPr>
          <w:spacing w:val="-21"/>
          <w:w w:val="100"/>
        </w:rPr>
        <w:t> </w:t>
      </w:r>
      <w:r>
        <w:rPr>
          <w:w w:val="100"/>
        </w:rPr>
        <w:t>diz r</w:t>
      </w:r>
      <w:r>
        <w:rPr>
          <w:spacing w:val="-2"/>
          <w:w w:val="100"/>
        </w:rPr>
        <w:t>e</w:t>
      </w:r>
      <w:r>
        <w:rPr>
          <w:w w:val="100"/>
        </w:rPr>
        <w:t>speito</w:t>
      </w:r>
      <w:r>
        <w:rPr/>
        <w:t> </w:t>
      </w:r>
      <w:r>
        <w:rPr>
          <w:spacing w:val="-20"/>
        </w:rPr>
        <w:t> </w:t>
      </w:r>
      <w:r>
        <w:rPr>
          <w:spacing w:val="-1"/>
          <w:w w:val="100"/>
        </w:rPr>
        <w:t>a</w:t>
      </w:r>
      <w:r>
        <w:rPr/>
        <w:t>o </w:t>
      </w:r>
      <w:r>
        <w:rPr>
          <w:spacing w:val="-18"/>
        </w:rPr>
        <w:t> </w:t>
      </w:r>
      <w:r>
        <w:rPr>
          <w:spacing w:val="-1"/>
          <w:w w:val="100"/>
        </w:rPr>
        <w:t>c</w:t>
      </w:r>
      <w:r>
        <w:rPr>
          <w:w w:val="100"/>
        </w:rPr>
        <w:t>ontrole</w:t>
      </w:r>
      <w:r>
        <w:rPr/>
        <w:t> </w:t>
      </w:r>
      <w:r>
        <w:rPr>
          <w:spacing w:val="-18"/>
        </w:rPr>
        <w:t> </w:t>
      </w:r>
      <w:r>
        <w:rPr>
          <w:w w:val="100"/>
        </w:rPr>
        <w:t>polí</w:t>
      </w:r>
      <w:r>
        <w:rPr>
          <w:w w:val="100"/>
        </w:rPr>
        <w:t>ti</w:t>
      </w:r>
      <w:r>
        <w:rPr>
          <w:spacing w:val="-1"/>
          <w:w w:val="100"/>
        </w:rPr>
        <w:t>c</w:t>
      </w:r>
      <w:r>
        <w:rPr/>
        <w:t>o </w:t>
      </w:r>
      <w:r>
        <w:rPr>
          <w:spacing w:val="-20"/>
        </w:rPr>
        <w:t> </w:t>
      </w:r>
      <w:r>
        <w:rPr>
          <w:w w:val="100"/>
        </w:rPr>
        <w:t>e</w:t>
      </w:r>
      <w:r>
        <w:rPr/>
        <w:t> </w:t>
      </w:r>
      <w:r>
        <w:rPr>
          <w:spacing w:val="-18"/>
        </w:rPr>
        <w:t> </w:t>
      </w:r>
      <w:r>
        <w:rPr>
          <w:w w:val="100"/>
        </w:rPr>
        <w:t>à</w:t>
      </w:r>
      <w:r>
        <w:rPr/>
        <w:t> </w:t>
      </w:r>
      <w:r>
        <w:rPr>
          <w:spacing w:val="-21"/>
        </w:rPr>
        <w:t> </w:t>
      </w:r>
      <w:r>
        <w:rPr>
          <w:spacing w:val="-1"/>
          <w:w w:val="100"/>
        </w:rPr>
        <w:t>a</w:t>
      </w:r>
      <w:r>
        <w:rPr>
          <w:w w:val="100"/>
        </w:rPr>
        <w:t>dministra</w:t>
      </w:r>
      <w:r>
        <w:rPr>
          <w:spacing w:val="-1"/>
          <w:w w:val="100"/>
        </w:rPr>
        <w:t>çã</w:t>
      </w:r>
      <w:r>
        <w:rPr/>
        <w:t>o, </w:t>
      </w:r>
      <w:r>
        <w:rPr>
          <w:spacing w:val="-18"/>
        </w:rPr>
        <w:t> </w:t>
      </w:r>
      <w:r>
        <w:rPr>
          <w:spacing w:val="-1"/>
          <w:w w:val="100"/>
        </w:rPr>
        <w:t>e</w:t>
      </w:r>
      <w:r>
        <w:rPr>
          <w:w w:val="100"/>
        </w:rPr>
        <w:t>stá</w:t>
      </w:r>
      <w:r>
        <w:rPr/>
        <w:t> </w:t>
      </w:r>
      <w:r>
        <w:rPr>
          <w:spacing w:val="-20"/>
        </w:rPr>
        <w:t> </w:t>
      </w:r>
      <w:r>
        <w:rPr>
          <w:spacing w:val="-1"/>
          <w:w w:val="100"/>
        </w:rPr>
        <w:t>e</w:t>
      </w:r>
      <w:r>
        <w:rPr>
          <w:w w:val="100"/>
        </w:rPr>
        <w:t>m</w:t>
      </w:r>
      <w:r>
        <w:rPr/>
        <w:t> </w:t>
      </w:r>
      <w:r>
        <w:rPr>
          <w:spacing w:val="-19"/>
        </w:rPr>
        <w:t> </w:t>
      </w:r>
      <w:r>
        <w:rPr>
          <w:w w:val="100"/>
        </w:rPr>
        <w:t>sintonia</w:t>
      </w:r>
      <w:r>
        <w:rPr/>
        <w:t> </w:t>
      </w:r>
      <w:r>
        <w:rPr>
          <w:spacing w:val="-18"/>
        </w:rPr>
        <w:t> </w:t>
      </w:r>
      <w:r>
        <w:rPr>
          <w:spacing w:val="-1"/>
          <w:w w:val="44"/>
        </w:rPr>
        <w:t>―</w:t>
      </w:r>
      <w:r>
        <w:rPr>
          <w:spacing w:val="-1"/>
          <w:w w:val="100"/>
        </w:rPr>
        <w:t>c</w:t>
      </w:r>
      <w:r>
        <w:rPr>
          <w:w w:val="100"/>
        </w:rPr>
        <w:t>om</w:t>
      </w:r>
      <w:r>
        <w:rPr/>
        <w:t> </w:t>
      </w:r>
      <w:r>
        <w:rPr>
          <w:spacing w:val="-15"/>
        </w:rPr>
        <w:t> </w:t>
      </w:r>
      <w:r>
        <w:rPr>
          <w:spacing w:val="-1"/>
          <w:w w:val="100"/>
        </w:rPr>
        <w:t>a</w:t>
      </w:r>
      <w:r>
        <w:rPr>
          <w:w w:val="99"/>
        </w:rPr>
        <w:t>s</w:t>
      </w:r>
      <w:r>
        <w:rPr/>
        <w:t> </w:t>
      </w:r>
      <w:r>
        <w:rPr>
          <w:spacing w:val="-20"/>
        </w:rPr>
        <w:t> </w:t>
      </w:r>
      <w:r>
        <w:rPr>
          <w:w w:val="100"/>
        </w:rPr>
        <w:t>li</w:t>
      </w:r>
      <w:r>
        <w:rPr>
          <w:w w:val="100"/>
        </w:rPr>
        <w:t>nh</w:t>
      </w:r>
      <w:r>
        <w:rPr>
          <w:spacing w:val="-1"/>
          <w:w w:val="100"/>
        </w:rPr>
        <w:t>a</w:t>
      </w:r>
      <w:r>
        <w:rPr>
          <w:w w:val="99"/>
        </w:rPr>
        <w:t>s</w:t>
      </w:r>
      <w:r>
        <w:rPr/>
        <w:t> </w:t>
      </w:r>
      <w:r>
        <w:rPr>
          <w:spacing w:val="-20"/>
        </w:rPr>
        <w:t> </w:t>
      </w:r>
      <w:r>
        <w:rPr>
          <w:w w:val="100"/>
        </w:rPr>
        <w:t>da </w:t>
      </w:r>
      <w:r>
        <w:rPr/>
        <w:t>política educacional do governo de Fernando Henrique Cardoso‖. Sintonia tamanha cuja ausência de vetos, fato raro na história da política educacional do País, parece demonstrar a satisfação da iniciativa</w:t>
      </w:r>
      <w:r>
        <w:rPr>
          <w:spacing w:val="-11"/>
        </w:rPr>
        <w:t> </w:t>
      </w:r>
      <w:r>
        <w:rPr/>
        <w:t>privada.</w:t>
      </w:r>
    </w:p>
    <w:p>
      <w:pPr>
        <w:pStyle w:val="BodyText"/>
        <w:spacing w:line="360" w:lineRule="auto" w:before="5"/>
        <w:ind w:left="102" w:right="230" w:firstLine="851"/>
        <w:jc w:val="both"/>
      </w:pPr>
      <w:r>
        <w:rPr/>
        <w:t>Em se tratando do planejamento da educação, a Lei estabelece como incumbência da União, em colaboração com os Estados e os Municípios, a elaboração do PNE, e no prazo de um ano a partir da sua publicação, contendo diretrizes e metas para os dez anos seguintes, em sintonia com a Declaração Mundial sobre Educação para Todos (BRASIL, 1996, art. 9º e 87).</w:t>
      </w:r>
    </w:p>
    <w:p>
      <w:pPr>
        <w:pStyle w:val="BodyText"/>
        <w:spacing w:line="360" w:lineRule="auto" w:before="4"/>
        <w:ind w:left="102" w:right="229" w:firstLine="851"/>
        <w:jc w:val="both"/>
      </w:pPr>
      <w:r>
        <w:rPr/>
        <w:t>Antes, ainda, da aprovação da Lei, entidades da sociedade civil já vinham preparando uma proposta de texto para o PNE. E, com o prazo se esgotando, no segundo semestre de 1997, o governo também faz sua proposta de Plano, como descreve Bordignon (2011, p. 21):</w:t>
      </w:r>
    </w:p>
    <w:p>
      <w:pPr>
        <w:pStyle w:val="BodyText"/>
        <w:spacing w:before="4"/>
        <w:rPr>
          <w:sz w:val="36"/>
        </w:rPr>
      </w:pPr>
    </w:p>
    <w:p>
      <w:pPr>
        <w:spacing w:before="0"/>
        <w:ind w:left="2370" w:right="224" w:firstLine="0"/>
        <w:jc w:val="both"/>
        <w:rPr>
          <w:sz w:val="20"/>
        </w:rPr>
      </w:pPr>
      <w:r>
        <w:rPr>
          <w:sz w:val="20"/>
        </w:rPr>
        <w:t>duas propostas de Plano Nacional de Educação chegaram ao Congresso </w:t>
      </w:r>
      <w:r>
        <w:rPr>
          <w:w w:val="99"/>
          <w:sz w:val="20"/>
        </w:rPr>
        <w:t>Nac</w:t>
      </w:r>
      <w:r>
        <w:rPr>
          <w:w w:val="99"/>
          <w:sz w:val="20"/>
        </w:rPr>
        <w:t>io</w:t>
      </w:r>
      <w:r>
        <w:rPr>
          <w:spacing w:val="-2"/>
          <w:w w:val="99"/>
          <w:sz w:val="20"/>
        </w:rPr>
        <w:t>n</w:t>
      </w:r>
      <w:r>
        <w:rPr>
          <w:w w:val="99"/>
          <w:sz w:val="20"/>
        </w:rPr>
        <w:t>al</w:t>
      </w:r>
      <w:r>
        <w:rPr>
          <w:spacing w:val="21"/>
          <w:sz w:val="20"/>
        </w:rPr>
        <w:t> </w:t>
      </w:r>
      <w:r>
        <w:rPr>
          <w:spacing w:val="2"/>
          <w:w w:val="99"/>
          <w:sz w:val="20"/>
        </w:rPr>
        <w:t>e</w:t>
      </w:r>
      <w:r>
        <w:rPr>
          <w:w w:val="99"/>
          <w:sz w:val="20"/>
        </w:rPr>
        <w:t>m</w:t>
      </w:r>
      <w:r>
        <w:rPr>
          <w:spacing w:val="20"/>
          <w:sz w:val="20"/>
        </w:rPr>
        <w:t> </w:t>
      </w:r>
      <w:r>
        <w:rPr>
          <w:spacing w:val="-2"/>
          <w:w w:val="99"/>
          <w:sz w:val="20"/>
        </w:rPr>
        <w:t>f</w:t>
      </w:r>
      <w:r>
        <w:rPr>
          <w:w w:val="99"/>
          <w:sz w:val="20"/>
        </w:rPr>
        <w:t>e</w:t>
      </w:r>
      <w:r>
        <w:rPr>
          <w:spacing w:val="-1"/>
          <w:w w:val="99"/>
          <w:sz w:val="20"/>
        </w:rPr>
        <w:t>v</w:t>
      </w:r>
      <w:r>
        <w:rPr>
          <w:w w:val="99"/>
          <w:sz w:val="20"/>
        </w:rPr>
        <w:t>e</w:t>
      </w:r>
      <w:r>
        <w:rPr>
          <w:spacing w:val="1"/>
          <w:w w:val="99"/>
          <w:sz w:val="20"/>
        </w:rPr>
        <w:t>r</w:t>
      </w:r>
      <w:r>
        <w:rPr>
          <w:w w:val="99"/>
          <w:sz w:val="20"/>
        </w:rPr>
        <w:t>eir</w:t>
      </w:r>
      <w:r>
        <w:rPr>
          <w:w w:val="99"/>
          <w:sz w:val="20"/>
        </w:rPr>
        <w:t>o</w:t>
      </w:r>
      <w:r>
        <w:rPr>
          <w:spacing w:val="22"/>
          <w:sz w:val="20"/>
        </w:rPr>
        <w:t> </w:t>
      </w:r>
      <w:r>
        <w:rPr>
          <w:spacing w:val="1"/>
          <w:w w:val="99"/>
          <w:sz w:val="20"/>
        </w:rPr>
        <w:t>d</w:t>
      </w:r>
      <w:r>
        <w:rPr>
          <w:w w:val="99"/>
          <w:sz w:val="20"/>
        </w:rPr>
        <w:t>e</w:t>
      </w:r>
      <w:r>
        <w:rPr>
          <w:spacing w:val="22"/>
          <w:sz w:val="20"/>
        </w:rPr>
        <w:t> </w:t>
      </w:r>
      <w:r>
        <w:rPr>
          <w:spacing w:val="1"/>
          <w:w w:val="99"/>
          <w:sz w:val="20"/>
        </w:rPr>
        <w:t>1</w:t>
      </w:r>
      <w:r>
        <w:rPr>
          <w:spacing w:val="-2"/>
          <w:w w:val="99"/>
          <w:sz w:val="20"/>
        </w:rPr>
        <w:t>9</w:t>
      </w:r>
      <w:r>
        <w:rPr>
          <w:spacing w:val="1"/>
          <w:w w:val="99"/>
          <w:sz w:val="20"/>
        </w:rPr>
        <w:t>98</w:t>
      </w:r>
      <w:r>
        <w:rPr>
          <w:w w:val="99"/>
          <w:sz w:val="20"/>
        </w:rPr>
        <w:t>:</w:t>
      </w:r>
      <w:r>
        <w:rPr>
          <w:spacing w:val="21"/>
          <w:sz w:val="20"/>
        </w:rPr>
        <w:t> </w:t>
      </w:r>
      <w:r>
        <w:rPr>
          <w:w w:val="99"/>
          <w:sz w:val="20"/>
        </w:rPr>
        <w:t>a</w:t>
      </w:r>
      <w:r>
        <w:rPr>
          <w:spacing w:val="19"/>
          <w:sz w:val="20"/>
        </w:rPr>
        <w:t> </w:t>
      </w:r>
      <w:r>
        <w:rPr>
          <w:spacing w:val="1"/>
          <w:w w:val="99"/>
          <w:sz w:val="20"/>
        </w:rPr>
        <w:t>p</w:t>
      </w:r>
      <w:r>
        <w:rPr>
          <w:w w:val="99"/>
          <w:sz w:val="20"/>
        </w:rPr>
        <w:t>r</w:t>
      </w:r>
      <w:r>
        <w:rPr>
          <w:w w:val="99"/>
          <w:sz w:val="20"/>
        </w:rPr>
        <w:t>i</w:t>
      </w:r>
      <w:r>
        <w:rPr>
          <w:spacing w:val="-4"/>
          <w:w w:val="99"/>
          <w:sz w:val="20"/>
        </w:rPr>
        <w:t>m</w:t>
      </w:r>
      <w:r>
        <w:rPr>
          <w:w w:val="99"/>
          <w:sz w:val="20"/>
        </w:rPr>
        <w:t>eira,</w:t>
      </w:r>
      <w:r>
        <w:rPr>
          <w:spacing w:val="24"/>
          <w:sz w:val="20"/>
        </w:rPr>
        <w:t> </w:t>
      </w:r>
      <w:r>
        <w:rPr>
          <w:spacing w:val="-2"/>
          <w:w w:val="44"/>
          <w:sz w:val="20"/>
        </w:rPr>
        <w:t>―</w:t>
      </w:r>
      <w:r>
        <w:rPr>
          <w:spacing w:val="1"/>
          <w:w w:val="99"/>
          <w:sz w:val="20"/>
        </w:rPr>
        <w:t>d</w:t>
      </w:r>
      <w:r>
        <w:rPr>
          <w:w w:val="99"/>
          <w:sz w:val="20"/>
        </w:rPr>
        <w:t>a</w:t>
      </w:r>
      <w:r>
        <w:rPr>
          <w:spacing w:val="22"/>
          <w:sz w:val="20"/>
        </w:rPr>
        <w:t> </w:t>
      </w:r>
      <w:r>
        <w:rPr>
          <w:w w:val="99"/>
          <w:sz w:val="20"/>
        </w:rPr>
        <w:t>So</w:t>
      </w:r>
      <w:r>
        <w:rPr>
          <w:w w:val="99"/>
          <w:sz w:val="20"/>
        </w:rPr>
        <w:t>cie</w:t>
      </w:r>
      <w:r>
        <w:rPr>
          <w:spacing w:val="1"/>
          <w:w w:val="99"/>
          <w:sz w:val="20"/>
        </w:rPr>
        <w:t>d</w:t>
      </w:r>
      <w:r>
        <w:rPr>
          <w:w w:val="99"/>
          <w:sz w:val="20"/>
        </w:rPr>
        <w:t>a</w:t>
      </w:r>
      <w:r>
        <w:rPr>
          <w:spacing w:val="1"/>
          <w:w w:val="99"/>
          <w:sz w:val="20"/>
        </w:rPr>
        <w:t>d</w:t>
      </w:r>
      <w:r>
        <w:rPr>
          <w:w w:val="99"/>
          <w:sz w:val="20"/>
        </w:rPr>
        <w:t>e</w:t>
      </w:r>
      <w:r>
        <w:rPr>
          <w:spacing w:val="19"/>
          <w:sz w:val="20"/>
        </w:rPr>
        <w:t> </w:t>
      </w:r>
      <w:r>
        <w:rPr>
          <w:spacing w:val="1"/>
          <w:w w:val="99"/>
          <w:sz w:val="20"/>
        </w:rPr>
        <w:t>B</w:t>
      </w:r>
      <w:r>
        <w:rPr>
          <w:w w:val="99"/>
          <w:sz w:val="20"/>
        </w:rPr>
        <w:t>r</w:t>
      </w:r>
      <w:r>
        <w:rPr>
          <w:w w:val="99"/>
          <w:sz w:val="20"/>
        </w:rPr>
        <w:t>asi</w:t>
      </w:r>
      <w:r>
        <w:rPr>
          <w:spacing w:val="-1"/>
          <w:w w:val="99"/>
          <w:sz w:val="20"/>
        </w:rPr>
        <w:t>l</w:t>
      </w:r>
      <w:r>
        <w:rPr>
          <w:w w:val="99"/>
          <w:sz w:val="20"/>
        </w:rPr>
        <w:t>eir</w:t>
      </w:r>
      <w:r>
        <w:rPr>
          <w:w w:val="122"/>
          <w:sz w:val="20"/>
        </w:rPr>
        <w:t>a‖</w:t>
      </w:r>
      <w:r>
        <w:rPr>
          <w:spacing w:val="22"/>
          <w:sz w:val="20"/>
        </w:rPr>
        <w:t> </w:t>
      </w:r>
      <w:r>
        <w:rPr>
          <w:spacing w:val="-2"/>
          <w:w w:val="99"/>
          <w:sz w:val="20"/>
        </w:rPr>
        <w:t>(</w:t>
      </w:r>
      <w:r>
        <w:rPr>
          <w:spacing w:val="1"/>
          <w:w w:val="99"/>
          <w:sz w:val="20"/>
        </w:rPr>
        <w:t>P</w:t>
      </w:r>
      <w:r>
        <w:rPr>
          <w:w w:val="99"/>
          <w:sz w:val="20"/>
        </w:rPr>
        <w:t>L </w:t>
      </w:r>
      <w:r>
        <w:rPr>
          <w:sz w:val="20"/>
        </w:rPr>
        <w:t>nº 4.155/98), elaborado pelo Fórum Nacional em Defesa da Escola Pública  e apresentado ao Plenário da Câmara pelo Deputado Ivan Valente em </w:t>
      </w:r>
      <w:r>
        <w:rPr>
          <w:spacing w:val="1"/>
          <w:w w:val="99"/>
          <w:sz w:val="20"/>
        </w:rPr>
        <w:t>10</w:t>
      </w:r>
      <w:r>
        <w:rPr>
          <w:w w:val="99"/>
          <w:sz w:val="20"/>
        </w:rPr>
        <w:t>/0</w:t>
      </w:r>
      <w:r>
        <w:rPr>
          <w:spacing w:val="1"/>
          <w:w w:val="99"/>
          <w:sz w:val="20"/>
        </w:rPr>
        <w:t>2</w:t>
      </w:r>
      <w:r>
        <w:rPr>
          <w:w w:val="99"/>
          <w:sz w:val="20"/>
        </w:rPr>
        <w:t>/</w:t>
      </w:r>
      <w:r>
        <w:rPr>
          <w:spacing w:val="-2"/>
          <w:w w:val="99"/>
          <w:sz w:val="20"/>
        </w:rPr>
        <w:t>9</w:t>
      </w:r>
      <w:r>
        <w:rPr>
          <w:spacing w:val="1"/>
          <w:w w:val="99"/>
          <w:sz w:val="20"/>
        </w:rPr>
        <w:t>8</w:t>
      </w:r>
      <w:r>
        <w:rPr>
          <w:w w:val="99"/>
          <w:sz w:val="20"/>
        </w:rPr>
        <w:t>,</w:t>
      </w:r>
      <w:r>
        <w:rPr>
          <w:sz w:val="20"/>
        </w:rPr>
        <w:t> </w:t>
      </w:r>
      <w:r>
        <w:rPr>
          <w:spacing w:val="-7"/>
          <w:sz w:val="20"/>
        </w:rPr>
        <w:t> </w:t>
      </w:r>
      <w:r>
        <w:rPr>
          <w:w w:val="99"/>
          <w:sz w:val="20"/>
        </w:rPr>
        <w:t>e</w:t>
      </w:r>
      <w:r>
        <w:rPr>
          <w:sz w:val="20"/>
        </w:rPr>
        <w:t> </w:t>
      </w:r>
      <w:r>
        <w:rPr>
          <w:spacing w:val="-7"/>
          <w:sz w:val="20"/>
        </w:rPr>
        <w:t> </w:t>
      </w:r>
      <w:r>
        <w:rPr>
          <w:w w:val="99"/>
          <w:sz w:val="20"/>
        </w:rPr>
        <w:t>a</w:t>
      </w:r>
      <w:r>
        <w:rPr>
          <w:sz w:val="20"/>
        </w:rPr>
        <w:t> </w:t>
      </w:r>
      <w:r>
        <w:rPr>
          <w:spacing w:val="-9"/>
          <w:sz w:val="20"/>
        </w:rPr>
        <w:t> </w:t>
      </w:r>
      <w:r>
        <w:rPr>
          <w:spacing w:val="1"/>
          <w:w w:val="99"/>
          <w:sz w:val="20"/>
        </w:rPr>
        <w:t>o</w:t>
      </w:r>
      <w:r>
        <w:rPr>
          <w:spacing w:val="-2"/>
          <w:w w:val="99"/>
          <w:sz w:val="20"/>
        </w:rPr>
        <w:t>u</w:t>
      </w:r>
      <w:r>
        <w:rPr>
          <w:w w:val="99"/>
          <w:sz w:val="20"/>
        </w:rPr>
        <w:t>tra,</w:t>
      </w:r>
      <w:r>
        <w:rPr>
          <w:sz w:val="20"/>
        </w:rPr>
        <w:t> </w:t>
      </w:r>
      <w:r>
        <w:rPr>
          <w:spacing w:val="-6"/>
          <w:sz w:val="20"/>
        </w:rPr>
        <w:t> </w:t>
      </w:r>
      <w:r>
        <w:rPr>
          <w:spacing w:val="-2"/>
          <w:w w:val="44"/>
          <w:sz w:val="20"/>
        </w:rPr>
        <w:t>―</w:t>
      </w:r>
      <w:r>
        <w:rPr>
          <w:spacing w:val="1"/>
          <w:w w:val="99"/>
          <w:sz w:val="20"/>
        </w:rPr>
        <w:t>d</w:t>
      </w:r>
      <w:r>
        <w:rPr>
          <w:w w:val="99"/>
          <w:sz w:val="20"/>
        </w:rPr>
        <w:t>o</w:t>
      </w:r>
      <w:r>
        <w:rPr>
          <w:sz w:val="20"/>
        </w:rPr>
        <w:t> </w:t>
      </w:r>
      <w:r>
        <w:rPr>
          <w:spacing w:val="-6"/>
          <w:sz w:val="20"/>
        </w:rPr>
        <w:t> </w:t>
      </w:r>
      <w:r>
        <w:rPr>
          <w:w w:val="99"/>
          <w:sz w:val="20"/>
        </w:rPr>
        <w:t>E</w:t>
      </w:r>
      <w:r>
        <w:rPr>
          <w:spacing w:val="-2"/>
          <w:w w:val="99"/>
          <w:sz w:val="20"/>
        </w:rPr>
        <w:t>x</w:t>
      </w:r>
      <w:r>
        <w:rPr>
          <w:w w:val="99"/>
          <w:sz w:val="20"/>
        </w:rPr>
        <w:t>ec</w:t>
      </w:r>
      <w:r>
        <w:rPr>
          <w:spacing w:val="-2"/>
          <w:w w:val="99"/>
          <w:sz w:val="20"/>
        </w:rPr>
        <w:t>u</w:t>
      </w:r>
      <w:r>
        <w:rPr>
          <w:w w:val="99"/>
          <w:sz w:val="20"/>
        </w:rPr>
        <w:t>t</w:t>
      </w:r>
      <w:r>
        <w:rPr>
          <w:spacing w:val="1"/>
          <w:w w:val="99"/>
          <w:sz w:val="20"/>
        </w:rPr>
        <w:t>i</w:t>
      </w:r>
      <w:r>
        <w:rPr>
          <w:spacing w:val="-2"/>
          <w:w w:val="99"/>
          <w:sz w:val="20"/>
        </w:rPr>
        <w:t>v</w:t>
      </w:r>
      <w:r>
        <w:rPr>
          <w:w w:val="99"/>
          <w:sz w:val="20"/>
        </w:rPr>
        <w:t>o</w:t>
      </w:r>
      <w:r>
        <w:rPr>
          <w:sz w:val="20"/>
        </w:rPr>
        <w:t> </w:t>
      </w:r>
      <w:r>
        <w:rPr>
          <w:spacing w:val="-6"/>
          <w:sz w:val="20"/>
        </w:rPr>
        <w:t> </w:t>
      </w:r>
      <w:r>
        <w:rPr>
          <w:w w:val="99"/>
          <w:sz w:val="20"/>
        </w:rPr>
        <w:t>ao</w:t>
      </w:r>
      <w:r>
        <w:rPr>
          <w:sz w:val="20"/>
        </w:rPr>
        <w:t> </w:t>
      </w:r>
      <w:r>
        <w:rPr>
          <w:spacing w:val="-6"/>
          <w:sz w:val="20"/>
        </w:rPr>
        <w:t> </w:t>
      </w:r>
      <w:r>
        <w:rPr>
          <w:spacing w:val="-1"/>
          <w:w w:val="99"/>
          <w:sz w:val="20"/>
        </w:rPr>
        <w:t>C</w:t>
      </w:r>
      <w:r>
        <w:rPr>
          <w:spacing w:val="1"/>
          <w:w w:val="99"/>
          <w:sz w:val="20"/>
        </w:rPr>
        <w:t>o</w:t>
      </w:r>
      <w:r>
        <w:rPr>
          <w:spacing w:val="-2"/>
          <w:w w:val="99"/>
          <w:sz w:val="20"/>
        </w:rPr>
        <w:t>ng</w:t>
      </w:r>
      <w:r>
        <w:rPr>
          <w:w w:val="99"/>
          <w:sz w:val="20"/>
        </w:rPr>
        <w:t>re</w:t>
      </w:r>
      <w:r>
        <w:rPr>
          <w:spacing w:val="1"/>
          <w:w w:val="99"/>
          <w:sz w:val="20"/>
        </w:rPr>
        <w:t>s</w:t>
      </w:r>
      <w:r>
        <w:rPr>
          <w:spacing w:val="-1"/>
          <w:w w:val="99"/>
          <w:sz w:val="20"/>
        </w:rPr>
        <w:t>s</w:t>
      </w:r>
      <w:r>
        <w:rPr>
          <w:w w:val="99"/>
          <w:sz w:val="20"/>
        </w:rPr>
        <w:t>o</w:t>
      </w:r>
      <w:r>
        <w:rPr>
          <w:sz w:val="20"/>
        </w:rPr>
        <w:t> </w:t>
      </w:r>
      <w:r>
        <w:rPr>
          <w:spacing w:val="-6"/>
          <w:sz w:val="20"/>
        </w:rPr>
        <w:t> </w:t>
      </w:r>
      <w:r>
        <w:rPr>
          <w:w w:val="99"/>
          <w:sz w:val="20"/>
        </w:rPr>
        <w:t>Nac</w:t>
      </w:r>
      <w:r>
        <w:rPr>
          <w:w w:val="99"/>
          <w:sz w:val="20"/>
        </w:rPr>
        <w:t>io</w:t>
      </w:r>
      <w:r>
        <w:rPr>
          <w:spacing w:val="-2"/>
          <w:w w:val="99"/>
          <w:sz w:val="20"/>
        </w:rPr>
        <w:t>n</w:t>
      </w:r>
      <w:r>
        <w:rPr>
          <w:w w:val="115"/>
          <w:sz w:val="20"/>
        </w:rPr>
        <w:t>al‖</w:t>
      </w:r>
      <w:r>
        <w:rPr>
          <w:sz w:val="20"/>
        </w:rPr>
        <w:t> </w:t>
      </w:r>
      <w:r>
        <w:rPr>
          <w:spacing w:val="-6"/>
          <w:sz w:val="20"/>
        </w:rPr>
        <w:t> </w:t>
      </w:r>
      <w:r>
        <w:rPr>
          <w:w w:val="99"/>
          <w:sz w:val="20"/>
        </w:rPr>
        <w:t>(Me</w:t>
      </w:r>
      <w:r>
        <w:rPr>
          <w:spacing w:val="1"/>
          <w:w w:val="99"/>
          <w:sz w:val="20"/>
        </w:rPr>
        <w:t>n</w:t>
      </w:r>
      <w:r>
        <w:rPr>
          <w:spacing w:val="-1"/>
          <w:w w:val="99"/>
          <w:sz w:val="20"/>
        </w:rPr>
        <w:t>s</w:t>
      </w:r>
      <w:r>
        <w:rPr>
          <w:w w:val="99"/>
          <w:sz w:val="20"/>
        </w:rPr>
        <w:t>a</w:t>
      </w:r>
      <w:r>
        <w:rPr>
          <w:spacing w:val="-1"/>
          <w:w w:val="99"/>
          <w:sz w:val="20"/>
        </w:rPr>
        <w:t>g</w:t>
      </w:r>
      <w:r>
        <w:rPr>
          <w:spacing w:val="2"/>
          <w:w w:val="99"/>
          <w:sz w:val="20"/>
        </w:rPr>
        <w:t>e</w:t>
      </w:r>
      <w:r>
        <w:rPr>
          <w:w w:val="99"/>
          <w:sz w:val="20"/>
        </w:rPr>
        <w:t>m </w:t>
      </w:r>
      <w:r>
        <w:rPr>
          <w:sz w:val="20"/>
        </w:rPr>
        <w:t>180/98, de 11/02/98) de iniciativa do</w:t>
      </w:r>
      <w:r>
        <w:rPr>
          <w:spacing w:val="-14"/>
          <w:sz w:val="20"/>
        </w:rPr>
        <w:t> </w:t>
      </w:r>
      <w:r>
        <w:rPr>
          <w:sz w:val="20"/>
        </w:rPr>
        <w:t>MEC.</w:t>
      </w:r>
    </w:p>
    <w:p>
      <w:pPr>
        <w:pStyle w:val="BodyText"/>
        <w:rPr>
          <w:sz w:val="22"/>
        </w:rPr>
      </w:pPr>
    </w:p>
    <w:p>
      <w:pPr>
        <w:pStyle w:val="BodyText"/>
        <w:spacing w:line="360" w:lineRule="auto" w:before="161"/>
        <w:ind w:left="102" w:right="231" w:firstLine="851"/>
        <w:jc w:val="both"/>
      </w:pPr>
      <w:r>
        <w:rPr/>
        <w:t>A proposta da sociedade é discutida em duas edições dos Congressos Nacionais de Educação (CONEDs I e II):</w:t>
      </w:r>
    </w:p>
    <w:p>
      <w:pPr>
        <w:pStyle w:val="BodyText"/>
        <w:spacing w:before="3"/>
        <w:rPr>
          <w:sz w:val="36"/>
        </w:rPr>
      </w:pPr>
    </w:p>
    <w:p>
      <w:pPr>
        <w:spacing w:before="0"/>
        <w:ind w:left="2370" w:right="228" w:firstLine="0"/>
        <w:jc w:val="both"/>
        <w:rPr>
          <w:sz w:val="20"/>
        </w:rPr>
      </w:pPr>
      <w:r>
        <w:rPr>
          <w:sz w:val="20"/>
        </w:rPr>
        <w:t>no primeiro CONED foram sistematizadas as diretrizes educacionais para a elaboração do novo PNE. Com base nessas diretrizes foram desenvolvidas, pelas entidades participantes do Fórum, inúmeras atividades em todo o território nacional (discussões nas diferentes instâncias organizativas e nos diversos seminários temáticos nacionais e locais), preparatórias do II CONED, quando, por meio de intenso trabalho em discussões das mesas- redondas, conferências, apresentação de trabalhos e comunicações e, principalmente, nas plenárias temáticas e na plenária final, foi consolidada a proposta do novo plano, definida como o ―nosso belo horizonte‖. (BORDIGNON, 2011, p. 21).</w:t>
      </w:r>
    </w:p>
    <w:p>
      <w:pPr>
        <w:pStyle w:val="BodyText"/>
        <w:rPr>
          <w:sz w:val="22"/>
        </w:rPr>
      </w:pPr>
    </w:p>
    <w:p>
      <w:pPr>
        <w:pStyle w:val="BodyText"/>
        <w:spacing w:line="360" w:lineRule="auto" w:before="161"/>
        <w:ind w:left="102" w:right="230" w:firstLine="851"/>
        <w:jc w:val="both"/>
      </w:pPr>
      <w:r>
        <w:rPr/>
        <w:t>Já a proposta do executivo, é apresentada por meio de interlocução do Conselho Nacional de Educação (CNE), do Conselho Nacional de Secretários de Educação (Consed) e da União Nacional dos Dirigentes Municipais de Educação (Undime), com a justificativa de não ampliação das discussões e, consequentemente,</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2" w:lineRule="auto" w:before="210"/>
        <w:ind w:left="102"/>
      </w:pPr>
      <w:r>
        <w:rPr/>
        <w:t>da restrita participação, em decorrência do pouco tempo estabelecido pala LDB (BORDIGNON, 2011).</w:t>
      </w:r>
    </w:p>
    <w:p>
      <w:pPr>
        <w:pStyle w:val="BodyText"/>
        <w:spacing w:line="360" w:lineRule="auto"/>
        <w:ind w:left="102" w:right="231" w:firstLine="851"/>
        <w:jc w:val="both"/>
      </w:pPr>
      <w:r>
        <w:rPr/>
        <w:t>Como desfecho, há a confluência das duas propostas em um projeto substitutivo, sob a relatoria de Nelson Marchezan, que se embasava na proposta do executivo, acrescida de algumas metas da proposta da sociedade. No total, foram aprovadas 295 (duzentas e noventa e cinco) metas, compondo o PNE, aprovado por meio da Lei nº 10.172, de 9 de janeiro de 2001.</w:t>
      </w:r>
    </w:p>
    <w:p>
      <w:pPr>
        <w:pStyle w:val="BodyText"/>
        <w:spacing w:line="360" w:lineRule="auto" w:before="6"/>
        <w:ind w:left="102" w:right="224" w:firstLine="851"/>
        <w:jc w:val="both"/>
      </w:pPr>
      <w:r>
        <w:rPr/>
        <w:t>Na análise de Bordignon (2011, p. 21), a proposta do executivo fundamenta- se na concepção de planejamento técnico, com definição de objetivos e metas segmentados por temas, com forte viés da política do governo que a formulava. As </w:t>
      </w:r>
      <w:r>
        <w:rPr>
          <w:spacing w:val="-1"/>
        </w:rPr>
        <w:t>ca</w:t>
      </w:r>
      <w:r>
        <w:rPr/>
        <w:t>ra</w:t>
      </w:r>
      <w:r>
        <w:rPr>
          <w:spacing w:val="-1"/>
        </w:rPr>
        <w:t>c</w:t>
      </w:r>
      <w:r>
        <w:rPr/>
        <w:t>te</w:t>
      </w:r>
      <w:r>
        <w:rPr>
          <w:spacing w:val="-2"/>
        </w:rPr>
        <w:t>r</w:t>
      </w:r>
      <w:r>
        <w:rPr>
          <w:w w:val="99"/>
        </w:rPr>
        <w:t>ís</w:t>
      </w:r>
      <w:r>
        <w:rPr>
          <w:spacing w:val="1"/>
          <w:w w:val="99"/>
        </w:rPr>
        <w:t>t</w:t>
      </w:r>
      <w:r>
        <w:rPr/>
        <w:t>ic</w:t>
      </w:r>
      <w:r>
        <w:rPr>
          <w:spacing w:val="-2"/>
        </w:rPr>
        <w:t>a</w:t>
      </w:r>
      <w:r>
        <w:rPr>
          <w:w w:val="99"/>
        </w:rPr>
        <w:t>s</w:t>
      </w:r>
      <w:r>
        <w:rPr/>
        <w:t>     </w:t>
      </w:r>
      <w:r>
        <w:rPr>
          <w:spacing w:val="-12"/>
        </w:rPr>
        <w:t> </w:t>
      </w:r>
      <w:r>
        <w:rPr/>
        <w:t>do     </w:t>
      </w:r>
      <w:r>
        <w:rPr>
          <w:spacing w:val="-15"/>
        </w:rPr>
        <w:t> </w:t>
      </w:r>
      <w:r>
        <w:rPr>
          <w:w w:val="99"/>
        </w:rPr>
        <w:t>P</w:t>
      </w:r>
      <w:r>
        <w:rPr>
          <w:w w:val="99"/>
        </w:rPr>
        <w:t>NE     </w:t>
      </w:r>
      <w:r>
        <w:rPr>
          <w:spacing w:val="-16"/>
          <w:w w:val="99"/>
        </w:rPr>
        <w:t> </w:t>
      </w:r>
      <w:r>
        <w:rPr>
          <w:spacing w:val="-1"/>
          <w:w w:val="44"/>
        </w:rPr>
        <w:t>―</w:t>
      </w:r>
      <w:r>
        <w:rPr>
          <w:spacing w:val="-1"/>
          <w:w w:val="100"/>
        </w:rPr>
        <w:t>e</w:t>
      </w:r>
      <w:r>
        <w:rPr>
          <w:w w:val="100"/>
        </w:rPr>
        <w:t>stiv</w:t>
      </w:r>
      <w:r>
        <w:rPr>
          <w:spacing w:val="1"/>
          <w:w w:val="100"/>
        </w:rPr>
        <w:t>e</w:t>
      </w:r>
      <w:r>
        <w:rPr>
          <w:w w:val="100"/>
        </w:rPr>
        <w:t>r</w:t>
      </w:r>
      <w:r>
        <w:rPr>
          <w:spacing w:val="-2"/>
          <w:w w:val="100"/>
        </w:rPr>
        <w:t>a</w:t>
      </w:r>
      <w:r>
        <w:rPr>
          <w:w w:val="100"/>
        </w:rPr>
        <w:t>m</w:t>
      </w:r>
      <w:r>
        <w:rPr/>
        <w:t>     </w:t>
      </w:r>
      <w:r>
        <w:rPr>
          <w:spacing w:val="-15"/>
        </w:rPr>
        <w:t> </w:t>
      </w:r>
      <w:r>
        <w:rPr>
          <w:w w:val="100"/>
        </w:rPr>
        <w:t>ma</w:t>
      </w:r>
      <w:r>
        <w:rPr>
          <w:spacing w:val="4"/>
          <w:w w:val="100"/>
        </w:rPr>
        <w:t>i</w:t>
      </w:r>
      <w:r>
        <w:rPr>
          <w:w w:val="99"/>
        </w:rPr>
        <w:t>s</w:t>
      </w:r>
      <w:r>
        <w:rPr/>
        <w:t>     </w:t>
      </w:r>
      <w:r>
        <w:rPr>
          <w:spacing w:val="-15"/>
        </w:rPr>
        <w:t> </w:t>
      </w:r>
      <w:r>
        <w:rPr/>
        <w:t>p</w:t>
      </w:r>
      <w:r>
        <w:rPr>
          <w:spacing w:val="-1"/>
        </w:rPr>
        <w:t>r</w:t>
      </w:r>
      <w:r>
        <w:rPr/>
        <w:t>ó</w:t>
      </w:r>
      <w:r>
        <w:rPr>
          <w:spacing w:val="2"/>
        </w:rPr>
        <w:t>x</w:t>
      </w:r>
      <w:r>
        <w:rPr/>
        <w:t>im</w:t>
      </w:r>
      <w:r>
        <w:rPr>
          <w:spacing w:val="-1"/>
        </w:rPr>
        <w:t>a</w:t>
      </w:r>
      <w:r>
        <w:rPr>
          <w:w w:val="99"/>
        </w:rPr>
        <w:t>s</w:t>
      </w:r>
      <w:r>
        <w:rPr/>
        <w:t>     </w:t>
      </w:r>
      <w:r>
        <w:rPr>
          <w:spacing w:val="-15"/>
        </w:rPr>
        <w:t> </w:t>
      </w:r>
      <w:r>
        <w:rPr/>
        <w:t>do     </w:t>
      </w:r>
      <w:r>
        <w:rPr>
          <w:spacing w:val="-15"/>
        </w:rPr>
        <w:t> </w:t>
      </w:r>
      <w:r>
        <w:rPr/>
        <w:t>plan</w:t>
      </w:r>
      <w:r>
        <w:rPr>
          <w:spacing w:val="-2"/>
        </w:rPr>
        <w:t>e</w:t>
      </w:r>
      <w:r>
        <w:rPr/>
        <w:t>jam</w:t>
      </w:r>
      <w:r>
        <w:rPr>
          <w:spacing w:val="-1"/>
        </w:rPr>
        <w:t>e</w:t>
      </w:r>
      <w:r>
        <w:rPr/>
        <w:t>nto normativo/tradicional do que da nova concepção de planejamento estratégico. A partir de um diagnóstico estático definia objetivos e metas como um dever ser futuro, sem apresentar as estratégias de ação‖. Ainda, não bastasse a falta de estratégias de ação, as metas características de aporte financeiro foram vetadas, inviabilizando a implementação do</w:t>
      </w:r>
      <w:r>
        <w:rPr>
          <w:spacing w:val="-5"/>
        </w:rPr>
        <w:t> </w:t>
      </w:r>
      <w:r>
        <w:rPr/>
        <w:t>Plano.</w:t>
      </w:r>
    </w:p>
    <w:p>
      <w:pPr>
        <w:pStyle w:val="BodyText"/>
        <w:spacing w:line="360" w:lineRule="auto" w:before="4"/>
        <w:ind w:left="102" w:right="230" w:firstLine="851"/>
        <w:jc w:val="both"/>
      </w:pPr>
      <w:r>
        <w:rPr>
          <w:w w:val="99"/>
        </w:rPr>
        <w:t>Va</w:t>
      </w:r>
      <w:r>
        <w:rPr>
          <w:w w:val="100"/>
        </w:rPr>
        <w:t>lente</w:t>
      </w:r>
      <w:r>
        <w:rPr/>
        <w:t> (2001, p. 40) </w:t>
      </w:r>
      <w:r>
        <w:rPr>
          <w:w w:val="100"/>
        </w:rPr>
        <w:t>de</w:t>
      </w:r>
      <w:r>
        <w:rPr>
          <w:w w:val="100"/>
        </w:rPr>
        <w:t>clara</w:t>
      </w:r>
      <w:r>
        <w:rPr/>
        <w:t> </w:t>
      </w:r>
      <w:r>
        <w:rPr>
          <w:w w:val="100"/>
        </w:rPr>
        <w:t>que </w:t>
      </w:r>
      <w:r>
        <w:rPr>
          <w:w w:val="44"/>
        </w:rPr>
        <w:t>―</w:t>
      </w:r>
      <w:r>
        <w:rPr>
          <w:w w:val="100"/>
        </w:rPr>
        <w:t>a</w:t>
      </w:r>
      <w:r>
        <w:rPr/>
        <w:t> </w:t>
      </w:r>
      <w:r>
        <w:rPr>
          <w:w w:val="100"/>
        </w:rPr>
        <w:t>a</w:t>
      </w:r>
      <w:r>
        <w:rPr>
          <w:w w:val="99"/>
        </w:rPr>
        <w:t>pr</w:t>
      </w:r>
      <w:r>
        <w:rPr>
          <w:w w:val="100"/>
        </w:rPr>
        <w:t>eciaçã</w:t>
      </w:r>
      <w:r>
        <w:rPr/>
        <w:t>o </w:t>
      </w:r>
      <w:r>
        <w:rPr>
          <w:w w:val="100"/>
        </w:rPr>
        <w:t>minimamente</w:t>
      </w:r>
      <w:r>
        <w:rPr/>
        <w:t> </w:t>
      </w:r>
      <w:r>
        <w:rPr>
          <w:w w:val="100"/>
        </w:rPr>
        <w:t>de</w:t>
      </w:r>
      <w:r>
        <w:rPr>
          <w:w w:val="100"/>
        </w:rPr>
        <w:t>ti</w:t>
      </w:r>
      <w:r>
        <w:rPr>
          <w:w w:val="100"/>
        </w:rPr>
        <w:t>da</w:t>
      </w:r>
      <w:r>
        <w:rPr/>
        <w:t> </w:t>
      </w:r>
      <w:r>
        <w:rPr>
          <w:w w:val="100"/>
        </w:rPr>
        <w:t>de</w:t>
      </w:r>
      <w:r>
        <w:rPr>
          <w:w w:val="99"/>
        </w:rPr>
        <w:t>sses </w:t>
      </w:r>
      <w:r>
        <w:rPr/>
        <w:t>vetos comprova que o governo, fiel aos cânones do neoliberalismo, não admite outros planos que não sejam aqueles elaborados pelas grandes corporações e grupos econômicos, tratados como ‗mercado‘‖. E continua,</w:t>
      </w:r>
    </w:p>
    <w:p>
      <w:pPr>
        <w:pStyle w:val="BodyText"/>
        <w:spacing w:before="4"/>
        <w:rPr>
          <w:sz w:val="36"/>
        </w:rPr>
      </w:pPr>
    </w:p>
    <w:p>
      <w:pPr>
        <w:spacing w:before="0"/>
        <w:ind w:left="2370" w:right="231" w:firstLine="0"/>
        <w:jc w:val="both"/>
        <w:rPr>
          <w:sz w:val="20"/>
        </w:rPr>
      </w:pPr>
      <w:r>
        <w:rPr>
          <w:sz w:val="20"/>
        </w:rPr>
        <w:t>O PNE aprovado pelo Congresso tem a marca da política governamental. Nele não prevalece uma ideia que trabalhe a questão educacional como esfera das políticas de estado. Esta nova lei da Educação, assim como a LDB e a legislação aprovadas sob a égide do </w:t>
      </w:r>
      <w:r>
        <w:rPr>
          <w:b/>
          <w:sz w:val="20"/>
        </w:rPr>
        <w:t>condomínio político conservador </w:t>
      </w:r>
      <w:r>
        <w:rPr>
          <w:sz w:val="20"/>
        </w:rPr>
        <w:t>que atualmente controla o governo brasileiro, traduz a compreensão de que a política educacional deve ser concebida e praticada passando por cima do pensamento, das reivindicações e dos anseios da comunidade escolar. (Grifos</w:t>
      </w:r>
      <w:r>
        <w:rPr>
          <w:spacing w:val="-14"/>
          <w:sz w:val="20"/>
        </w:rPr>
        <w:t> </w:t>
      </w:r>
      <w:r>
        <w:rPr>
          <w:sz w:val="20"/>
        </w:rPr>
        <w:t>nossos).</w:t>
      </w:r>
    </w:p>
    <w:p>
      <w:pPr>
        <w:pStyle w:val="BodyText"/>
        <w:rPr>
          <w:sz w:val="22"/>
        </w:rPr>
      </w:pPr>
    </w:p>
    <w:p>
      <w:pPr>
        <w:pStyle w:val="BodyText"/>
        <w:spacing w:line="360" w:lineRule="auto" w:before="163"/>
        <w:ind w:left="102" w:right="139" w:firstLine="993"/>
        <w:jc w:val="both"/>
      </w:pPr>
      <w:r>
        <w:rPr/>
        <w:t>Do exposto, nos é possível afirmar que, por um lado, o País cumpriu uma demanda histórica, a de aprovação de um PNE por meio de uma Lei. Entretanto, conservador, sustentado por uma política pública conservadora para o campo da educação.</w:t>
      </w:r>
    </w:p>
    <w:p>
      <w:pPr>
        <w:pStyle w:val="BodyText"/>
        <w:spacing w:line="360" w:lineRule="auto" w:before="5"/>
        <w:ind w:left="102" w:right="229" w:firstLine="851"/>
        <w:jc w:val="both"/>
      </w:pPr>
      <w:r>
        <w:rPr/>
        <w:t>Nesse contexto, sobressai a concepção de planejamento estratégico, cuja elaboração e implementação, como em outras concepções, perpassa por ações específicas, sendo (PARENTE, 2003):</w:t>
      </w:r>
    </w:p>
    <w:p>
      <w:pPr>
        <w:spacing w:after="0" w:line="360" w:lineRule="auto"/>
        <w:jc w:val="both"/>
        <w:sectPr>
          <w:pgSz w:w="11910" w:h="16840"/>
          <w:pgMar w:header="749" w:footer="0" w:top="960" w:bottom="280" w:left="1600" w:right="1580"/>
        </w:sectPr>
      </w:pPr>
    </w:p>
    <w:p>
      <w:pPr>
        <w:pStyle w:val="BodyText"/>
        <w:rPr>
          <w:sz w:val="20"/>
        </w:rPr>
      </w:pPr>
    </w:p>
    <w:p>
      <w:pPr>
        <w:pStyle w:val="ListParagraph"/>
        <w:numPr>
          <w:ilvl w:val="0"/>
          <w:numId w:val="10"/>
        </w:numPr>
        <w:tabs>
          <w:tab w:pos="1094" w:val="left" w:leader="none"/>
        </w:tabs>
        <w:spacing w:line="240" w:lineRule="auto" w:before="210" w:after="0"/>
        <w:ind w:left="102" w:right="0" w:firstLine="852"/>
        <w:jc w:val="left"/>
        <w:rPr>
          <w:sz w:val="24"/>
        </w:rPr>
      </w:pPr>
      <w:r>
        <w:rPr>
          <w:sz w:val="24"/>
        </w:rPr>
        <w:t>Análise da missão e análise situacional</w:t>
      </w:r>
      <w:r>
        <w:rPr>
          <w:spacing w:val="-9"/>
          <w:sz w:val="24"/>
        </w:rPr>
        <w:t> </w:t>
      </w:r>
      <w:r>
        <w:rPr>
          <w:sz w:val="24"/>
        </w:rPr>
        <w:t>(diagnóstico).</w:t>
      </w:r>
    </w:p>
    <w:p>
      <w:pPr>
        <w:pStyle w:val="ListParagraph"/>
        <w:numPr>
          <w:ilvl w:val="0"/>
          <w:numId w:val="10"/>
        </w:numPr>
        <w:tabs>
          <w:tab w:pos="1103" w:val="left" w:leader="none"/>
        </w:tabs>
        <w:spacing w:line="360" w:lineRule="auto" w:before="139" w:after="0"/>
        <w:ind w:left="102" w:right="224" w:firstLine="852"/>
        <w:jc w:val="both"/>
        <w:rPr>
          <w:sz w:val="24"/>
        </w:rPr>
      </w:pPr>
      <w:r>
        <w:rPr>
          <w:sz w:val="24"/>
        </w:rPr>
        <w:t>Formulação de políticas e escolha de estratégias (definição de valores, visão de futuro, missão e objetivos</w:t>
      </w:r>
      <w:r>
        <w:rPr>
          <w:spacing w:val="-8"/>
          <w:sz w:val="24"/>
        </w:rPr>
        <w:t> </w:t>
      </w:r>
      <w:r>
        <w:rPr>
          <w:sz w:val="24"/>
        </w:rPr>
        <w:t>estratégicos).</w:t>
      </w:r>
    </w:p>
    <w:p>
      <w:pPr>
        <w:pStyle w:val="ListParagraph"/>
        <w:numPr>
          <w:ilvl w:val="0"/>
          <w:numId w:val="10"/>
        </w:numPr>
        <w:tabs>
          <w:tab w:pos="1094" w:val="left" w:leader="none"/>
        </w:tabs>
        <w:spacing w:line="240" w:lineRule="auto" w:before="6" w:after="0"/>
        <w:ind w:left="1093" w:right="0" w:hanging="139"/>
        <w:jc w:val="left"/>
        <w:rPr>
          <w:sz w:val="24"/>
        </w:rPr>
      </w:pPr>
      <w:r>
        <w:rPr>
          <w:sz w:val="24"/>
        </w:rPr>
        <w:t>Programação (estratégias, metas e planos de</w:t>
      </w:r>
      <w:r>
        <w:rPr>
          <w:spacing w:val="-8"/>
          <w:sz w:val="24"/>
        </w:rPr>
        <w:t> </w:t>
      </w:r>
      <w:r>
        <w:rPr>
          <w:sz w:val="24"/>
        </w:rPr>
        <w:t>ação).</w:t>
      </w:r>
    </w:p>
    <w:p>
      <w:pPr>
        <w:pStyle w:val="ListParagraph"/>
        <w:numPr>
          <w:ilvl w:val="0"/>
          <w:numId w:val="10"/>
        </w:numPr>
        <w:tabs>
          <w:tab w:pos="1094" w:val="left" w:leader="none"/>
        </w:tabs>
        <w:spacing w:line="240" w:lineRule="auto" w:before="136" w:after="0"/>
        <w:ind w:left="1093" w:right="0" w:hanging="139"/>
        <w:jc w:val="left"/>
        <w:rPr>
          <w:sz w:val="24"/>
        </w:rPr>
      </w:pPr>
      <w:r>
        <w:rPr>
          <w:sz w:val="24"/>
        </w:rPr>
        <w:t>Execução (implementação dos planos de</w:t>
      </w:r>
      <w:r>
        <w:rPr>
          <w:spacing w:val="-8"/>
          <w:sz w:val="24"/>
        </w:rPr>
        <w:t> </w:t>
      </w:r>
      <w:r>
        <w:rPr>
          <w:sz w:val="24"/>
        </w:rPr>
        <w:t>ação).</w:t>
      </w:r>
    </w:p>
    <w:p>
      <w:pPr>
        <w:pStyle w:val="BodyText"/>
        <w:spacing w:line="360" w:lineRule="auto" w:before="139"/>
        <w:ind w:left="102" w:right="230" w:firstLine="851"/>
        <w:jc w:val="both"/>
      </w:pPr>
      <w:r>
        <w:rPr/>
        <w:t>-Acompanhamento e avaliação (verificação da execução dos planos de ação e, quando necessário, de adoção de medidas corretivas).</w:t>
      </w:r>
    </w:p>
    <w:p>
      <w:pPr>
        <w:pStyle w:val="BodyText"/>
        <w:spacing w:line="360" w:lineRule="auto" w:before="6"/>
        <w:ind w:left="102" w:right="226" w:firstLine="851"/>
        <w:jc w:val="both"/>
      </w:pPr>
      <w:r>
        <w:rPr/>
        <w:t>Um dos grandes equívocos dessa concepção de planejamento em educação (VASCONCELLOS,   2010;   GANDIN,   2007;   ZAINCO,   2000;   OLIVEIRA,</w:t>
      </w:r>
      <w:r>
        <w:rPr>
          <w:spacing w:val="50"/>
        </w:rPr>
        <w:t> </w:t>
      </w:r>
      <w:r>
        <w:rPr/>
        <w:t>s/d;</w:t>
      </w:r>
    </w:p>
    <w:p>
      <w:pPr>
        <w:pStyle w:val="BodyText"/>
        <w:spacing w:line="360" w:lineRule="auto" w:before="6"/>
        <w:ind w:left="102" w:right="224"/>
        <w:jc w:val="both"/>
      </w:pPr>
      <w:r>
        <w:rPr/>
        <w:t>LAGARES et al, 2015; SOUSA, 2015) é quanto a adaptação às especificidades educacionais e, em muitos casos, o planejamento torna-se um mero exercício  da análise de cenários, de previsão de tendências, de formulação de missões, sem rever os fins e o papel da educação.</w:t>
      </w:r>
    </w:p>
    <w:p>
      <w:pPr>
        <w:pStyle w:val="BodyText"/>
        <w:rPr>
          <w:sz w:val="26"/>
        </w:rPr>
      </w:pPr>
    </w:p>
    <w:p>
      <w:pPr>
        <w:pStyle w:val="BodyText"/>
        <w:rPr>
          <w:sz w:val="26"/>
        </w:rPr>
      </w:pPr>
    </w:p>
    <w:p>
      <w:pPr>
        <w:pStyle w:val="BodyText"/>
        <w:spacing w:before="11"/>
        <w:rPr>
          <w:sz w:val="20"/>
        </w:rPr>
      </w:pPr>
    </w:p>
    <w:p>
      <w:pPr>
        <w:pStyle w:val="Heading2"/>
        <w:numPr>
          <w:ilvl w:val="2"/>
          <w:numId w:val="8"/>
        </w:numPr>
        <w:tabs>
          <w:tab w:pos="643" w:val="left" w:leader="none"/>
        </w:tabs>
        <w:spacing w:line="360" w:lineRule="auto" w:before="0" w:after="0"/>
        <w:ind w:left="102" w:right="134" w:firstLine="0"/>
        <w:jc w:val="both"/>
      </w:pPr>
      <w:r>
        <w:rPr>
          <w:i/>
        </w:rPr>
        <w:t>Entre permanências e rupturas (?): tensão entre o Plano de Desenvolvimento da </w:t>
      </w:r>
      <w:r>
        <w:rPr/>
        <w:t>Educação (estratégico) e o Plano Nacional de Educação</w:t>
      </w:r>
      <w:r>
        <w:rPr>
          <w:spacing w:val="-10"/>
        </w:rPr>
        <w:t> </w:t>
      </w:r>
      <w:r>
        <w:rPr/>
        <w:t>(democrático)</w:t>
      </w:r>
    </w:p>
    <w:p>
      <w:pPr>
        <w:pStyle w:val="BodyText"/>
        <w:rPr>
          <w:b/>
          <w:i/>
          <w:sz w:val="36"/>
        </w:rPr>
      </w:pPr>
    </w:p>
    <w:p>
      <w:pPr>
        <w:pStyle w:val="BodyText"/>
        <w:spacing w:line="360" w:lineRule="auto"/>
        <w:ind w:left="102" w:right="233" w:firstLine="851"/>
        <w:jc w:val="both"/>
      </w:pPr>
      <w:r>
        <w:rPr/>
        <w:t>Em 2003, assume a Presidência da República Luiz Inácio Lula da Silva que, aclamado como um operário que chegou ao poder, ascendeu a esperança de grandes conquistas no campo social. No entanto, para Oliveira (2009, p. 198), no campo da educação, a opção governamental não correspondeu as expectativas sociais:</w:t>
      </w:r>
    </w:p>
    <w:p>
      <w:pPr>
        <w:pStyle w:val="BodyText"/>
        <w:spacing w:before="4"/>
        <w:rPr>
          <w:sz w:val="36"/>
        </w:rPr>
      </w:pPr>
    </w:p>
    <w:p>
      <w:pPr>
        <w:spacing w:before="0"/>
        <w:ind w:left="2370" w:right="229" w:firstLine="0"/>
        <w:jc w:val="both"/>
        <w:rPr>
          <w:sz w:val="20"/>
        </w:rPr>
      </w:pPr>
      <w:r>
        <w:rPr>
          <w:sz w:val="20"/>
        </w:rPr>
        <w:t>O primeiro mandato do presidente Lula foi marcado, no campo educacional, muito mais por permanências que rupturas em relação ao governo anterior. Tendo sido herdeiro de uma reforma educacional de longo alcance e complexidade, que durante os dois mandatos do governo que o precedeu – FHC – mudou os rumos da educação brasileira do nível básico ao superior, restava a esse governo re-reformar a educação ou conservar e manter as iniciativas anteriores. A opção parece ter sido pelo segundo caminho.</w:t>
      </w:r>
    </w:p>
    <w:p>
      <w:pPr>
        <w:pStyle w:val="BodyText"/>
        <w:rPr>
          <w:sz w:val="22"/>
        </w:rPr>
      </w:pPr>
    </w:p>
    <w:p>
      <w:pPr>
        <w:pStyle w:val="BodyText"/>
        <w:spacing w:line="360" w:lineRule="auto" w:before="161"/>
        <w:ind w:left="102" w:right="230" w:firstLine="851"/>
        <w:jc w:val="both"/>
      </w:pPr>
      <w:r>
        <w:rPr/>
        <w:t>Assim, da elaboração de uma carta de intenções, tendo em vista os vetos que sofreu o PNE (VALENTE, 2001), em 24 de abril de 2007 é lançado oficialmente o Plano de Desenvolvimento da Educação (PDE).</w:t>
      </w:r>
    </w:p>
    <w:p>
      <w:pPr>
        <w:pStyle w:val="BodyText"/>
        <w:spacing w:line="360" w:lineRule="auto" w:before="3"/>
        <w:ind w:left="102" w:right="231" w:firstLine="851"/>
        <w:jc w:val="both"/>
      </w:pPr>
      <w:r>
        <w:rPr/>
        <w:t>Em se tratando do PDE, Saviani (2009, p. 27), ao confrontar a estrutura do </w:t>
      </w:r>
      <w:r>
        <w:rPr>
          <w:w w:val="99"/>
        </w:rPr>
        <w:t>P</w:t>
      </w:r>
      <w:r>
        <w:rPr/>
        <w:t>lano com a do </w:t>
      </w:r>
      <w:r>
        <w:rPr>
          <w:w w:val="99"/>
        </w:rPr>
        <w:t>P</w:t>
      </w:r>
      <w:r>
        <w:rPr>
          <w:w w:val="99"/>
        </w:rPr>
        <w:t>NE</w:t>
      </w:r>
      <w:r>
        <w:rPr/>
        <w:t> 2001-2010 </w:t>
      </w:r>
      <w:r>
        <w:rPr>
          <w:w w:val="100"/>
        </w:rPr>
        <w:t>c</w:t>
      </w:r>
      <w:r>
        <w:rPr/>
        <w:t>onst</w:t>
      </w:r>
      <w:r>
        <w:rPr>
          <w:w w:val="100"/>
        </w:rPr>
        <w:t>a</w:t>
      </w:r>
      <w:r>
        <w:rPr>
          <w:w w:val="100"/>
        </w:rPr>
        <w:t>ta</w:t>
      </w:r>
      <w:r>
        <w:rPr/>
        <w:t> </w:t>
      </w:r>
      <w:r>
        <w:rPr>
          <w:w w:val="100"/>
        </w:rPr>
        <w:t>que o </w:t>
      </w:r>
      <w:r>
        <w:rPr>
          <w:w w:val="99"/>
        </w:rPr>
        <w:t>pr</w:t>
      </w:r>
      <w:r>
        <w:rPr>
          <w:w w:val="100"/>
        </w:rPr>
        <w:t>ime</w:t>
      </w:r>
      <w:r>
        <w:rPr>
          <w:w w:val="100"/>
        </w:rPr>
        <w:t>iro</w:t>
      </w:r>
      <w:r>
        <w:rPr/>
        <w:t> </w:t>
      </w:r>
      <w:r>
        <w:rPr>
          <w:w w:val="44"/>
        </w:rPr>
        <w:t>―</w:t>
      </w:r>
      <w:r>
        <w:rPr>
          <w:w w:val="100"/>
        </w:rPr>
        <w:t>nã</w:t>
      </w:r>
      <w:r>
        <w:rPr/>
        <w:t>o </w:t>
      </w:r>
      <w:r>
        <w:rPr>
          <w:w w:val="100"/>
        </w:rPr>
        <w:t>c</w:t>
      </w:r>
      <w:r>
        <w:rPr/>
        <w:t>onst</w:t>
      </w:r>
      <w:r>
        <w:rPr>
          <w:w w:val="100"/>
        </w:rPr>
        <w:t>it</w:t>
      </w:r>
      <w:r>
        <w:rPr>
          <w:w w:val="100"/>
        </w:rPr>
        <w:t>ui</w:t>
      </w:r>
      <w:r>
        <w:rPr/>
        <w:t> </w:t>
      </w:r>
      <w:r>
        <w:rPr>
          <w:w w:val="100"/>
        </w:rPr>
        <w:t>um</w:t>
      </w:r>
      <w:r>
        <w:rPr/>
        <w:t> </w:t>
      </w:r>
      <w:r>
        <w:rPr>
          <w:w w:val="100"/>
        </w:rPr>
        <w:t>plano,</w:t>
      </w:r>
      <w:r>
        <w:rPr/>
        <w:t> </w:t>
      </w:r>
      <w:r>
        <w:rPr>
          <w:w w:val="100"/>
        </w:rPr>
        <w:t>e</w:t>
      </w:r>
      <w:r>
        <w:rPr>
          <w:w w:val="100"/>
        </w:rPr>
        <w:t>m</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0" w:lineRule="auto" w:before="210"/>
        <w:ind w:right="231"/>
        <w:jc w:val="right"/>
      </w:pPr>
      <w:r>
        <w:rPr/>
        <w:t>sentido próprio. Ele define-se, antes, como um conjunto de ações que, teoricamente, se</w:t>
      </w:r>
      <w:r>
        <w:rPr>
          <w:w w:val="99"/>
        </w:rPr>
        <w:t> </w:t>
      </w:r>
      <w:r>
        <w:rPr/>
        <w:t>constituiriam em estratégias para a realização dos objetivos e metas previstos no PNE‖. E, nesta perspectiva, Dourado (2011), salienta que o PDE, por se tratar de um conjunto de programas traduzindo as prioridades da política governamental, não   pode</w:t>
      </w:r>
    </w:p>
    <w:p>
      <w:pPr>
        <w:pStyle w:val="BodyText"/>
        <w:spacing w:before="3"/>
        <w:ind w:left="102"/>
      </w:pPr>
      <w:r>
        <w:rPr/>
        <w:t>ser compreendido como estratégia instrumental para o cumprimento do PNE 2001.</w:t>
      </w:r>
    </w:p>
    <w:p>
      <w:pPr>
        <w:pStyle w:val="BodyText"/>
        <w:spacing w:line="360" w:lineRule="auto" w:before="139"/>
        <w:ind w:left="102" w:right="227" w:firstLine="851"/>
        <w:jc w:val="both"/>
      </w:pPr>
      <w:r>
        <w:rPr/>
        <w:t>Tal constatação nos possibilita inferir o PNE como um documento tendo um fim em si mesmo, pois, nem o Governo Fernando Henrique Cardoso, que promoveu  sua elaboração e aprovação com sanções, nem o governo Lula, ao qual seu partido foi </w:t>
      </w:r>
      <w:r>
        <w:rPr>
          <w:spacing w:val="-1"/>
          <w:w w:val="100"/>
        </w:rPr>
        <w:t>a</w:t>
      </w:r>
      <w:r>
        <w:rPr>
          <w:w w:val="100"/>
        </w:rPr>
        <w:t>qu</w:t>
      </w:r>
      <w:r>
        <w:rPr>
          <w:spacing w:val="-1"/>
          <w:w w:val="100"/>
        </w:rPr>
        <w:t>e</w:t>
      </w:r>
      <w:r>
        <w:rPr>
          <w:w w:val="100"/>
        </w:rPr>
        <w:t>le</w:t>
      </w:r>
      <w:r>
        <w:rPr>
          <w:spacing w:val="13"/>
        </w:rPr>
        <w:t> </w:t>
      </w:r>
      <w:r>
        <w:rPr>
          <w:w w:val="100"/>
        </w:rPr>
        <w:t>que</w:t>
      </w:r>
      <w:r>
        <w:rPr>
          <w:spacing w:val="15"/>
          <w:w w:val="100"/>
        </w:rPr>
        <w:t> </w:t>
      </w:r>
      <w:r>
        <w:rPr>
          <w:spacing w:val="-1"/>
          <w:w w:val="44"/>
        </w:rPr>
        <w:t>―</w:t>
      </w:r>
      <w:r>
        <w:rPr>
          <w:spacing w:val="-1"/>
          <w:w w:val="100"/>
        </w:rPr>
        <w:t>e</w:t>
      </w:r>
      <w:r>
        <w:rPr>
          <w:spacing w:val="2"/>
        </w:rPr>
        <w:t>n</w:t>
      </w:r>
      <w:r>
        <w:rPr>
          <w:spacing w:val="-1"/>
          <w:w w:val="100"/>
        </w:rPr>
        <w:t>ca</w:t>
      </w:r>
      <w:r>
        <w:rPr>
          <w:spacing w:val="2"/>
        </w:rPr>
        <w:t>b</w:t>
      </w:r>
      <w:r>
        <w:rPr>
          <w:spacing w:val="-1"/>
          <w:w w:val="100"/>
        </w:rPr>
        <w:t>eç</w:t>
      </w:r>
      <w:r>
        <w:rPr/>
        <w:t>ou</w:t>
      </w:r>
      <w:r>
        <w:rPr>
          <w:spacing w:val="14"/>
        </w:rPr>
        <w:t> </w:t>
      </w:r>
      <w:r>
        <w:rPr>
          <w:w w:val="100"/>
        </w:rPr>
        <w:t>a</w:t>
      </w:r>
      <w:r>
        <w:rPr>
          <w:spacing w:val="15"/>
        </w:rPr>
        <w:t> </w:t>
      </w:r>
      <w:r>
        <w:rPr>
          <w:spacing w:val="-1"/>
          <w:w w:val="100"/>
        </w:rPr>
        <w:t>a</w:t>
      </w:r>
      <w:r>
        <w:rPr>
          <w:w w:val="99"/>
        </w:rPr>
        <w:t>p</w:t>
      </w:r>
      <w:r>
        <w:rPr>
          <w:spacing w:val="-1"/>
          <w:w w:val="99"/>
        </w:rPr>
        <w:t>r</w:t>
      </w:r>
      <w:r>
        <w:rPr>
          <w:spacing w:val="-1"/>
          <w:w w:val="100"/>
        </w:rPr>
        <w:t>e</w:t>
      </w:r>
      <w:r>
        <w:rPr>
          <w:spacing w:val="2"/>
          <w:w w:val="99"/>
        </w:rPr>
        <w:t>s</w:t>
      </w:r>
      <w:r>
        <w:rPr>
          <w:spacing w:val="-1"/>
          <w:w w:val="100"/>
        </w:rPr>
        <w:t>e</w:t>
      </w:r>
      <w:r>
        <w:rPr>
          <w:w w:val="100"/>
        </w:rPr>
        <w:t>nta</w:t>
      </w:r>
      <w:r>
        <w:rPr>
          <w:spacing w:val="-2"/>
          <w:w w:val="100"/>
        </w:rPr>
        <w:t>ç</w:t>
      </w:r>
      <w:r>
        <w:rPr>
          <w:spacing w:val="-1"/>
          <w:w w:val="100"/>
        </w:rPr>
        <w:t>ã</w:t>
      </w:r>
      <w:r>
        <w:rPr/>
        <w:t>o</w:t>
      </w:r>
      <w:r>
        <w:rPr>
          <w:spacing w:val="16"/>
        </w:rPr>
        <w:t> </w:t>
      </w:r>
      <w:r>
        <w:rPr/>
        <w:t>do</w:t>
      </w:r>
      <w:r>
        <w:rPr>
          <w:spacing w:val="14"/>
        </w:rPr>
        <w:t> </w:t>
      </w:r>
      <w:r>
        <w:rPr/>
        <w:t>p</w:t>
      </w:r>
      <w:r>
        <w:rPr>
          <w:spacing w:val="-1"/>
        </w:rPr>
        <w:t>r</w:t>
      </w:r>
      <w:r>
        <w:rPr>
          <w:w w:val="100"/>
        </w:rPr>
        <w:t>ojeto</w:t>
      </w:r>
      <w:r>
        <w:rPr>
          <w:spacing w:val="16"/>
        </w:rPr>
        <w:t> </w:t>
      </w:r>
      <w:r>
        <w:rPr>
          <w:w w:val="100"/>
        </w:rPr>
        <w:t>de</w:t>
      </w:r>
      <w:r>
        <w:rPr>
          <w:spacing w:val="13"/>
        </w:rPr>
        <w:t> </w:t>
      </w:r>
      <w:r>
        <w:rPr>
          <w:w w:val="99"/>
        </w:rPr>
        <w:t>P</w:t>
      </w:r>
      <w:r>
        <w:rPr>
          <w:w w:val="99"/>
        </w:rPr>
        <w:t>NE</w:t>
      </w:r>
      <w:r>
        <w:rPr>
          <w:spacing w:val="13"/>
          <w:w w:val="99"/>
        </w:rPr>
        <w:t> </w:t>
      </w:r>
      <w:r>
        <w:rPr>
          <w:w w:val="100"/>
        </w:rPr>
        <w:t>da</w:t>
      </w:r>
      <w:r>
        <w:rPr>
          <w:spacing w:val="13"/>
        </w:rPr>
        <w:t> </w:t>
      </w:r>
      <w:r>
        <w:rPr/>
        <w:t>oposi</w:t>
      </w:r>
      <w:r>
        <w:rPr>
          <w:spacing w:val="1"/>
          <w:w w:val="100"/>
        </w:rPr>
        <w:t>ç</w:t>
      </w:r>
      <w:r>
        <w:rPr>
          <w:spacing w:val="-1"/>
          <w:w w:val="100"/>
        </w:rPr>
        <w:t>ã</w:t>
      </w:r>
      <w:r>
        <w:rPr/>
        <w:t>o</w:t>
      </w:r>
      <w:r>
        <w:rPr>
          <w:spacing w:val="14"/>
        </w:rPr>
        <w:t> </w:t>
      </w:r>
      <w:r>
        <w:rPr>
          <w:w w:val="100"/>
        </w:rPr>
        <w:t>na</w:t>
      </w:r>
      <w:r>
        <w:rPr>
          <w:spacing w:val="15"/>
        </w:rPr>
        <w:t> </w:t>
      </w:r>
      <w:r>
        <w:rPr/>
        <w:t>C</w:t>
      </w:r>
      <w:r>
        <w:rPr>
          <w:spacing w:val="-1"/>
          <w:w w:val="100"/>
        </w:rPr>
        <w:t>â</w:t>
      </w:r>
      <w:r>
        <w:rPr>
          <w:w w:val="100"/>
        </w:rPr>
        <w:t>ma</w:t>
      </w:r>
      <w:r>
        <w:rPr>
          <w:spacing w:val="-2"/>
          <w:w w:val="100"/>
        </w:rPr>
        <w:t>r</w:t>
      </w:r>
      <w:r>
        <w:rPr>
          <w:w w:val="100"/>
        </w:rPr>
        <w:t>a</w:t>
      </w:r>
      <w:r>
        <w:rPr>
          <w:spacing w:val="13"/>
        </w:rPr>
        <w:t> </w:t>
      </w:r>
      <w:r>
        <w:rPr>
          <w:w w:val="99"/>
        </w:rPr>
        <w:t>dos </w:t>
      </w:r>
      <w:r>
        <w:rPr>
          <w:w w:val="99"/>
        </w:rPr>
        <w:t>D</w:t>
      </w:r>
      <w:r>
        <w:rPr>
          <w:spacing w:val="-2"/>
          <w:w w:val="99"/>
        </w:rPr>
        <w:t>e</w:t>
      </w:r>
      <w:r>
        <w:rPr>
          <w:w w:val="104"/>
        </w:rPr>
        <w:t>putados‖</w:t>
      </w:r>
      <w:r>
        <w:rPr>
          <w:spacing w:val="12"/>
        </w:rPr>
        <w:t> </w:t>
      </w:r>
      <w:r>
        <w:rPr>
          <w:spacing w:val="-1"/>
          <w:w w:val="100"/>
        </w:rPr>
        <w:t>c</w:t>
      </w:r>
      <w:r>
        <w:rPr>
          <w:w w:val="100"/>
        </w:rPr>
        <w:t>on</w:t>
      </w:r>
      <w:r>
        <w:rPr>
          <w:spacing w:val="2"/>
          <w:w w:val="100"/>
        </w:rPr>
        <w:t>t</w:t>
      </w:r>
      <w:r>
        <w:rPr>
          <w:w w:val="100"/>
        </w:rPr>
        <w:t>r</w:t>
      </w:r>
      <w:r>
        <w:rPr>
          <w:spacing w:val="-2"/>
          <w:w w:val="100"/>
        </w:rPr>
        <w:t>a</w:t>
      </w:r>
      <w:r>
        <w:rPr>
          <w:w w:val="100"/>
        </w:rPr>
        <w:t>ri</w:t>
      </w:r>
      <w:r>
        <w:rPr>
          <w:spacing w:val="-2"/>
          <w:w w:val="100"/>
        </w:rPr>
        <w:t>a</w:t>
      </w:r>
      <w:r>
        <w:rPr/>
        <w:t>ndo</w:t>
      </w:r>
      <w:r>
        <w:rPr>
          <w:spacing w:val="16"/>
        </w:rPr>
        <w:t> </w:t>
      </w:r>
      <w:r>
        <w:rPr>
          <w:spacing w:val="-1"/>
          <w:w w:val="100"/>
        </w:rPr>
        <w:t>a</w:t>
      </w:r>
      <w:r>
        <w:rPr>
          <w:w w:val="99"/>
        </w:rPr>
        <w:t>s</w:t>
      </w:r>
      <w:r>
        <w:rPr>
          <w:spacing w:val="14"/>
        </w:rPr>
        <w:t> </w:t>
      </w:r>
      <w:r>
        <w:rPr>
          <w:spacing w:val="-1"/>
          <w:w w:val="100"/>
        </w:rPr>
        <w:t>e</w:t>
      </w:r>
      <w:r>
        <w:rPr>
          <w:spacing w:val="2"/>
        </w:rPr>
        <w:t>x</w:t>
      </w:r>
      <w:r>
        <w:rPr>
          <w:w w:val="100"/>
        </w:rPr>
        <w:t>p</w:t>
      </w:r>
      <w:r>
        <w:rPr>
          <w:spacing w:val="-1"/>
          <w:w w:val="100"/>
        </w:rPr>
        <w:t>e</w:t>
      </w:r>
      <w:r>
        <w:rPr>
          <w:spacing w:val="-1"/>
          <w:w w:val="100"/>
        </w:rPr>
        <w:t>c</w:t>
      </w:r>
      <w:r>
        <w:rPr>
          <w:w w:val="100"/>
        </w:rPr>
        <w:t>tativas</w:t>
      </w:r>
      <w:r>
        <w:rPr>
          <w:spacing w:val="13"/>
        </w:rPr>
        <w:t> </w:t>
      </w:r>
      <w:r>
        <w:rPr>
          <w:w w:val="100"/>
        </w:rPr>
        <w:t>de</w:t>
      </w:r>
      <w:r>
        <w:rPr>
          <w:spacing w:val="13"/>
        </w:rPr>
        <w:t> </w:t>
      </w:r>
      <w:r>
        <w:rPr>
          <w:spacing w:val="-1"/>
          <w:w w:val="44"/>
        </w:rPr>
        <w:t>―</w:t>
      </w:r>
      <w:r>
        <w:rPr>
          <w:spacing w:val="2"/>
        </w:rPr>
        <w:t>d</w:t>
      </w:r>
      <w:r>
        <w:rPr>
          <w:spacing w:val="-1"/>
          <w:w w:val="100"/>
        </w:rPr>
        <w:t>e</w:t>
      </w:r>
      <w:r>
        <w:rPr>
          <w:w w:val="99"/>
        </w:rPr>
        <w:t>rr</w:t>
      </w:r>
      <w:r>
        <w:rPr>
          <w:w w:val="100"/>
        </w:rPr>
        <w:t>ub</w:t>
      </w:r>
      <w:r>
        <w:rPr>
          <w:spacing w:val="-1"/>
          <w:w w:val="100"/>
        </w:rPr>
        <w:t>a</w:t>
      </w:r>
      <w:r>
        <w:rPr>
          <w:w w:val="100"/>
        </w:rPr>
        <w:t>da</w:t>
      </w:r>
      <w:r>
        <w:rPr>
          <w:spacing w:val="13"/>
          <w:w w:val="100"/>
        </w:rPr>
        <w:t> </w:t>
      </w:r>
      <w:r>
        <w:rPr>
          <w:w w:val="99"/>
        </w:rPr>
        <w:t>dos</w:t>
      </w:r>
      <w:r>
        <w:rPr>
          <w:spacing w:val="14"/>
        </w:rPr>
        <w:t> </w:t>
      </w:r>
      <w:r>
        <w:rPr>
          <w:w w:val="100"/>
        </w:rPr>
        <w:t>v</w:t>
      </w:r>
      <w:r>
        <w:rPr>
          <w:spacing w:val="-1"/>
          <w:w w:val="100"/>
        </w:rPr>
        <w:t>e</w:t>
      </w:r>
      <w:r>
        <w:rPr/>
        <w:t>tos</w:t>
      </w:r>
      <w:r>
        <w:rPr>
          <w:spacing w:val="14"/>
        </w:rPr>
        <w:t> </w:t>
      </w:r>
      <w:r>
        <w:rPr/>
        <w:t>do</w:t>
      </w:r>
      <w:r>
        <w:rPr>
          <w:spacing w:val="14"/>
        </w:rPr>
        <w:t> </w:t>
      </w:r>
      <w:r>
        <w:rPr>
          <w:w w:val="99"/>
        </w:rPr>
        <w:t>P</w:t>
      </w:r>
      <w:r>
        <w:rPr>
          <w:w w:val="99"/>
        </w:rPr>
        <w:t>N</w:t>
      </w:r>
      <w:r>
        <w:rPr>
          <w:spacing w:val="1"/>
          <w:w w:val="99"/>
        </w:rPr>
        <w:t>E</w:t>
      </w:r>
      <w:r>
        <w:rPr>
          <w:spacing w:val="-1"/>
          <w:w w:val="158"/>
        </w:rPr>
        <w:t>‖</w:t>
      </w:r>
      <w:r>
        <w:rPr/>
        <w:t>,</w:t>
      </w:r>
      <w:r>
        <w:rPr>
          <w:spacing w:val="14"/>
        </w:rPr>
        <w:t> </w:t>
      </w:r>
      <w:r>
        <w:rPr/>
        <w:t>o</w:t>
      </w:r>
      <w:r>
        <w:rPr>
          <w:spacing w:val="14"/>
        </w:rPr>
        <w:t> </w:t>
      </w:r>
      <w:r>
        <w:rPr>
          <w:w w:val="100"/>
        </w:rPr>
        <w:t>fiz</w:t>
      </w:r>
      <w:r>
        <w:rPr>
          <w:spacing w:val="-1"/>
          <w:w w:val="100"/>
        </w:rPr>
        <w:t>e</w:t>
      </w:r>
      <w:r>
        <w:rPr>
          <w:w w:val="100"/>
        </w:rPr>
        <w:t>r</w:t>
      </w:r>
      <w:r>
        <w:rPr>
          <w:spacing w:val="-2"/>
          <w:w w:val="100"/>
        </w:rPr>
        <w:t>a</w:t>
      </w:r>
      <w:r>
        <w:rPr>
          <w:w w:val="100"/>
        </w:rPr>
        <w:t>m </w:t>
      </w:r>
      <w:r>
        <w:rPr/>
        <w:t>efetivo (SAVIANI, 2009, p.</w:t>
      </w:r>
      <w:r>
        <w:rPr>
          <w:spacing w:val="-8"/>
        </w:rPr>
        <w:t> </w:t>
      </w:r>
      <w:r>
        <w:rPr/>
        <w:t>29).</w:t>
      </w:r>
    </w:p>
    <w:p>
      <w:pPr>
        <w:pStyle w:val="BodyText"/>
        <w:spacing w:line="360" w:lineRule="auto" w:before="6"/>
        <w:ind w:left="102" w:right="119" w:firstLine="993"/>
      </w:pPr>
      <w:r>
        <w:rPr/>
        <w:t>Desse modo, o PDE, conforme esclarece Dourado (2007, p. 926), configura- se como um documento sem a intencionalidade transformadora:</w:t>
      </w:r>
    </w:p>
    <w:p>
      <w:pPr>
        <w:pStyle w:val="BodyText"/>
        <w:spacing w:before="3"/>
        <w:rPr>
          <w:sz w:val="36"/>
        </w:rPr>
      </w:pPr>
    </w:p>
    <w:p>
      <w:pPr>
        <w:spacing w:before="1"/>
        <w:ind w:left="2370" w:right="135" w:firstLine="0"/>
        <w:jc w:val="both"/>
        <w:rPr>
          <w:sz w:val="20"/>
        </w:rPr>
      </w:pPr>
      <w:r>
        <w:rPr>
          <w:sz w:val="20"/>
        </w:rPr>
        <w:t>claro indicador de </w:t>
      </w:r>
      <w:r>
        <w:rPr>
          <w:b/>
          <w:sz w:val="20"/>
        </w:rPr>
        <w:t>gestão centralizada </w:t>
      </w:r>
      <w:r>
        <w:rPr>
          <w:sz w:val="20"/>
        </w:rPr>
        <w:t>e de pouca eficácia pedagógica para mudanças substantivas nos sistemas de ensino, ainda que provoque </w:t>
      </w:r>
      <w:r>
        <w:rPr>
          <w:b/>
          <w:sz w:val="20"/>
        </w:rPr>
        <w:t>alterações de rotina, ajustes e pequenas adequações no cotidiano escolar</w:t>
      </w:r>
      <w:r>
        <w:rPr>
          <w:sz w:val="20"/>
        </w:rPr>
        <w:t>, o que </w:t>
      </w:r>
      <w:r>
        <w:rPr>
          <w:b/>
          <w:sz w:val="20"/>
        </w:rPr>
        <w:t>pode acarretar a suspensão de ações consolidadas na prática escolar </w:t>
      </w:r>
      <w:r>
        <w:rPr>
          <w:sz w:val="20"/>
        </w:rPr>
        <w:t>sem a efetiva incorporação de novos formatos de organização  e gestão</w:t>
      </w:r>
    </w:p>
    <w:p>
      <w:pPr>
        <w:pStyle w:val="BodyText"/>
        <w:rPr>
          <w:sz w:val="22"/>
        </w:rPr>
      </w:pPr>
    </w:p>
    <w:p>
      <w:pPr>
        <w:pStyle w:val="BodyText"/>
        <w:spacing w:line="360" w:lineRule="auto" w:before="164"/>
        <w:ind w:left="102" w:right="135" w:firstLine="851"/>
        <w:jc w:val="both"/>
      </w:pPr>
      <w:r>
        <w:rPr/>
        <w:t>Ainda, contrariando a própria definição do PDE de que, em cada localidade, o planejamento das ações seja de modo participativo com a comunidade escolar, o próprio </w:t>
      </w:r>
      <w:r>
        <w:rPr>
          <w:w w:val="99"/>
        </w:rPr>
        <w:t>P</w:t>
      </w:r>
      <w:r>
        <w:rPr>
          <w:w w:val="99"/>
        </w:rPr>
        <w:t>DE </w:t>
      </w:r>
      <w:r>
        <w:rPr>
          <w:w w:val="44"/>
        </w:rPr>
        <w:t>―</w:t>
      </w:r>
      <w:r>
        <w:rPr>
          <w:w w:val="100"/>
        </w:rPr>
        <w:t>nã</w:t>
      </w:r>
      <w:r>
        <w:rPr/>
        <w:t>o </w:t>
      </w:r>
      <w:r>
        <w:rPr>
          <w:w w:val="100"/>
        </w:rPr>
        <w:t>c</w:t>
      </w:r>
      <w:r>
        <w:rPr>
          <w:w w:val="100"/>
        </w:rPr>
        <w:t>ontou, </w:t>
      </w:r>
      <w:r>
        <w:rPr>
          <w:w w:val="100"/>
        </w:rPr>
        <w:t>na</w:t>
      </w:r>
      <w:r>
        <w:rPr/>
        <w:t> sua </w:t>
      </w:r>
      <w:r>
        <w:rPr>
          <w:w w:val="100"/>
        </w:rPr>
        <w:t>e</w:t>
      </w:r>
      <w:r>
        <w:rPr>
          <w:w w:val="100"/>
        </w:rPr>
        <w:t>labor</w:t>
      </w:r>
      <w:r>
        <w:rPr>
          <w:w w:val="100"/>
        </w:rPr>
        <w:t>açã</w:t>
      </w:r>
      <w:r>
        <w:rPr/>
        <w:t>o, </w:t>
      </w:r>
      <w:r>
        <w:rPr>
          <w:w w:val="100"/>
        </w:rPr>
        <w:t>c</w:t>
      </w:r>
      <w:r>
        <w:rPr>
          <w:w w:val="100"/>
        </w:rPr>
        <w:t>om</w:t>
      </w:r>
      <w:r>
        <w:rPr/>
        <w:t> </w:t>
      </w:r>
      <w:r>
        <w:rPr>
          <w:w w:val="100"/>
        </w:rPr>
        <w:t>a</w:t>
      </w:r>
      <w:r>
        <w:rPr/>
        <w:t> </w:t>
      </w:r>
      <w:r>
        <w:rPr>
          <w:w w:val="100"/>
        </w:rPr>
        <w:t>pa</w:t>
      </w:r>
      <w:r>
        <w:rPr>
          <w:w w:val="100"/>
        </w:rPr>
        <w:t>rticipaçã</w:t>
      </w:r>
      <w:r>
        <w:rPr/>
        <w:t>o </w:t>
      </w:r>
      <w:r>
        <w:rPr>
          <w:w w:val="100"/>
        </w:rPr>
        <w:t>e</w:t>
      </w:r>
      <w:r>
        <w:rPr>
          <w:w w:val="99"/>
        </w:rPr>
        <w:t>f</w:t>
      </w:r>
      <w:r>
        <w:rPr>
          <w:w w:val="100"/>
        </w:rPr>
        <w:t>e</w:t>
      </w:r>
      <w:r>
        <w:rPr>
          <w:w w:val="100"/>
        </w:rPr>
        <w:t>ti</w:t>
      </w:r>
      <w:r>
        <w:rPr>
          <w:w w:val="100"/>
        </w:rPr>
        <w:t>va</w:t>
      </w:r>
      <w:r>
        <w:rPr/>
        <w:t> </w:t>
      </w:r>
      <w:r>
        <w:rPr>
          <w:w w:val="100"/>
        </w:rPr>
        <w:t>de</w:t>
      </w:r>
      <w:r>
        <w:rPr/>
        <w:t> se</w:t>
      </w:r>
      <w:r>
        <w:rPr>
          <w:w w:val="100"/>
        </w:rPr>
        <w:t>tore</w:t>
      </w:r>
      <w:r>
        <w:rPr>
          <w:w w:val="99"/>
        </w:rPr>
        <w:t>s</w:t>
      </w:r>
      <w:r>
        <w:rPr/>
        <w:t> or</w:t>
      </w:r>
      <w:r>
        <w:rPr>
          <w:w w:val="100"/>
        </w:rPr>
        <w:t>ga</w:t>
      </w:r>
      <w:r>
        <w:rPr>
          <w:w w:val="100"/>
        </w:rPr>
        <w:t>niza</w:t>
      </w:r>
      <w:r>
        <w:rPr>
          <w:w w:val="99"/>
        </w:rPr>
        <w:t>dos </w:t>
      </w:r>
      <w:r>
        <w:rPr/>
        <w:t>da sociedade brasileira, de representantes dos sistemas de ensino e de setores do próprio Ministério‖ (DOURADO, 2007, p. 928).</w:t>
      </w:r>
    </w:p>
    <w:p>
      <w:pPr>
        <w:pStyle w:val="BodyText"/>
        <w:spacing w:line="360" w:lineRule="auto" w:before="4"/>
        <w:ind w:left="102" w:right="230" w:firstLine="851"/>
        <w:jc w:val="both"/>
      </w:pPr>
      <w:r>
        <w:rPr/>
        <w:t>Dito isto, a afirmação de que o PDE se trata de um planejamento estratégico confirma-se com a explicitação de Scaf (2007, p. 5) ao indicar que com as orientações do </w:t>
      </w:r>
      <w:r>
        <w:rPr>
          <w:w w:val="99"/>
        </w:rPr>
        <w:t>P</w:t>
      </w:r>
      <w:r>
        <w:rPr>
          <w:w w:val="99"/>
        </w:rPr>
        <w:t>DE </w:t>
      </w:r>
      <w:r>
        <w:rPr>
          <w:w w:val="44"/>
        </w:rPr>
        <w:t>―</w:t>
      </w:r>
      <w:r>
        <w:rPr>
          <w:w w:val="100"/>
        </w:rPr>
        <w:t>a</w:t>
      </w:r>
      <w:r>
        <w:rPr/>
        <w:t> </w:t>
      </w:r>
      <w:r>
        <w:rPr>
          <w:w w:val="100"/>
        </w:rPr>
        <w:t>Escola de</w:t>
      </w:r>
      <w:r>
        <w:rPr>
          <w:w w:val="99"/>
        </w:rPr>
        <w:t>fine </w:t>
      </w:r>
      <w:r>
        <w:rPr>
          <w:w w:val="99"/>
        </w:rPr>
        <w:t>seus</w:t>
      </w:r>
      <w:r>
        <w:rPr/>
        <w:t> valore</w:t>
      </w:r>
      <w:r>
        <w:rPr>
          <w:w w:val="99"/>
        </w:rPr>
        <w:t>s,</w:t>
      </w:r>
      <w:r>
        <w:rPr/>
        <w:t> </w:t>
      </w:r>
      <w:r>
        <w:rPr>
          <w:w w:val="99"/>
        </w:rPr>
        <w:t>sua</w:t>
      </w:r>
      <w:r>
        <w:rPr/>
        <w:t> visão de futuro, </w:t>
      </w:r>
      <w:r>
        <w:rPr>
          <w:w w:val="99"/>
        </w:rPr>
        <w:t>sua</w:t>
      </w:r>
      <w:r>
        <w:rPr/>
        <w:t> mi</w:t>
      </w:r>
      <w:r>
        <w:rPr>
          <w:w w:val="99"/>
        </w:rPr>
        <w:t>ssão</w:t>
      </w:r>
      <w:r>
        <w:rPr/>
        <w:t> e </w:t>
      </w:r>
      <w:r>
        <w:rPr>
          <w:w w:val="99"/>
        </w:rPr>
        <w:t>seus</w:t>
      </w:r>
      <w:r>
        <w:rPr/>
        <w:t> objetivo</w:t>
      </w:r>
      <w:r>
        <w:rPr>
          <w:w w:val="99"/>
        </w:rPr>
        <w:t>s </w:t>
      </w:r>
      <w:r>
        <w:rPr/>
        <w:t>e, a partir dessas definições, realiza o Planejamento das atividades a serem desenvolvidas‖.</w:t>
      </w:r>
    </w:p>
    <w:p>
      <w:pPr>
        <w:pStyle w:val="BodyText"/>
        <w:spacing w:line="360" w:lineRule="auto" w:before="7"/>
        <w:ind w:left="102" w:right="230" w:firstLine="851"/>
        <w:jc w:val="both"/>
      </w:pPr>
      <w:r>
        <w:rPr/>
        <w:t>Saviani (2009, p. 1) comenta que o principal aspecto de repercussão positiva </w:t>
      </w:r>
      <w:r>
        <w:rPr>
          <w:spacing w:val="-1"/>
        </w:rPr>
        <w:t>a</w:t>
      </w:r>
      <w:r>
        <w:rPr/>
        <w:t>o </w:t>
      </w:r>
      <w:r>
        <w:rPr>
          <w:w w:val="99"/>
        </w:rPr>
        <w:t>P</w:t>
      </w:r>
      <w:r>
        <w:rPr>
          <w:w w:val="99"/>
        </w:rPr>
        <w:t>DE</w:t>
      </w:r>
      <w:r>
        <w:rPr/>
        <w:t> </w:t>
      </w:r>
      <w:r>
        <w:rPr>
          <w:w w:val="99"/>
        </w:rPr>
        <w:t>se</w:t>
      </w:r>
      <w:r>
        <w:rPr/>
        <w:t> </w:t>
      </w:r>
      <w:r>
        <w:rPr>
          <w:spacing w:val="2"/>
        </w:rPr>
        <w:t>d</w:t>
      </w:r>
      <w:r>
        <w:rPr>
          <w:spacing w:val="-1"/>
        </w:rPr>
        <w:t>e</w:t>
      </w:r>
      <w:r>
        <w:rPr/>
        <w:t>u </w:t>
      </w:r>
      <w:r>
        <w:rPr>
          <w:w w:val="100"/>
        </w:rPr>
        <w:t>p</w:t>
      </w:r>
      <w:r>
        <w:rPr>
          <w:spacing w:val="-1"/>
          <w:w w:val="100"/>
        </w:rPr>
        <w:t>e</w:t>
      </w:r>
      <w:r>
        <w:rPr>
          <w:spacing w:val="2"/>
          <w:w w:val="100"/>
        </w:rPr>
        <w:t>l</w:t>
      </w:r>
      <w:r>
        <w:rPr>
          <w:w w:val="100"/>
        </w:rPr>
        <w:t>a</w:t>
      </w:r>
      <w:r>
        <w:rPr/>
        <w:t> </w:t>
      </w:r>
      <w:r>
        <w:rPr>
          <w:w w:val="100"/>
        </w:rPr>
        <w:t>qu</w:t>
      </w:r>
      <w:r>
        <w:rPr>
          <w:spacing w:val="-1"/>
          <w:w w:val="100"/>
        </w:rPr>
        <w:t>e</w:t>
      </w:r>
      <w:r>
        <w:rPr>
          <w:spacing w:val="2"/>
          <w:w w:val="99"/>
        </w:rPr>
        <w:t>s</w:t>
      </w:r>
      <w:r>
        <w:rPr>
          <w:w w:val="100"/>
        </w:rPr>
        <w:t>tão</w:t>
      </w:r>
      <w:r>
        <w:rPr/>
        <w:t> </w:t>
      </w:r>
      <w:r>
        <w:rPr>
          <w:w w:val="100"/>
        </w:rPr>
        <w:t>da</w:t>
      </w:r>
      <w:r>
        <w:rPr/>
        <w:t> </w:t>
      </w:r>
      <w:r>
        <w:rPr>
          <w:w w:val="100"/>
        </w:rPr>
        <w:t>qu</w:t>
      </w:r>
      <w:r>
        <w:rPr>
          <w:spacing w:val="-1"/>
          <w:w w:val="100"/>
        </w:rPr>
        <w:t>a</w:t>
      </w:r>
      <w:r>
        <w:rPr>
          <w:w w:val="100"/>
        </w:rPr>
        <w:t>li</w:t>
      </w:r>
      <w:r>
        <w:rPr>
          <w:w w:val="100"/>
        </w:rPr>
        <w:t>d</w:t>
      </w:r>
      <w:r>
        <w:rPr>
          <w:spacing w:val="-1"/>
          <w:w w:val="100"/>
        </w:rPr>
        <w:t>a</w:t>
      </w:r>
      <w:r>
        <w:rPr>
          <w:spacing w:val="2"/>
        </w:rPr>
        <w:t>d</w:t>
      </w:r>
      <w:r>
        <w:rPr>
          <w:spacing w:val="-1"/>
          <w:w w:val="100"/>
        </w:rPr>
        <w:t>e</w:t>
      </w:r>
      <w:r>
        <w:rPr/>
        <w:t>, </w:t>
      </w:r>
      <w:r>
        <w:rPr>
          <w:w w:val="100"/>
        </w:rPr>
        <w:t>indi</w:t>
      </w:r>
      <w:r>
        <w:rPr>
          <w:spacing w:val="-1"/>
          <w:w w:val="100"/>
        </w:rPr>
        <w:t>ca</w:t>
      </w:r>
      <w:r>
        <w:rPr>
          <w:spacing w:val="2"/>
        </w:rPr>
        <w:t>n</w:t>
      </w:r>
      <w:r>
        <w:rPr/>
        <w:t>do </w:t>
      </w:r>
      <w:r>
        <w:rPr>
          <w:w w:val="100"/>
        </w:rPr>
        <w:t>que o mesmo foi </w:t>
      </w:r>
      <w:r>
        <w:rPr>
          <w:spacing w:val="-1"/>
          <w:w w:val="44"/>
        </w:rPr>
        <w:t>―</w:t>
      </w:r>
      <w:r>
        <w:rPr>
          <w:w w:val="99"/>
        </w:rPr>
        <w:t>s</w:t>
      </w:r>
      <w:r>
        <w:rPr>
          <w:spacing w:val="-1"/>
          <w:w w:val="99"/>
        </w:rPr>
        <w:t>a</w:t>
      </w:r>
      <w:r>
        <w:rPr>
          <w:spacing w:val="2"/>
          <w:w w:val="99"/>
        </w:rPr>
        <w:t>u</w:t>
      </w:r>
      <w:r>
        <w:rPr>
          <w:w w:val="100"/>
        </w:rPr>
        <w:t>d</w:t>
      </w:r>
      <w:r>
        <w:rPr>
          <w:spacing w:val="-1"/>
          <w:w w:val="100"/>
        </w:rPr>
        <w:t>a</w:t>
      </w:r>
      <w:r>
        <w:rPr/>
        <w:t>do </w:t>
      </w:r>
      <w:r>
        <w:rPr>
          <w:spacing w:val="-1"/>
          <w:w w:val="100"/>
        </w:rPr>
        <w:t>c</w:t>
      </w:r>
      <w:r>
        <w:rPr>
          <w:w w:val="100"/>
        </w:rPr>
        <w:t>omo </w:t>
      </w:r>
      <w:r>
        <w:rPr/>
        <w:t>um plano que, finalmente, estaria disposto a enfrentar esse problema, focando prioritariamente os  níveis  de qualidade do ensino ministrado em  todas as  escolas </w:t>
      </w:r>
      <w:r>
        <w:rPr>
          <w:spacing w:val="56"/>
        </w:rPr>
        <w:t> </w:t>
      </w:r>
      <w:r>
        <w:rPr/>
        <w:t>da</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2" w:lineRule="auto" w:before="210"/>
        <w:ind w:left="102" w:right="119"/>
      </w:pPr>
      <w:r>
        <w:rPr/>
        <w:t>educação básica do país‖. No entanto, ao mesmo tempo, alerta Saviani (2009, p. 1-2) para o contrário:</w:t>
      </w:r>
    </w:p>
    <w:p>
      <w:pPr>
        <w:pStyle w:val="BodyText"/>
        <w:rPr>
          <w:sz w:val="36"/>
        </w:rPr>
      </w:pPr>
    </w:p>
    <w:p>
      <w:pPr>
        <w:spacing w:before="0"/>
        <w:ind w:left="2370" w:right="229" w:firstLine="0"/>
        <w:jc w:val="both"/>
        <w:rPr>
          <w:sz w:val="20"/>
        </w:rPr>
      </w:pPr>
      <w:r>
        <w:rPr>
          <w:sz w:val="20"/>
        </w:rPr>
        <w:t>o Plano [...] não [traz] garantias de que as medidas propostas surtiriam o efeito pretendido e esperado. Isso porque não estavam claros os mecanismos de controle, permanecendo a possibilidade de que as administrações municipais manipulassem os dados de modo que garantissem o recebimento dos recursos, apresentando estatísticas que mascarassem o desempenho efetivo, em detrimento, portanto, da melhoria da qualidade.</w:t>
      </w:r>
    </w:p>
    <w:p>
      <w:pPr>
        <w:pStyle w:val="BodyText"/>
        <w:rPr>
          <w:sz w:val="22"/>
        </w:rPr>
      </w:pPr>
    </w:p>
    <w:p>
      <w:pPr>
        <w:pStyle w:val="BodyText"/>
        <w:spacing w:line="360" w:lineRule="auto" w:before="160"/>
        <w:ind w:left="102" w:right="226" w:firstLine="851"/>
        <w:jc w:val="both"/>
      </w:pPr>
      <w:r>
        <w:rPr/>
        <w:t>Em 2010, sustentado por uma ampla movimentação envolvendo políticos e diversos setores da sociedade civil ligados à educação realizou-se a Conferência Nacional de Educação (CONAE), constituindo-se em um processo de debate democrático, com participação efetiva de diversos segmentos, discutindo os rumos da educação brasileira em sua totalidade. O seu objetivo referia-se a  construir mecanismos e subsídios que fossem necessários à elaboração do PNE para os  próximos dez</w:t>
      </w:r>
      <w:r>
        <w:rPr>
          <w:spacing w:val="-1"/>
        </w:rPr>
        <w:t> </w:t>
      </w:r>
      <w:r>
        <w:rPr/>
        <w:t>anos.</w:t>
      </w:r>
    </w:p>
    <w:p>
      <w:pPr>
        <w:pStyle w:val="BodyText"/>
        <w:spacing w:line="360" w:lineRule="auto" w:before="5"/>
        <w:ind w:left="102" w:right="225" w:firstLine="851"/>
        <w:jc w:val="both"/>
      </w:pPr>
      <w:r>
        <w:rPr/>
        <w:t>O debate gerado em torno do Projeto de Lei nº 8.035/2010 (BRASIL, 2010), encaminhado pelo Executivo Federal, e que durou quase quatro anos, se dá, segundo Dourado (2011, p. 11), em torno de alguns aspectos centrais:</w:t>
      </w:r>
    </w:p>
    <w:p>
      <w:pPr>
        <w:pStyle w:val="BodyText"/>
        <w:spacing w:before="3"/>
        <w:rPr>
          <w:sz w:val="36"/>
        </w:rPr>
      </w:pPr>
    </w:p>
    <w:p>
      <w:pPr>
        <w:spacing w:before="0"/>
        <w:ind w:left="2370" w:right="224" w:firstLine="0"/>
        <w:jc w:val="both"/>
        <w:rPr>
          <w:sz w:val="20"/>
        </w:rPr>
      </w:pPr>
      <w:r>
        <w:rPr>
          <w:sz w:val="20"/>
        </w:rPr>
        <w:t>à ampliação do percentual do PIB para a educação, de 7% para 10%; à inserção de metas intermediárias (com enorme incidência no financiamento e ampliação das oportunidades educacionais, sobretudo para a universalização da educação de 4 a 17 anos, bem como na ampliação da educação de 0 a 3 anos); às modalidades educativas (forte engajamento em torno das políticas atinentes a diversidade, EJA, entre outros), novas concepções de avaliação e qualidade, entre</w:t>
      </w:r>
      <w:r>
        <w:rPr>
          <w:spacing w:val="-14"/>
          <w:sz w:val="20"/>
        </w:rPr>
        <w:t> </w:t>
      </w:r>
      <w:r>
        <w:rPr>
          <w:sz w:val="20"/>
        </w:rPr>
        <w:t>outras.</w:t>
      </w:r>
    </w:p>
    <w:p>
      <w:pPr>
        <w:pStyle w:val="BodyText"/>
        <w:rPr>
          <w:sz w:val="22"/>
        </w:rPr>
      </w:pPr>
    </w:p>
    <w:p>
      <w:pPr>
        <w:pStyle w:val="BodyText"/>
        <w:spacing w:line="360" w:lineRule="auto" w:before="161"/>
        <w:ind w:left="102" w:right="228" w:firstLine="851"/>
        <w:jc w:val="both"/>
      </w:pPr>
      <w:r>
        <w:rPr/>
        <w:t>No livro Plano Nacional de Educação (2011-2020): avaliação e perspectivas, Dourado (2011), avaliando o PL do PNE indica que:</w:t>
      </w:r>
    </w:p>
    <w:p>
      <w:pPr>
        <w:pStyle w:val="BodyText"/>
        <w:spacing w:before="4"/>
        <w:rPr>
          <w:sz w:val="36"/>
        </w:rPr>
      </w:pPr>
    </w:p>
    <w:p>
      <w:pPr>
        <w:spacing w:before="0"/>
        <w:ind w:left="2370" w:right="228" w:firstLine="0"/>
        <w:jc w:val="both"/>
        <w:rPr>
          <w:sz w:val="20"/>
        </w:rPr>
      </w:pPr>
      <w:r>
        <w:rPr>
          <w:sz w:val="20"/>
        </w:rPr>
        <w:t>É possível afirmar que as diretrizes do plano sinalizam políticas educacionais de visão ampla que articulam a universalização do  atendimento escolar à melhoria da qualidade, à formação para o trabalho e, também, a uma concepção abrangente de formação, respeito à diversidade e promoção da sustentabilidade socioambiental, reafirmando o princípio da gestão democrática e acenando, claramente, como princípio, para a valorização dos profissionais da</w:t>
      </w:r>
      <w:r>
        <w:rPr>
          <w:spacing w:val="-13"/>
          <w:sz w:val="20"/>
        </w:rPr>
        <w:t> </w:t>
      </w:r>
      <w:r>
        <w:rPr>
          <w:sz w:val="20"/>
        </w:rPr>
        <w:t>educação.</w:t>
      </w:r>
    </w:p>
    <w:p>
      <w:pPr>
        <w:pStyle w:val="BodyText"/>
        <w:rPr>
          <w:sz w:val="22"/>
        </w:rPr>
      </w:pPr>
    </w:p>
    <w:p>
      <w:pPr>
        <w:pStyle w:val="BodyText"/>
        <w:rPr>
          <w:sz w:val="22"/>
        </w:rPr>
      </w:pPr>
    </w:p>
    <w:p>
      <w:pPr>
        <w:pStyle w:val="BodyText"/>
        <w:spacing w:before="1"/>
        <w:rPr>
          <w:sz w:val="28"/>
        </w:rPr>
      </w:pPr>
    </w:p>
    <w:p>
      <w:pPr>
        <w:pStyle w:val="BodyText"/>
        <w:spacing w:line="360" w:lineRule="auto"/>
        <w:ind w:left="102" w:right="225" w:firstLine="851"/>
        <w:jc w:val="both"/>
      </w:pPr>
      <w:r>
        <w:rPr/>
        <w:t>Por fim, em 25 de junho 2014 é aprovado, e dessa vez sem vetos, mais um PNE, agora por meio da Lei nº 13.005.</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0" w:lineRule="auto" w:before="210"/>
        <w:ind w:left="122" w:right="117" w:firstLine="851"/>
        <w:jc w:val="both"/>
      </w:pPr>
      <w:r>
        <w:rPr/>
        <w:t>À luz do exposto, a temática planejamento no campo da educação, no âmbito dos sistemas e das instituições educacionais, bem como em todas as esferas públicas, apresenta complexidade, em decorrência das várias concepções, tradições, características, discursos, práticas que perpassam o cenário educacional, de acordo com cada contexto social, político, econômico, cultural e concepção teórico-epistemológica (LAGARES, 1995). E, em meio a essas tensões, ganham mais força algumas intencionalidades (racionalidades/concepções/conceitos).</w:t>
      </w:r>
    </w:p>
    <w:p>
      <w:pPr>
        <w:pStyle w:val="BodyText"/>
        <w:rPr>
          <w:sz w:val="26"/>
        </w:rPr>
      </w:pPr>
    </w:p>
    <w:p>
      <w:pPr>
        <w:pStyle w:val="BodyText"/>
        <w:rPr>
          <w:sz w:val="26"/>
        </w:rPr>
      </w:pPr>
    </w:p>
    <w:p>
      <w:pPr>
        <w:pStyle w:val="BodyText"/>
        <w:spacing w:before="10"/>
        <w:rPr>
          <w:sz w:val="20"/>
        </w:rPr>
      </w:pPr>
    </w:p>
    <w:p>
      <w:pPr>
        <w:pStyle w:val="Heading1"/>
        <w:numPr>
          <w:ilvl w:val="1"/>
          <w:numId w:val="11"/>
        </w:numPr>
        <w:tabs>
          <w:tab w:pos="516" w:val="left" w:leader="none"/>
        </w:tabs>
        <w:spacing w:line="360" w:lineRule="auto" w:before="0" w:after="0"/>
        <w:ind w:left="122" w:right="125" w:firstLine="0"/>
        <w:jc w:val="left"/>
      </w:pPr>
      <w:r>
        <w:rPr/>
        <w:t>Planejamento no campo da educação: diferentes tipos de intencionalidades e tensões – em busca de uma</w:t>
      </w:r>
      <w:r>
        <w:rPr>
          <w:spacing w:val="-13"/>
        </w:rPr>
        <w:t> </w:t>
      </w:r>
      <w:r>
        <w:rPr/>
        <w:t>síntese</w:t>
      </w:r>
    </w:p>
    <w:p>
      <w:pPr>
        <w:pStyle w:val="BodyText"/>
        <w:spacing w:before="11"/>
        <w:rPr>
          <w:b/>
          <w:sz w:val="35"/>
        </w:rPr>
      </w:pPr>
    </w:p>
    <w:p>
      <w:pPr>
        <w:pStyle w:val="BodyText"/>
        <w:spacing w:line="360" w:lineRule="auto"/>
        <w:ind w:left="405" w:right="116" w:firstLine="849"/>
        <w:jc w:val="both"/>
      </w:pPr>
      <w:r>
        <w:rPr/>
        <w:t>Em um exame das diferentes concepções teóricas que têm fundamentado o planejamento no campo da educação, nos foi possível apreender, então, dois tipos de intencionalidades (racionalidades), em tensões, por comportarem possibilidades de conservação ou de transformação social, sendo uma concepção conservadora/alienadora, com caráter tecnocrático; e outra transformadora/comprometimento social.</w:t>
      </w:r>
    </w:p>
    <w:p>
      <w:pPr>
        <w:pStyle w:val="BodyText"/>
        <w:rPr>
          <w:sz w:val="26"/>
        </w:rPr>
      </w:pPr>
    </w:p>
    <w:p>
      <w:pPr>
        <w:pStyle w:val="BodyText"/>
        <w:rPr>
          <w:sz w:val="26"/>
        </w:rPr>
      </w:pPr>
    </w:p>
    <w:p>
      <w:pPr>
        <w:pStyle w:val="Heading2"/>
        <w:numPr>
          <w:ilvl w:val="2"/>
          <w:numId w:val="11"/>
        </w:numPr>
        <w:tabs>
          <w:tab w:pos="946" w:val="left" w:leader="none"/>
        </w:tabs>
        <w:spacing w:line="240" w:lineRule="auto" w:before="203" w:after="0"/>
        <w:ind w:left="305" w:right="0" w:firstLine="100"/>
        <w:jc w:val="left"/>
        <w:rPr>
          <w:i/>
        </w:rPr>
      </w:pPr>
      <w:r>
        <w:rPr>
          <w:i/>
        </w:rPr>
        <w:t>Planejamento em uma concepção</w:t>
      </w:r>
      <w:r>
        <w:rPr>
          <w:i/>
          <w:spacing w:val="-7"/>
        </w:rPr>
        <w:t> </w:t>
      </w:r>
      <w:r>
        <w:rPr>
          <w:i/>
        </w:rPr>
        <w:t>conservadora/alienadora</w:t>
      </w:r>
      <w:r>
        <w:rPr>
          <w:i/>
          <w:position w:val="11"/>
          <w:sz w:val="16"/>
        </w:rPr>
        <w:t>11</w:t>
      </w:r>
    </w:p>
    <w:p>
      <w:pPr>
        <w:pStyle w:val="BodyText"/>
        <w:rPr>
          <w:b/>
          <w:i/>
          <w:sz w:val="30"/>
        </w:rPr>
      </w:pPr>
    </w:p>
    <w:p>
      <w:pPr>
        <w:pStyle w:val="BodyText"/>
        <w:spacing w:line="360" w:lineRule="auto" w:before="202"/>
        <w:ind w:left="405" w:right="119" w:firstLine="849"/>
        <w:jc w:val="both"/>
      </w:pPr>
      <w:r>
        <w:rPr/>
        <w:t>Vasconcellos (2010, p. 28-29), ao apresentar o planejamento como princípio prático, destaca como características principais, além da relação ao planejamento tradicional – </w:t>
      </w:r>
      <w:r>
        <w:rPr>
          <w:w w:val="44"/>
        </w:rPr>
        <w:t>―</w:t>
      </w:r>
      <w:r>
        <w:rPr>
          <w:w w:val="100"/>
        </w:rPr>
        <w:t>planos </w:t>
      </w:r>
      <w:r>
        <w:rPr>
          <w:w w:val="100"/>
        </w:rPr>
        <w:t>c</w:t>
      </w:r>
      <w:r>
        <w:rPr/>
        <w:t>o</w:t>
      </w:r>
      <w:r>
        <w:rPr>
          <w:w w:val="100"/>
        </w:rPr>
        <w:t>mo</w:t>
      </w:r>
      <w:r>
        <w:rPr/>
        <w:t> </w:t>
      </w:r>
      <w:r>
        <w:rPr>
          <w:w w:val="100"/>
        </w:rPr>
        <w:t>a</w:t>
      </w:r>
      <w:r>
        <w:rPr>
          <w:w w:val="100"/>
        </w:rPr>
        <w:t>pontame</w:t>
      </w:r>
      <w:r>
        <w:rPr/>
        <w:t>ntos </w:t>
      </w:r>
      <w:r>
        <w:rPr>
          <w:w w:val="100"/>
        </w:rPr>
        <w:t>fe</w:t>
      </w:r>
      <w:r>
        <w:rPr>
          <w:w w:val="100"/>
        </w:rPr>
        <w:t>it</w:t>
      </w:r>
      <w:r>
        <w:rPr>
          <w:w w:val="99"/>
        </w:rPr>
        <w:t>os</w:t>
      </w:r>
      <w:r>
        <w:rPr/>
        <w:t> </w:t>
      </w:r>
      <w:r>
        <w:rPr>
          <w:w w:val="100"/>
        </w:rPr>
        <w:t>e</w:t>
      </w:r>
      <w:r>
        <w:rPr>
          <w:w w:val="100"/>
        </w:rPr>
        <w:t>m</w:t>
      </w:r>
      <w:r>
        <w:rPr/>
        <w:t> </w:t>
      </w:r>
      <w:r>
        <w:rPr>
          <w:w w:val="100"/>
        </w:rPr>
        <w:t>folha</w:t>
      </w:r>
      <w:r>
        <w:rPr>
          <w:w w:val="99"/>
        </w:rPr>
        <w:t>s,</w:t>
      </w:r>
      <w:r>
        <w:rPr/>
        <w:t> </w:t>
      </w:r>
      <w:r>
        <w:rPr>
          <w:w w:val="100"/>
        </w:rPr>
        <w:t>fic</w:t>
      </w:r>
      <w:r>
        <w:rPr>
          <w:w w:val="100"/>
        </w:rPr>
        <w:t>ha</w:t>
      </w:r>
      <w:r>
        <w:rPr>
          <w:w w:val="99"/>
        </w:rPr>
        <w:t>s,</w:t>
      </w:r>
      <w:r>
        <w:rPr/>
        <w:t> </w:t>
      </w:r>
      <w:r>
        <w:rPr>
          <w:w w:val="100"/>
        </w:rPr>
        <w:t>ca</w:t>
      </w:r>
      <w:r>
        <w:rPr/>
        <w:t>d</w:t>
      </w:r>
      <w:r>
        <w:rPr>
          <w:w w:val="100"/>
        </w:rPr>
        <w:t>e</w:t>
      </w:r>
      <w:r>
        <w:rPr>
          <w:w w:val="99"/>
        </w:rPr>
        <w:t>rn</w:t>
      </w:r>
      <w:r>
        <w:rPr>
          <w:w w:val="99"/>
        </w:rPr>
        <w:t>os</w:t>
      </w:r>
      <w:r>
        <w:rPr/>
        <w:t> </w:t>
      </w:r>
      <w:r>
        <w:rPr>
          <w:w w:val="100"/>
        </w:rPr>
        <w:t>a</w:t>
      </w:r>
      <w:r>
        <w:rPr/>
        <w:t> </w:t>
      </w:r>
      <w:r>
        <w:rPr>
          <w:w w:val="100"/>
        </w:rPr>
        <w:t>pa</w:t>
      </w:r>
      <w:r>
        <w:rPr>
          <w:w w:val="100"/>
        </w:rPr>
        <w:t>rtir </w:t>
      </w:r>
      <w:r>
        <w:rPr/>
        <w:t>de leituras preparatórias para as aulas‖ que se repetiam por anos a fio – as variações nas quais começam a aparecer o estabelecimento de objetivos, mas com as atenções voltadas apenas ao preparatório das atividades/tarefas e, também, com o movimento enfatizando a espontaneidade e criatividade dos alunos, ao que possibilita ao autor </w:t>
      </w:r>
      <w:r>
        <w:rPr>
          <w:w w:val="100"/>
        </w:rPr>
        <w:t>dize</w:t>
      </w:r>
      <w:r>
        <w:rPr>
          <w:w w:val="99"/>
        </w:rPr>
        <w:t>r </w:t>
      </w:r>
      <w:r>
        <w:rPr>
          <w:w w:val="44"/>
        </w:rPr>
        <w:t>―</w:t>
      </w:r>
      <w:r>
        <w:rPr>
          <w:w w:val="100"/>
        </w:rPr>
        <w:t>que ha</w:t>
      </w:r>
      <w:r>
        <w:rPr>
          <w:w w:val="100"/>
        </w:rPr>
        <w:t>via</w:t>
      </w:r>
      <w:r>
        <w:rPr/>
        <w:t> </w:t>
      </w:r>
      <w:r>
        <w:rPr>
          <w:w w:val="100"/>
        </w:rPr>
        <w:t>a</w:t>
      </w:r>
      <w:r>
        <w:rPr>
          <w:w w:val="100"/>
        </w:rPr>
        <w:t>té</w:t>
      </w:r>
      <w:r>
        <w:rPr/>
        <w:t> </w:t>
      </w:r>
      <w:r>
        <w:rPr>
          <w:w w:val="100"/>
        </w:rPr>
        <w:t>uma</w:t>
      </w:r>
      <w:r>
        <w:rPr/>
        <w:t> </w:t>
      </w:r>
      <w:r>
        <w:rPr>
          <w:w w:val="100"/>
        </w:rPr>
        <w:t>c</w:t>
      </w:r>
      <w:r>
        <w:rPr>
          <w:w w:val="100"/>
        </w:rPr>
        <w:t>oope</w:t>
      </w:r>
      <w:r>
        <w:rPr>
          <w:w w:val="100"/>
        </w:rPr>
        <w:t>ra</w:t>
      </w:r>
      <w:r>
        <w:rPr>
          <w:w w:val="100"/>
        </w:rPr>
        <w:t>çã</w:t>
      </w:r>
      <w:r>
        <w:rPr/>
        <w:t>o </w:t>
      </w:r>
      <w:r>
        <w:rPr>
          <w:w w:val="99"/>
        </w:rPr>
        <w:t>dos</w:t>
      </w:r>
      <w:r>
        <w:rPr/>
        <w:t> </w:t>
      </w:r>
      <w:r>
        <w:rPr>
          <w:w w:val="100"/>
        </w:rPr>
        <w:t>a</w:t>
      </w:r>
      <w:r>
        <w:rPr/>
        <w:t>lunos </w:t>
      </w:r>
      <w:r>
        <w:rPr>
          <w:w w:val="100"/>
        </w:rPr>
        <w:t>a</w:t>
      </w:r>
      <w:r>
        <w:rPr/>
        <w:t>o </w:t>
      </w:r>
      <w:r>
        <w:rPr>
          <w:w w:val="100"/>
        </w:rPr>
        <w:t>planejar</w:t>
      </w:r>
      <w:r>
        <w:rPr>
          <w:w w:val="130"/>
        </w:rPr>
        <w:t>.‖</w:t>
      </w:r>
    </w:p>
    <w:p>
      <w:pPr>
        <w:pStyle w:val="BodyText"/>
        <w:rPr>
          <w:sz w:val="20"/>
        </w:rPr>
      </w:pPr>
    </w:p>
    <w:p>
      <w:pPr>
        <w:pStyle w:val="BodyText"/>
        <w:rPr>
          <w:sz w:val="20"/>
        </w:rPr>
      </w:pPr>
    </w:p>
    <w:p>
      <w:pPr>
        <w:pStyle w:val="BodyText"/>
        <w:spacing w:before="3"/>
        <w:rPr>
          <w:sz w:val="25"/>
        </w:rPr>
      </w:pPr>
      <w:r>
        <w:rPr/>
        <w:pict>
          <v:line style="position:absolute;mso-position-horizontal-relative:page;mso-position-vertical-relative:paragraph;z-index:1360;mso-wrap-distance-left:0;mso-wrap-distance-right:0" from="85.103996pt,16.851564pt" to="229.123996pt,16.851564pt" stroked="true" strokeweight=".72003pt" strokecolor="#000000">
            <v:stroke dashstyle="solid"/>
            <w10:wrap type="topAndBottom"/>
          </v:line>
        </w:pict>
      </w:r>
    </w:p>
    <w:p>
      <w:pPr>
        <w:spacing w:before="42"/>
        <w:ind w:left="122" w:right="121" w:firstLine="0"/>
        <w:jc w:val="both"/>
        <w:rPr>
          <w:sz w:val="20"/>
        </w:rPr>
      </w:pPr>
      <w:r>
        <w:rPr>
          <w:position w:val="9"/>
          <w:sz w:val="13"/>
        </w:rPr>
        <w:t>11 </w:t>
      </w:r>
      <w:r>
        <w:rPr>
          <w:sz w:val="20"/>
        </w:rPr>
        <w:t>Alienação, segundo Vasconcellos (2010), é aquele estado em que as pessoas se tornam estranhas a si mesmas e ao mundo e sem condições de interferir na sua organização, sem saber justificar ações pensamentos e emoções próprias.</w:t>
      </w:r>
    </w:p>
    <w:p>
      <w:pPr>
        <w:spacing w:after="0"/>
        <w:jc w:val="both"/>
        <w:rPr>
          <w:sz w:val="20"/>
        </w:rPr>
        <w:sectPr>
          <w:headerReference w:type="default" r:id="rId33"/>
          <w:pgSz w:w="11910" w:h="16840"/>
          <w:pgMar w:header="749" w:footer="0" w:top="960" w:bottom="280" w:left="1580" w:right="1580"/>
        </w:sectPr>
      </w:pPr>
    </w:p>
    <w:p>
      <w:pPr>
        <w:pStyle w:val="BodyText"/>
        <w:rPr>
          <w:sz w:val="20"/>
        </w:rPr>
      </w:pPr>
    </w:p>
    <w:p>
      <w:pPr>
        <w:pStyle w:val="BodyText"/>
        <w:spacing w:line="360" w:lineRule="auto" w:before="210"/>
        <w:ind w:left="305" w:right="121" w:firstLine="849"/>
        <w:jc w:val="both"/>
      </w:pPr>
      <w:r>
        <w:rPr/>
        <w:t>A essa concepção do ato de planejar, Vasconcellos (2010, p. 34) conclui que a facilidade prometida, no sentido de que tudo se resolve ao planejar, frustrou </w:t>
      </w:r>
      <w:r>
        <w:rPr>
          <w:w w:val="100"/>
        </w:rPr>
        <w:t>e</w:t>
      </w:r>
      <w:r>
        <w:rPr>
          <w:w w:val="100"/>
        </w:rPr>
        <w:t>duc</w:t>
      </w:r>
      <w:r>
        <w:rPr>
          <w:w w:val="100"/>
        </w:rPr>
        <w:t>a</w:t>
      </w:r>
      <w:r>
        <w:rPr>
          <w:w w:val="99"/>
        </w:rPr>
        <w:t>dor</w:t>
      </w:r>
      <w:r>
        <w:rPr>
          <w:w w:val="100"/>
        </w:rPr>
        <w:t>e</w:t>
      </w:r>
      <w:r>
        <w:rPr>
          <w:w w:val="99"/>
        </w:rPr>
        <w:t>s</w:t>
      </w:r>
      <w:r>
        <w:rPr/>
        <w:t> </w:t>
      </w:r>
      <w:r>
        <w:rPr>
          <w:w w:val="100"/>
        </w:rPr>
        <w:t>que, </w:t>
      </w:r>
      <w:r>
        <w:rPr>
          <w:w w:val="100"/>
        </w:rPr>
        <w:t>a</w:t>
      </w:r>
      <w:r>
        <w:rPr>
          <w:w w:val="100"/>
        </w:rPr>
        <w:t>inda</w:t>
      </w:r>
      <w:r>
        <w:rPr/>
        <w:t> </w:t>
      </w:r>
      <w:r>
        <w:rPr>
          <w:w w:val="100"/>
        </w:rPr>
        <w:t>a</w:t>
      </w:r>
      <w:r>
        <w:rPr>
          <w:w w:val="99"/>
        </w:rPr>
        <w:t>s</w:t>
      </w:r>
      <w:r>
        <w:rPr>
          <w:w w:val="100"/>
        </w:rPr>
        <w:t>sim</w:t>
      </w:r>
      <w:r>
        <w:rPr/>
        <w:t> </w:t>
      </w:r>
      <w:r>
        <w:rPr>
          <w:w w:val="100"/>
        </w:rPr>
        <w:t>e</w:t>
      </w:r>
      <w:r>
        <w:rPr>
          <w:w w:val="100"/>
        </w:rPr>
        <w:t>ram</w:t>
      </w:r>
      <w:r>
        <w:rPr/>
        <w:t> </w:t>
      </w:r>
      <w:r>
        <w:rPr>
          <w:w w:val="100"/>
        </w:rPr>
        <w:t>c</w:t>
      </w:r>
      <w:r>
        <w:rPr>
          <w:w w:val="100"/>
        </w:rPr>
        <w:t>obra</w:t>
      </w:r>
      <w:r>
        <w:rPr>
          <w:w w:val="99"/>
        </w:rPr>
        <w:t>dos</w:t>
      </w:r>
      <w:r>
        <w:rPr/>
        <w:t> </w:t>
      </w:r>
      <w:r>
        <w:rPr>
          <w:w w:val="100"/>
        </w:rPr>
        <w:t>a</w:t>
      </w:r>
      <w:r>
        <w:rPr/>
        <w:t> </w:t>
      </w:r>
      <w:r>
        <w:rPr>
          <w:w w:val="100"/>
        </w:rPr>
        <w:t>e</w:t>
      </w:r>
      <w:r>
        <w:rPr>
          <w:w w:val="100"/>
        </w:rPr>
        <w:t>la</w:t>
      </w:r>
      <w:r>
        <w:rPr>
          <w:w w:val="100"/>
        </w:rPr>
        <w:t>bora</w:t>
      </w:r>
      <w:r>
        <w:rPr>
          <w:w w:val="99"/>
        </w:rPr>
        <w:t>r planos, </w:t>
      </w:r>
      <w:r>
        <w:rPr>
          <w:w w:val="100"/>
        </w:rPr>
        <w:t>ca</w:t>
      </w:r>
      <w:r>
        <w:rPr>
          <w:w w:val="100"/>
        </w:rPr>
        <w:t>indo </w:t>
      </w:r>
      <w:r>
        <w:rPr>
          <w:w w:val="44"/>
        </w:rPr>
        <w:t>―</w:t>
      </w:r>
      <w:r>
        <w:rPr/>
        <w:t>no </w:t>
      </w:r>
      <w:r>
        <w:rPr>
          <w:w w:val="100"/>
        </w:rPr>
        <w:t>va</w:t>
      </w:r>
      <w:r>
        <w:rPr>
          <w:w w:val="100"/>
        </w:rPr>
        <w:t>z</w:t>
      </w:r>
      <w:r>
        <w:rPr>
          <w:w w:val="100"/>
        </w:rPr>
        <w:t>io</w:t>
      </w:r>
      <w:r>
        <w:rPr/>
        <w:t> do fazer alienado‖.</w:t>
      </w:r>
    </w:p>
    <w:p>
      <w:pPr>
        <w:pStyle w:val="BodyText"/>
        <w:spacing w:line="360" w:lineRule="auto" w:before="3"/>
        <w:ind w:left="305" w:right="119" w:firstLine="849"/>
        <w:jc w:val="both"/>
      </w:pPr>
      <w:r>
        <w:rPr/>
        <w:t>Dessa caracterização relacionada ao planejamento tradicional, indicada por V</w:t>
      </w:r>
      <w:r>
        <w:rPr>
          <w:spacing w:val="-2"/>
        </w:rPr>
        <w:t>a</w:t>
      </w:r>
      <w:r>
        <w:rPr/>
        <w:t>s</w:t>
      </w:r>
      <w:r>
        <w:rPr>
          <w:spacing w:val="-1"/>
        </w:rPr>
        <w:t>c</w:t>
      </w:r>
      <w:r>
        <w:rPr>
          <w:w w:val="100"/>
        </w:rPr>
        <w:t>on</w:t>
      </w:r>
      <w:r>
        <w:rPr>
          <w:spacing w:val="1"/>
          <w:w w:val="100"/>
        </w:rPr>
        <w:t>c</w:t>
      </w:r>
      <w:r>
        <w:rPr>
          <w:spacing w:val="-1"/>
          <w:w w:val="100"/>
        </w:rPr>
        <w:t>e</w:t>
      </w:r>
      <w:r>
        <w:rPr>
          <w:w w:val="100"/>
        </w:rPr>
        <w:t>ll</w:t>
      </w:r>
      <w:r>
        <w:rPr>
          <w:w w:val="99"/>
        </w:rPr>
        <w:t>os</w:t>
      </w:r>
      <w:r>
        <w:rPr/>
        <w:t>  </w:t>
      </w:r>
      <w:r>
        <w:rPr>
          <w:spacing w:val="-1"/>
          <w:w w:val="100"/>
        </w:rPr>
        <w:t>c</w:t>
      </w:r>
      <w:r>
        <w:rPr>
          <w:w w:val="100"/>
        </w:rPr>
        <w:t>omo  p</w:t>
      </w:r>
      <w:r>
        <w:rPr>
          <w:spacing w:val="-1"/>
          <w:w w:val="100"/>
        </w:rPr>
        <w:t>r</w:t>
      </w:r>
      <w:r>
        <w:rPr>
          <w:w w:val="100"/>
        </w:rPr>
        <w:t>incípio</w:t>
      </w:r>
      <w:r>
        <w:rPr/>
        <w:t>  p</w:t>
      </w:r>
      <w:r>
        <w:rPr>
          <w:spacing w:val="-1"/>
        </w:rPr>
        <w:t>r</w:t>
      </w:r>
      <w:r>
        <w:rPr>
          <w:spacing w:val="-1"/>
          <w:w w:val="100"/>
        </w:rPr>
        <w:t>á</w:t>
      </w:r>
      <w:r>
        <w:rPr>
          <w:w w:val="100"/>
        </w:rPr>
        <w:t>ti</w:t>
      </w:r>
      <w:r>
        <w:rPr>
          <w:spacing w:val="-1"/>
          <w:w w:val="100"/>
        </w:rPr>
        <w:t>c</w:t>
      </w:r>
      <w:r>
        <w:rPr/>
        <w:t>o,  </w:t>
      </w:r>
      <w:r>
        <w:rPr>
          <w:w w:val="99"/>
        </w:rPr>
        <w:t>U</w:t>
      </w:r>
      <w:r>
        <w:rPr>
          <w:spacing w:val="-2"/>
          <w:w w:val="99"/>
        </w:rPr>
        <w:t>r</w:t>
      </w:r>
      <w:r>
        <w:rPr>
          <w:w w:val="100"/>
        </w:rPr>
        <w:t>ibe</w:t>
      </w:r>
      <w:r>
        <w:rPr/>
        <w:t>  R</w:t>
      </w:r>
      <w:r>
        <w:rPr>
          <w:w w:val="100"/>
        </w:rPr>
        <w:t>ive</w:t>
      </w:r>
      <w:r>
        <w:rPr>
          <w:spacing w:val="-2"/>
          <w:w w:val="100"/>
        </w:rPr>
        <w:t>r</w:t>
      </w:r>
      <w:r>
        <w:rPr>
          <w:w w:val="100"/>
        </w:rPr>
        <w:t>a</w:t>
      </w:r>
      <w:r>
        <w:rPr/>
        <w:t>  (199</w:t>
      </w:r>
      <w:r>
        <w:rPr>
          <w:spacing w:val="-1"/>
        </w:rPr>
        <w:t>5</w:t>
      </w:r>
      <w:r>
        <w:rPr/>
        <w:t>,  p.  15)  </w:t>
      </w:r>
      <w:r>
        <w:rPr>
          <w:w w:val="100"/>
        </w:rPr>
        <w:t>a</w:t>
      </w:r>
      <w:r>
        <w:rPr/>
        <w:t>p</w:t>
      </w:r>
      <w:r>
        <w:rPr>
          <w:spacing w:val="2"/>
        </w:rPr>
        <w:t>o</w:t>
      </w:r>
      <w:r>
        <w:rPr>
          <w:w w:val="100"/>
        </w:rPr>
        <w:t>nta</w:t>
      </w:r>
      <w:r>
        <w:rPr/>
        <w:t>  </w:t>
      </w:r>
      <w:r>
        <w:rPr>
          <w:w w:val="100"/>
        </w:rPr>
        <w:t>que  </w:t>
      </w:r>
      <w:r>
        <w:rPr>
          <w:spacing w:val="-1"/>
          <w:w w:val="44"/>
        </w:rPr>
        <w:t>―</w:t>
      </w:r>
      <w:r>
        <w:rPr>
          <w:w w:val="100"/>
        </w:rPr>
        <w:t>a </w:t>
      </w:r>
      <w:r>
        <w:rPr/>
        <w:t>legitimidade dos planos (apoiada nas normas e valores dos grupos sociais) é mais importante que a possibilidade técnica de realização e que a viabilidade política dos mesmos (esta última concebida no contexto de uma visão funcional do poder).‖</w:t>
      </w:r>
    </w:p>
    <w:p>
      <w:pPr>
        <w:pStyle w:val="BodyText"/>
        <w:spacing w:line="360" w:lineRule="auto" w:before="6"/>
        <w:ind w:left="305" w:right="118" w:firstLine="849"/>
        <w:jc w:val="both"/>
      </w:pPr>
      <w:r>
        <w:rPr/>
        <w:t>Também, Parente (2003), acerca do planejamento educacional tradicional, revela que constitui um processo técnico com formulação e avaliação de políticas públicas, desvelando a elaboração destas atividades por especialistas. O autor destaca, ainda, que o modo como este tipo de planejamento se desenvolveu configurou-se em dois modelos clássicos: planejamento imperativo e planejamento indicativo, sendo o primeiro, após aprovado, obrigatoriamente operacionalizado, sem margem para adequações e/ou mudanças, e o segundo, com o processo de elaboração voltado praticamente à esfera das instituições governamentais, conferindo pouco espaço à participação da</w:t>
      </w:r>
      <w:r>
        <w:rPr>
          <w:spacing w:val="-6"/>
        </w:rPr>
        <w:t> </w:t>
      </w:r>
      <w:r>
        <w:rPr/>
        <w:t>comunidade.</w:t>
      </w:r>
    </w:p>
    <w:p>
      <w:pPr>
        <w:pStyle w:val="BodyText"/>
        <w:spacing w:line="360" w:lineRule="auto" w:before="3"/>
        <w:ind w:left="305" w:right="123" w:firstLine="849"/>
        <w:jc w:val="both"/>
      </w:pPr>
      <w:r>
        <w:rPr>
          <w:w w:val="99"/>
        </w:rPr>
        <w:t>Mend</w:t>
      </w:r>
      <w:r>
        <w:rPr>
          <w:w w:val="100"/>
        </w:rPr>
        <w:t>e</w:t>
      </w:r>
      <w:r>
        <w:rPr>
          <w:w w:val="99"/>
        </w:rPr>
        <w:t>s</w:t>
      </w:r>
      <w:r>
        <w:rPr/>
        <w:t>  (2000,  p.  23)  </w:t>
      </w:r>
      <w:r>
        <w:rPr>
          <w:w w:val="100"/>
        </w:rPr>
        <w:t>destac</w:t>
      </w:r>
      <w:r>
        <w:rPr>
          <w:w w:val="100"/>
        </w:rPr>
        <w:t>a</w:t>
      </w:r>
      <w:r>
        <w:rPr/>
        <w:t>  </w:t>
      </w:r>
      <w:r>
        <w:rPr>
          <w:w w:val="100"/>
        </w:rPr>
        <w:t>a</w:t>
      </w:r>
      <w:r>
        <w:rPr/>
        <w:t>  </w:t>
      </w:r>
      <w:r>
        <w:rPr>
          <w:w w:val="44"/>
        </w:rPr>
        <w:t>―</w:t>
      </w:r>
      <w:r>
        <w:rPr>
          <w:w w:val="100"/>
        </w:rPr>
        <w:t>dua</w:t>
      </w:r>
      <w:r>
        <w:rPr>
          <w:w w:val="100"/>
        </w:rPr>
        <w:t>li</w:t>
      </w:r>
      <w:r>
        <w:rPr>
          <w:w w:val="100"/>
        </w:rPr>
        <w:t>da</w:t>
      </w:r>
      <w:r>
        <w:rPr/>
        <w:t>d</w:t>
      </w:r>
      <w:r>
        <w:rPr>
          <w:w w:val="100"/>
        </w:rPr>
        <w:t>e</w:t>
      </w:r>
      <w:r>
        <w:rPr/>
        <w:t>  </w:t>
      </w:r>
      <w:r>
        <w:rPr>
          <w:w w:val="100"/>
        </w:rPr>
        <w:t>de</w:t>
      </w:r>
      <w:r>
        <w:rPr/>
        <w:t>  </w:t>
      </w:r>
      <w:r>
        <w:rPr>
          <w:w w:val="100"/>
        </w:rPr>
        <w:t>tendências</w:t>
      </w:r>
      <w:r>
        <w:rPr/>
        <w:t>  </w:t>
      </w:r>
      <w:r>
        <w:rPr>
          <w:w w:val="100"/>
        </w:rPr>
        <w:t>que  </w:t>
      </w:r>
      <w:r>
        <w:rPr>
          <w:w w:val="99"/>
        </w:rPr>
        <w:t>se  </w:t>
      </w:r>
      <w:r>
        <w:rPr>
          <w:w w:val="100"/>
        </w:rPr>
        <w:t>vêm </w:t>
      </w:r>
      <w:r>
        <w:rPr/>
        <w:t>cruzando no planejamento educacional brasileiro, uma oriunda dos educadores liberais, e outra, dos técnicos do ministério do planejamento‖ e complementa:</w:t>
      </w:r>
    </w:p>
    <w:p>
      <w:pPr>
        <w:pStyle w:val="BodyText"/>
        <w:spacing w:before="5"/>
        <w:rPr>
          <w:sz w:val="36"/>
        </w:rPr>
      </w:pPr>
    </w:p>
    <w:p>
      <w:pPr>
        <w:spacing w:line="276" w:lineRule="auto" w:before="0"/>
        <w:ind w:left="2290" w:right="118" w:firstLine="0"/>
        <w:jc w:val="both"/>
        <w:rPr>
          <w:sz w:val="20"/>
        </w:rPr>
      </w:pPr>
      <w:r>
        <w:rPr>
          <w:sz w:val="20"/>
        </w:rPr>
        <w:t>Os princípios constitucionais que servem de fundamento último a ambos os sistemas de planejamento – na medida em que expressam a mesma filosofia política e educacional – têm permanecido invariáveis. Esses princípios se referem, basicamente, aos fins da educação, ao direito de todos à educação, à obrigação do Estado de ministrar o ensino nos três graus, à liberdade da iniciativa privada, amparada financeira e tecnicamente pelos  poderes públicos, e à subsidiaridade da ação federal em relação aos sistemas estaduais de educação.</w:t>
      </w:r>
    </w:p>
    <w:p>
      <w:pPr>
        <w:pStyle w:val="BodyText"/>
        <w:spacing w:before="11"/>
        <w:rPr>
          <w:sz w:val="29"/>
        </w:rPr>
      </w:pPr>
    </w:p>
    <w:p>
      <w:pPr>
        <w:pStyle w:val="BodyText"/>
        <w:spacing w:line="360" w:lineRule="auto"/>
        <w:ind w:left="305" w:right="116" w:firstLine="849"/>
        <w:jc w:val="both"/>
      </w:pPr>
      <w:r>
        <w:rPr/>
        <w:t>Dessas duas tendências de planejamento no Brasil, dos liberais e dos técnicos do ministério, é possível perceber mecanismos de conservação e alienação. </w:t>
      </w:r>
      <w:r>
        <w:rPr>
          <w:w w:val="99"/>
        </w:rPr>
        <w:t>A</w:t>
      </w:r>
      <w:r>
        <w:rPr/>
        <w:t> </w:t>
      </w:r>
      <w:r>
        <w:rPr>
          <w:spacing w:val="16"/>
        </w:rPr>
        <w:t> </w:t>
      </w:r>
      <w:r>
        <w:rPr>
          <w:spacing w:val="-1"/>
          <w:w w:val="100"/>
        </w:rPr>
        <w:t>a</w:t>
      </w:r>
      <w:r>
        <w:rPr>
          <w:w w:val="100"/>
        </w:rPr>
        <w:t>li</w:t>
      </w:r>
      <w:r>
        <w:rPr>
          <w:spacing w:val="-1"/>
          <w:w w:val="100"/>
        </w:rPr>
        <w:t>e</w:t>
      </w:r>
      <w:r>
        <w:rPr>
          <w:w w:val="100"/>
        </w:rPr>
        <w:t>n</w:t>
      </w:r>
      <w:r>
        <w:rPr>
          <w:spacing w:val="-1"/>
          <w:w w:val="100"/>
        </w:rPr>
        <w:t>a</w:t>
      </w:r>
      <w:r>
        <w:rPr>
          <w:spacing w:val="1"/>
          <w:w w:val="100"/>
        </w:rPr>
        <w:t>ç</w:t>
      </w:r>
      <w:r>
        <w:rPr>
          <w:spacing w:val="-1"/>
          <w:w w:val="100"/>
        </w:rPr>
        <w:t>ã</w:t>
      </w:r>
      <w:r>
        <w:rPr/>
        <w:t>o </w:t>
      </w:r>
      <w:r>
        <w:rPr>
          <w:spacing w:val="16"/>
        </w:rPr>
        <w:t> </w:t>
      </w:r>
      <w:r>
        <w:rPr>
          <w:w w:val="99"/>
        </w:rPr>
        <w:t>dos</w:t>
      </w:r>
      <w:r>
        <w:rPr/>
        <w:t> </w:t>
      </w:r>
      <w:r>
        <w:rPr>
          <w:spacing w:val="16"/>
        </w:rPr>
        <w:t> </w:t>
      </w:r>
      <w:r>
        <w:rPr>
          <w:spacing w:val="-1"/>
          <w:w w:val="100"/>
        </w:rPr>
        <w:t>e</w:t>
      </w:r>
      <w:r>
        <w:rPr>
          <w:w w:val="100"/>
        </w:rPr>
        <w:t>du</w:t>
      </w:r>
      <w:r>
        <w:rPr>
          <w:spacing w:val="-1"/>
          <w:w w:val="100"/>
        </w:rPr>
        <w:t>c</w:t>
      </w:r>
      <w:r>
        <w:rPr>
          <w:spacing w:val="1"/>
          <w:w w:val="100"/>
        </w:rPr>
        <w:t>a</w:t>
      </w:r>
      <w:r>
        <w:rPr>
          <w:w w:val="100"/>
        </w:rPr>
        <w:t>dor</w:t>
      </w:r>
      <w:r>
        <w:rPr>
          <w:spacing w:val="-2"/>
          <w:w w:val="100"/>
        </w:rPr>
        <w:t>e</w:t>
      </w:r>
      <w:r>
        <w:rPr>
          <w:w w:val="99"/>
        </w:rPr>
        <w:t>s</w:t>
      </w:r>
      <w:r>
        <w:rPr/>
        <w:t> </w:t>
      </w:r>
      <w:r>
        <w:rPr>
          <w:spacing w:val="16"/>
        </w:rPr>
        <w:t> </w:t>
      </w:r>
      <w:r>
        <w:rPr>
          <w:spacing w:val="-1"/>
          <w:w w:val="44"/>
        </w:rPr>
        <w:t>―</w:t>
      </w:r>
      <w:r>
        <w:rPr>
          <w:spacing w:val="-1"/>
          <w:w w:val="100"/>
        </w:rPr>
        <w:t>e</w:t>
      </w:r>
      <w:r>
        <w:rPr>
          <w:w w:val="100"/>
        </w:rPr>
        <w:t>stá</w:t>
      </w:r>
      <w:r>
        <w:rPr/>
        <w:t> </w:t>
      </w:r>
      <w:r>
        <w:rPr>
          <w:spacing w:val="16"/>
        </w:rPr>
        <w:t> </w:t>
      </w:r>
      <w:r>
        <w:rPr/>
        <w:t>p</w:t>
      </w:r>
      <w:r>
        <w:rPr>
          <w:spacing w:val="1"/>
        </w:rPr>
        <w:t>r</w:t>
      </w:r>
      <w:r>
        <w:rPr>
          <w:spacing w:val="-1"/>
          <w:w w:val="100"/>
        </w:rPr>
        <w:t>e</w:t>
      </w:r>
      <w:r>
        <w:rPr>
          <w:w w:val="100"/>
        </w:rPr>
        <w:t>domin</w:t>
      </w:r>
      <w:r>
        <w:rPr>
          <w:spacing w:val="-1"/>
          <w:w w:val="100"/>
        </w:rPr>
        <w:t>a</w:t>
      </w:r>
      <w:r>
        <w:rPr>
          <w:spacing w:val="2"/>
        </w:rPr>
        <w:t>n</w:t>
      </w:r>
      <w:r>
        <w:rPr>
          <w:w w:val="100"/>
        </w:rPr>
        <w:t>tem</w:t>
      </w:r>
      <w:r>
        <w:rPr>
          <w:spacing w:val="-1"/>
          <w:w w:val="100"/>
        </w:rPr>
        <w:t>e</w:t>
      </w:r>
      <w:r>
        <w:rPr>
          <w:w w:val="100"/>
        </w:rPr>
        <w:t>nte</w:t>
      </w:r>
      <w:r>
        <w:rPr/>
        <w:t> </w:t>
      </w:r>
      <w:r>
        <w:rPr>
          <w:spacing w:val="16"/>
        </w:rPr>
        <w:t> </w:t>
      </w:r>
      <w:r>
        <w:rPr>
          <w:w w:val="99"/>
        </w:rPr>
        <w:t>nos</w:t>
      </w:r>
      <w:r>
        <w:rPr/>
        <w:t> </w:t>
      </w:r>
      <w:r>
        <w:rPr>
          <w:spacing w:val="16"/>
        </w:rPr>
        <w:t> </w:t>
      </w:r>
      <w:r>
        <w:rPr/>
        <w:t>métodos </w:t>
      </w:r>
      <w:r>
        <w:rPr>
          <w:spacing w:val="16"/>
        </w:rPr>
        <w:t> </w:t>
      </w:r>
      <w:r>
        <w:rPr>
          <w:w w:val="100"/>
        </w:rPr>
        <w:t>de</w:t>
      </w:r>
      <w:r>
        <w:rPr/>
        <w:t> </w:t>
      </w:r>
      <w:r>
        <w:rPr>
          <w:spacing w:val="20"/>
        </w:rPr>
        <w:t> </w:t>
      </w:r>
      <w:r>
        <w:rPr>
          <w:spacing w:val="-1"/>
        </w:rPr>
        <w:t>açã</w:t>
      </w:r>
      <w:r>
        <w:rPr/>
        <w:t>o, </w:t>
      </w:r>
      <w:r>
        <w:rPr>
          <w:spacing w:val="18"/>
        </w:rPr>
        <w:t> </w:t>
      </w:r>
      <w:r>
        <w:rPr/>
        <w:t>e noutros,</w:t>
      </w:r>
      <w:r>
        <w:rPr>
          <w:spacing w:val="18"/>
        </w:rPr>
        <w:t> </w:t>
      </w:r>
      <w:r>
        <w:rPr/>
        <w:t>no</w:t>
      </w:r>
      <w:r>
        <w:rPr>
          <w:spacing w:val="18"/>
        </w:rPr>
        <w:t> </w:t>
      </w:r>
      <w:r>
        <w:rPr/>
        <w:t>p</w:t>
      </w:r>
      <w:r>
        <w:rPr>
          <w:spacing w:val="-1"/>
        </w:rPr>
        <w:t>r</w:t>
      </w:r>
      <w:r>
        <w:rPr/>
        <w:t>ó</w:t>
      </w:r>
      <w:r>
        <w:rPr>
          <w:spacing w:val="2"/>
        </w:rPr>
        <w:t>p</w:t>
      </w:r>
      <w:r>
        <w:rPr>
          <w:w w:val="100"/>
        </w:rPr>
        <w:t>rio</w:t>
      </w:r>
      <w:r>
        <w:rPr>
          <w:spacing w:val="18"/>
        </w:rPr>
        <w:t> </w:t>
      </w:r>
      <w:r>
        <w:rPr>
          <w:w w:val="100"/>
        </w:rPr>
        <w:t>p</w:t>
      </w:r>
      <w:r>
        <w:rPr>
          <w:spacing w:val="-1"/>
          <w:w w:val="100"/>
        </w:rPr>
        <w:t>e</w:t>
      </w:r>
      <w:r>
        <w:rPr>
          <w:w w:val="99"/>
        </w:rPr>
        <w:t>n</w:t>
      </w:r>
      <w:r>
        <w:rPr>
          <w:spacing w:val="2"/>
          <w:w w:val="99"/>
        </w:rPr>
        <w:t>s</w:t>
      </w:r>
      <w:r>
        <w:rPr>
          <w:spacing w:val="-1"/>
          <w:w w:val="100"/>
        </w:rPr>
        <w:t>a</w:t>
      </w:r>
      <w:r>
        <w:rPr>
          <w:w w:val="105"/>
        </w:rPr>
        <w:t>mento.‖</w:t>
      </w:r>
      <w:r>
        <w:rPr>
          <w:spacing w:val="18"/>
        </w:rPr>
        <w:t> </w:t>
      </w:r>
      <w:r>
        <w:rPr>
          <w:w w:val="99"/>
        </w:rPr>
        <w:t>A</w:t>
      </w:r>
      <w:r>
        <w:rPr>
          <w:spacing w:val="20"/>
        </w:rPr>
        <w:t> </w:t>
      </w:r>
      <w:r>
        <w:rPr>
          <w:spacing w:val="-1"/>
          <w:w w:val="100"/>
        </w:rPr>
        <w:t>e</w:t>
      </w:r>
      <w:r>
        <w:rPr/>
        <w:t>d</w:t>
      </w:r>
      <w:r>
        <w:rPr>
          <w:spacing w:val="2"/>
        </w:rPr>
        <w:t>u</w:t>
      </w:r>
      <w:r>
        <w:rPr>
          <w:spacing w:val="-1"/>
          <w:w w:val="100"/>
        </w:rPr>
        <w:t>c</w:t>
      </w:r>
      <w:r>
        <w:rPr>
          <w:spacing w:val="1"/>
          <w:w w:val="100"/>
        </w:rPr>
        <w:t>a</w:t>
      </w:r>
      <w:r>
        <w:rPr>
          <w:spacing w:val="-1"/>
          <w:w w:val="100"/>
        </w:rPr>
        <w:t>çã</w:t>
      </w:r>
      <w:r>
        <w:rPr/>
        <w:t>o,</w:t>
      </w:r>
      <w:r>
        <w:rPr>
          <w:spacing w:val="21"/>
        </w:rPr>
        <w:t> </w:t>
      </w:r>
      <w:r>
        <w:rPr>
          <w:spacing w:val="-1"/>
          <w:w w:val="44"/>
        </w:rPr>
        <w:t>―</w:t>
      </w:r>
      <w:r>
        <w:rPr>
          <w:spacing w:val="1"/>
          <w:w w:val="100"/>
        </w:rPr>
        <w:t>a</w:t>
      </w:r>
      <w:r>
        <w:rPr>
          <w:w w:val="100"/>
        </w:rPr>
        <w:t>p</w:t>
      </w:r>
      <w:r>
        <w:rPr>
          <w:spacing w:val="-1"/>
          <w:w w:val="100"/>
        </w:rPr>
        <w:t>a</w:t>
      </w:r>
      <w:r>
        <w:rPr>
          <w:w w:val="100"/>
        </w:rPr>
        <w:t>r</w:t>
      </w:r>
      <w:r>
        <w:rPr>
          <w:spacing w:val="-2"/>
          <w:w w:val="100"/>
        </w:rPr>
        <w:t>e</w:t>
      </w:r>
      <w:r>
        <w:rPr>
          <w:spacing w:val="1"/>
          <w:w w:val="100"/>
        </w:rPr>
        <w:t>c</w:t>
      </w:r>
      <w:r>
        <w:rPr>
          <w:w w:val="100"/>
        </w:rPr>
        <w:t>e</w:t>
      </w:r>
      <w:r>
        <w:rPr>
          <w:spacing w:val="18"/>
        </w:rPr>
        <w:t> </w:t>
      </w:r>
      <w:r>
        <w:rPr>
          <w:spacing w:val="2"/>
          <w:w w:val="99"/>
        </w:rPr>
        <w:t>s</w:t>
      </w:r>
      <w:r>
        <w:rPr>
          <w:spacing w:val="-1"/>
          <w:w w:val="100"/>
        </w:rPr>
        <w:t>e</w:t>
      </w:r>
      <w:r>
        <w:rPr>
          <w:w w:val="100"/>
        </w:rPr>
        <w:t>m</w:t>
      </w:r>
      <w:r>
        <w:rPr>
          <w:spacing w:val="19"/>
        </w:rPr>
        <w:t> </w:t>
      </w:r>
      <w:r>
        <w:rPr>
          <w:w w:val="100"/>
        </w:rPr>
        <w:t>filosofi</w:t>
      </w:r>
      <w:r>
        <w:rPr>
          <w:spacing w:val="-1"/>
          <w:w w:val="100"/>
        </w:rPr>
        <w:t>a</w:t>
      </w:r>
      <w:r>
        <w:rPr/>
        <w:t>,</w:t>
      </w:r>
      <w:r>
        <w:rPr>
          <w:spacing w:val="21"/>
        </w:rPr>
        <w:t> </w:t>
      </w:r>
      <w:r>
        <w:rPr/>
        <w:t>s</w:t>
      </w:r>
      <w:r>
        <w:rPr>
          <w:spacing w:val="1"/>
        </w:rPr>
        <w:t>e</w:t>
      </w:r>
      <w:r>
        <w:rPr>
          <w:w w:val="100"/>
        </w:rPr>
        <w:t>m</w:t>
      </w:r>
      <w:r>
        <w:rPr>
          <w:spacing w:val="19"/>
        </w:rPr>
        <w:t> </w:t>
      </w:r>
      <w:r>
        <w:rPr>
          <w:w w:val="100"/>
        </w:rPr>
        <w:t>polí</w:t>
      </w:r>
      <w:r>
        <w:rPr>
          <w:w w:val="100"/>
        </w:rPr>
        <w:t>ti</w:t>
      </w:r>
      <w:r>
        <w:rPr>
          <w:spacing w:val="-1"/>
          <w:w w:val="100"/>
        </w:rPr>
        <w:t>ca</w:t>
      </w:r>
      <w:r>
        <w:rPr/>
        <w:t>, sem economia, desligada, ao mesmo tempo, de seus fins e valores, como de suas </w:t>
      </w:r>
      <w:r>
        <w:rPr>
          <w:spacing w:val="-1"/>
          <w:w w:val="100"/>
        </w:rPr>
        <w:t>c</w:t>
      </w:r>
      <w:r>
        <w:rPr>
          <w:w w:val="100"/>
        </w:rPr>
        <w:t>ondiçõ</w:t>
      </w:r>
      <w:r>
        <w:rPr>
          <w:spacing w:val="-2"/>
          <w:w w:val="100"/>
        </w:rPr>
        <w:t>e</w:t>
      </w:r>
      <w:r>
        <w:rPr>
          <w:w w:val="99"/>
        </w:rPr>
        <w:t>s</w:t>
      </w:r>
      <w:r>
        <w:rPr/>
        <w:t>  </w:t>
      </w:r>
      <w:r>
        <w:rPr>
          <w:spacing w:val="4"/>
        </w:rPr>
        <w:t> </w:t>
      </w:r>
      <w:r>
        <w:rPr>
          <w:w w:val="100"/>
        </w:rPr>
        <w:t>hist</w:t>
      </w:r>
      <w:r>
        <w:rPr>
          <w:w w:val="99"/>
        </w:rPr>
        <w:t>ó</w:t>
      </w:r>
      <w:r>
        <w:rPr>
          <w:spacing w:val="-1"/>
          <w:w w:val="99"/>
        </w:rPr>
        <w:t>r</w:t>
      </w:r>
      <w:r>
        <w:rPr>
          <w:w w:val="100"/>
        </w:rPr>
        <w:t>ic</w:t>
      </w:r>
      <w:r>
        <w:rPr>
          <w:spacing w:val="-2"/>
          <w:w w:val="100"/>
        </w:rPr>
        <w:t>a</w:t>
      </w:r>
      <w:r>
        <w:rPr>
          <w:w w:val="99"/>
        </w:rPr>
        <w:t>s</w:t>
      </w:r>
      <w:r>
        <w:rPr/>
        <w:t>  </w:t>
      </w:r>
      <w:r>
        <w:rPr>
          <w:spacing w:val="4"/>
        </w:rPr>
        <w:t> </w:t>
      </w:r>
      <w:r>
        <w:rPr>
          <w:w w:val="100"/>
        </w:rPr>
        <w:t>e</w:t>
      </w:r>
      <w:r>
        <w:rPr/>
        <w:t>  </w:t>
      </w:r>
      <w:r>
        <w:rPr>
          <w:spacing w:val="5"/>
        </w:rPr>
        <w:t> </w:t>
      </w:r>
      <w:r>
        <w:rPr>
          <w:w w:val="100"/>
        </w:rPr>
        <w:t>socio</w:t>
      </w:r>
      <w:r>
        <w:rPr>
          <w:spacing w:val="-2"/>
          <w:w w:val="100"/>
        </w:rPr>
        <w:t>c</w:t>
      </w:r>
      <w:r>
        <w:rPr>
          <w:w w:val="100"/>
        </w:rPr>
        <w:t>ult</w:t>
      </w:r>
      <w:r>
        <w:rPr>
          <w:w w:val="99"/>
        </w:rPr>
        <w:t>u</w:t>
      </w:r>
      <w:r>
        <w:rPr>
          <w:spacing w:val="-1"/>
          <w:w w:val="99"/>
        </w:rPr>
        <w:t>r</w:t>
      </w:r>
      <w:r>
        <w:rPr>
          <w:spacing w:val="-1"/>
          <w:w w:val="100"/>
        </w:rPr>
        <w:t>a</w:t>
      </w:r>
      <w:r>
        <w:rPr>
          <w:w w:val="113"/>
        </w:rPr>
        <w:t>is.‖</w:t>
      </w:r>
      <w:r>
        <w:rPr/>
        <w:t>  </w:t>
      </w:r>
      <w:r>
        <w:rPr>
          <w:spacing w:val="4"/>
        </w:rPr>
        <w:t> </w:t>
      </w:r>
      <w:r>
        <w:rPr/>
        <w:t>R</w:t>
      </w:r>
      <w:r>
        <w:rPr>
          <w:spacing w:val="-1"/>
          <w:w w:val="100"/>
        </w:rPr>
        <w:t>e</w:t>
      </w:r>
      <w:r>
        <w:rPr>
          <w:w w:val="100"/>
        </w:rPr>
        <w:t>st</w:t>
      </w:r>
      <w:r>
        <w:rPr>
          <w:spacing w:val="1"/>
          <w:w w:val="100"/>
        </w:rPr>
        <w:t>a</w:t>
      </w:r>
      <w:r>
        <w:rPr>
          <w:w w:val="100"/>
        </w:rPr>
        <w:t>m,</w:t>
      </w:r>
      <w:r>
        <w:rPr/>
        <w:t>  </w:t>
      </w:r>
      <w:r>
        <w:rPr>
          <w:spacing w:val="5"/>
        </w:rPr>
        <w:t> </w:t>
      </w:r>
      <w:r>
        <w:rPr>
          <w:spacing w:val="-1"/>
          <w:w w:val="100"/>
        </w:rPr>
        <w:t>e</w:t>
      </w:r>
      <w:r>
        <w:rPr>
          <w:w w:val="100"/>
        </w:rPr>
        <w:t>ntão,</w:t>
      </w:r>
      <w:r>
        <w:rPr/>
        <w:t>  </w:t>
      </w:r>
      <w:r>
        <w:rPr>
          <w:spacing w:val="4"/>
        </w:rPr>
        <w:t> </w:t>
      </w:r>
      <w:r>
        <w:rPr>
          <w:spacing w:val="-1"/>
          <w:w w:val="44"/>
        </w:rPr>
        <w:t>―</w:t>
      </w:r>
      <w:r>
        <w:rPr>
          <w:spacing w:val="1"/>
          <w:w w:val="99"/>
        </w:rPr>
        <w:t>[</w:t>
      </w:r>
      <w:r>
        <w:rPr>
          <w:w w:val="99"/>
        </w:rPr>
        <w:t>...]  </w:t>
      </w:r>
      <w:r>
        <w:rPr>
          <w:spacing w:val="6"/>
          <w:w w:val="99"/>
        </w:rPr>
        <w:t> </w:t>
      </w:r>
      <w:r>
        <w:rPr>
          <w:spacing w:val="-1"/>
          <w:w w:val="100"/>
        </w:rPr>
        <w:t>a</w:t>
      </w:r>
      <w:r>
        <w:rPr>
          <w:w w:val="100"/>
        </w:rPr>
        <w:t>p</w:t>
      </w:r>
      <w:r>
        <w:rPr>
          <w:spacing w:val="-1"/>
          <w:w w:val="100"/>
        </w:rPr>
        <w:t>e</w:t>
      </w:r>
      <w:r>
        <w:rPr>
          <w:w w:val="100"/>
        </w:rPr>
        <w:t>n</w:t>
      </w:r>
      <w:r>
        <w:rPr>
          <w:spacing w:val="-1"/>
          <w:w w:val="100"/>
        </w:rPr>
        <w:t>a</w:t>
      </w:r>
      <w:r>
        <w:rPr>
          <w:w w:val="99"/>
        </w:rPr>
        <w:t>s</w:t>
      </w:r>
      <w:r>
        <w:rPr/>
        <w:t>  </w:t>
      </w:r>
      <w:r>
        <w:rPr>
          <w:spacing w:val="4"/>
        </w:rPr>
        <w:t> </w:t>
      </w:r>
      <w:r>
        <w:rPr>
          <w:spacing w:val="-1"/>
          <w:w w:val="100"/>
        </w:rPr>
        <w:t>a</w:t>
      </w:r>
      <w:r>
        <w:rPr>
          <w:w w:val="100"/>
        </w:rPr>
        <w:t>l</w:t>
      </w:r>
      <w:r>
        <w:rPr>
          <w:spacing w:val="-2"/>
          <w:w w:val="100"/>
        </w:rPr>
        <w:t>g</w:t>
      </w:r>
      <w:r>
        <w:rPr>
          <w:w w:val="100"/>
        </w:rPr>
        <w:t>umas</w:t>
      </w:r>
    </w:p>
    <w:p>
      <w:pPr>
        <w:spacing w:after="0" w:line="360" w:lineRule="auto"/>
        <w:jc w:val="both"/>
        <w:sectPr>
          <w:headerReference w:type="default" r:id="rId34"/>
          <w:pgSz w:w="11910" w:h="16840"/>
          <w:pgMar w:header="749" w:footer="0" w:top="960" w:bottom="280" w:left="1680" w:right="1580"/>
          <w:pgNumType w:start="51"/>
        </w:sectPr>
      </w:pPr>
    </w:p>
    <w:p>
      <w:pPr>
        <w:pStyle w:val="BodyText"/>
        <w:rPr>
          <w:sz w:val="20"/>
        </w:rPr>
      </w:pPr>
    </w:p>
    <w:p>
      <w:pPr>
        <w:pStyle w:val="BodyText"/>
        <w:spacing w:line="360" w:lineRule="auto" w:before="210"/>
        <w:ind w:left="305" w:right="120"/>
        <w:jc w:val="both"/>
      </w:pPr>
      <w:r>
        <w:rPr/>
        <w:t>instrumentalidades, que não vão servir à educação [...]. Então, atividade dos pedagogos passa a girar em torno dos aspectos instrumentais e regulamentares da educação, enquanto a política de fins, de que eles desertaram, é desenvolvida por administradores [...]‖. (MENDES, 2000, p. 36).</w:t>
      </w:r>
    </w:p>
    <w:p>
      <w:pPr>
        <w:pStyle w:val="BodyText"/>
        <w:spacing w:line="360" w:lineRule="auto" w:before="3"/>
        <w:ind w:left="305" w:right="123" w:firstLine="849"/>
        <w:jc w:val="both"/>
      </w:pPr>
      <w:r>
        <w:rPr>
          <w:w w:val="99"/>
        </w:rPr>
        <w:t>S</w:t>
      </w:r>
      <w:r>
        <w:rPr>
          <w:spacing w:val="-1"/>
          <w:w w:val="100"/>
        </w:rPr>
        <w:t>e</w:t>
      </w:r>
      <w:r>
        <w:rPr>
          <w:spacing w:val="-3"/>
        </w:rPr>
        <w:t>g</w:t>
      </w:r>
      <w:r>
        <w:rPr/>
        <w:t>undo </w:t>
      </w:r>
      <w:r>
        <w:rPr>
          <w:spacing w:val="1"/>
          <w:w w:val="99"/>
        </w:rPr>
        <w:t>V</w:t>
      </w:r>
      <w:r>
        <w:rPr>
          <w:spacing w:val="-1"/>
          <w:w w:val="100"/>
        </w:rPr>
        <w:t>a</w:t>
      </w:r>
      <w:r>
        <w:rPr>
          <w:w w:val="99"/>
        </w:rPr>
        <w:t>s</w:t>
      </w:r>
      <w:r>
        <w:rPr>
          <w:spacing w:val="-1"/>
          <w:w w:val="99"/>
        </w:rPr>
        <w:t>c</w:t>
      </w:r>
      <w:r>
        <w:rPr>
          <w:w w:val="100"/>
        </w:rPr>
        <w:t>on</w:t>
      </w:r>
      <w:r>
        <w:rPr>
          <w:spacing w:val="1"/>
          <w:w w:val="100"/>
        </w:rPr>
        <w:t>c</w:t>
      </w:r>
      <w:r>
        <w:rPr>
          <w:spacing w:val="-1"/>
          <w:w w:val="100"/>
        </w:rPr>
        <w:t>e</w:t>
      </w:r>
      <w:r>
        <w:rPr>
          <w:w w:val="100"/>
        </w:rPr>
        <w:t>ll</w:t>
      </w:r>
      <w:r>
        <w:rPr>
          <w:w w:val="99"/>
        </w:rPr>
        <w:t>os</w:t>
      </w:r>
      <w:r>
        <w:rPr/>
        <w:t> (201</w:t>
      </w:r>
      <w:r>
        <w:rPr>
          <w:spacing w:val="-1"/>
        </w:rPr>
        <w:t>0</w:t>
      </w:r>
      <w:r>
        <w:rPr/>
        <w:t>, p. 29), </w:t>
      </w:r>
      <w:r>
        <w:rPr>
          <w:spacing w:val="-1"/>
          <w:w w:val="44"/>
        </w:rPr>
        <w:t>―</w:t>
      </w:r>
      <w:r>
        <w:rPr>
          <w:spacing w:val="-1"/>
          <w:w w:val="100"/>
        </w:rPr>
        <w:t>e</w:t>
      </w:r>
      <w:r>
        <w:rPr>
          <w:w w:val="99"/>
        </w:rPr>
        <w:t>ssa</w:t>
      </w:r>
      <w:r>
        <w:rPr/>
        <w:t> </w:t>
      </w:r>
      <w:r>
        <w:rPr>
          <w:spacing w:val="-1"/>
          <w:w w:val="100"/>
        </w:rPr>
        <w:t>e</w:t>
      </w:r>
      <w:r>
        <w:rPr>
          <w:spacing w:val="2"/>
        </w:rPr>
        <w:t>x</w:t>
      </w:r>
      <w:r>
        <w:rPr>
          <w:w w:val="100"/>
        </w:rPr>
        <w:t>igê</w:t>
      </w:r>
      <w:r>
        <w:rPr>
          <w:spacing w:val="1"/>
          <w:w w:val="100"/>
        </w:rPr>
        <w:t>n</w:t>
      </w:r>
      <w:r>
        <w:rPr>
          <w:spacing w:val="-1"/>
          <w:w w:val="100"/>
        </w:rPr>
        <w:t>c</w:t>
      </w:r>
      <w:r>
        <w:rPr>
          <w:w w:val="100"/>
        </w:rPr>
        <w:t>ia</w:t>
      </w:r>
      <w:r>
        <w:rPr/>
        <w:t> </w:t>
      </w:r>
      <w:r>
        <w:rPr>
          <w:w w:val="100"/>
        </w:rPr>
        <w:t>té</w:t>
      </w:r>
      <w:r>
        <w:rPr>
          <w:spacing w:val="-2"/>
          <w:w w:val="100"/>
        </w:rPr>
        <w:t>c</w:t>
      </w:r>
      <w:r>
        <w:rPr>
          <w:w w:val="100"/>
        </w:rPr>
        <w:t>ni</w:t>
      </w:r>
      <w:r>
        <w:rPr>
          <w:spacing w:val="1"/>
          <w:w w:val="100"/>
        </w:rPr>
        <w:t>c</w:t>
      </w:r>
      <w:r>
        <w:rPr>
          <w:w w:val="100"/>
        </w:rPr>
        <w:t>a</w:t>
      </w:r>
      <w:r>
        <w:rPr/>
        <w:t> </w:t>
      </w:r>
      <w:r>
        <w:rPr>
          <w:w w:val="100"/>
        </w:rPr>
        <w:t>p</w:t>
      </w:r>
      <w:r>
        <w:rPr>
          <w:spacing w:val="-1"/>
          <w:w w:val="100"/>
        </w:rPr>
        <w:t>a</w:t>
      </w:r>
      <w:r>
        <w:rPr>
          <w:spacing w:val="1"/>
          <w:w w:val="99"/>
        </w:rPr>
        <w:t>r</w:t>
      </w:r>
      <w:r>
        <w:rPr>
          <w:w w:val="100"/>
        </w:rPr>
        <w:t>a</w:t>
      </w:r>
      <w:r>
        <w:rPr/>
        <w:t> </w:t>
      </w:r>
      <w:r>
        <w:rPr>
          <w:spacing w:val="-1"/>
          <w:w w:val="100"/>
        </w:rPr>
        <w:t>e</w:t>
      </w:r>
      <w:r>
        <w:rPr>
          <w:w w:val="100"/>
        </w:rPr>
        <w:t>labor</w:t>
      </w:r>
      <w:r>
        <w:rPr>
          <w:spacing w:val="-1"/>
          <w:w w:val="100"/>
        </w:rPr>
        <w:t>a</w:t>
      </w:r>
      <w:r>
        <w:rPr>
          <w:w w:val="99"/>
        </w:rPr>
        <w:t>r o </w:t>
      </w:r>
      <w:r>
        <w:rPr/>
        <w:t>planejamento    justificou,    ideologicamente,    sua    centralização    nas    mãos</w:t>
      </w:r>
      <w:r>
        <w:rPr>
          <w:spacing w:val="55"/>
        </w:rPr>
        <w:t> </w:t>
      </w:r>
      <w:r>
        <w:rPr/>
        <w:t>dos</w:t>
      </w:r>
    </w:p>
    <w:p>
      <w:pPr>
        <w:pStyle w:val="BodyText"/>
        <w:spacing w:line="360" w:lineRule="auto" w:before="3"/>
        <w:ind w:left="305" w:right="119"/>
        <w:jc w:val="both"/>
      </w:pPr>
      <w:r>
        <w:rPr/>
        <w:t>‗especialistas‘ (do estado ou das escolas), fazendo parte de uma ampla estratégia de expropriação do quefazer do educador [...] levando a um crescente processo de alienação e controle exterior da educação‖.</w:t>
      </w:r>
    </w:p>
    <w:p>
      <w:pPr>
        <w:pStyle w:val="BodyText"/>
        <w:spacing w:line="360" w:lineRule="auto" w:before="5"/>
        <w:ind w:left="305" w:right="117" w:firstLine="849"/>
        <w:jc w:val="both"/>
      </w:pPr>
      <w:r>
        <w:rPr/>
        <w:t>Gandin (2007, p. 25) refere-se ao planejamento gerenciamento da qualidade </w:t>
      </w:r>
      <w:r>
        <w:rPr>
          <w:w w:val="100"/>
        </w:rPr>
        <w:t>indi</w:t>
      </w:r>
      <w:r>
        <w:rPr>
          <w:spacing w:val="-1"/>
          <w:w w:val="100"/>
        </w:rPr>
        <w:t>ca</w:t>
      </w:r>
      <w:r>
        <w:rPr/>
        <w:t>ndo  </w:t>
      </w:r>
      <w:r>
        <w:rPr>
          <w:w w:val="100"/>
        </w:rPr>
        <w:t>que  </w:t>
      </w:r>
      <w:r>
        <w:rPr>
          <w:w w:val="100"/>
        </w:rPr>
        <w:t>é</w:t>
      </w:r>
      <w:r>
        <w:rPr/>
        <w:t>  </w:t>
      </w:r>
      <w:r>
        <w:rPr>
          <w:w w:val="100"/>
        </w:rPr>
        <w:t>mais</w:t>
      </w:r>
      <w:r>
        <w:rPr/>
        <w:t>  </w:t>
      </w:r>
      <w:r>
        <w:rPr>
          <w:spacing w:val="-2"/>
          <w:w w:val="100"/>
        </w:rPr>
        <w:t>i</w:t>
      </w:r>
      <w:r>
        <w:rPr>
          <w:w w:val="100"/>
        </w:rPr>
        <w:t>ntenso  </w:t>
      </w:r>
      <w:r>
        <w:rPr>
          <w:w w:val="100"/>
        </w:rPr>
        <w:t>e</w:t>
      </w:r>
      <w:r>
        <w:rPr/>
        <w:t>  </w:t>
      </w:r>
      <w:r>
        <w:rPr>
          <w:w w:val="100"/>
        </w:rPr>
        <w:t>que  </w:t>
      </w:r>
      <w:r>
        <w:rPr>
          <w:spacing w:val="-1"/>
          <w:w w:val="44"/>
        </w:rPr>
        <w:t>―</w:t>
      </w:r>
      <w:r>
        <w:rPr>
          <w:w w:val="100"/>
        </w:rPr>
        <w:t>p</w:t>
      </w:r>
      <w:r>
        <w:rPr>
          <w:spacing w:val="-1"/>
          <w:w w:val="100"/>
        </w:rPr>
        <w:t>a</w:t>
      </w:r>
      <w:r>
        <w:rPr>
          <w:w w:val="100"/>
        </w:rPr>
        <w:t>rte</w:t>
      </w:r>
      <w:r>
        <w:rPr/>
        <w:t>  </w:t>
      </w:r>
      <w:r>
        <w:rPr>
          <w:w w:val="100"/>
        </w:rPr>
        <w:t>da</w:t>
      </w:r>
      <w:r>
        <w:rPr/>
        <w:t>  p</w:t>
      </w:r>
      <w:r>
        <w:rPr>
          <w:spacing w:val="-1"/>
        </w:rPr>
        <w:t>r</w:t>
      </w:r>
      <w:r>
        <w:rPr>
          <w:spacing w:val="-1"/>
          <w:w w:val="100"/>
        </w:rPr>
        <w:t>e</w:t>
      </w:r>
      <w:r>
        <w:rPr>
          <w:w w:val="100"/>
        </w:rPr>
        <w:t>mi</w:t>
      </w:r>
      <w:r>
        <w:rPr>
          <w:w w:val="99"/>
        </w:rPr>
        <w:t>ssa</w:t>
      </w:r>
      <w:r>
        <w:rPr/>
        <w:t>  </w:t>
      </w:r>
      <w:r>
        <w:rPr>
          <w:w w:val="100"/>
        </w:rPr>
        <w:t>de</w:t>
      </w:r>
      <w:r>
        <w:rPr/>
        <w:t>  </w:t>
      </w:r>
      <w:r>
        <w:rPr>
          <w:w w:val="100"/>
        </w:rPr>
        <w:t>que  o  m</w:t>
      </w:r>
      <w:r>
        <w:rPr>
          <w:spacing w:val="-2"/>
          <w:w w:val="100"/>
        </w:rPr>
        <w:t>u</w:t>
      </w:r>
      <w:r>
        <w:rPr>
          <w:w w:val="100"/>
        </w:rPr>
        <w:t>ndo  é  </w:t>
      </w:r>
      <w:r>
        <w:rPr>
          <w:spacing w:val="-3"/>
          <w:w w:val="100"/>
        </w:rPr>
        <w:t>u</w:t>
      </w:r>
      <w:r>
        <w:rPr>
          <w:w w:val="100"/>
        </w:rPr>
        <w:t>m </w:t>
      </w:r>
      <w:r>
        <w:rPr/>
        <w:t>processo econômico. Não que só pense no econômico [...] mas que seu ponto de partida é que tudo ali comece e ali termina e que, ao final, toda questão importante é econômica e, pior, que o valor econômico é o primeiro valor na hierarquia‖.</w:t>
      </w:r>
    </w:p>
    <w:p>
      <w:pPr>
        <w:pStyle w:val="BodyText"/>
        <w:spacing w:line="360" w:lineRule="auto" w:before="3"/>
        <w:ind w:left="305" w:right="119" w:firstLine="849"/>
        <w:jc w:val="both"/>
      </w:pPr>
      <w:r>
        <w:rPr/>
        <w:t>Ainda, segundo Gandin (2007, p. 25-26), o gerenciamento da qualidade  total incutiu a crença de que a produção econômica atingiu níveis quantitativos suficientes e que empresas e países precisam de competitividade, sendo esta,  eficiente somente no campo da qualidade. Para o autor, este modelo de</w:t>
      </w:r>
      <w:r>
        <w:rPr>
          <w:spacing w:val="47"/>
        </w:rPr>
        <w:t> </w:t>
      </w:r>
      <w:r>
        <w:rPr/>
        <w:t>planejamento</w:t>
      </w:r>
    </w:p>
    <w:p>
      <w:pPr>
        <w:pStyle w:val="BodyText"/>
        <w:spacing w:line="360" w:lineRule="auto" w:before="3"/>
        <w:ind w:left="305" w:right="119"/>
        <w:jc w:val="both"/>
      </w:pPr>
      <w:r>
        <w:rPr>
          <w:spacing w:val="-1"/>
          <w:w w:val="44"/>
        </w:rPr>
        <w:t>―</w:t>
      </w:r>
      <w:r>
        <w:rPr>
          <w:spacing w:val="-1"/>
          <w:w w:val="100"/>
        </w:rPr>
        <w:t>c</w:t>
      </w:r>
      <w:r>
        <w:rPr>
          <w:w w:val="100"/>
        </w:rPr>
        <w:t>ria</w:t>
      </w:r>
      <w:r>
        <w:rPr/>
        <w:t>  </w:t>
      </w:r>
      <w:r>
        <w:rPr>
          <w:spacing w:val="-9"/>
        </w:rPr>
        <w:t> </w:t>
      </w:r>
      <w:r>
        <w:rPr/>
        <w:t>ou  </w:t>
      </w:r>
      <w:r>
        <w:rPr>
          <w:spacing w:val="-8"/>
        </w:rPr>
        <w:t> </w:t>
      </w:r>
      <w:r>
        <w:rPr>
          <w:w w:val="100"/>
        </w:rPr>
        <w:t>inco</w:t>
      </w:r>
      <w:r>
        <w:rPr>
          <w:spacing w:val="-2"/>
          <w:w w:val="100"/>
        </w:rPr>
        <w:t>r</w:t>
      </w:r>
      <w:r>
        <w:rPr>
          <w:w w:val="99"/>
        </w:rPr>
        <w:t>po</w:t>
      </w:r>
      <w:r>
        <w:rPr>
          <w:spacing w:val="1"/>
          <w:w w:val="99"/>
        </w:rPr>
        <w:t>r</w:t>
      </w:r>
      <w:r>
        <w:rPr>
          <w:w w:val="100"/>
        </w:rPr>
        <w:t>a</w:t>
      </w:r>
      <w:r>
        <w:rPr/>
        <w:t>  </w:t>
      </w:r>
      <w:r>
        <w:rPr>
          <w:spacing w:val="-9"/>
        </w:rPr>
        <w:t> </w:t>
      </w:r>
      <w:r>
        <w:rPr>
          <w:w w:val="100"/>
        </w:rPr>
        <w:t>e</w:t>
      </w:r>
      <w:r>
        <w:rPr/>
        <w:t>  </w:t>
      </w:r>
      <w:r>
        <w:rPr>
          <w:spacing w:val="-9"/>
        </w:rPr>
        <w:t> </w:t>
      </w:r>
      <w:r>
        <w:rPr/>
        <w:t>fund</w:t>
      </w:r>
      <w:r>
        <w:rPr>
          <w:spacing w:val="-2"/>
        </w:rPr>
        <w:t>a</w:t>
      </w:r>
      <w:r>
        <w:rPr>
          <w:w w:val="100"/>
        </w:rPr>
        <w:t>menta</w:t>
      </w:r>
      <w:r>
        <w:rPr/>
        <w:t>  </w:t>
      </w:r>
      <w:r>
        <w:rPr>
          <w:spacing w:val="-9"/>
        </w:rPr>
        <w:t> </w:t>
      </w:r>
      <w:r>
        <w:rPr>
          <w:spacing w:val="-1"/>
          <w:w w:val="100"/>
        </w:rPr>
        <w:t>a</w:t>
      </w:r>
      <w:r>
        <w:rPr>
          <w:w w:val="99"/>
        </w:rPr>
        <w:t>s</w:t>
      </w:r>
      <w:r>
        <w:rPr/>
        <w:t>  </w:t>
      </w:r>
      <w:r>
        <w:rPr>
          <w:spacing w:val="-8"/>
        </w:rPr>
        <w:t> </w:t>
      </w:r>
      <w:r>
        <w:rPr>
          <w:spacing w:val="-1"/>
          <w:w w:val="100"/>
        </w:rPr>
        <w:t>c</w:t>
      </w:r>
      <w:r>
        <w:rPr>
          <w:w w:val="99"/>
        </w:rPr>
        <w:t>onse</w:t>
      </w:r>
      <w:r>
        <w:rPr>
          <w:spacing w:val="1"/>
          <w:w w:val="99"/>
        </w:rPr>
        <w:t>q</w:t>
      </w:r>
      <w:r>
        <w:rPr>
          <w:w w:val="100"/>
        </w:rPr>
        <w:t>u</w:t>
      </w:r>
      <w:r>
        <w:rPr>
          <w:spacing w:val="-1"/>
          <w:w w:val="100"/>
        </w:rPr>
        <w:t>ê</w:t>
      </w:r>
      <w:r>
        <w:rPr>
          <w:w w:val="100"/>
        </w:rPr>
        <w:t>n</w:t>
      </w:r>
      <w:r>
        <w:rPr>
          <w:spacing w:val="-1"/>
          <w:w w:val="100"/>
        </w:rPr>
        <w:t>c</w:t>
      </w:r>
      <w:r>
        <w:rPr>
          <w:w w:val="100"/>
        </w:rPr>
        <w:t>ias</w:t>
      </w:r>
      <w:r>
        <w:rPr/>
        <w:t>  </w:t>
      </w:r>
      <w:r>
        <w:rPr>
          <w:spacing w:val="-8"/>
        </w:rPr>
        <w:t> </w:t>
      </w:r>
      <w:r>
        <w:rPr>
          <w:w w:val="100"/>
        </w:rPr>
        <w:t>d</w:t>
      </w:r>
      <w:r>
        <w:rPr>
          <w:spacing w:val="-1"/>
          <w:w w:val="100"/>
        </w:rPr>
        <w:t>a</w:t>
      </w:r>
      <w:r>
        <w:rPr>
          <w:w w:val="99"/>
        </w:rPr>
        <w:t>s</w:t>
      </w:r>
      <w:r>
        <w:rPr/>
        <w:t>  </w:t>
      </w:r>
      <w:r>
        <w:rPr>
          <w:spacing w:val="-8"/>
        </w:rPr>
        <w:t> </w:t>
      </w:r>
      <w:r>
        <w:rPr>
          <w:w w:val="100"/>
        </w:rPr>
        <w:t>idei</w:t>
      </w:r>
      <w:r>
        <w:rPr>
          <w:spacing w:val="-1"/>
          <w:w w:val="100"/>
        </w:rPr>
        <w:t>a</w:t>
      </w:r>
      <w:r>
        <w:rPr>
          <w:w w:val="99"/>
        </w:rPr>
        <w:t>s</w:t>
      </w:r>
      <w:r>
        <w:rPr/>
        <w:t>  </w:t>
      </w:r>
      <w:r>
        <w:rPr>
          <w:spacing w:val="-8"/>
        </w:rPr>
        <w:t> </w:t>
      </w:r>
      <w:r>
        <w:rPr>
          <w:w w:val="100"/>
        </w:rPr>
        <w:t>de</w:t>
      </w:r>
      <w:r>
        <w:rPr/>
        <w:t>  </w:t>
      </w:r>
      <w:r>
        <w:rPr>
          <w:spacing w:val="-7"/>
        </w:rPr>
        <w:t> </w:t>
      </w:r>
      <w:r>
        <w:rPr>
          <w:w w:val="100"/>
        </w:rPr>
        <w:t>mi</w:t>
      </w:r>
      <w:r>
        <w:rPr>
          <w:w w:val="99"/>
        </w:rPr>
        <w:t>ssão  </w:t>
      </w:r>
      <w:r>
        <w:rPr>
          <w:spacing w:val="-8"/>
          <w:w w:val="99"/>
        </w:rPr>
        <w:t> </w:t>
      </w:r>
      <w:r>
        <w:rPr>
          <w:w w:val="100"/>
        </w:rPr>
        <w:t>e </w:t>
      </w:r>
      <w:r>
        <w:rPr>
          <w:w w:val="100"/>
        </w:rPr>
        <w:t>p</w:t>
      </w:r>
      <w:r>
        <w:rPr>
          <w:spacing w:val="-1"/>
          <w:w w:val="100"/>
        </w:rPr>
        <w:t>a</w:t>
      </w:r>
      <w:r>
        <w:rPr>
          <w:w w:val="100"/>
        </w:rPr>
        <w:t>rticip</w:t>
      </w:r>
      <w:r>
        <w:rPr>
          <w:spacing w:val="-2"/>
          <w:w w:val="100"/>
        </w:rPr>
        <w:t>a</w:t>
      </w:r>
      <w:r>
        <w:rPr>
          <w:spacing w:val="1"/>
          <w:w w:val="100"/>
        </w:rPr>
        <w:t>ç</w:t>
      </w:r>
      <w:r>
        <w:rPr>
          <w:spacing w:val="-1"/>
          <w:w w:val="100"/>
        </w:rPr>
        <w:t>ã</w:t>
      </w:r>
      <w:r>
        <w:rPr>
          <w:w w:val="120"/>
        </w:rPr>
        <w:t>o</w:t>
      </w:r>
      <w:r>
        <w:rPr>
          <w:spacing w:val="-1"/>
          <w:w w:val="120"/>
        </w:rPr>
        <w:t>‖</w:t>
      </w:r>
      <w:r>
        <w:rPr/>
        <w:t>.  </w:t>
      </w:r>
      <w:r>
        <w:rPr>
          <w:spacing w:val="-15"/>
        </w:rPr>
        <w:t> </w:t>
      </w:r>
      <w:r>
        <w:rPr>
          <w:w w:val="100"/>
        </w:rPr>
        <w:t>E</w:t>
      </w:r>
      <w:r>
        <w:rPr/>
        <w:t>  </w:t>
      </w:r>
      <w:r>
        <w:rPr>
          <w:spacing w:val="-15"/>
        </w:rPr>
        <w:t> </w:t>
      </w:r>
      <w:r>
        <w:rPr>
          <w:spacing w:val="-1"/>
          <w:w w:val="100"/>
        </w:rPr>
        <w:t>c</w:t>
      </w:r>
      <w:r>
        <w:rPr>
          <w:w w:val="100"/>
        </w:rPr>
        <w:t>omp</w:t>
      </w:r>
      <w:r>
        <w:rPr>
          <w:spacing w:val="3"/>
          <w:w w:val="100"/>
        </w:rPr>
        <w:t>l</w:t>
      </w:r>
      <w:r>
        <w:rPr>
          <w:spacing w:val="-1"/>
          <w:w w:val="100"/>
        </w:rPr>
        <w:t>e</w:t>
      </w:r>
      <w:r>
        <w:rPr>
          <w:w w:val="100"/>
        </w:rPr>
        <w:t>ment</w:t>
      </w:r>
      <w:r>
        <w:rPr>
          <w:spacing w:val="-1"/>
          <w:w w:val="100"/>
        </w:rPr>
        <w:t>a</w:t>
      </w:r>
      <w:r>
        <w:rPr>
          <w:w w:val="100"/>
        </w:rPr>
        <w:t>:</w:t>
      </w:r>
      <w:r>
        <w:rPr/>
        <w:t>  </w:t>
      </w:r>
      <w:r>
        <w:rPr>
          <w:spacing w:val="-15"/>
        </w:rPr>
        <w:t> </w:t>
      </w:r>
      <w:r>
        <w:rPr>
          <w:spacing w:val="-1"/>
          <w:w w:val="44"/>
        </w:rPr>
        <w:t>―</w:t>
      </w:r>
      <w:r>
        <w:rPr>
          <w:w w:val="100"/>
        </w:rPr>
        <w:t>a</w:t>
      </w:r>
      <w:r>
        <w:rPr/>
        <w:t>  </w:t>
      </w:r>
      <w:r>
        <w:rPr>
          <w:spacing w:val="-16"/>
        </w:rPr>
        <w:t> </w:t>
      </w:r>
      <w:r>
        <w:rPr>
          <w:w w:val="100"/>
        </w:rPr>
        <w:t>p</w:t>
      </w:r>
      <w:r>
        <w:rPr>
          <w:spacing w:val="1"/>
          <w:w w:val="100"/>
        </w:rPr>
        <w:t>a</w:t>
      </w:r>
      <w:r>
        <w:rPr>
          <w:w w:val="100"/>
        </w:rPr>
        <w:t>rticip</w:t>
      </w:r>
      <w:r>
        <w:rPr>
          <w:spacing w:val="-2"/>
          <w:w w:val="100"/>
        </w:rPr>
        <w:t>a</w:t>
      </w:r>
      <w:r>
        <w:rPr>
          <w:spacing w:val="1"/>
          <w:w w:val="100"/>
        </w:rPr>
        <w:t>çã</w:t>
      </w:r>
      <w:r>
        <w:rPr/>
        <w:t>o  </w:t>
      </w:r>
      <w:r>
        <w:rPr>
          <w:spacing w:val="-15"/>
        </w:rPr>
        <w:t> </w:t>
      </w:r>
      <w:r>
        <w:rPr>
          <w:w w:val="100"/>
        </w:rPr>
        <w:t>n</w:t>
      </w:r>
      <w:r>
        <w:rPr>
          <w:spacing w:val="-1"/>
          <w:w w:val="100"/>
        </w:rPr>
        <w:t>ã</w:t>
      </w:r>
      <w:r>
        <w:rPr/>
        <w:t>o  </w:t>
      </w:r>
      <w:r>
        <w:rPr>
          <w:spacing w:val="-15"/>
        </w:rPr>
        <w:t> </w:t>
      </w:r>
      <w:r>
        <w:rPr>
          <w:w w:val="100"/>
        </w:rPr>
        <w:t>v</w:t>
      </w:r>
      <w:r>
        <w:rPr>
          <w:spacing w:val="-1"/>
          <w:w w:val="100"/>
        </w:rPr>
        <w:t>a</w:t>
      </w:r>
      <w:r>
        <w:rPr>
          <w:w w:val="100"/>
        </w:rPr>
        <w:t>i</w:t>
      </w:r>
      <w:r>
        <w:rPr/>
        <w:t>  </w:t>
      </w:r>
      <w:r>
        <w:rPr>
          <w:spacing w:val="-15"/>
        </w:rPr>
        <w:t> </w:t>
      </w:r>
      <w:r>
        <w:rPr>
          <w:spacing w:val="-1"/>
          <w:w w:val="100"/>
        </w:rPr>
        <w:t>a</w:t>
      </w:r>
      <w:r>
        <w:rPr>
          <w:w w:val="100"/>
        </w:rPr>
        <w:t>lém</w:t>
      </w:r>
      <w:r>
        <w:rPr/>
        <w:t>  </w:t>
      </w:r>
      <w:r>
        <w:rPr>
          <w:spacing w:val="-15"/>
        </w:rPr>
        <w:t> </w:t>
      </w:r>
      <w:r>
        <w:rPr/>
        <w:t>do  </w:t>
      </w:r>
      <w:r>
        <w:rPr>
          <w:spacing w:val="-15"/>
        </w:rPr>
        <w:t> </w:t>
      </w:r>
      <w:r>
        <w:rPr>
          <w:w w:val="100"/>
        </w:rPr>
        <w:t>ti</w:t>
      </w:r>
      <w:r>
        <w:rPr/>
        <w:t>po  </w:t>
      </w:r>
      <w:r>
        <w:rPr>
          <w:spacing w:val="-15"/>
        </w:rPr>
        <w:t> </w:t>
      </w:r>
      <w:r>
        <w:rPr>
          <w:w w:val="100"/>
        </w:rPr>
        <w:t>que  </w:t>
      </w:r>
      <w:r>
        <w:rPr>
          <w:spacing w:val="-16"/>
          <w:w w:val="100"/>
        </w:rPr>
        <w:t> </w:t>
      </w:r>
      <w:r>
        <w:rPr>
          <w:w w:val="100"/>
        </w:rPr>
        <w:t>é </w:t>
      </w:r>
      <w:r>
        <w:rPr/>
        <w:t>colaboração ou, no máximo, do tipo que é decisão em aspectos particulares e menores [...]. Depois, a missão, no que diz respeito às grandes linhas, é fechada, isto é, já está decidida pelo próprio modelo e se limita à satisfação do</w:t>
      </w:r>
      <w:r>
        <w:rPr>
          <w:spacing w:val="27"/>
        </w:rPr>
        <w:t> </w:t>
      </w:r>
      <w:r>
        <w:rPr/>
        <w:t>cliente‖.</w:t>
      </w:r>
    </w:p>
    <w:p>
      <w:pPr>
        <w:pStyle w:val="BodyText"/>
        <w:spacing w:line="360" w:lineRule="auto" w:before="5"/>
        <w:ind w:left="305" w:right="119" w:firstLine="849"/>
        <w:jc w:val="both"/>
      </w:pPr>
      <w:r>
        <w:rPr/>
        <w:t>As concepções de planejamento que conduzem a uma conservação e alienação estão vinculadas a três grandes questões que definem, de certo modo, o grau conservador e/ou transformador, sendo a qualidade, a missão e o poder e, sobretudo a visão de sociedade tanto na análise quanto na  proposta  (GANDIN, 2007).</w:t>
      </w:r>
    </w:p>
    <w:p>
      <w:pPr>
        <w:pStyle w:val="BodyText"/>
        <w:spacing w:line="360" w:lineRule="auto" w:before="3"/>
        <w:ind w:left="305" w:right="118" w:firstLine="849"/>
        <w:jc w:val="both"/>
      </w:pPr>
      <w:r>
        <w:rPr/>
        <w:t>Outra perspectiva de planejamento, que em certo grau contempla as  questões de qualidade e missão, está ligada ao planejamento estratégico. Parente (200</w:t>
      </w:r>
      <w:r>
        <w:rPr>
          <w:spacing w:val="-1"/>
        </w:rPr>
        <w:t>3</w:t>
      </w:r>
      <w:r>
        <w:rPr/>
        <w:t>, </w:t>
      </w:r>
      <w:r>
        <w:rPr>
          <w:spacing w:val="2"/>
        </w:rPr>
        <w:t> </w:t>
      </w:r>
      <w:r>
        <w:rPr/>
        <w:t>p. </w:t>
      </w:r>
      <w:r>
        <w:rPr>
          <w:spacing w:val="2"/>
        </w:rPr>
        <w:t> </w:t>
      </w:r>
      <w:r>
        <w:rPr/>
        <w:t>45</w:t>
      </w:r>
      <w:r>
        <w:rPr>
          <w:spacing w:val="-1"/>
        </w:rPr>
        <w:t>-</w:t>
      </w:r>
      <w:r>
        <w:rPr>
          <w:spacing w:val="2"/>
        </w:rPr>
        <w:t>7</w:t>
      </w:r>
      <w:r>
        <w:rPr/>
        <w:t>) </w:t>
      </w:r>
      <w:r>
        <w:rPr>
          <w:spacing w:val="1"/>
        </w:rPr>
        <w:t> </w:t>
      </w:r>
      <w:r>
        <w:rPr>
          <w:spacing w:val="2"/>
        </w:rPr>
        <w:t>d</w:t>
      </w:r>
      <w:r>
        <w:rPr>
          <w:spacing w:val="-1"/>
          <w:w w:val="100"/>
        </w:rPr>
        <w:t>e</w:t>
      </w:r>
      <w:r>
        <w:rPr>
          <w:w w:val="99"/>
        </w:rPr>
        <w:t>s</w:t>
      </w:r>
      <w:r>
        <w:rPr>
          <w:spacing w:val="-1"/>
          <w:w w:val="99"/>
        </w:rPr>
        <w:t>c</w:t>
      </w:r>
      <w:r>
        <w:rPr>
          <w:spacing w:val="1"/>
          <w:w w:val="99"/>
        </w:rPr>
        <w:t>r</w:t>
      </w:r>
      <w:r>
        <w:rPr>
          <w:spacing w:val="-1"/>
          <w:w w:val="100"/>
        </w:rPr>
        <w:t>e</w:t>
      </w:r>
      <w:r>
        <w:rPr>
          <w:spacing w:val="2"/>
        </w:rPr>
        <w:t>v</w:t>
      </w:r>
      <w:r>
        <w:rPr>
          <w:w w:val="100"/>
        </w:rPr>
        <w:t>e</w:t>
      </w:r>
      <w:r>
        <w:rPr/>
        <w:t> </w:t>
      </w:r>
      <w:r>
        <w:rPr>
          <w:spacing w:val="1"/>
        </w:rPr>
        <w:t> </w:t>
      </w:r>
      <w:r>
        <w:rPr>
          <w:w w:val="100"/>
        </w:rPr>
        <w:t>que </w:t>
      </w:r>
      <w:r>
        <w:rPr>
          <w:spacing w:val="3"/>
          <w:w w:val="100"/>
        </w:rPr>
        <w:t> </w:t>
      </w:r>
      <w:r>
        <w:rPr>
          <w:w w:val="100"/>
        </w:rPr>
        <w:t>o </w:t>
      </w:r>
      <w:r>
        <w:rPr>
          <w:spacing w:val="2"/>
          <w:w w:val="100"/>
        </w:rPr>
        <w:t> </w:t>
      </w:r>
      <w:r>
        <w:rPr>
          <w:w w:val="99"/>
        </w:rPr>
        <w:t>p</w:t>
      </w:r>
      <w:r>
        <w:rPr>
          <w:spacing w:val="-1"/>
          <w:w w:val="99"/>
        </w:rPr>
        <w:t>r</w:t>
      </w:r>
      <w:r>
        <w:rPr>
          <w:spacing w:val="2"/>
          <w:w w:val="99"/>
        </w:rPr>
        <w:t>o</w:t>
      </w:r>
      <w:r>
        <w:rPr>
          <w:spacing w:val="-1"/>
          <w:w w:val="100"/>
        </w:rPr>
        <w:t>ce</w:t>
      </w:r>
      <w:r>
        <w:rPr>
          <w:w w:val="99"/>
        </w:rPr>
        <w:t>sso</w:t>
      </w:r>
      <w:r>
        <w:rPr/>
        <w:t> </w:t>
      </w:r>
      <w:r>
        <w:rPr>
          <w:spacing w:val="2"/>
        </w:rPr>
        <w:t> d</w:t>
      </w:r>
      <w:r>
        <w:rPr>
          <w:w w:val="100"/>
        </w:rPr>
        <w:t>e</w:t>
      </w:r>
      <w:r>
        <w:rPr/>
        <w:t> </w:t>
      </w:r>
      <w:r>
        <w:rPr>
          <w:spacing w:val="1"/>
        </w:rPr>
        <w:t> </w:t>
      </w:r>
      <w:r>
        <w:rPr>
          <w:w w:val="100"/>
        </w:rPr>
        <w:t>p</w:t>
      </w:r>
      <w:r>
        <w:rPr>
          <w:spacing w:val="2"/>
          <w:w w:val="100"/>
        </w:rPr>
        <w:t>l</w:t>
      </w:r>
      <w:r>
        <w:rPr>
          <w:spacing w:val="-1"/>
          <w:w w:val="100"/>
        </w:rPr>
        <w:t>a</w:t>
      </w:r>
      <w:r>
        <w:rPr>
          <w:w w:val="100"/>
        </w:rPr>
        <w:t>n</w:t>
      </w:r>
      <w:r>
        <w:rPr>
          <w:spacing w:val="-1"/>
          <w:w w:val="100"/>
        </w:rPr>
        <w:t>e</w:t>
      </w:r>
      <w:r>
        <w:rPr>
          <w:w w:val="100"/>
        </w:rPr>
        <w:t>jam</w:t>
      </w:r>
      <w:r>
        <w:rPr>
          <w:spacing w:val="-1"/>
          <w:w w:val="100"/>
        </w:rPr>
        <w:t>e</w:t>
      </w:r>
      <w:r>
        <w:rPr>
          <w:w w:val="100"/>
        </w:rPr>
        <w:t>nto</w:t>
      </w:r>
      <w:r>
        <w:rPr/>
        <w:t> </w:t>
      </w:r>
      <w:r>
        <w:rPr>
          <w:spacing w:val="5"/>
        </w:rPr>
        <w:t> </w:t>
      </w:r>
      <w:r>
        <w:rPr>
          <w:spacing w:val="-1"/>
          <w:w w:val="100"/>
        </w:rPr>
        <w:t>e</w:t>
      </w:r>
      <w:r>
        <w:rPr>
          <w:w w:val="100"/>
        </w:rPr>
        <w:t>str</w:t>
      </w:r>
      <w:r>
        <w:rPr>
          <w:spacing w:val="-1"/>
          <w:w w:val="100"/>
        </w:rPr>
        <w:t>a</w:t>
      </w:r>
      <w:r>
        <w:rPr>
          <w:w w:val="100"/>
        </w:rPr>
        <w:t>t</w:t>
      </w:r>
      <w:r>
        <w:rPr>
          <w:spacing w:val="1"/>
          <w:w w:val="100"/>
        </w:rPr>
        <w:t>é</w:t>
      </w:r>
      <w:r>
        <w:rPr>
          <w:spacing w:val="-3"/>
        </w:rPr>
        <w:t>g</w:t>
      </w:r>
      <w:r>
        <w:rPr>
          <w:w w:val="100"/>
        </w:rPr>
        <w:t>ico</w:t>
      </w:r>
      <w:r>
        <w:rPr/>
        <w:t> </w:t>
      </w:r>
      <w:r>
        <w:rPr>
          <w:spacing w:val="6"/>
        </w:rPr>
        <w:t> </w:t>
      </w:r>
      <w:r>
        <w:rPr>
          <w:spacing w:val="-1"/>
          <w:w w:val="44"/>
        </w:rPr>
        <w:t>―</w:t>
      </w:r>
      <w:r>
        <w:rPr>
          <w:w w:val="100"/>
        </w:rPr>
        <w:t>d</w:t>
      </w:r>
      <w:r>
        <w:rPr>
          <w:spacing w:val="-1"/>
          <w:w w:val="100"/>
        </w:rPr>
        <w:t>e</w:t>
      </w:r>
      <w:r>
        <w:rPr>
          <w:w w:val="100"/>
        </w:rPr>
        <w:t>ve</w:t>
      </w:r>
      <w:r>
        <w:rPr/>
        <w:t> </w:t>
      </w:r>
      <w:r>
        <w:rPr>
          <w:spacing w:val="3"/>
        </w:rPr>
        <w:t> </w:t>
      </w:r>
      <w:r>
        <w:rPr/>
        <w:t>s</w:t>
      </w:r>
      <w:r>
        <w:rPr>
          <w:spacing w:val="-1"/>
        </w:rPr>
        <w:t>e</w:t>
      </w:r>
      <w:r>
        <w:rPr/>
        <w:t>r conduzido pela alta direção da organização e pressupõe a participação e o </w:t>
      </w:r>
      <w:r>
        <w:rPr>
          <w:spacing w:val="-1"/>
          <w:w w:val="100"/>
        </w:rPr>
        <w:t>c</w:t>
      </w:r>
      <w:r>
        <w:rPr>
          <w:w w:val="100"/>
        </w:rPr>
        <w:t>omprom</w:t>
      </w:r>
      <w:r>
        <w:rPr>
          <w:spacing w:val="-1"/>
          <w:w w:val="100"/>
        </w:rPr>
        <w:t>e</w:t>
      </w:r>
      <w:r>
        <w:rPr>
          <w:w w:val="100"/>
        </w:rPr>
        <w:t>ti</w:t>
      </w:r>
      <w:r>
        <w:rPr>
          <w:w w:val="100"/>
        </w:rPr>
        <w:t>mento</w:t>
      </w:r>
      <w:r>
        <w:rPr/>
        <w:t> </w:t>
      </w:r>
      <w:r>
        <w:rPr>
          <w:spacing w:val="11"/>
        </w:rPr>
        <w:t> </w:t>
      </w:r>
      <w:r>
        <w:rPr>
          <w:w w:val="100"/>
        </w:rPr>
        <w:t>de</w:t>
      </w:r>
      <w:r>
        <w:rPr/>
        <w:t> </w:t>
      </w:r>
      <w:r>
        <w:rPr>
          <w:spacing w:val="10"/>
        </w:rPr>
        <w:t> </w:t>
      </w:r>
      <w:r>
        <w:rPr/>
        <w:t>todos </w:t>
      </w:r>
      <w:r>
        <w:rPr>
          <w:spacing w:val="12"/>
        </w:rPr>
        <w:t> </w:t>
      </w:r>
      <w:r>
        <w:rPr>
          <w:w w:val="99"/>
        </w:rPr>
        <w:t>os</w:t>
      </w:r>
      <w:r>
        <w:rPr/>
        <w:t> </w:t>
      </w:r>
      <w:r>
        <w:rPr>
          <w:spacing w:val="12"/>
        </w:rPr>
        <w:t> </w:t>
      </w:r>
      <w:r>
        <w:rPr>
          <w:spacing w:val="-1"/>
          <w:w w:val="100"/>
        </w:rPr>
        <w:t>e</w:t>
      </w:r>
      <w:r>
        <w:rPr>
          <w:w w:val="100"/>
        </w:rPr>
        <w:t>nvolvi</w:t>
      </w:r>
      <w:r>
        <w:rPr>
          <w:w w:val="99"/>
        </w:rPr>
        <w:t>dos</w:t>
      </w:r>
      <w:r>
        <w:rPr/>
        <w:t> </w:t>
      </w:r>
      <w:r>
        <w:rPr>
          <w:spacing w:val="12"/>
        </w:rPr>
        <w:t> </w:t>
      </w:r>
      <w:r>
        <w:rPr>
          <w:w w:val="100"/>
        </w:rPr>
        <w:t>e</w:t>
      </w:r>
      <w:r>
        <w:rPr/>
        <w:t> </w:t>
      </w:r>
      <w:r>
        <w:rPr>
          <w:spacing w:val="10"/>
        </w:rPr>
        <w:t> </w:t>
      </w:r>
      <w:r>
        <w:rPr>
          <w:w w:val="100"/>
        </w:rPr>
        <w:t>i</w:t>
      </w:r>
      <w:r>
        <w:rPr>
          <w:spacing w:val="-2"/>
          <w:w w:val="100"/>
        </w:rPr>
        <w:t>n</w:t>
      </w:r>
      <w:r>
        <w:rPr>
          <w:w w:val="100"/>
        </w:rPr>
        <w:t>te</w:t>
      </w:r>
      <w:r>
        <w:rPr>
          <w:spacing w:val="-2"/>
          <w:w w:val="100"/>
        </w:rPr>
        <w:t>r</w:t>
      </w:r>
      <w:r>
        <w:rPr>
          <w:spacing w:val="-1"/>
          <w:w w:val="100"/>
        </w:rPr>
        <w:t>e</w:t>
      </w:r>
      <w:r>
        <w:rPr>
          <w:w w:val="105"/>
        </w:rPr>
        <w:t>ssados‖</w:t>
      </w:r>
      <w:r>
        <w:rPr/>
        <w:t> </w:t>
      </w:r>
      <w:r>
        <w:rPr>
          <w:spacing w:val="12"/>
        </w:rPr>
        <w:t> </w:t>
      </w:r>
      <w:r>
        <w:rPr>
          <w:spacing w:val="-1"/>
          <w:w w:val="100"/>
        </w:rPr>
        <w:t>e</w:t>
      </w:r>
      <w:r>
        <w:rPr/>
        <w:t>, </w:t>
      </w:r>
      <w:r>
        <w:rPr>
          <w:spacing w:val="11"/>
        </w:rPr>
        <w:t> </w:t>
      </w:r>
      <w:r>
        <w:rPr>
          <w:spacing w:val="-1"/>
          <w:w w:val="100"/>
        </w:rPr>
        <w:t>a</w:t>
      </w:r>
      <w:r>
        <w:rPr>
          <w:w w:val="100"/>
        </w:rPr>
        <w:t>inda,</w:t>
      </w:r>
      <w:r>
        <w:rPr/>
        <w:t> </w:t>
      </w:r>
      <w:r>
        <w:rPr>
          <w:spacing w:val="11"/>
        </w:rPr>
        <w:t> </w:t>
      </w:r>
      <w:r>
        <w:rPr>
          <w:spacing w:val="-1"/>
          <w:w w:val="44"/>
        </w:rPr>
        <w:t>―</w:t>
      </w:r>
      <w:r>
        <w:rPr>
          <w:spacing w:val="2"/>
          <w:w w:val="100"/>
        </w:rPr>
        <w:t>t</w:t>
      </w:r>
      <w:r>
        <w:rPr>
          <w:spacing w:val="-1"/>
          <w:w w:val="100"/>
        </w:rPr>
        <w:t>e</w:t>
      </w:r>
      <w:r>
        <w:rPr>
          <w:w w:val="100"/>
        </w:rPr>
        <w:t>m</w:t>
      </w:r>
      <w:r>
        <w:rPr/>
        <w:t> </w:t>
      </w:r>
      <w:r>
        <w:rPr>
          <w:spacing w:val="12"/>
        </w:rPr>
        <w:t> </w:t>
      </w:r>
      <w:r>
        <w:rPr>
          <w:spacing w:val="-1"/>
          <w:w w:val="100"/>
        </w:rPr>
        <w:t>c</w:t>
      </w:r>
      <w:r>
        <w:rPr>
          <w:w w:val="100"/>
        </w:rPr>
        <w:t>omo </w:t>
      </w:r>
      <w:r>
        <w:rPr/>
        <w:t>referência inicial a missão da</w:t>
      </w:r>
      <w:r>
        <w:rPr>
          <w:spacing w:val="29"/>
        </w:rPr>
        <w:t> </w:t>
      </w:r>
      <w:r>
        <w:rPr/>
        <w:t>organização‖.</w:t>
      </w:r>
    </w:p>
    <w:p>
      <w:pPr>
        <w:spacing w:after="0" w:line="360" w:lineRule="auto"/>
        <w:jc w:val="both"/>
        <w:sectPr>
          <w:pgSz w:w="11910" w:h="16840"/>
          <w:pgMar w:header="749" w:footer="0" w:top="960" w:bottom="280" w:left="1680" w:right="1580"/>
        </w:sectPr>
      </w:pPr>
    </w:p>
    <w:p>
      <w:pPr>
        <w:pStyle w:val="BodyText"/>
        <w:rPr>
          <w:sz w:val="20"/>
        </w:rPr>
      </w:pPr>
    </w:p>
    <w:p>
      <w:pPr>
        <w:pStyle w:val="BodyText"/>
        <w:spacing w:line="360" w:lineRule="auto" w:before="210"/>
        <w:ind w:left="305" w:right="118" w:firstLine="849"/>
        <w:jc w:val="both"/>
      </w:pPr>
      <w:r>
        <w:rPr>
          <w:w w:val="100"/>
        </w:rPr>
        <w:t>Contudo,  Gandin  (2007,  p.  27)  </w:t>
      </w:r>
      <w:r>
        <w:rPr>
          <w:w w:val="100"/>
        </w:rPr>
        <w:t>re</w:t>
      </w:r>
      <w:r>
        <w:rPr/>
        <w:t>v</w:t>
      </w:r>
      <w:r>
        <w:rPr>
          <w:w w:val="100"/>
        </w:rPr>
        <w:t>e</w:t>
      </w:r>
      <w:r>
        <w:rPr>
          <w:w w:val="100"/>
        </w:rPr>
        <w:t>la</w:t>
      </w:r>
      <w:r>
        <w:rPr/>
        <w:t>  qu</w:t>
      </w:r>
      <w:r>
        <w:rPr>
          <w:w w:val="100"/>
        </w:rPr>
        <w:t>e</w:t>
      </w:r>
      <w:r>
        <w:rPr/>
        <w:t>  </w:t>
      </w:r>
      <w:r>
        <w:rPr>
          <w:w w:val="44"/>
        </w:rPr>
        <w:t>―</w:t>
      </w:r>
      <w:r>
        <w:rPr/>
        <w:t>q</w:t>
      </w:r>
      <w:r>
        <w:rPr>
          <w:w w:val="100"/>
        </w:rPr>
        <w:t>uanto</w:t>
      </w:r>
      <w:r>
        <w:rPr/>
        <w:t>  </w:t>
      </w:r>
      <w:r>
        <w:rPr>
          <w:w w:val="100"/>
        </w:rPr>
        <w:t>à</w:t>
      </w:r>
      <w:r>
        <w:rPr/>
        <w:t>  p</w:t>
      </w:r>
      <w:r>
        <w:rPr>
          <w:w w:val="100"/>
        </w:rPr>
        <w:t>articipaçã</w:t>
      </w:r>
      <w:r>
        <w:rPr/>
        <w:t>o,  </w:t>
      </w:r>
      <w:r>
        <w:rPr>
          <w:w w:val="100"/>
        </w:rPr>
        <w:t>a</w:t>
      </w:r>
      <w:r>
        <w:rPr>
          <w:w w:val="99"/>
        </w:rPr>
        <w:t>s </w:t>
      </w:r>
      <w:r>
        <w:rPr/>
        <w:t>propostas não são tão claras [...], ficando a participação no nível da decisão, com vantagens sobre o gerenciamento da qualidade total, já que, em geral, são mais profundas as decisões que são atribuídas a todos‖.</w:t>
      </w:r>
    </w:p>
    <w:p>
      <w:pPr>
        <w:pStyle w:val="BodyText"/>
        <w:spacing w:line="360" w:lineRule="auto" w:before="3"/>
        <w:ind w:left="305" w:right="121" w:firstLine="849"/>
        <w:jc w:val="both"/>
      </w:pPr>
      <w:r>
        <w:rPr/>
        <w:t>Por fim, destacamos a concepção tecnocrática do planejamento, que, nas palavra</w:t>
      </w:r>
      <w:r>
        <w:rPr>
          <w:w w:val="99"/>
        </w:rPr>
        <w:t>s</w:t>
      </w:r>
      <w:r>
        <w:rPr/>
        <w:t>  de  Mende</w:t>
      </w:r>
      <w:r>
        <w:rPr>
          <w:w w:val="99"/>
        </w:rPr>
        <w:t>s</w:t>
      </w:r>
      <w:r>
        <w:rPr/>
        <w:t>  (2000,  p.  36),  </w:t>
      </w:r>
      <w:r>
        <w:rPr>
          <w:w w:val="44"/>
        </w:rPr>
        <w:t>―</w:t>
      </w:r>
      <w:r>
        <w:rPr/>
        <w:t>g</w:t>
      </w:r>
      <w:r>
        <w:rPr>
          <w:w w:val="100"/>
        </w:rPr>
        <w:t>e</w:t>
      </w:r>
      <w:r>
        <w:rPr>
          <w:w w:val="99"/>
        </w:rPr>
        <w:t>r</w:t>
      </w:r>
      <w:r>
        <w:rPr>
          <w:w w:val="100"/>
        </w:rPr>
        <w:t>a</w:t>
      </w:r>
      <w:r>
        <w:rPr/>
        <w:t>  </w:t>
      </w:r>
      <w:r>
        <w:rPr>
          <w:w w:val="100"/>
        </w:rPr>
        <w:t>uma</w:t>
      </w:r>
      <w:r>
        <w:rPr/>
        <w:t>  </w:t>
      </w:r>
      <w:r>
        <w:rPr>
          <w:w w:val="100"/>
        </w:rPr>
        <w:t>a</w:t>
      </w:r>
      <w:r>
        <w:rPr>
          <w:w w:val="100"/>
        </w:rPr>
        <w:t>li</w:t>
      </w:r>
      <w:r>
        <w:rPr>
          <w:w w:val="100"/>
        </w:rPr>
        <w:t>e</w:t>
      </w:r>
      <w:r>
        <w:rPr>
          <w:w w:val="100"/>
        </w:rPr>
        <w:t>na</w:t>
      </w:r>
      <w:r>
        <w:rPr>
          <w:w w:val="100"/>
        </w:rPr>
        <w:t>çã</w:t>
      </w:r>
      <w:r>
        <w:rPr/>
        <w:t>o  </w:t>
      </w:r>
      <w:r>
        <w:rPr>
          <w:w w:val="100"/>
        </w:rPr>
        <w:t>m</w:t>
      </w:r>
      <w:r>
        <w:rPr>
          <w:w w:val="100"/>
        </w:rPr>
        <w:t>a</w:t>
      </w:r>
      <w:r>
        <w:rPr>
          <w:w w:val="100"/>
        </w:rPr>
        <w:t>is  </w:t>
      </w:r>
      <w:r>
        <w:rPr>
          <w:w w:val="100"/>
        </w:rPr>
        <w:t>pe</w:t>
      </w:r>
      <w:r>
        <w:rPr>
          <w:w w:val="100"/>
        </w:rPr>
        <w:t>ri</w:t>
      </w:r>
      <w:r>
        <w:rPr/>
        <w:t>g</w:t>
      </w:r>
      <w:r>
        <w:rPr>
          <w:w w:val="99"/>
        </w:rPr>
        <w:t>os</w:t>
      </w:r>
      <w:r>
        <w:rPr>
          <w:w w:val="100"/>
        </w:rPr>
        <w:t>a</w:t>
      </w:r>
      <w:r>
        <w:rPr/>
        <w:t>,  porqu</w:t>
      </w:r>
      <w:r>
        <w:rPr>
          <w:w w:val="100"/>
        </w:rPr>
        <w:t>e </w:t>
      </w:r>
      <w:r>
        <w:rPr/>
        <w:t>dissimulada pela aparência de que eles são, exatamente, os agentes eliminadores da alienação; de que, pela atitude mental e pelos métodos de trabalho, eles encarnam a objetividade‖.</w:t>
      </w:r>
    </w:p>
    <w:p>
      <w:pPr>
        <w:pStyle w:val="BodyText"/>
        <w:spacing w:before="6"/>
        <w:ind w:left="1154"/>
      </w:pPr>
      <w:r>
        <w:rPr/>
        <w:t>Confirmando as intencionalidades destacadas anteriormente, Gentili   (2006,</w:t>
      </w:r>
    </w:p>
    <w:p>
      <w:pPr>
        <w:pStyle w:val="BodyText"/>
        <w:spacing w:before="137"/>
        <w:ind w:left="305"/>
      </w:pPr>
      <w:r>
        <w:rPr/>
        <w:t>p. 18) apresentam uma argumentação utilizada pelos próprios tecnocratas:</w:t>
      </w:r>
    </w:p>
    <w:p>
      <w:pPr>
        <w:pStyle w:val="BodyText"/>
        <w:rPr>
          <w:sz w:val="26"/>
        </w:rPr>
      </w:pPr>
    </w:p>
    <w:p>
      <w:pPr>
        <w:spacing w:line="276" w:lineRule="auto" w:before="158"/>
        <w:ind w:left="2290" w:right="120" w:firstLine="0"/>
        <w:jc w:val="both"/>
        <w:rPr>
          <w:sz w:val="20"/>
        </w:rPr>
      </w:pPr>
      <w:r>
        <w:rPr>
          <w:sz w:val="20"/>
        </w:rPr>
        <w:t>não faltam escolas, faltam escolas melhores; não faltam professores, faltam professores mais qualificados; não faltam recursos para financiar as políticas educacionais, ao contrário, falta uma melhor distribuição dos recursos existentes. Sendo assim, transformar a escola supõe um enorme desafio gerencial: promover uma mudança substantiva nas práticas pedagógicas, tornando-as mais eficientes; reestruturar o sistema para flexibilizar a oferta educacional; promover uma mudança cultural, não menos profunda, nas estratégias de gestão (agora guiadas pelos novos conceitos de  qualidade total); reformular o perfil dos professores, requalificando-os, implementar uma ampla reforma curricular, etc.</w:t>
      </w:r>
    </w:p>
    <w:p>
      <w:pPr>
        <w:pStyle w:val="BodyText"/>
        <w:rPr>
          <w:sz w:val="22"/>
        </w:rPr>
      </w:pPr>
    </w:p>
    <w:p>
      <w:pPr>
        <w:pStyle w:val="BodyText"/>
        <w:spacing w:line="360" w:lineRule="auto" w:before="159"/>
        <w:ind w:left="305" w:right="122" w:firstLine="849"/>
        <w:jc w:val="both"/>
      </w:pPr>
      <w:r>
        <w:rPr/>
        <w:t>Do exposto, entendemos que a questões no campo da educação são mais técnicas, do que políticas, o que coaduna com a conservação da estrutura societária vigente. Assim, o planejamento incide em aspectos gerenciais, não político-sociais.</w:t>
      </w:r>
    </w:p>
    <w:p>
      <w:pPr>
        <w:pStyle w:val="BodyText"/>
        <w:rPr>
          <w:sz w:val="26"/>
        </w:rPr>
      </w:pPr>
    </w:p>
    <w:p>
      <w:pPr>
        <w:pStyle w:val="BodyText"/>
        <w:rPr>
          <w:sz w:val="26"/>
        </w:rPr>
      </w:pPr>
    </w:p>
    <w:p>
      <w:pPr>
        <w:pStyle w:val="BodyText"/>
        <w:spacing w:before="10"/>
        <w:rPr>
          <w:sz w:val="20"/>
        </w:rPr>
      </w:pPr>
    </w:p>
    <w:p>
      <w:pPr>
        <w:pStyle w:val="Heading1"/>
        <w:numPr>
          <w:ilvl w:val="2"/>
          <w:numId w:val="11"/>
        </w:numPr>
        <w:tabs>
          <w:tab w:pos="973" w:val="left" w:leader="none"/>
        </w:tabs>
        <w:spacing w:line="360" w:lineRule="auto" w:before="0" w:after="0"/>
        <w:ind w:left="305" w:right="126" w:firstLine="0"/>
        <w:jc w:val="left"/>
      </w:pPr>
      <w:r>
        <w:rPr/>
        <w:t>Planejamento em uma concepção transformadora/comprometimento social</w:t>
      </w:r>
    </w:p>
    <w:p>
      <w:pPr>
        <w:pStyle w:val="BodyText"/>
        <w:spacing w:before="11"/>
        <w:rPr>
          <w:b/>
          <w:sz w:val="35"/>
        </w:rPr>
      </w:pPr>
    </w:p>
    <w:p>
      <w:pPr>
        <w:pStyle w:val="BodyText"/>
        <w:spacing w:line="360" w:lineRule="auto"/>
        <w:ind w:left="305" w:right="117" w:firstLine="849"/>
        <w:jc w:val="both"/>
      </w:pPr>
      <w:r>
        <w:rPr/>
        <w:t>Conceber o planejamento como instrumento metodológico e sistematizado com vistas à intervenção na realidade requer, segundo Vasconcellos (2010, p.75), </w:t>
      </w:r>
      <w:r>
        <w:rPr>
          <w:w w:val="100"/>
        </w:rPr>
        <w:t>e</w:t>
      </w:r>
      <w:r>
        <w:rPr>
          <w:w w:val="100"/>
        </w:rPr>
        <w:t>ntendimento</w:t>
      </w:r>
      <w:r>
        <w:rPr/>
        <w:t>  </w:t>
      </w:r>
      <w:r>
        <w:rPr>
          <w:w w:val="100"/>
        </w:rPr>
        <w:t>e</w:t>
      </w:r>
      <w:r>
        <w:rPr/>
        <w:t>  </w:t>
      </w:r>
      <w:r>
        <w:rPr>
          <w:w w:val="100"/>
        </w:rPr>
        <w:t>viv</w:t>
      </w:r>
      <w:r>
        <w:rPr>
          <w:w w:val="100"/>
        </w:rPr>
        <w:t>ê</w:t>
      </w:r>
      <w:r>
        <w:rPr>
          <w:w w:val="100"/>
        </w:rPr>
        <w:t>nc</w:t>
      </w:r>
      <w:r>
        <w:rPr>
          <w:w w:val="100"/>
        </w:rPr>
        <w:t>i</w:t>
      </w:r>
      <w:r>
        <w:rPr>
          <w:w w:val="100"/>
        </w:rPr>
        <w:t>a</w:t>
      </w:r>
      <w:r>
        <w:rPr/>
        <w:t>,  </w:t>
      </w:r>
      <w:r>
        <w:rPr>
          <w:w w:val="44"/>
        </w:rPr>
        <w:t>―</w:t>
      </w:r>
      <w:r>
        <w:rPr>
          <w:w w:val="100"/>
        </w:rPr>
        <w:t>c</w:t>
      </w:r>
      <w:r>
        <w:rPr>
          <w:w w:val="100"/>
        </w:rPr>
        <w:t>omo  postur</w:t>
      </w:r>
      <w:r>
        <w:rPr>
          <w:w w:val="100"/>
        </w:rPr>
        <w:t>a</w:t>
      </w:r>
      <w:r>
        <w:rPr/>
        <w:t>  </w:t>
      </w:r>
      <w:r>
        <w:rPr>
          <w:w w:val="100"/>
        </w:rPr>
        <w:t>(a</w:t>
      </w:r>
      <w:r>
        <w:rPr>
          <w:w w:val="100"/>
        </w:rPr>
        <w:t>l</w:t>
      </w:r>
      <w:r>
        <w:rPr/>
        <w:t>go  </w:t>
      </w:r>
      <w:r>
        <w:rPr>
          <w:w w:val="100"/>
        </w:rPr>
        <w:t>re</w:t>
      </w:r>
      <w:r>
        <w:rPr>
          <w:w w:val="100"/>
        </w:rPr>
        <w:t>e</w:t>
      </w:r>
      <w:r>
        <w:rPr>
          <w:w w:val="100"/>
        </w:rPr>
        <w:t>l</w:t>
      </w:r>
      <w:r>
        <w:rPr>
          <w:w w:val="100"/>
        </w:rPr>
        <w:t>a</w:t>
      </w:r>
      <w:r>
        <w:rPr>
          <w:w w:val="100"/>
        </w:rPr>
        <w:t>borado  </w:t>
      </w:r>
      <w:r>
        <w:rPr>
          <w:w w:val="100"/>
        </w:rPr>
        <w:t>e</w:t>
      </w:r>
      <w:r>
        <w:rPr/>
        <w:t>  </w:t>
      </w:r>
      <w:r>
        <w:rPr>
          <w:w w:val="100"/>
        </w:rPr>
        <w:t>inte</w:t>
      </w:r>
      <w:r>
        <w:rPr>
          <w:w w:val="100"/>
        </w:rPr>
        <w:t>rior</w:t>
      </w:r>
      <w:r>
        <w:rPr>
          <w:w w:val="100"/>
        </w:rPr>
        <w:t>i</w:t>
      </w:r>
      <w:r>
        <w:rPr>
          <w:w w:val="100"/>
        </w:rPr>
        <w:t>za</w:t>
      </w:r>
      <w:r>
        <w:rPr/>
        <w:t>do  </w:t>
      </w:r>
      <w:r>
        <w:rPr>
          <w:w w:val="100"/>
        </w:rPr>
        <w:t>pelo </w:t>
      </w:r>
      <w:r>
        <w:rPr/>
        <w:t>sujeito), como forma de organizar a reflexão e a ação, como estratégia global de posicionamento diante da realidade‖.</w:t>
      </w:r>
    </w:p>
    <w:p>
      <w:pPr>
        <w:pStyle w:val="BodyText"/>
        <w:spacing w:line="360" w:lineRule="auto" w:before="6"/>
        <w:ind w:left="305" w:right="118" w:firstLine="849"/>
        <w:jc w:val="both"/>
      </w:pPr>
      <w:r>
        <w:rPr/>
        <w:t>Diferentemente dos sentidos dados ao planejamento de cunho conservador e alienador, a participação social e, sobretudo a definição de uma visão de sociedade</w:t>
      </w:r>
    </w:p>
    <w:p>
      <w:pPr>
        <w:spacing w:after="0" w:line="360" w:lineRule="auto"/>
        <w:jc w:val="both"/>
        <w:sectPr>
          <w:pgSz w:w="11910" w:h="16840"/>
          <w:pgMar w:header="749" w:footer="0" w:top="960" w:bottom="280" w:left="1680" w:right="1580"/>
        </w:sectPr>
      </w:pPr>
    </w:p>
    <w:p>
      <w:pPr>
        <w:pStyle w:val="BodyText"/>
        <w:rPr>
          <w:sz w:val="20"/>
        </w:rPr>
      </w:pPr>
    </w:p>
    <w:p>
      <w:pPr>
        <w:pStyle w:val="BodyText"/>
        <w:spacing w:line="360" w:lineRule="auto" w:before="210"/>
        <w:ind w:left="385" w:right="116"/>
        <w:jc w:val="both"/>
      </w:pPr>
      <w:r>
        <w:rPr/>
        <w:t>humanista, em contraposição a uma visão economicista, é que Vasconcellos (2010, p.35)   re-sig</w:t>
      </w:r>
      <w:r>
        <w:rPr>
          <w:w w:val="100"/>
        </w:rPr>
        <w:t>nifica</w:t>
      </w:r>
      <w:r>
        <w:rPr/>
        <w:t>   </w:t>
      </w:r>
      <w:r>
        <w:rPr>
          <w:w w:val="100"/>
        </w:rPr>
        <w:t>a</w:t>
      </w:r>
      <w:r>
        <w:rPr/>
        <w:t>   p</w:t>
      </w:r>
      <w:r>
        <w:rPr>
          <w:w w:val="100"/>
        </w:rPr>
        <w:t>rá</w:t>
      </w:r>
      <w:r>
        <w:rPr>
          <w:w w:val="100"/>
        </w:rPr>
        <w:t>ti</w:t>
      </w:r>
      <w:r>
        <w:rPr>
          <w:w w:val="100"/>
        </w:rPr>
        <w:t>ca</w:t>
      </w:r>
      <w:r>
        <w:rPr/>
        <w:t>   do   </w:t>
      </w:r>
      <w:r>
        <w:rPr>
          <w:w w:val="100"/>
        </w:rPr>
        <w:t>plane</w:t>
      </w:r>
      <w:r>
        <w:rPr>
          <w:w w:val="100"/>
        </w:rPr>
        <w:t>jame</w:t>
      </w:r>
      <w:r>
        <w:rPr>
          <w:w w:val="100"/>
        </w:rPr>
        <w:t>nto</w:t>
      </w:r>
      <w:r>
        <w:rPr/>
        <w:t>.   Isto   </w:t>
      </w:r>
      <w:r>
        <w:rPr>
          <w:w w:val="100"/>
        </w:rPr>
        <w:t>é</w:t>
      </w:r>
      <w:r>
        <w:rPr/>
        <w:t>,   </w:t>
      </w:r>
      <w:r>
        <w:rPr>
          <w:w w:val="44"/>
        </w:rPr>
        <w:t>―</w:t>
      </w:r>
      <w:r>
        <w:rPr>
          <w:w w:val="100"/>
        </w:rPr>
        <w:t>planejar</w:t>
      </w:r>
      <w:r>
        <w:rPr/>
        <w:t>   </w:t>
      </w:r>
      <w:r>
        <w:rPr>
          <w:w w:val="100"/>
        </w:rPr>
        <w:t>é</w:t>
      </w:r>
      <w:r>
        <w:rPr/>
        <w:t>   </w:t>
      </w:r>
      <w:r>
        <w:rPr>
          <w:w w:val="100"/>
        </w:rPr>
        <w:t>a</w:t>
      </w:r>
      <w:r>
        <w:rPr>
          <w:w w:val="100"/>
        </w:rPr>
        <w:t>nt</w:t>
      </w:r>
      <w:r>
        <w:rPr/>
        <w:t>ecipar mentalmente uma ação a ser realizada e agir de acordo com o previsto; é buscar fazer algo incrível, essencialmente humano: o real ser comandado pelo ideal‖.</w:t>
      </w:r>
    </w:p>
    <w:p>
      <w:pPr>
        <w:pStyle w:val="BodyText"/>
        <w:spacing w:line="360" w:lineRule="auto" w:before="3"/>
        <w:ind w:left="385" w:right="119" w:firstLine="849"/>
        <w:jc w:val="both"/>
      </w:pPr>
      <w:r>
        <w:rPr/>
        <w:t>Nesta perspectiva, o </w:t>
      </w:r>
      <w:r>
        <w:rPr>
          <w:b/>
        </w:rPr>
        <w:t>planejamento participativo</w:t>
      </w:r>
      <w:r>
        <w:rPr/>
        <w:t>, aquele que é elaborado </w:t>
      </w:r>
      <w:r>
        <w:rPr>
          <w:spacing w:val="-1"/>
          <w:w w:val="99"/>
        </w:rPr>
        <w:t>c</w:t>
      </w:r>
      <w:r>
        <w:rPr>
          <w:w w:val="99"/>
        </w:rPr>
        <w:t>oletivam</w:t>
      </w:r>
      <w:r>
        <w:rPr>
          <w:spacing w:val="-1"/>
          <w:w w:val="99"/>
        </w:rPr>
        <w:t>e</w:t>
      </w:r>
      <w:r>
        <w:rPr>
          <w:w w:val="99"/>
        </w:rPr>
        <w:t>nte,</w:t>
      </w:r>
      <w:r>
        <w:rPr>
          <w:spacing w:val="18"/>
          <w:w w:val="99"/>
        </w:rPr>
        <w:t> </w:t>
      </w:r>
      <w:r>
        <w:rPr>
          <w:w w:val="99"/>
        </w:rPr>
        <w:t>é</w:t>
      </w:r>
      <w:r>
        <w:rPr>
          <w:spacing w:val="18"/>
          <w:w w:val="99"/>
        </w:rPr>
        <w:t> </w:t>
      </w:r>
      <w:r>
        <w:rPr>
          <w:spacing w:val="2"/>
          <w:w w:val="99"/>
        </w:rPr>
        <w:t>d</w:t>
      </w:r>
      <w:r>
        <w:rPr>
          <w:spacing w:val="-1"/>
          <w:w w:val="99"/>
        </w:rPr>
        <w:t>e</w:t>
      </w:r>
      <w:r>
        <w:rPr>
          <w:w w:val="99"/>
        </w:rPr>
        <w:t>s</w:t>
      </w:r>
      <w:r>
        <w:rPr>
          <w:spacing w:val="-1"/>
          <w:w w:val="100"/>
        </w:rPr>
        <w:t>c</w:t>
      </w:r>
      <w:r>
        <w:rPr>
          <w:w w:val="100"/>
        </w:rPr>
        <w:t>rito</w:t>
      </w:r>
      <w:r>
        <w:rPr>
          <w:spacing w:val="21"/>
        </w:rPr>
        <w:t> </w:t>
      </w:r>
      <w:r>
        <w:rPr/>
        <w:t>por</w:t>
      </w:r>
      <w:r>
        <w:rPr>
          <w:spacing w:val="18"/>
        </w:rPr>
        <w:t> </w:t>
      </w:r>
      <w:r>
        <w:rPr/>
        <w:t>G</w:t>
      </w:r>
      <w:r>
        <w:rPr>
          <w:spacing w:val="-2"/>
        </w:rPr>
        <w:t>a</w:t>
      </w:r>
      <w:r>
        <w:rPr/>
        <w:t>ndin</w:t>
      </w:r>
      <w:r>
        <w:rPr>
          <w:spacing w:val="19"/>
        </w:rPr>
        <w:t> </w:t>
      </w:r>
      <w:r>
        <w:rPr/>
        <w:t>(200</w:t>
      </w:r>
      <w:r>
        <w:rPr>
          <w:spacing w:val="-1"/>
        </w:rPr>
        <w:t>7</w:t>
      </w:r>
      <w:r>
        <w:rPr/>
        <w:t>,</w:t>
      </w:r>
      <w:r>
        <w:rPr>
          <w:spacing w:val="18"/>
        </w:rPr>
        <w:t> </w:t>
      </w:r>
      <w:r>
        <w:rPr/>
        <w:t>p.</w:t>
      </w:r>
      <w:r>
        <w:rPr>
          <w:spacing w:val="18"/>
        </w:rPr>
        <w:t> </w:t>
      </w:r>
      <w:r>
        <w:rPr>
          <w:spacing w:val="2"/>
        </w:rPr>
        <w:t>5</w:t>
      </w:r>
      <w:r>
        <w:rPr/>
        <w:t>7)</w:t>
      </w:r>
      <w:r>
        <w:rPr>
          <w:spacing w:val="18"/>
        </w:rPr>
        <w:t> </w:t>
      </w:r>
      <w:r>
        <w:rPr>
          <w:spacing w:val="-1"/>
          <w:w w:val="100"/>
        </w:rPr>
        <w:t>c</w:t>
      </w:r>
      <w:r>
        <w:rPr>
          <w:w w:val="100"/>
        </w:rPr>
        <w:t>omo</w:t>
      </w:r>
      <w:r>
        <w:rPr>
          <w:spacing w:val="19"/>
          <w:w w:val="100"/>
        </w:rPr>
        <w:t> </w:t>
      </w:r>
      <w:r>
        <w:rPr>
          <w:w w:val="100"/>
        </w:rPr>
        <w:t>o</w:t>
      </w:r>
      <w:r>
        <w:rPr>
          <w:spacing w:val="18"/>
          <w:w w:val="100"/>
        </w:rPr>
        <w:t> </w:t>
      </w:r>
      <w:r>
        <w:rPr>
          <w:w w:val="100"/>
        </w:rPr>
        <w:t>que</w:t>
      </w:r>
      <w:r>
        <w:rPr>
          <w:spacing w:val="18"/>
          <w:w w:val="100"/>
        </w:rPr>
        <w:t> </w:t>
      </w:r>
      <w:r>
        <w:rPr>
          <w:spacing w:val="1"/>
          <w:w w:val="44"/>
        </w:rPr>
        <w:t>―</w:t>
      </w:r>
      <w:r>
        <w:rPr>
          <w:spacing w:val="-1"/>
          <w:w w:val="100"/>
        </w:rPr>
        <w:t>ac</w:t>
      </w:r>
      <w:r>
        <w:rPr>
          <w:w w:val="100"/>
        </w:rPr>
        <w:t>ont</w:t>
      </w:r>
      <w:r>
        <w:rPr>
          <w:spacing w:val="1"/>
          <w:w w:val="100"/>
        </w:rPr>
        <w:t>e</w:t>
      </w:r>
      <w:r>
        <w:rPr>
          <w:spacing w:val="1"/>
          <w:w w:val="100"/>
        </w:rPr>
        <w:t>c</w:t>
      </w:r>
      <w:r>
        <w:rPr>
          <w:w w:val="100"/>
        </w:rPr>
        <w:t>e</w:t>
      </w:r>
      <w:r>
        <w:rPr>
          <w:spacing w:val="18"/>
        </w:rPr>
        <w:t> </w:t>
      </w:r>
      <w:r>
        <w:rPr>
          <w:w w:val="100"/>
        </w:rPr>
        <w:t>qu</w:t>
      </w:r>
      <w:r>
        <w:rPr>
          <w:spacing w:val="-1"/>
          <w:w w:val="100"/>
        </w:rPr>
        <w:t>a</w:t>
      </w:r>
      <w:r>
        <w:rPr>
          <w:w w:val="100"/>
        </w:rPr>
        <w:t>ndo</w:t>
      </w:r>
      <w:r>
        <w:rPr>
          <w:spacing w:val="18"/>
          <w:w w:val="100"/>
        </w:rPr>
        <w:t> </w:t>
      </w:r>
      <w:r>
        <w:rPr>
          <w:w w:val="100"/>
        </w:rPr>
        <w:t>o </w:t>
      </w:r>
      <w:r>
        <w:rPr/>
        <w:t>poder está com as pessoas [...]. Aí se pode construir um processo de planejamento  em que todos, com seu saber próprio, com sua consciência, com sua adesão específica, organizam seus problemas, suas ideias, seu conhecimento da realidade, suas propostas e suas</w:t>
      </w:r>
      <w:r>
        <w:rPr>
          <w:spacing w:val="34"/>
        </w:rPr>
        <w:t> </w:t>
      </w:r>
      <w:r>
        <w:rPr/>
        <w:t>ações‖.</w:t>
      </w:r>
    </w:p>
    <w:p>
      <w:pPr>
        <w:pStyle w:val="BodyText"/>
        <w:spacing w:line="360" w:lineRule="auto" w:before="4"/>
        <w:ind w:left="385" w:right="119" w:firstLine="849"/>
        <w:jc w:val="both"/>
      </w:pPr>
      <w:r>
        <w:rPr/>
        <w:t>Assim, a participarão ativa das pessoas na ação de planejar, sobretudo a educação, nos possibilita acreditar que, contrário a visão conservadora, o planejamento pode proporcionar um movimento de desalienação. Nesse sentido, </w:t>
      </w:r>
      <w:r>
        <w:rPr>
          <w:spacing w:val="-2"/>
          <w:w w:val="99"/>
        </w:rPr>
        <w:t>F</w:t>
      </w:r>
      <w:r>
        <w:rPr>
          <w:w w:val="100"/>
        </w:rPr>
        <w:t>r</w:t>
      </w:r>
      <w:r>
        <w:rPr>
          <w:spacing w:val="-2"/>
          <w:w w:val="100"/>
        </w:rPr>
        <w:t>e</w:t>
      </w:r>
      <w:r>
        <w:rPr>
          <w:w w:val="100"/>
        </w:rPr>
        <w:t>i</w:t>
      </w:r>
      <w:r>
        <w:rPr>
          <w:spacing w:val="1"/>
          <w:w w:val="100"/>
        </w:rPr>
        <w:t>r</w:t>
      </w:r>
      <w:r>
        <w:rPr>
          <w:w w:val="100"/>
        </w:rPr>
        <w:t>e</w:t>
      </w:r>
      <w:r>
        <w:rPr/>
        <w:t> </w:t>
      </w:r>
      <w:r>
        <w:rPr>
          <w:spacing w:val="-28"/>
        </w:rPr>
        <w:t> </w:t>
      </w:r>
      <w:r>
        <w:rPr/>
        <w:t>(201</w:t>
      </w:r>
      <w:r>
        <w:rPr>
          <w:spacing w:val="-1"/>
        </w:rPr>
        <w:t>1</w:t>
      </w:r>
      <w:r>
        <w:rPr/>
        <w:t>, </w:t>
      </w:r>
      <w:r>
        <w:rPr>
          <w:spacing w:val="-27"/>
        </w:rPr>
        <w:t> </w:t>
      </w:r>
      <w:r>
        <w:rPr/>
        <w:t>p. </w:t>
      </w:r>
      <w:r>
        <w:rPr>
          <w:spacing w:val="-27"/>
        </w:rPr>
        <w:t> </w:t>
      </w:r>
      <w:r>
        <w:rPr/>
        <w:t>120) </w:t>
      </w:r>
      <w:r>
        <w:rPr>
          <w:spacing w:val="-28"/>
        </w:rPr>
        <w:t> </w:t>
      </w:r>
      <w:r>
        <w:rPr>
          <w:w w:val="100"/>
        </w:rPr>
        <w:t>r</w:t>
      </w:r>
      <w:r>
        <w:rPr>
          <w:spacing w:val="-2"/>
          <w:w w:val="100"/>
        </w:rPr>
        <w:t>e</w:t>
      </w:r>
      <w:r>
        <w:rPr>
          <w:spacing w:val="2"/>
          <w:w w:val="100"/>
        </w:rPr>
        <w:t>i</w:t>
      </w:r>
      <w:r>
        <w:rPr>
          <w:w w:val="100"/>
        </w:rPr>
        <w:t>te</w:t>
      </w:r>
      <w:r>
        <w:rPr>
          <w:spacing w:val="-2"/>
          <w:w w:val="100"/>
        </w:rPr>
        <w:t>r</w:t>
      </w:r>
      <w:r>
        <w:rPr>
          <w:w w:val="100"/>
        </w:rPr>
        <w:t>a</w:t>
      </w:r>
      <w:r>
        <w:rPr/>
        <w:t> </w:t>
      </w:r>
      <w:r>
        <w:rPr>
          <w:spacing w:val="-28"/>
        </w:rPr>
        <w:t> </w:t>
      </w:r>
      <w:r>
        <w:rPr>
          <w:w w:val="100"/>
        </w:rPr>
        <w:t>que </w:t>
      </w:r>
      <w:r>
        <w:rPr>
          <w:spacing w:val="-28"/>
          <w:w w:val="100"/>
        </w:rPr>
        <w:t> </w:t>
      </w:r>
      <w:r>
        <w:rPr>
          <w:spacing w:val="-1"/>
          <w:w w:val="44"/>
        </w:rPr>
        <w:t>―</w:t>
      </w:r>
      <w:r>
        <w:rPr/>
        <w:t>o </w:t>
      </w:r>
      <w:r>
        <w:rPr>
          <w:spacing w:val="-27"/>
        </w:rPr>
        <w:t> </w:t>
      </w:r>
      <w:r>
        <w:rPr/>
        <w:t>q</w:t>
      </w:r>
      <w:r>
        <w:rPr>
          <w:spacing w:val="2"/>
        </w:rPr>
        <w:t>u</w:t>
      </w:r>
      <w:r>
        <w:rPr>
          <w:w w:val="100"/>
        </w:rPr>
        <w:t>e</w:t>
      </w:r>
      <w:r>
        <w:rPr/>
        <w:t> </w:t>
      </w:r>
      <w:r>
        <w:rPr>
          <w:spacing w:val="-28"/>
        </w:rPr>
        <w:t> </w:t>
      </w:r>
      <w:r>
        <w:rPr>
          <w:w w:val="100"/>
        </w:rPr>
        <w:t>temos</w:t>
      </w:r>
      <w:r>
        <w:rPr/>
        <w:t> </w:t>
      </w:r>
      <w:r>
        <w:rPr>
          <w:spacing w:val="-27"/>
        </w:rPr>
        <w:t> </w:t>
      </w:r>
      <w:r>
        <w:rPr>
          <w:w w:val="100"/>
        </w:rPr>
        <w:t>que </w:t>
      </w:r>
      <w:r>
        <w:rPr>
          <w:spacing w:val="-28"/>
          <w:w w:val="100"/>
        </w:rPr>
        <w:t> </w:t>
      </w:r>
      <w:r>
        <w:rPr>
          <w:w w:val="100"/>
        </w:rPr>
        <w:t>f</w:t>
      </w:r>
      <w:r>
        <w:rPr>
          <w:spacing w:val="-2"/>
          <w:w w:val="100"/>
        </w:rPr>
        <w:t>a</w:t>
      </w:r>
      <w:r>
        <w:rPr>
          <w:spacing w:val="1"/>
          <w:w w:val="100"/>
        </w:rPr>
        <w:t>z</w:t>
      </w:r>
      <w:r>
        <w:rPr>
          <w:spacing w:val="-1"/>
          <w:w w:val="100"/>
        </w:rPr>
        <w:t>e</w:t>
      </w:r>
      <w:r>
        <w:rPr>
          <w:w w:val="99"/>
        </w:rPr>
        <w:t>r, </w:t>
      </w:r>
      <w:r>
        <w:rPr>
          <w:spacing w:val="-28"/>
          <w:w w:val="99"/>
        </w:rPr>
        <w:t> </w:t>
      </w:r>
      <w:r>
        <w:rPr>
          <w:w w:val="100"/>
        </w:rPr>
        <w:t>na</w:t>
      </w:r>
      <w:r>
        <w:rPr/>
        <w:t> </w:t>
      </w:r>
      <w:r>
        <w:rPr>
          <w:spacing w:val="-28"/>
        </w:rPr>
        <w:t> </w:t>
      </w:r>
      <w:r>
        <w:rPr>
          <w:w w:val="100"/>
        </w:rPr>
        <w:t>v</w:t>
      </w:r>
      <w:r>
        <w:rPr>
          <w:spacing w:val="1"/>
          <w:w w:val="100"/>
        </w:rPr>
        <w:t>e</w:t>
      </w:r>
      <w:r>
        <w:rPr>
          <w:w w:val="100"/>
        </w:rPr>
        <w:t>rd</w:t>
      </w:r>
      <w:r>
        <w:rPr>
          <w:spacing w:val="-2"/>
          <w:w w:val="100"/>
        </w:rPr>
        <w:t>a</w:t>
      </w:r>
      <w:r>
        <w:rPr>
          <w:spacing w:val="2"/>
        </w:rPr>
        <w:t>d</w:t>
      </w:r>
      <w:r>
        <w:rPr>
          <w:spacing w:val="-1"/>
          <w:w w:val="100"/>
        </w:rPr>
        <w:t>e</w:t>
      </w:r>
      <w:r>
        <w:rPr/>
        <w:t>, </w:t>
      </w:r>
      <w:r>
        <w:rPr>
          <w:spacing w:val="-27"/>
        </w:rPr>
        <w:t> </w:t>
      </w:r>
      <w:r>
        <w:rPr>
          <w:w w:val="100"/>
        </w:rPr>
        <w:t>é</w:t>
      </w:r>
      <w:r>
        <w:rPr/>
        <w:t> </w:t>
      </w:r>
      <w:r>
        <w:rPr>
          <w:spacing w:val="-26"/>
        </w:rPr>
        <w:t> </w:t>
      </w:r>
      <w:r>
        <w:rPr/>
        <w:t>p</w:t>
      </w:r>
      <w:r>
        <w:rPr>
          <w:spacing w:val="-1"/>
        </w:rPr>
        <w:t>r</w:t>
      </w:r>
      <w:r>
        <w:rPr/>
        <w:t>opor </w:t>
      </w:r>
      <w:r>
        <w:rPr>
          <w:spacing w:val="-28"/>
        </w:rPr>
        <w:t> </w:t>
      </w:r>
      <w:r>
        <w:rPr>
          <w:spacing w:val="-1"/>
          <w:w w:val="100"/>
        </w:rPr>
        <w:t>a</w:t>
      </w:r>
      <w:r>
        <w:rPr/>
        <w:t>o povo, por meio de certas contradições básicas, sua situação existencial, concreta, presente, como problema que, por sua vez, o desafia e, assim, lhe exige resposta, não só no nível intelectual, mas no nível da</w:t>
      </w:r>
      <w:r>
        <w:rPr>
          <w:spacing w:val="32"/>
        </w:rPr>
        <w:t> </w:t>
      </w:r>
      <w:r>
        <w:rPr/>
        <w:t>ação‖.</w:t>
      </w:r>
    </w:p>
    <w:p>
      <w:pPr>
        <w:pStyle w:val="BodyText"/>
        <w:spacing w:line="360" w:lineRule="auto" w:before="6"/>
        <w:ind w:left="102" w:firstLine="851"/>
      </w:pPr>
      <w:r>
        <w:rPr/>
        <w:t>Nesse meandro, Saviani (2014, p. 6) destaca a necessária e continua intencionalidade coletiva:</w:t>
      </w:r>
    </w:p>
    <w:p>
      <w:pPr>
        <w:pStyle w:val="BodyText"/>
        <w:spacing w:before="4"/>
        <w:rPr>
          <w:sz w:val="36"/>
        </w:rPr>
      </w:pPr>
    </w:p>
    <w:p>
      <w:pPr>
        <w:spacing w:before="0"/>
        <w:ind w:left="2370" w:right="121" w:firstLine="0"/>
        <w:jc w:val="both"/>
        <w:rPr>
          <w:sz w:val="20"/>
        </w:rPr>
      </w:pPr>
      <w:r>
        <w:rPr>
          <w:sz w:val="20"/>
        </w:rPr>
        <w:t>para que o sistema [de educação] permaneça vivo e não degenere em simples estrutura burocratizando-se, é necessário manter continuamente, em termos coletivos, a intencionalidade das ações. Isso significa que me nenhum momento se deve perder de vista o caráter racional das atividades desenvolvidas. E o plano educacional é exatamente o instrumento que visa introduzir racionalidade na prática educativa como condição para se superar o espontaneísmo e as improvisações que são o oposto da educação sistematizada e de sua organização na forma de sistema.</w:t>
      </w:r>
    </w:p>
    <w:p>
      <w:pPr>
        <w:pStyle w:val="BodyText"/>
        <w:rPr>
          <w:sz w:val="22"/>
        </w:rPr>
      </w:pPr>
    </w:p>
    <w:p>
      <w:pPr>
        <w:pStyle w:val="BodyText"/>
        <w:spacing w:line="360" w:lineRule="auto" w:before="160"/>
        <w:ind w:left="102" w:right="228" w:firstLine="851"/>
        <w:jc w:val="both"/>
      </w:pPr>
      <w:r>
        <w:rPr>
          <w:w w:val="99"/>
        </w:rPr>
        <w:t>Assim sendo, </w:t>
      </w:r>
      <w:r>
        <w:rPr>
          <w:w w:val="100"/>
        </w:rPr>
        <w:t>e</w:t>
      </w:r>
      <w:r>
        <w:rPr>
          <w:w w:val="100"/>
        </w:rPr>
        <w:t>ntende</w:t>
      </w:r>
      <w:r>
        <w:rPr/>
        <w:t>mos ser </w:t>
      </w:r>
      <w:r>
        <w:rPr>
          <w:w w:val="100"/>
        </w:rPr>
        <w:t>ne</w:t>
      </w:r>
      <w:r>
        <w:rPr>
          <w:w w:val="100"/>
        </w:rPr>
        <w:t>ce</w:t>
      </w:r>
      <w:r>
        <w:rPr>
          <w:w w:val="99"/>
        </w:rPr>
        <w:t>ss</w:t>
      </w:r>
      <w:r>
        <w:rPr>
          <w:w w:val="100"/>
        </w:rPr>
        <w:t>á</w:t>
      </w:r>
      <w:r>
        <w:rPr>
          <w:w w:val="100"/>
        </w:rPr>
        <w:t>rio</w:t>
      </w:r>
      <w:r>
        <w:rPr/>
        <w:t> </w:t>
      </w:r>
      <w:r>
        <w:rPr>
          <w:w w:val="100"/>
        </w:rPr>
        <w:t>ter</w:t>
      </w:r>
      <w:r>
        <w:rPr/>
        <w:t> pr</w:t>
      </w:r>
      <w:r>
        <w:rPr>
          <w:w w:val="100"/>
        </w:rPr>
        <w:t>e</w:t>
      </w:r>
      <w:r>
        <w:rPr>
          <w:w w:val="99"/>
        </w:rPr>
        <w:t>se</w:t>
      </w:r>
      <w:r>
        <w:rPr>
          <w:w w:val="100"/>
        </w:rPr>
        <w:t>nte</w:t>
      </w:r>
      <w:r>
        <w:rPr/>
        <w:t> </w:t>
      </w:r>
      <w:r>
        <w:rPr>
          <w:w w:val="100"/>
        </w:rPr>
        <w:t>que </w:t>
      </w:r>
      <w:r>
        <w:rPr>
          <w:w w:val="44"/>
        </w:rPr>
        <w:t>―</w:t>
      </w:r>
      <w:r>
        <w:rPr>
          <w:w w:val="100"/>
        </w:rPr>
        <w:t>há</w:t>
      </w:r>
      <w:r>
        <w:rPr/>
        <w:t> </w:t>
      </w:r>
      <w:r>
        <w:rPr>
          <w:w w:val="100"/>
        </w:rPr>
        <w:t>diferentes</w:t>
      </w:r>
      <w:r>
        <w:rPr/>
        <w:t> </w:t>
      </w:r>
      <w:r>
        <w:rPr>
          <w:w w:val="100"/>
        </w:rPr>
        <w:t>ti</w:t>
      </w:r>
      <w:r>
        <w:rPr>
          <w:w w:val="99"/>
        </w:rPr>
        <w:t>pos </w:t>
      </w:r>
      <w:r>
        <w:rPr/>
        <w:t>de racionalidade‖ (SAVIANI, 2014, p. 8) e, por conseguinte, compreendê-las.</w:t>
      </w:r>
    </w:p>
    <w:p>
      <w:pPr>
        <w:pStyle w:val="BodyText"/>
        <w:spacing w:line="360" w:lineRule="auto" w:before="3"/>
        <w:ind w:left="102" w:right="226" w:firstLine="851"/>
        <w:jc w:val="both"/>
      </w:pPr>
      <w:r>
        <w:rPr/>
        <w:t>Nesse contexto de distintas intencionalidades, tradições, características, discursos e práticas de planejamento no campo da educação, faz-se necessário estabelecer alguns critérios que permitam distingui-las. Algumas concepções, com objetivos apenas imediatos instituem mudanças periféricas e quantitativas no sistema educacional, sem questioná-lo. Outras, colocam em causa e reconfiguram o sistema educacional vigente de acordo com as finalidades, as quais constituem parâmetros para</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0" w:lineRule="auto" w:before="210"/>
        <w:ind w:left="102" w:right="226"/>
        <w:jc w:val="both"/>
      </w:pPr>
      <w:r>
        <w:rPr/>
        <w:t>avaliar a relevância da mudança pretendida. Em outros termos, há uma intenção rígida e inflexível, levada adiante pelos tecnocratas que dirige e manipula, conferindo aos seres alienação e massificação e, a outra, um processo dinâmico, criador e libertador  do homem, de forma a conscientizar e comprometer o homem diante do seu mundo (MENEGOLLA; SANT‘ANNA, 1991). Isto, a depender do grupo que os maneja (GANDIN,</w:t>
      </w:r>
      <w:r>
        <w:rPr>
          <w:spacing w:val="-7"/>
        </w:rPr>
        <w:t> </w:t>
      </w:r>
      <w:r>
        <w:rPr/>
        <w:t>2007).</w:t>
      </w:r>
    </w:p>
    <w:p>
      <w:pPr>
        <w:pStyle w:val="BodyText"/>
        <w:spacing w:line="360" w:lineRule="auto" w:before="3"/>
        <w:ind w:left="102" w:right="115" w:firstLine="851"/>
        <w:jc w:val="both"/>
      </w:pPr>
      <w:r>
        <w:rPr/>
        <w:t>Essa tarefa de distinção, ou melhor, desvelamento, é a que empreenderemos nos dois capítulos seguintes desta Dissertação, que versam a respeito das políticas públicas que, de certo modo, impulsionam o planejamento da educação no âmbito de Municípios brasileiros e do Estado do Tocantins, em especial, as desencadeadas pelo MEC a partir dos anos 2000, com a intenção de ir além da simples observação das informações nas fontes pesquisadas, imprimindo sobre eles a teoria, a compreensão crítica do significado nelas existentes (LIMA; MIOTO, 2007), apreendendo as  forças em disputa, mais do que as palavras e implicações ditas lógicas no campo do planejamento educacional no País. Ainda, sustentados pela ideia de que o planejamento é um instrumento de política educacional, devendo ultrapassar a relevância e a imprescindibilidade exaltadas em discursos e não sendo ignorados nas ações de política educacional e nas práticas das instituições de</w:t>
      </w:r>
      <w:r>
        <w:rPr>
          <w:spacing w:val="-12"/>
        </w:rPr>
        <w:t> </w:t>
      </w:r>
      <w:r>
        <w:rPr/>
        <w:t>educação.</w:t>
      </w:r>
    </w:p>
    <w:p>
      <w:pPr>
        <w:spacing w:after="0" w:line="360" w:lineRule="auto"/>
        <w:jc w:val="both"/>
        <w:sectPr>
          <w:pgSz w:w="11910" w:h="16840"/>
          <w:pgMar w:header="749" w:footer="0" w:top="960" w:bottom="280" w:left="1600" w:right="1580"/>
        </w:sectPr>
      </w:pPr>
    </w:p>
    <w:p>
      <w:pPr>
        <w:pStyle w:val="BodyText"/>
        <w:rPr>
          <w:sz w:val="20"/>
        </w:rPr>
      </w:pPr>
    </w:p>
    <w:p>
      <w:pPr>
        <w:pStyle w:val="Heading1"/>
        <w:spacing w:before="215"/>
        <w:ind w:left="298" w:right="315"/>
        <w:jc w:val="center"/>
      </w:pPr>
      <w:r>
        <w:rPr/>
        <w:t>CAPÍTULO II</w:t>
      </w:r>
    </w:p>
    <w:p>
      <w:pPr>
        <w:pStyle w:val="BodyText"/>
        <w:rPr>
          <w:b/>
          <w:sz w:val="26"/>
        </w:rPr>
      </w:pPr>
    </w:p>
    <w:p>
      <w:pPr>
        <w:pStyle w:val="BodyText"/>
        <w:rPr>
          <w:b/>
          <w:sz w:val="26"/>
        </w:rPr>
      </w:pPr>
    </w:p>
    <w:p>
      <w:pPr>
        <w:pStyle w:val="BodyText"/>
        <w:rPr>
          <w:b/>
          <w:sz w:val="26"/>
        </w:rPr>
      </w:pPr>
    </w:p>
    <w:p>
      <w:pPr>
        <w:pStyle w:val="BodyText"/>
        <w:rPr>
          <w:b/>
          <w:sz w:val="26"/>
        </w:rPr>
      </w:pPr>
    </w:p>
    <w:p>
      <w:pPr>
        <w:spacing w:line="360" w:lineRule="auto" w:before="184"/>
        <w:ind w:left="298" w:right="320" w:firstLine="0"/>
        <w:jc w:val="center"/>
        <w:rPr>
          <w:b/>
          <w:sz w:val="24"/>
        </w:rPr>
      </w:pPr>
      <w:r>
        <w:rPr>
          <w:b/>
          <w:sz w:val="24"/>
        </w:rPr>
        <w:t>PLANEJAMENTO NA EDUCAÇÃO MUNICIPAL: INTENCIONALIDADES NAS/DAS DIRETRIZES E ORIENTAÇÕES NACIONAIS (2005-2014)</w:t>
      </w:r>
    </w:p>
    <w:p>
      <w:pPr>
        <w:pStyle w:val="BodyText"/>
        <w:rPr>
          <w:b/>
          <w:sz w:val="26"/>
        </w:rPr>
      </w:pPr>
    </w:p>
    <w:p>
      <w:pPr>
        <w:pStyle w:val="BodyText"/>
        <w:rPr>
          <w:b/>
          <w:sz w:val="26"/>
        </w:rPr>
      </w:pPr>
    </w:p>
    <w:p>
      <w:pPr>
        <w:pStyle w:val="BodyText"/>
        <w:rPr>
          <w:b/>
          <w:sz w:val="26"/>
        </w:rPr>
      </w:pPr>
    </w:p>
    <w:p>
      <w:pPr>
        <w:pStyle w:val="BodyText"/>
        <w:rPr>
          <w:b/>
          <w:sz w:val="30"/>
        </w:rPr>
      </w:pPr>
    </w:p>
    <w:p>
      <w:pPr>
        <w:pStyle w:val="BodyText"/>
        <w:spacing w:line="360" w:lineRule="auto"/>
        <w:ind w:left="102" w:right="114" w:firstLine="851"/>
        <w:jc w:val="both"/>
      </w:pPr>
      <w:r>
        <w:rPr/>
        <w:t>Neste capítulo, apresentamos resultados de uma pesquisa de cunho teórico- bibliográfico e documental, que teve como objetivo compreender as intencionalidades (concepções/racionalidades/conceitos) de diretrizes e orientações nacionais para o processo de planejamento da educação pelos Municípios brasileiros, a partir da promulgação da Constituição Federal de 1988 (BRASIL, 1988), considerando este contexto como marco divisor no </w:t>
      </w:r>
      <w:r>
        <w:rPr>
          <w:i/>
        </w:rPr>
        <w:t>processo efetivo de institucionalização dos sistemas </w:t>
      </w:r>
      <w:r>
        <w:rPr>
          <w:i/>
        </w:rPr>
        <w:t>municipais de educação </w:t>
      </w:r>
      <w:r>
        <w:rPr/>
        <w:t>(LAGARES, 2008). Em outros termos, nosso objetivo é apreender os referenciais simbólicos dos atores sociais envolvidos no processo de planejamento, considerando esta ação como uma prática situada, sem neutralidade, com um caráter ideológico implícito ou explícito (VIEIRA; ALBUQUERQUE, 2002).</w:t>
      </w:r>
    </w:p>
    <w:p>
      <w:pPr>
        <w:pStyle w:val="BodyText"/>
        <w:spacing w:line="360" w:lineRule="auto" w:before="6"/>
        <w:ind w:left="102" w:right="117" w:firstLine="851"/>
        <w:jc w:val="both"/>
      </w:pPr>
      <w:r>
        <w:rPr/>
        <w:t>O texto sustenta-se em ideias de Gentili (1996), Valente (2001), Dourado (2010;  2011),  Araújo  (2005),  Sander  (2005),  Shiroma,  Campos  e  Garcia     (2005),</w:t>
      </w:r>
    </w:p>
    <w:p>
      <w:pPr>
        <w:pStyle w:val="BodyText"/>
        <w:spacing w:before="6"/>
        <w:ind w:left="102"/>
        <w:jc w:val="both"/>
      </w:pPr>
      <w:r>
        <w:rPr/>
        <w:t>Lagares (2008; 2013; 2015), Sousa, Lagares (2014), Bordignon (2011), Sousa (2012),</w:t>
      </w:r>
    </w:p>
    <w:p>
      <w:pPr>
        <w:pStyle w:val="BodyText"/>
        <w:spacing w:line="360" w:lineRule="auto" w:before="136"/>
        <w:ind w:left="102" w:right="116"/>
        <w:jc w:val="both"/>
      </w:pPr>
      <w:r>
        <w:rPr/>
        <w:t>Gracindo (2010), Fonseca (2013), Sousa e Duarte (2014), Saviani (2014; 2015), Cavalcanti (2015), que contribuem para as nossas compreensões acerca das intencionalidades que emergem nos/dos documentos, possibilitando-nos ou não as relações com os dois campos de intencionalidades no planejamento que ganham mais força no campo da educação brasileira em sua história, sendo as ideias conservadoras/alienadoras e as transformadoras/comprometimento social.</w:t>
      </w:r>
    </w:p>
    <w:p>
      <w:pPr>
        <w:pStyle w:val="BodyText"/>
        <w:spacing w:line="360" w:lineRule="auto" w:before="3"/>
        <w:ind w:left="102" w:right="116" w:firstLine="851"/>
        <w:jc w:val="both"/>
      </w:pPr>
      <w:r>
        <w:rPr/>
        <w:t>Na pesquisa documental, utilizamos bases normativas e documentos oficiais nacionais, sustentados pelas ideias de Shiroma, Campos e Garcia (2005, p. 427), buscando compreender a política de elaboração dos Planos Municipais de Educação (PMEs) no contexto a partir da promulgação da Constituição Federal de 1988 sem qualquer intenção de realizar uma análise de discurso, mas apreender nas normas e nos documentos de política educacional orientações e diretrizes com conceitos e  conteúdos,</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0" w:lineRule="auto" w:before="210"/>
        <w:ind w:left="122" w:right="117"/>
        <w:jc w:val="both"/>
      </w:pPr>
      <w:r>
        <w:rPr>
          <w:w w:val="100"/>
        </w:rPr>
        <w:t>visando </w:t>
      </w:r>
      <w:r>
        <w:rPr>
          <w:spacing w:val="-2"/>
          <w:w w:val="44"/>
        </w:rPr>
        <w:t>―</w:t>
      </w:r>
      <w:r>
        <w:rPr>
          <w:w w:val="100"/>
        </w:rPr>
        <w:t>Construir</w:t>
      </w:r>
      <w:r>
        <w:rPr>
          <w:spacing w:val="-1"/>
          <w:w w:val="100"/>
        </w:rPr>
        <w:t> </w:t>
      </w:r>
      <w:r>
        <w:rPr>
          <w:w w:val="100"/>
        </w:rPr>
        <w:t>no</w:t>
      </w:r>
      <w:r>
        <w:rPr>
          <w:spacing w:val="2"/>
          <w:w w:val="100"/>
        </w:rPr>
        <w:t>v</w:t>
      </w:r>
      <w:r>
        <w:rPr>
          <w:spacing w:val="-1"/>
          <w:w w:val="100"/>
        </w:rPr>
        <w:t>a</w:t>
      </w:r>
      <w:r>
        <w:rPr>
          <w:w w:val="99"/>
        </w:rPr>
        <w:t>s</w:t>
      </w:r>
      <w:r>
        <w:rPr/>
        <w:t> </w:t>
      </w:r>
      <w:r>
        <w:rPr>
          <w:w w:val="100"/>
        </w:rPr>
        <w:t>lentes</w:t>
      </w:r>
      <w:r>
        <w:rPr/>
        <w:t> </w:t>
      </w:r>
      <w:r>
        <w:rPr>
          <w:w w:val="100"/>
        </w:rPr>
        <w:t>para</w:t>
      </w:r>
      <w:r>
        <w:rPr/>
        <w:t> </w:t>
      </w:r>
      <w:r>
        <w:rPr>
          <w:w w:val="100"/>
        </w:rPr>
        <w:t>int</w:t>
      </w:r>
      <w:r>
        <w:rPr>
          <w:spacing w:val="-1"/>
          <w:w w:val="100"/>
        </w:rPr>
        <w:t>e</w:t>
      </w:r>
      <w:r>
        <w:rPr>
          <w:w w:val="99"/>
        </w:rPr>
        <w:t>rpr</w:t>
      </w:r>
      <w:r>
        <w:rPr>
          <w:spacing w:val="-1"/>
          <w:w w:val="100"/>
        </w:rPr>
        <w:t>e</w:t>
      </w:r>
      <w:r>
        <w:rPr>
          <w:w w:val="100"/>
        </w:rPr>
        <w:t>tar</w:t>
      </w:r>
      <w:r>
        <w:rPr>
          <w:spacing w:val="-2"/>
        </w:rPr>
        <w:t> </w:t>
      </w:r>
      <w:r>
        <w:rPr>
          <w:w w:val="99"/>
        </w:rPr>
        <w:t>os</w:t>
      </w:r>
      <w:r>
        <w:rPr>
          <w:spacing w:val="2"/>
        </w:rPr>
        <w:t> </w:t>
      </w:r>
      <w:r>
        <w:rPr>
          <w:w w:val="100"/>
        </w:rPr>
        <w:t>te</w:t>
      </w:r>
      <w:r>
        <w:rPr>
          <w:spacing w:val="1"/>
          <w:w w:val="100"/>
        </w:rPr>
        <w:t>x</w:t>
      </w:r>
      <w:r>
        <w:rPr/>
        <w:t>tos </w:t>
      </w:r>
      <w:r>
        <w:rPr>
          <w:spacing w:val="2"/>
        </w:rPr>
        <w:t>[</w:t>
      </w:r>
      <w:r>
        <w:rPr/>
        <w:t>..</w:t>
      </w:r>
      <w:r>
        <w:rPr>
          <w:spacing w:val="-3"/>
        </w:rPr>
        <w:t>.</w:t>
      </w:r>
      <w:r>
        <w:rPr>
          <w:spacing w:val="1"/>
        </w:rPr>
        <w:t>]</w:t>
      </w:r>
      <w:r>
        <w:rPr>
          <w:w w:val="100"/>
        </w:rPr>
        <w:t>;</w:t>
      </w:r>
      <w:r>
        <w:rPr/>
        <w:t> </w:t>
      </w:r>
      <w:r>
        <w:rPr>
          <w:w w:val="100"/>
        </w:rPr>
        <w:t>pa</w:t>
      </w:r>
      <w:r>
        <w:rPr>
          <w:spacing w:val="-2"/>
          <w:w w:val="100"/>
        </w:rPr>
        <w:t>r</w:t>
      </w:r>
      <w:r>
        <w:rPr>
          <w:w w:val="100"/>
        </w:rPr>
        <w:t>a</w:t>
      </w:r>
      <w:r>
        <w:rPr>
          <w:spacing w:val="-1"/>
        </w:rPr>
        <w:t> </w:t>
      </w:r>
      <w:r>
        <w:rPr>
          <w:w w:val="100"/>
        </w:rPr>
        <w:t>ler</w:t>
      </w:r>
      <w:r>
        <w:rPr/>
        <w:t> o q</w:t>
      </w:r>
      <w:r>
        <w:rPr>
          <w:spacing w:val="6"/>
        </w:rPr>
        <w:t>u</w:t>
      </w:r>
      <w:r>
        <w:rPr/>
        <w:t>e</w:t>
      </w:r>
      <w:r>
        <w:rPr>
          <w:spacing w:val="-1"/>
        </w:rPr>
        <w:t> </w:t>
      </w:r>
      <w:r>
        <w:rPr/>
        <w:t>di</w:t>
      </w:r>
      <w:r>
        <w:rPr>
          <w:spacing w:val="1"/>
        </w:rPr>
        <w:t>z</w:t>
      </w:r>
      <w:r>
        <w:rPr>
          <w:spacing w:val="-1"/>
        </w:rPr>
        <w:t>e</w:t>
      </w:r>
      <w:r>
        <w:rPr/>
        <w:t>m, m</w:t>
      </w:r>
      <w:r>
        <w:rPr>
          <w:spacing w:val="-1"/>
        </w:rPr>
        <w:t>a</w:t>
      </w:r>
      <w:r>
        <w:rPr>
          <w:w w:val="99"/>
        </w:rPr>
        <w:t>s </w:t>
      </w:r>
      <w:r>
        <w:rPr>
          <w:w w:val="100"/>
        </w:rPr>
        <w:t>tamb</w:t>
      </w:r>
      <w:r>
        <w:rPr>
          <w:spacing w:val="-1"/>
          <w:w w:val="100"/>
        </w:rPr>
        <w:t>é</w:t>
      </w:r>
      <w:r>
        <w:rPr>
          <w:w w:val="100"/>
        </w:rPr>
        <w:t>m</w:t>
      </w:r>
      <w:r>
        <w:rPr>
          <w:spacing w:val="12"/>
        </w:rPr>
        <w:t> </w:t>
      </w:r>
      <w:r>
        <w:rPr>
          <w:w w:val="100"/>
        </w:rPr>
        <w:t>p</w:t>
      </w:r>
      <w:r>
        <w:rPr>
          <w:spacing w:val="-1"/>
          <w:w w:val="100"/>
        </w:rPr>
        <w:t>a</w:t>
      </w:r>
      <w:r>
        <w:rPr>
          <w:spacing w:val="1"/>
          <w:w w:val="99"/>
        </w:rPr>
        <w:t>r</w:t>
      </w:r>
      <w:r>
        <w:rPr>
          <w:w w:val="100"/>
        </w:rPr>
        <w:t>a</w:t>
      </w:r>
      <w:r>
        <w:rPr>
          <w:spacing w:val="10"/>
        </w:rPr>
        <w:t> </w:t>
      </w:r>
      <w:r>
        <w:rPr>
          <w:spacing w:val="1"/>
          <w:w w:val="100"/>
        </w:rPr>
        <w:t>c</w:t>
      </w:r>
      <w:r>
        <w:rPr>
          <w:spacing w:val="-1"/>
          <w:w w:val="100"/>
        </w:rPr>
        <w:t>a</w:t>
      </w:r>
      <w:r>
        <w:rPr>
          <w:w w:val="100"/>
        </w:rPr>
        <w:t>ptar</w:t>
      </w:r>
      <w:r>
        <w:rPr>
          <w:spacing w:val="12"/>
        </w:rPr>
        <w:t> </w:t>
      </w:r>
      <w:r>
        <w:rPr/>
        <w:t>o</w:t>
      </w:r>
      <w:r>
        <w:rPr>
          <w:spacing w:val="11"/>
        </w:rPr>
        <w:t> </w:t>
      </w:r>
      <w:r>
        <w:rPr/>
        <w:t>q</w:t>
      </w:r>
      <w:r>
        <w:rPr>
          <w:spacing w:val="2"/>
        </w:rPr>
        <w:t>u</w:t>
      </w:r>
      <w:r>
        <w:rPr>
          <w:w w:val="100"/>
        </w:rPr>
        <w:t>e</w:t>
      </w:r>
      <w:r>
        <w:rPr>
          <w:spacing w:val="10"/>
        </w:rPr>
        <w:t> </w:t>
      </w:r>
      <w:r>
        <w:rPr>
          <w:spacing w:val="-1"/>
          <w:w w:val="44"/>
        </w:rPr>
        <w:t>―</w:t>
      </w:r>
      <w:r>
        <w:rPr>
          <w:spacing w:val="2"/>
        </w:rPr>
        <w:t>n</w:t>
      </w:r>
      <w:r>
        <w:rPr>
          <w:spacing w:val="-1"/>
          <w:w w:val="100"/>
        </w:rPr>
        <w:t>ã</w:t>
      </w:r>
      <w:r>
        <w:rPr/>
        <w:t>o</w:t>
      </w:r>
      <w:r>
        <w:rPr>
          <w:spacing w:val="11"/>
        </w:rPr>
        <w:t> </w:t>
      </w:r>
      <w:r>
        <w:rPr>
          <w:w w:val="100"/>
        </w:rPr>
        <w:t>di</w:t>
      </w:r>
      <w:r>
        <w:rPr>
          <w:spacing w:val="1"/>
          <w:w w:val="100"/>
        </w:rPr>
        <w:t>z</w:t>
      </w:r>
      <w:r>
        <w:rPr>
          <w:spacing w:val="-1"/>
          <w:w w:val="100"/>
        </w:rPr>
        <w:t>e</w:t>
      </w:r>
      <w:r>
        <w:rPr>
          <w:w w:val="124"/>
        </w:rPr>
        <w:t>m‖</w:t>
      </w:r>
      <w:r>
        <w:rPr>
          <w:spacing w:val="-2"/>
          <w:w w:val="124"/>
        </w:rPr>
        <w:t>‖</w:t>
      </w:r>
      <w:r>
        <w:rPr/>
        <w:t>.</w:t>
      </w:r>
      <w:r>
        <w:rPr>
          <w:spacing w:val="14"/>
        </w:rPr>
        <w:t> </w:t>
      </w:r>
      <w:r>
        <w:rPr/>
        <w:t>Assim,</w:t>
      </w:r>
      <w:r>
        <w:rPr>
          <w:spacing w:val="11"/>
        </w:rPr>
        <w:t> </w:t>
      </w:r>
      <w:r>
        <w:rPr>
          <w:spacing w:val="-1"/>
          <w:w w:val="44"/>
        </w:rPr>
        <w:t>―</w:t>
      </w:r>
      <w:r>
        <w:rPr>
          <w:w w:val="100"/>
        </w:rPr>
        <w:t>Tom</w:t>
      </w:r>
      <w:r>
        <w:rPr>
          <w:spacing w:val="-1"/>
          <w:w w:val="100"/>
        </w:rPr>
        <w:t>a</w:t>
      </w:r>
      <w:r>
        <w:rPr/>
        <w:t>mos</w:t>
      </w:r>
      <w:r>
        <w:rPr>
          <w:spacing w:val="12"/>
        </w:rPr>
        <w:t> </w:t>
      </w:r>
      <w:r>
        <w:rPr>
          <w:w w:val="99"/>
        </w:rPr>
        <w:t>os</w:t>
      </w:r>
      <w:r>
        <w:rPr>
          <w:spacing w:val="12"/>
        </w:rPr>
        <w:t> </w:t>
      </w:r>
      <w:r>
        <w:rPr>
          <w:w w:val="100"/>
        </w:rPr>
        <w:t>te</w:t>
      </w:r>
      <w:r>
        <w:rPr>
          <w:spacing w:val="1"/>
          <w:w w:val="100"/>
        </w:rPr>
        <w:t>x</w:t>
      </w:r>
      <w:r>
        <w:rPr/>
        <w:t>tos</w:t>
      </w:r>
      <w:r>
        <w:rPr>
          <w:spacing w:val="12"/>
        </w:rPr>
        <w:t> </w:t>
      </w:r>
      <w:r>
        <w:rPr>
          <w:spacing w:val="-1"/>
          <w:w w:val="100"/>
        </w:rPr>
        <w:t>c</w:t>
      </w:r>
      <w:r>
        <w:rPr>
          <w:spacing w:val="2"/>
        </w:rPr>
        <w:t>o</w:t>
      </w:r>
      <w:r>
        <w:rPr>
          <w:w w:val="100"/>
        </w:rPr>
        <w:t>mo</w:t>
      </w:r>
      <w:r>
        <w:rPr>
          <w:spacing w:val="12"/>
        </w:rPr>
        <w:t> </w:t>
      </w:r>
      <w:r>
        <w:rPr/>
        <w:t>p</w:t>
      </w:r>
      <w:r>
        <w:rPr>
          <w:spacing w:val="-1"/>
        </w:rPr>
        <w:t>r</w:t>
      </w:r>
      <w:r>
        <w:rPr/>
        <w:t>odutos</w:t>
      </w:r>
      <w:r>
        <w:rPr>
          <w:spacing w:val="12"/>
        </w:rPr>
        <w:t> </w:t>
      </w:r>
      <w:r>
        <w:rPr>
          <w:w w:val="100"/>
        </w:rPr>
        <w:t>e </w:t>
      </w:r>
      <w:r>
        <w:rPr/>
        <w:t>produtores de orientações políticas. Os sentidos não são dados nos documentos, são produzidos; estão aquém e além das palavras que os compõem‖. Por isso, apreendemos </w:t>
      </w:r>
      <w:r>
        <w:rPr>
          <w:w w:val="100"/>
        </w:rPr>
        <w:t>v</w:t>
      </w:r>
      <w:r>
        <w:rPr>
          <w:spacing w:val="-1"/>
          <w:w w:val="100"/>
        </w:rPr>
        <w:t>á</w:t>
      </w:r>
      <w:r>
        <w:rPr/>
        <w:t>rios </w:t>
      </w:r>
      <w:r>
        <w:rPr>
          <w:spacing w:val="-8"/>
        </w:rPr>
        <w:t> </w:t>
      </w:r>
      <w:r>
        <w:rPr>
          <w:w w:val="100"/>
        </w:rPr>
        <w:t>do</w:t>
      </w:r>
      <w:r>
        <w:rPr>
          <w:spacing w:val="-1"/>
          <w:w w:val="100"/>
        </w:rPr>
        <w:t>c</w:t>
      </w:r>
      <w:r>
        <w:rPr>
          <w:w w:val="100"/>
        </w:rPr>
        <w:t>umentos, </w:t>
      </w:r>
      <w:r>
        <w:rPr>
          <w:spacing w:val="-8"/>
          <w:w w:val="100"/>
        </w:rPr>
        <w:t> </w:t>
      </w:r>
      <w:r>
        <w:rPr>
          <w:w w:val="100"/>
        </w:rPr>
        <w:t>ou </w:t>
      </w:r>
      <w:r>
        <w:rPr>
          <w:spacing w:val="-6"/>
          <w:w w:val="100"/>
        </w:rPr>
        <w:t> </w:t>
      </w:r>
      <w:r>
        <w:rPr>
          <w:w w:val="99"/>
        </w:rPr>
        <w:t>s</w:t>
      </w:r>
      <w:r>
        <w:rPr>
          <w:spacing w:val="-1"/>
          <w:w w:val="99"/>
        </w:rPr>
        <w:t>e</w:t>
      </w:r>
      <w:r>
        <w:rPr>
          <w:w w:val="100"/>
        </w:rPr>
        <w:t>ja,</w:t>
      </w:r>
      <w:r>
        <w:rPr/>
        <w:t> </w:t>
      </w:r>
      <w:r>
        <w:rPr>
          <w:spacing w:val="-8"/>
        </w:rPr>
        <w:t> </w:t>
      </w:r>
      <w:r>
        <w:rPr>
          <w:spacing w:val="-1"/>
          <w:w w:val="44"/>
        </w:rPr>
        <w:t>―</w:t>
      </w:r>
      <w:r>
        <w:rPr>
          <w:w w:val="99"/>
        </w:rPr>
        <w:t>f</w:t>
      </w:r>
      <w:r>
        <w:rPr>
          <w:spacing w:val="1"/>
          <w:w w:val="99"/>
        </w:rPr>
        <w:t>o</w:t>
      </w:r>
      <w:r>
        <w:rPr>
          <w:spacing w:val="-1"/>
          <w:w w:val="100"/>
        </w:rPr>
        <w:t>ca</w:t>
      </w:r>
      <w:r>
        <w:rPr/>
        <w:t>mos </w:t>
      </w:r>
      <w:r>
        <w:rPr>
          <w:spacing w:val="-7"/>
        </w:rPr>
        <w:t> </w:t>
      </w:r>
      <w:r>
        <w:rPr>
          <w:w w:val="100"/>
        </w:rPr>
        <w:t>n</w:t>
      </w:r>
      <w:r>
        <w:rPr>
          <w:spacing w:val="-1"/>
          <w:w w:val="100"/>
        </w:rPr>
        <w:t>ã</w:t>
      </w:r>
      <w:r>
        <w:rPr/>
        <w:t>o </w:t>
      </w:r>
      <w:r>
        <w:rPr>
          <w:spacing w:val="-8"/>
        </w:rPr>
        <w:t> </w:t>
      </w:r>
      <w:r>
        <w:rPr>
          <w:spacing w:val="-1"/>
          <w:w w:val="100"/>
        </w:rPr>
        <w:t>a</w:t>
      </w:r>
      <w:r>
        <w:rPr>
          <w:spacing w:val="2"/>
        </w:rPr>
        <w:t>p</w:t>
      </w:r>
      <w:r>
        <w:rPr>
          <w:spacing w:val="1"/>
          <w:w w:val="100"/>
        </w:rPr>
        <w:t>e</w:t>
      </w:r>
      <w:r>
        <w:rPr>
          <w:w w:val="100"/>
        </w:rPr>
        <w:t>n</w:t>
      </w:r>
      <w:r>
        <w:rPr>
          <w:spacing w:val="-1"/>
          <w:w w:val="100"/>
        </w:rPr>
        <w:t>a</w:t>
      </w:r>
      <w:r>
        <w:rPr>
          <w:w w:val="99"/>
        </w:rPr>
        <w:t>s</w:t>
      </w:r>
      <w:r>
        <w:rPr/>
        <w:t> </w:t>
      </w:r>
      <w:r>
        <w:rPr>
          <w:spacing w:val="-8"/>
        </w:rPr>
        <w:t> </w:t>
      </w:r>
      <w:r>
        <w:rPr>
          <w:w w:val="100"/>
        </w:rPr>
        <w:t>um</w:t>
      </w:r>
      <w:r>
        <w:rPr/>
        <w:t> </w:t>
      </w:r>
      <w:r>
        <w:rPr>
          <w:spacing w:val="-7"/>
        </w:rPr>
        <w:t> </w:t>
      </w:r>
      <w:r>
        <w:rPr>
          <w:w w:val="100"/>
        </w:rPr>
        <w:t>do</w:t>
      </w:r>
      <w:r>
        <w:rPr>
          <w:spacing w:val="-1"/>
          <w:w w:val="100"/>
        </w:rPr>
        <w:t>c</w:t>
      </w:r>
      <w:r>
        <w:rPr>
          <w:w w:val="100"/>
        </w:rPr>
        <w:t>umento </w:t>
      </w:r>
      <w:r>
        <w:rPr>
          <w:spacing w:val="-8"/>
          <w:w w:val="100"/>
        </w:rPr>
        <w:t> </w:t>
      </w:r>
      <w:r>
        <w:rPr>
          <w:w w:val="100"/>
        </w:rPr>
        <w:t>isol</w:t>
      </w:r>
      <w:r>
        <w:rPr>
          <w:spacing w:val="-1"/>
          <w:w w:val="100"/>
        </w:rPr>
        <w:t>a</w:t>
      </w:r>
      <w:r>
        <w:rPr>
          <w:w w:val="100"/>
        </w:rPr>
        <w:t>d</w:t>
      </w:r>
      <w:r>
        <w:rPr>
          <w:spacing w:val="-1"/>
          <w:w w:val="100"/>
        </w:rPr>
        <w:t>a</w:t>
      </w:r>
      <w:r>
        <w:rPr>
          <w:w w:val="100"/>
        </w:rPr>
        <w:t>mente</w:t>
      </w:r>
      <w:r>
        <w:rPr/>
        <w:t> </w:t>
      </w:r>
      <w:r>
        <w:rPr>
          <w:spacing w:val="-9"/>
        </w:rPr>
        <w:t> </w:t>
      </w:r>
      <w:r>
        <w:rPr>
          <w:spacing w:val="1"/>
        </w:rPr>
        <w:t>[</w:t>
      </w:r>
      <w:r>
        <w:rPr/>
        <w:t>..</w:t>
      </w:r>
      <w:r>
        <w:rPr>
          <w:spacing w:val="-3"/>
        </w:rPr>
        <w:t>.</w:t>
      </w:r>
      <w:r>
        <w:rPr/>
        <w:t>] assim como o contexto de influência e da produção dos textos [...]. Nessa perspectiva, um documento não é restrito a uma única e harmoniosa leitura. Pelo contrário, é aberto  a re-leituras, não um objeto para consumo passivo, mas um objeto a ser trabalhado pelo pesquisador para produzir</w:t>
      </w:r>
      <w:r>
        <w:rPr>
          <w:spacing w:val="33"/>
        </w:rPr>
        <w:t> </w:t>
      </w:r>
      <w:r>
        <w:rPr/>
        <w:t>sentido‖.</w:t>
      </w:r>
    </w:p>
    <w:p>
      <w:pPr>
        <w:pStyle w:val="BodyText"/>
        <w:spacing w:line="360" w:lineRule="auto" w:before="5"/>
        <w:ind w:left="122" w:right="120" w:firstLine="851"/>
        <w:jc w:val="both"/>
      </w:pPr>
      <w:r>
        <w:rPr/>
        <w:t>Desse modo, as normas e os documentos são abordados considerando, na medida do possível, o contexto histórico no qual foram produzidos, tarefa, que segundo Sá-Silva; Almeida; Guindani (2009, p. 8-9) é algo imprescindível, pois, ao pesquisador </w:t>
      </w:r>
      <w:r>
        <w:rPr>
          <w:w w:val="100"/>
        </w:rPr>
        <w:t>é</w:t>
      </w:r>
      <w:r>
        <w:rPr/>
        <w:t>  </w:t>
      </w:r>
      <w:r>
        <w:rPr>
          <w:spacing w:val="-26"/>
        </w:rPr>
        <w:t> </w:t>
      </w:r>
      <w:r>
        <w:rPr>
          <w:w w:val="100"/>
        </w:rPr>
        <w:t>n</w:t>
      </w:r>
      <w:r>
        <w:rPr>
          <w:spacing w:val="-1"/>
          <w:w w:val="100"/>
        </w:rPr>
        <w:t>e</w:t>
      </w:r>
      <w:r>
        <w:rPr>
          <w:spacing w:val="1"/>
          <w:w w:val="100"/>
        </w:rPr>
        <w:t>c</w:t>
      </w:r>
      <w:r>
        <w:rPr>
          <w:spacing w:val="-1"/>
          <w:w w:val="100"/>
        </w:rPr>
        <w:t>e</w:t>
      </w:r>
      <w:r>
        <w:rPr>
          <w:w w:val="99"/>
        </w:rPr>
        <w:t>ssá</w:t>
      </w:r>
      <w:r>
        <w:rPr>
          <w:spacing w:val="-2"/>
          <w:w w:val="99"/>
        </w:rPr>
        <w:t>r</w:t>
      </w:r>
      <w:r>
        <w:rPr>
          <w:w w:val="100"/>
        </w:rPr>
        <w:t>io</w:t>
      </w:r>
      <w:r>
        <w:rPr/>
        <w:t>  </w:t>
      </w:r>
      <w:r>
        <w:rPr>
          <w:spacing w:val="-22"/>
        </w:rPr>
        <w:t> </w:t>
      </w:r>
      <w:r>
        <w:rPr>
          <w:spacing w:val="-1"/>
          <w:w w:val="44"/>
        </w:rPr>
        <w:t>―</w:t>
      </w:r>
      <w:r>
        <w:rPr>
          <w:spacing w:val="-1"/>
          <w:w w:val="100"/>
        </w:rPr>
        <w:t>c</w:t>
      </w:r>
      <w:r>
        <w:rPr>
          <w:w w:val="100"/>
        </w:rPr>
        <w:t>onh</w:t>
      </w:r>
      <w:r>
        <w:rPr>
          <w:spacing w:val="1"/>
          <w:w w:val="100"/>
        </w:rPr>
        <w:t>e</w:t>
      </w:r>
      <w:r>
        <w:rPr>
          <w:spacing w:val="-1"/>
          <w:w w:val="100"/>
        </w:rPr>
        <w:t>ce</w:t>
      </w:r>
      <w:r>
        <w:rPr>
          <w:w w:val="99"/>
        </w:rPr>
        <w:t>r  </w:t>
      </w:r>
      <w:r>
        <w:rPr>
          <w:spacing w:val="-23"/>
          <w:w w:val="99"/>
        </w:rPr>
        <w:t> </w:t>
      </w:r>
      <w:r>
        <w:rPr>
          <w:w w:val="99"/>
        </w:rPr>
        <w:t>s</w:t>
      </w:r>
      <w:r>
        <w:rPr>
          <w:spacing w:val="-1"/>
          <w:w w:val="99"/>
        </w:rPr>
        <w:t>a</w:t>
      </w:r>
      <w:r>
        <w:rPr>
          <w:w w:val="100"/>
        </w:rPr>
        <w:t>ti</w:t>
      </w:r>
      <w:r>
        <w:rPr>
          <w:w w:val="99"/>
        </w:rPr>
        <w:t>sf</w:t>
      </w:r>
      <w:r>
        <w:rPr>
          <w:spacing w:val="-2"/>
          <w:w w:val="99"/>
        </w:rPr>
        <w:t>a</w:t>
      </w:r>
      <w:r>
        <w:rPr>
          <w:w w:val="100"/>
        </w:rPr>
        <w:t>tori</w:t>
      </w:r>
      <w:r>
        <w:rPr>
          <w:spacing w:val="-1"/>
          <w:w w:val="100"/>
        </w:rPr>
        <w:t>a</w:t>
      </w:r>
      <w:r>
        <w:rPr>
          <w:w w:val="100"/>
        </w:rPr>
        <w:t>mente</w:t>
      </w:r>
      <w:r>
        <w:rPr/>
        <w:t>  </w:t>
      </w:r>
      <w:r>
        <w:rPr>
          <w:spacing w:val="-23"/>
        </w:rPr>
        <w:t> </w:t>
      </w:r>
      <w:r>
        <w:rPr>
          <w:w w:val="100"/>
        </w:rPr>
        <w:t>a</w:t>
      </w:r>
      <w:r>
        <w:rPr/>
        <w:t>  </w:t>
      </w:r>
      <w:r>
        <w:rPr>
          <w:spacing w:val="-26"/>
        </w:rPr>
        <w:t> </w:t>
      </w:r>
      <w:r>
        <w:rPr>
          <w:spacing w:val="-1"/>
          <w:w w:val="100"/>
        </w:rPr>
        <w:t>c</w:t>
      </w:r>
      <w:r>
        <w:rPr>
          <w:spacing w:val="2"/>
        </w:rPr>
        <w:t>o</w:t>
      </w:r>
      <w:r>
        <w:rPr>
          <w:w w:val="100"/>
        </w:rPr>
        <w:t>njunt</w:t>
      </w:r>
      <w:r>
        <w:rPr>
          <w:w w:val="99"/>
        </w:rPr>
        <w:t>u</w:t>
      </w:r>
      <w:r>
        <w:rPr>
          <w:spacing w:val="-1"/>
          <w:w w:val="99"/>
        </w:rPr>
        <w:t>r</w:t>
      </w:r>
      <w:r>
        <w:rPr>
          <w:w w:val="100"/>
        </w:rPr>
        <w:t>a</w:t>
      </w:r>
      <w:r>
        <w:rPr/>
        <w:t>  </w:t>
      </w:r>
      <w:r>
        <w:rPr>
          <w:spacing w:val="-26"/>
        </w:rPr>
        <w:t> </w:t>
      </w:r>
      <w:r>
        <w:rPr/>
        <w:t>sóci</w:t>
      </w:r>
      <w:r>
        <w:rPr>
          <w:spacing w:val="3"/>
        </w:rPr>
        <w:t>o</w:t>
      </w:r>
      <w:r>
        <w:rPr>
          <w:spacing w:val="-1"/>
        </w:rPr>
        <w:t>-</w:t>
      </w:r>
      <w:r>
        <w:rPr>
          <w:spacing w:val="1"/>
        </w:rPr>
        <w:t>e</w:t>
      </w:r>
      <w:r>
        <w:rPr>
          <w:spacing w:val="-1"/>
        </w:rPr>
        <w:t>c</w:t>
      </w:r>
      <w:r>
        <w:rPr/>
        <w:t>onômi</w:t>
      </w:r>
      <w:r>
        <w:rPr>
          <w:spacing w:val="-1"/>
        </w:rPr>
        <w:t>c</w:t>
      </w:r>
      <w:r>
        <w:rPr/>
        <w:t>o</w:t>
      </w:r>
      <w:r>
        <w:rPr>
          <w:spacing w:val="-1"/>
        </w:rPr>
        <w:t>-c</w:t>
      </w:r>
      <w:r>
        <w:rPr/>
        <w:t>ultu</w:t>
      </w:r>
      <w:r>
        <w:rPr>
          <w:spacing w:val="-1"/>
        </w:rPr>
        <w:t>ra</w:t>
      </w:r>
      <w:r>
        <w:rPr/>
        <w:t>l  </w:t>
      </w:r>
      <w:r>
        <w:rPr>
          <w:spacing w:val="-22"/>
        </w:rPr>
        <w:t> </w:t>
      </w:r>
      <w:r>
        <w:rPr/>
        <w:t>e política que propiciou a produção de um determinado documento. [...] contextualização [que] pode ser um apoio muito importante, quando, por exemplo, comparam-se vários documentos da mesma</w:t>
      </w:r>
      <w:r>
        <w:rPr>
          <w:spacing w:val="34"/>
        </w:rPr>
        <w:t> </w:t>
      </w:r>
      <w:r>
        <w:rPr/>
        <w:t>natureza‖.</w:t>
      </w:r>
    </w:p>
    <w:p>
      <w:pPr>
        <w:pStyle w:val="BodyText"/>
        <w:spacing w:line="360" w:lineRule="auto" w:before="3"/>
        <w:ind w:left="122" w:right="116" w:firstLine="851"/>
        <w:jc w:val="both"/>
      </w:pPr>
      <w:r>
        <w:rPr/>
        <w:t>Além do contexto histórico, nossa atenção voltar-se-á aos conceitos-chave, ou melhor, às intencionalidades presentes em cada documento com vistas a uma maior compreensão da sua importância e seus sentidos.</w:t>
      </w:r>
    </w:p>
    <w:p>
      <w:pPr>
        <w:pStyle w:val="BodyText"/>
        <w:spacing w:line="360" w:lineRule="auto" w:before="6"/>
        <w:ind w:left="122" w:right="125" w:firstLine="851"/>
        <w:jc w:val="both"/>
      </w:pPr>
      <w:r>
        <w:rPr/>
        <w:t>Como fontes de dados e informações, utilizamos, especificamente, as normas: Constituição Federal de 1988 (BRASIL, 1988), Plano Decenal de Educação Para Todos (BRASIL, 1993), LDB nº 9.394/1996 (BRASIL, 1996), Lei nº 10.172/2001  </w:t>
      </w:r>
      <w:r>
        <w:rPr>
          <w:spacing w:val="59"/>
        </w:rPr>
        <w:t> </w:t>
      </w:r>
      <w:r>
        <w:rPr/>
        <w:t>(BRASIL,</w:t>
      </w:r>
    </w:p>
    <w:p>
      <w:pPr>
        <w:pStyle w:val="BodyText"/>
        <w:spacing w:line="360" w:lineRule="auto" w:before="3"/>
        <w:ind w:left="122" w:right="120"/>
        <w:jc w:val="both"/>
      </w:pPr>
      <w:r>
        <w:rPr/>
        <w:t>2001), Emenda Constitucional nº 59/2009 (BRASIL, 2009) e Lei nº 13.005/2014 (BRASIL, 2014).</w:t>
      </w:r>
    </w:p>
    <w:p>
      <w:pPr>
        <w:pStyle w:val="BodyText"/>
        <w:spacing w:line="357" w:lineRule="auto" w:before="3"/>
        <w:ind w:left="122" w:right="117" w:firstLine="851"/>
        <w:jc w:val="both"/>
      </w:pPr>
      <w:r>
        <w:rPr/>
        <w:t>Como documentos oficiais nacionais, trabalhamos com dois conjuntos de textos, sendo, no primeiro bloco histórico, os documentos elaborados pelo MEC,  durante a aprovação e vigência do PNE 2001-2010, e, no segundo bloco, textos</w:t>
      </w:r>
      <w:r>
        <w:rPr>
          <w:position w:val="10"/>
          <w:sz w:val="14"/>
        </w:rPr>
        <w:t>12 </w:t>
      </w:r>
      <w:r>
        <w:rPr/>
        <w:t>construídos no processo de elaboração, aprovação e implementação do PNE – Lei nº 13.005/2014, pelo MEC, como apoio e orientação aos Municípios na elaboração de seus PMEs, descritos no decorrer deste</w:t>
      </w:r>
      <w:r>
        <w:rPr>
          <w:spacing w:val="-5"/>
        </w:rPr>
        <w:t> </w:t>
      </w:r>
      <w:r>
        <w:rPr/>
        <w:t>texto.</w:t>
      </w:r>
    </w:p>
    <w:p>
      <w:pPr>
        <w:pStyle w:val="BodyText"/>
        <w:rPr>
          <w:sz w:val="20"/>
        </w:rPr>
      </w:pPr>
    </w:p>
    <w:p>
      <w:pPr>
        <w:pStyle w:val="BodyText"/>
        <w:spacing w:before="3"/>
        <w:rPr>
          <w:sz w:val="22"/>
        </w:rPr>
      </w:pPr>
      <w:r>
        <w:rPr/>
        <w:pict>
          <v:line style="position:absolute;mso-position-horizontal-relative:page;mso-position-vertical-relative:paragraph;z-index:1384;mso-wrap-distance-left:0;mso-wrap-distance-right:0" from="85.103996pt,15.134762pt" to="229.123996pt,15.134762pt" stroked="true" strokeweight=".72003pt" strokecolor="#000000">
            <v:stroke dashstyle="solid"/>
            <w10:wrap type="topAndBottom"/>
          </v:line>
        </w:pict>
      </w:r>
    </w:p>
    <w:p>
      <w:pPr>
        <w:spacing w:line="242" w:lineRule="auto" w:before="39"/>
        <w:ind w:left="122" w:right="128" w:firstLine="0"/>
        <w:jc w:val="both"/>
        <w:rPr>
          <w:sz w:val="20"/>
        </w:rPr>
      </w:pPr>
      <w:r>
        <w:rPr>
          <w:rFonts w:ascii="Calibri" w:hAnsi="Calibri"/>
          <w:position w:val="10"/>
          <w:sz w:val="13"/>
        </w:rPr>
        <w:t>12</w:t>
      </w:r>
      <w:r>
        <w:rPr>
          <w:sz w:val="20"/>
        </w:rPr>
        <w:t>Além dos documentos trabalhados neste capítulo, outros produzidos neste processo, por meio de uma Rede de Assistência Técnica para elaboração e/ou adequação dos Planos, pelo MEC/SASE, serão trabalhados no terceiro capítulo.</w:t>
      </w:r>
    </w:p>
    <w:p>
      <w:pPr>
        <w:spacing w:after="0" w:line="242" w:lineRule="auto"/>
        <w:jc w:val="both"/>
        <w:rPr>
          <w:sz w:val="20"/>
        </w:rPr>
        <w:sectPr>
          <w:pgSz w:w="11910" w:h="16840"/>
          <w:pgMar w:header="749" w:footer="0" w:top="960" w:bottom="280" w:left="1580" w:right="1580"/>
        </w:sectPr>
      </w:pPr>
    </w:p>
    <w:p>
      <w:pPr>
        <w:pStyle w:val="BodyText"/>
        <w:rPr>
          <w:sz w:val="20"/>
        </w:rPr>
      </w:pPr>
    </w:p>
    <w:p>
      <w:pPr>
        <w:pStyle w:val="BodyText"/>
        <w:spacing w:line="360" w:lineRule="auto" w:before="210"/>
        <w:ind w:left="102" w:right="116" w:firstLine="851"/>
        <w:jc w:val="both"/>
      </w:pPr>
      <w:r>
        <w:rPr/>
        <w:t>Como modo de exposição lógica da pesquisa, organizamos o texto em três seções. Na primeira, apresentamos elementos introdutórios a respeito das concepções e conceitos em disputa quanto a temática dos sistemas municipais de ensino nos anos 1980. Em seguida, apresentamos a origem das propostas de planejamento da educação pelos Municípios nos anos 1990. Por fim, na terceira seção, discorremos, detalhadamente, a vasta produção de normas e documentos com diretrizes e orientações para o planejamento da educação municipal dos anos 2000, do contexto de aprovação e vigência do PNE 2001-2010 ao contexto de elaboração, aprovação e início de implementação do PNE 2014-2024. E, ainda, tecemos comentários finais acerca da re- significação de conceitos do PNE 2001-2010 ao PNE 2014-2024.</w:t>
      </w:r>
    </w:p>
    <w:p>
      <w:pPr>
        <w:pStyle w:val="BodyText"/>
        <w:spacing w:line="360" w:lineRule="auto" w:before="3"/>
        <w:ind w:left="102" w:right="118" w:firstLine="851"/>
        <w:jc w:val="both"/>
      </w:pPr>
      <w:r>
        <w:rPr/>
        <w:t>As compreensões explicitadas em relação as normas e aos documentos trabalhados carecem de continuidade, tendo em vista que, no momento de implementação da política pública, os debates podem gerar ambiguidades, contradições e omissões (SHIROMA; CAMPOS; GARCIA, 2005, p. 433).</w:t>
      </w:r>
    </w:p>
    <w:p>
      <w:pPr>
        <w:pStyle w:val="BodyText"/>
        <w:spacing w:before="3"/>
        <w:rPr>
          <w:sz w:val="36"/>
        </w:rPr>
      </w:pPr>
    </w:p>
    <w:p>
      <w:pPr>
        <w:spacing w:before="0"/>
        <w:ind w:left="2370" w:right="116" w:firstLine="0"/>
        <w:jc w:val="both"/>
        <w:rPr>
          <w:sz w:val="20"/>
        </w:rPr>
      </w:pPr>
      <w:r>
        <w:rPr>
          <w:sz w:val="20"/>
        </w:rPr>
        <w:t>Se os textos são, ao mesmo tempo, produto e produtores de orientações políticas no campo da educação, sua difusão e promulgação geram também situações de </w:t>
      </w:r>
      <w:r>
        <w:rPr>
          <w:b/>
          <w:sz w:val="20"/>
        </w:rPr>
        <w:t>mudanças ou inovações, experienciadas no contexto das práticas educativas</w:t>
      </w:r>
      <w:r>
        <w:rPr>
          <w:sz w:val="20"/>
        </w:rPr>
        <w:t>. Relembrando que os textos de políticas não são simplesmente recebidos e implementados, mas, ao contrário, dentro da </w:t>
      </w:r>
      <w:r>
        <w:rPr>
          <w:b/>
          <w:sz w:val="20"/>
        </w:rPr>
        <w:t>arena da prática </w:t>
      </w:r>
      <w:r>
        <w:rPr>
          <w:sz w:val="20"/>
        </w:rPr>
        <w:t>estão sujeitos à </w:t>
      </w:r>
      <w:r>
        <w:rPr>
          <w:b/>
          <w:sz w:val="20"/>
        </w:rPr>
        <w:t>interpretação e recriação</w:t>
      </w:r>
      <w:r>
        <w:rPr>
          <w:sz w:val="20"/>
        </w:rPr>
        <w:t>. Podemos abordar, por exemplo, a legislação como dimensão de um processo contínuo, cujo </w:t>
      </w:r>
      <w:r>
        <w:rPr>
          <w:b/>
          <w:sz w:val="20"/>
        </w:rPr>
        <w:t>lócus  de poder </w:t>
      </w:r>
      <w:r>
        <w:rPr>
          <w:sz w:val="20"/>
        </w:rPr>
        <w:t>está constantemente mudando. (Grifos</w:t>
      </w:r>
      <w:r>
        <w:rPr>
          <w:spacing w:val="-19"/>
          <w:sz w:val="20"/>
        </w:rPr>
        <w:t> </w:t>
      </w:r>
      <w:r>
        <w:rPr>
          <w:sz w:val="20"/>
        </w:rPr>
        <w:t>nossos).</w:t>
      </w:r>
    </w:p>
    <w:p>
      <w:pPr>
        <w:pStyle w:val="BodyText"/>
        <w:rPr>
          <w:sz w:val="22"/>
        </w:rPr>
      </w:pPr>
    </w:p>
    <w:p>
      <w:pPr>
        <w:pStyle w:val="BodyText"/>
        <w:spacing w:line="360" w:lineRule="auto" w:before="163"/>
        <w:ind w:left="102" w:right="120" w:firstLine="851"/>
        <w:jc w:val="both"/>
      </w:pPr>
      <w:r>
        <w:rPr/>
        <w:t>A exemplo, apreendendo as produções que nascem das respectivas normas e documentos e experienciadas no contexto das práticas educativas dos Municípios.</w:t>
      </w:r>
    </w:p>
    <w:p>
      <w:pPr>
        <w:pStyle w:val="BodyText"/>
        <w:rPr>
          <w:sz w:val="26"/>
        </w:rPr>
      </w:pPr>
    </w:p>
    <w:p>
      <w:pPr>
        <w:pStyle w:val="BodyText"/>
        <w:rPr>
          <w:sz w:val="26"/>
        </w:rPr>
      </w:pPr>
    </w:p>
    <w:p>
      <w:pPr>
        <w:pStyle w:val="BodyText"/>
        <w:spacing w:before="10"/>
        <w:rPr>
          <w:sz w:val="20"/>
        </w:rPr>
      </w:pPr>
    </w:p>
    <w:p>
      <w:pPr>
        <w:pStyle w:val="Heading1"/>
        <w:numPr>
          <w:ilvl w:val="1"/>
          <w:numId w:val="12"/>
        </w:numPr>
        <w:tabs>
          <w:tab w:pos="534" w:val="left" w:leader="none"/>
        </w:tabs>
        <w:spacing w:line="360" w:lineRule="auto" w:before="0" w:after="0"/>
        <w:ind w:left="102" w:right="123" w:firstLine="0"/>
        <w:jc w:val="left"/>
      </w:pPr>
      <w:r>
        <w:rPr/>
        <w:t>Sistemas municipais de ensino nos anos 1980: concepções e conceitos em disputa – elementos</w:t>
      </w:r>
      <w:r>
        <w:rPr>
          <w:spacing w:val="-9"/>
        </w:rPr>
        <w:t> </w:t>
      </w:r>
      <w:r>
        <w:rPr/>
        <w:t>introdutórios</w:t>
      </w:r>
    </w:p>
    <w:p>
      <w:pPr>
        <w:pStyle w:val="BodyText"/>
        <w:spacing w:before="11"/>
        <w:rPr>
          <w:b/>
          <w:sz w:val="35"/>
        </w:rPr>
      </w:pPr>
    </w:p>
    <w:p>
      <w:pPr>
        <w:pStyle w:val="BodyText"/>
        <w:spacing w:line="360" w:lineRule="auto"/>
        <w:ind w:left="102" w:right="116" w:firstLine="851"/>
        <w:jc w:val="both"/>
      </w:pPr>
      <w:r>
        <w:rPr/>
        <w:t>A Constituição Federal de 1988 (BRASIL, 1988), no que diz respeito ao planejamento da educação pelos Municípios, pode ser compreendida a partir do entendimento de que tal processo está intrinsecamente vinculado à temática da instituição dos sistemas municipais de educação, como pode ser compreendido por meio de Lagares (2008), para a qual o planejamento é peça fundamental no processo    efetivo</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2" w:lineRule="auto" w:before="210"/>
        <w:ind w:left="102"/>
      </w:pPr>
      <w:r>
        <w:rPr/>
        <w:t>de institucionalização dos sistemas municipais de educação</w:t>
      </w:r>
      <w:r>
        <w:rPr>
          <w:i/>
        </w:rPr>
        <w:t>. </w:t>
      </w:r>
      <w:r>
        <w:rPr/>
        <w:t>No entanto, como destaca </w:t>
      </w:r>
      <w:r>
        <w:rPr>
          <w:w w:val="99"/>
        </w:rPr>
        <w:t>S</w:t>
      </w:r>
      <w:r>
        <w:rPr>
          <w:w w:val="100"/>
        </w:rPr>
        <w:t>aviani</w:t>
      </w:r>
      <w:r>
        <w:rPr/>
        <w:t> (2014, p. 16), </w:t>
      </w:r>
      <w:r>
        <w:rPr>
          <w:w w:val="100"/>
        </w:rPr>
        <w:t>há</w:t>
      </w:r>
      <w:r>
        <w:rPr/>
        <w:t> </w:t>
      </w:r>
      <w:r>
        <w:rPr>
          <w:w w:val="100"/>
        </w:rPr>
        <w:t>certa</w:t>
      </w:r>
      <w:r>
        <w:rPr/>
        <w:t> </w:t>
      </w:r>
      <w:r>
        <w:rPr>
          <w:w w:val="44"/>
        </w:rPr>
        <w:t>―</w:t>
      </w:r>
      <w:r>
        <w:rPr>
          <w:w w:val="100"/>
        </w:rPr>
        <w:t>c</w:t>
      </w:r>
      <w:r>
        <w:rPr>
          <w:w w:val="99"/>
        </w:rPr>
        <w:t>onfus</w:t>
      </w:r>
      <w:r>
        <w:rPr>
          <w:w w:val="100"/>
        </w:rPr>
        <w:t>ã</w:t>
      </w:r>
      <w:r>
        <w:rPr>
          <w:w w:val="120"/>
        </w:rPr>
        <w:t>o‖</w:t>
      </w:r>
      <w:r>
        <w:rPr/>
        <w:t> </w:t>
      </w:r>
      <w:r>
        <w:rPr>
          <w:w w:val="100"/>
        </w:rPr>
        <w:t>ace</w:t>
      </w:r>
      <w:r>
        <w:rPr>
          <w:w w:val="100"/>
        </w:rPr>
        <w:t>rc</w:t>
      </w:r>
      <w:r>
        <w:rPr>
          <w:w w:val="100"/>
        </w:rPr>
        <w:t>a</w:t>
      </w:r>
      <w:r>
        <w:rPr/>
        <w:t> </w:t>
      </w:r>
      <w:r>
        <w:rPr>
          <w:w w:val="100"/>
        </w:rPr>
        <w:t>da</w:t>
      </w:r>
      <w:r>
        <w:rPr/>
        <w:t> Const</w:t>
      </w:r>
      <w:r>
        <w:rPr>
          <w:w w:val="100"/>
        </w:rPr>
        <w:t>it</w:t>
      </w:r>
      <w:r>
        <w:rPr>
          <w:w w:val="100"/>
        </w:rPr>
        <w:t>uiçã</w:t>
      </w:r>
      <w:r>
        <w:rPr/>
        <w:t>o </w:t>
      </w:r>
      <w:r>
        <w:rPr>
          <w:w w:val="100"/>
        </w:rPr>
        <w:t>de</w:t>
      </w:r>
      <w:r>
        <w:rPr/>
        <w:t>stes si</w:t>
      </w:r>
      <w:r>
        <w:rPr>
          <w:w w:val="100"/>
        </w:rPr>
        <w:t>stema</w:t>
      </w:r>
      <w:r>
        <w:rPr>
          <w:w w:val="99"/>
        </w:rPr>
        <w:t>s.</w:t>
      </w:r>
    </w:p>
    <w:p>
      <w:pPr>
        <w:pStyle w:val="BodyText"/>
        <w:spacing w:line="360" w:lineRule="auto"/>
        <w:ind w:left="102" w:right="116" w:firstLine="851"/>
        <w:jc w:val="both"/>
      </w:pPr>
      <w:r>
        <w:rPr/>
        <w:t>No que tange a instituição do Sistema Municipal de Educação (SME), Saviani (2014, p. 19), ao se deter na abordagem dos aspectos referentes à confusão empreendida pela Constituição de 1988 acerca da atribuição aos Municípios de legislarem em matéria de educação vincula tal confusão, sobretudo no entendimento do significado da palavra sistema. Para o autor, os constituintes utilizaram-se desse termo sem compreendê-lo de forma clara e detida e, o recurso para justificar tal entendimento, refere-se à indicação  de que a competência municipal seria de proporcionar, juntamente com os demais entes federados, os meios de acesso à cultura, à educação e à ciência ao ser prescrito na </w:t>
      </w:r>
      <w:r>
        <w:rPr>
          <w:w w:val="99"/>
        </w:rPr>
        <w:t>Const</w:t>
      </w:r>
      <w:r>
        <w:rPr>
          <w:w w:val="100"/>
        </w:rPr>
        <w:t>it</w:t>
      </w:r>
      <w:r>
        <w:rPr>
          <w:w w:val="100"/>
        </w:rPr>
        <w:t>uiç</w:t>
      </w:r>
      <w:r>
        <w:rPr>
          <w:spacing w:val="-2"/>
          <w:w w:val="100"/>
        </w:rPr>
        <w:t>ã</w:t>
      </w:r>
      <w:r>
        <w:rPr/>
        <w:t>o</w:t>
      </w:r>
      <w:r>
        <w:rPr>
          <w:spacing w:val="21"/>
        </w:rPr>
        <w:t> </w:t>
      </w:r>
      <w:r>
        <w:rPr>
          <w:w w:val="100"/>
        </w:rPr>
        <w:t>de</w:t>
      </w:r>
      <w:r>
        <w:rPr>
          <w:spacing w:val="20"/>
        </w:rPr>
        <w:t> </w:t>
      </w:r>
      <w:r>
        <w:rPr/>
        <w:t>1988.</w:t>
      </w:r>
      <w:r>
        <w:rPr>
          <w:spacing w:val="21"/>
        </w:rPr>
        <w:t> </w:t>
      </w:r>
      <w:r>
        <w:rPr/>
        <w:t>Assim</w:t>
      </w:r>
      <w:r>
        <w:rPr>
          <w:spacing w:val="22"/>
        </w:rPr>
        <w:t> </w:t>
      </w:r>
      <w:r>
        <w:rPr/>
        <w:t>posto,</w:t>
      </w:r>
      <w:r>
        <w:rPr>
          <w:spacing w:val="21"/>
        </w:rPr>
        <w:t> </w:t>
      </w:r>
      <w:r>
        <w:rPr>
          <w:spacing w:val="-1"/>
          <w:w w:val="44"/>
        </w:rPr>
        <w:t>―</w:t>
      </w:r>
      <w:r>
        <w:rPr>
          <w:w w:val="100"/>
        </w:rPr>
        <w:t>n</w:t>
      </w:r>
      <w:r>
        <w:rPr>
          <w:spacing w:val="-1"/>
          <w:w w:val="100"/>
        </w:rPr>
        <w:t>ã</w:t>
      </w:r>
      <w:r>
        <w:rPr/>
        <w:t>o</w:t>
      </w:r>
      <w:r>
        <w:rPr>
          <w:spacing w:val="21"/>
        </w:rPr>
        <w:t> </w:t>
      </w:r>
      <w:r>
        <w:rPr>
          <w:spacing w:val="-1"/>
          <w:w w:val="100"/>
        </w:rPr>
        <w:t>e</w:t>
      </w:r>
      <w:r>
        <w:rPr>
          <w:w w:val="100"/>
        </w:rPr>
        <w:t>stend</w:t>
      </w:r>
      <w:r>
        <w:rPr>
          <w:spacing w:val="-2"/>
          <w:w w:val="100"/>
        </w:rPr>
        <w:t>e</w:t>
      </w:r>
      <w:r>
        <w:rPr/>
        <w:t>u</w:t>
      </w:r>
      <w:r>
        <w:rPr>
          <w:spacing w:val="21"/>
        </w:rPr>
        <w:t> </w:t>
      </w:r>
      <w:r>
        <w:rPr>
          <w:spacing w:val="-1"/>
          <w:w w:val="100"/>
        </w:rPr>
        <w:t>a</w:t>
      </w:r>
      <w:r>
        <w:rPr>
          <w:w w:val="99"/>
        </w:rPr>
        <w:t>os</w:t>
      </w:r>
      <w:r>
        <w:rPr>
          <w:spacing w:val="21"/>
        </w:rPr>
        <w:t> </w:t>
      </w:r>
      <w:r>
        <w:rPr/>
        <w:t>Muni</w:t>
      </w:r>
      <w:r>
        <w:rPr>
          <w:spacing w:val="-1"/>
          <w:w w:val="100"/>
        </w:rPr>
        <w:t>c</w:t>
      </w:r>
      <w:r>
        <w:rPr>
          <w:w w:val="100"/>
        </w:rPr>
        <w:t>ípi</w:t>
      </w:r>
      <w:r>
        <w:rPr>
          <w:w w:val="99"/>
        </w:rPr>
        <w:t>os</w:t>
      </w:r>
      <w:r>
        <w:rPr>
          <w:spacing w:val="21"/>
        </w:rPr>
        <w:t> </w:t>
      </w:r>
      <w:r>
        <w:rPr>
          <w:w w:val="100"/>
        </w:rPr>
        <w:t>a</w:t>
      </w:r>
      <w:r>
        <w:rPr>
          <w:spacing w:val="20"/>
        </w:rPr>
        <w:t> </w:t>
      </w:r>
      <w:r>
        <w:rPr>
          <w:spacing w:val="-1"/>
          <w:w w:val="100"/>
        </w:rPr>
        <w:t>c</w:t>
      </w:r>
      <w:r>
        <w:rPr>
          <w:w w:val="100"/>
        </w:rPr>
        <w:t>ompet</w:t>
      </w:r>
      <w:r>
        <w:rPr>
          <w:spacing w:val="-1"/>
          <w:w w:val="100"/>
        </w:rPr>
        <w:t>ê</w:t>
      </w:r>
      <w:r>
        <w:rPr>
          <w:w w:val="100"/>
        </w:rPr>
        <w:t>n</w:t>
      </w:r>
      <w:r>
        <w:rPr>
          <w:spacing w:val="-1"/>
          <w:w w:val="100"/>
        </w:rPr>
        <w:t>c</w:t>
      </w:r>
      <w:r>
        <w:rPr>
          <w:w w:val="100"/>
        </w:rPr>
        <w:t>ia</w:t>
      </w:r>
      <w:r>
        <w:rPr>
          <w:spacing w:val="20"/>
        </w:rPr>
        <w:t> </w:t>
      </w:r>
      <w:r>
        <w:rPr>
          <w:w w:val="100"/>
        </w:rPr>
        <w:t>p</w:t>
      </w:r>
      <w:r>
        <w:rPr>
          <w:spacing w:val="1"/>
          <w:w w:val="100"/>
        </w:rPr>
        <w:t>a</w:t>
      </w:r>
      <w:r>
        <w:rPr>
          <w:w w:val="100"/>
        </w:rPr>
        <w:t>ra </w:t>
      </w:r>
      <w:r>
        <w:rPr/>
        <w:t>legislar em matéria de educação. Dessa maneira, não estavam listados a elaborar planejamento da educação de forma sistêmica em seu âmbito</w:t>
      </w:r>
      <w:r>
        <w:rPr>
          <w:spacing w:val="30"/>
        </w:rPr>
        <w:t> </w:t>
      </w:r>
      <w:r>
        <w:rPr/>
        <w:t>local‖.</w:t>
      </w:r>
    </w:p>
    <w:p>
      <w:pPr>
        <w:pStyle w:val="BodyText"/>
        <w:spacing w:line="360" w:lineRule="auto" w:before="6"/>
        <w:ind w:left="102" w:right="117" w:firstLine="851"/>
        <w:jc w:val="both"/>
      </w:pPr>
      <w:r>
        <w:rPr/>
        <w:t>A esse aspecto, Saviani (2014, p. 43), atento aos desentendimentos acerca da instituição ou não do Sistema Nacional de Educação (SNE) em uma República Federativa como o Brasil, podendo ser ampliada essa competência aos Estados e Municípios, e ainda, de forma a não ferir a Constituição, define ‗sistema‘ sendo não um todo uniforme, como se cada território não tivesse suas particularidades, mas, ao contrário, como:</w:t>
      </w:r>
    </w:p>
    <w:p>
      <w:pPr>
        <w:spacing w:before="234"/>
        <w:ind w:left="2370" w:right="123" w:firstLine="0"/>
        <w:jc w:val="both"/>
        <w:rPr>
          <w:sz w:val="20"/>
        </w:rPr>
      </w:pPr>
      <w:r>
        <w:rPr>
          <w:sz w:val="20"/>
        </w:rPr>
        <w:t>Unidade da diversidade, um todo que articula uma variedade de elementos que, ao se integrarem ao todo, nem por isso perdem a identidade. Ao contrário, participam do todo, integram o sistema, na forma das respectivas especificidades. Em outros termos: uma unidade monolítica é tão avessa à ideia de sistema como uma multiplicidade desarticulada. Em verdade, sistematizar significa reunir, ordenar, articular elementos enquanto partes de um todo. E esse todo articulado é o sistema.</w:t>
      </w:r>
    </w:p>
    <w:p>
      <w:pPr>
        <w:pStyle w:val="BodyText"/>
        <w:rPr>
          <w:sz w:val="22"/>
        </w:rPr>
      </w:pPr>
    </w:p>
    <w:p>
      <w:pPr>
        <w:pStyle w:val="BodyText"/>
        <w:spacing w:line="360" w:lineRule="auto" w:before="164"/>
        <w:ind w:left="102" w:right="116" w:firstLine="851"/>
        <w:jc w:val="both"/>
      </w:pPr>
      <w:r>
        <w:rPr/>
        <w:t>Em relação à formação dos sistemas nacional, estaduais e municipais de Educação, a Emenda Constitucional nº 59 (BRASIL, 2009) agrega outras explicações a essa temática, entre elas, quanto a organização, também pelo Município, de seu sistema de ensino. Para efeito do entendimento, o § 4º do art. 211 da Constituição Federal de 1988 </w:t>
      </w:r>
      <w:r>
        <w:rPr>
          <w:spacing w:val="-18"/>
        </w:rPr>
        <w:t> </w:t>
      </w:r>
      <w:r>
        <w:rPr>
          <w:w w:val="100"/>
        </w:rPr>
        <w:t>p</w:t>
      </w:r>
      <w:r>
        <w:rPr>
          <w:spacing w:val="-1"/>
          <w:w w:val="100"/>
        </w:rPr>
        <w:t>a</w:t>
      </w:r>
      <w:r>
        <w:rPr>
          <w:w w:val="99"/>
        </w:rPr>
        <w:t>ssa</w:t>
      </w:r>
      <w:r>
        <w:rPr/>
        <w:t> </w:t>
      </w:r>
      <w:r>
        <w:rPr>
          <w:spacing w:val="-18"/>
        </w:rPr>
        <w:t> </w:t>
      </w:r>
      <w:r>
        <w:rPr>
          <w:w w:val="100"/>
        </w:rPr>
        <w:t>a</w:t>
      </w:r>
      <w:r>
        <w:rPr/>
        <w:t> </w:t>
      </w:r>
      <w:r>
        <w:rPr>
          <w:spacing w:val="-16"/>
        </w:rPr>
        <w:t> </w:t>
      </w:r>
      <w:r>
        <w:rPr>
          <w:w w:val="100"/>
        </w:rPr>
        <w:t>vi</w:t>
      </w:r>
      <w:r>
        <w:rPr>
          <w:spacing w:val="-2"/>
          <w:w w:val="100"/>
        </w:rPr>
        <w:t>g</w:t>
      </w:r>
      <w:r>
        <w:rPr>
          <w:spacing w:val="2"/>
        </w:rPr>
        <w:t>o</w:t>
      </w:r>
      <w:r>
        <w:rPr>
          <w:w w:val="100"/>
        </w:rPr>
        <w:t>r</w:t>
      </w:r>
      <w:r>
        <w:rPr>
          <w:spacing w:val="-2"/>
          <w:w w:val="100"/>
        </w:rPr>
        <w:t>a</w:t>
      </w:r>
      <w:r>
        <w:rPr>
          <w:w w:val="99"/>
        </w:rPr>
        <w:t>r </w:t>
      </w:r>
      <w:r>
        <w:rPr>
          <w:spacing w:val="-16"/>
          <w:w w:val="99"/>
        </w:rPr>
        <w:t> </w:t>
      </w:r>
      <w:r>
        <w:rPr>
          <w:spacing w:val="-1"/>
          <w:w w:val="100"/>
        </w:rPr>
        <w:t>c</w:t>
      </w:r>
      <w:r>
        <w:rPr>
          <w:spacing w:val="2"/>
        </w:rPr>
        <w:t>o</w:t>
      </w:r>
      <w:r>
        <w:rPr>
          <w:w w:val="100"/>
        </w:rPr>
        <w:t>m</w:t>
      </w:r>
      <w:r>
        <w:rPr/>
        <w:t> </w:t>
      </w:r>
      <w:r>
        <w:rPr>
          <w:spacing w:val="-17"/>
        </w:rPr>
        <w:t> </w:t>
      </w:r>
      <w:r>
        <w:rPr>
          <w:w w:val="100"/>
        </w:rPr>
        <w:t>a</w:t>
      </w:r>
      <w:r>
        <w:rPr/>
        <w:t> </w:t>
      </w:r>
      <w:r>
        <w:rPr>
          <w:spacing w:val="-18"/>
        </w:rPr>
        <w:t> </w:t>
      </w:r>
      <w:r>
        <w:rPr/>
        <w:t>s</w:t>
      </w:r>
      <w:r>
        <w:rPr>
          <w:spacing w:val="1"/>
        </w:rPr>
        <w:t>e</w:t>
      </w:r>
      <w:r>
        <w:rPr>
          <w:spacing w:val="-3"/>
        </w:rPr>
        <w:t>g</w:t>
      </w:r>
      <w:r>
        <w:rPr>
          <w:w w:val="100"/>
        </w:rPr>
        <w:t>uint</w:t>
      </w:r>
      <w:r>
        <w:rPr>
          <w:w w:val="100"/>
        </w:rPr>
        <w:t>e</w:t>
      </w:r>
      <w:r>
        <w:rPr/>
        <w:t> </w:t>
      </w:r>
      <w:r>
        <w:rPr>
          <w:spacing w:val="-18"/>
        </w:rPr>
        <w:t> </w:t>
      </w:r>
      <w:r>
        <w:rPr>
          <w:spacing w:val="1"/>
        </w:rPr>
        <w:t>r</w:t>
      </w:r>
      <w:r>
        <w:rPr>
          <w:spacing w:val="-1"/>
          <w:w w:val="100"/>
        </w:rPr>
        <w:t>e</w:t>
      </w:r>
      <w:r>
        <w:rPr>
          <w:w w:val="100"/>
        </w:rPr>
        <w:t>d</w:t>
      </w:r>
      <w:r>
        <w:rPr>
          <w:spacing w:val="1"/>
          <w:w w:val="100"/>
        </w:rPr>
        <w:t>a</w:t>
      </w:r>
      <w:r>
        <w:rPr>
          <w:spacing w:val="-1"/>
          <w:w w:val="100"/>
        </w:rPr>
        <w:t>çã</w:t>
      </w:r>
      <w:r>
        <w:rPr>
          <w:w w:val="100"/>
        </w:rPr>
        <w:t>o:</w:t>
      </w:r>
      <w:r>
        <w:rPr/>
        <w:t> </w:t>
      </w:r>
      <w:r>
        <w:rPr>
          <w:spacing w:val="-17"/>
        </w:rPr>
        <w:t> </w:t>
      </w:r>
      <w:r>
        <w:rPr>
          <w:spacing w:val="1"/>
          <w:w w:val="44"/>
        </w:rPr>
        <w:t>―</w:t>
      </w:r>
      <w:r>
        <w:rPr>
          <w:w w:val="99"/>
        </w:rPr>
        <w:t>Na </w:t>
      </w:r>
      <w:r>
        <w:rPr>
          <w:spacing w:val="-19"/>
          <w:w w:val="99"/>
        </w:rPr>
        <w:t> </w:t>
      </w:r>
      <w:r>
        <w:rPr>
          <w:w w:val="99"/>
        </w:rPr>
        <w:t>o</w:t>
      </w:r>
      <w:r>
        <w:rPr>
          <w:spacing w:val="1"/>
          <w:w w:val="99"/>
        </w:rPr>
        <w:t>r</w:t>
      </w:r>
      <w:r>
        <w:rPr>
          <w:w w:val="100"/>
        </w:rPr>
        <w:t>g</w:t>
      </w:r>
      <w:r>
        <w:rPr>
          <w:spacing w:val="-1"/>
          <w:w w:val="100"/>
        </w:rPr>
        <w:t>a</w:t>
      </w:r>
      <w:r>
        <w:rPr>
          <w:w w:val="100"/>
        </w:rPr>
        <w:t>ni</w:t>
      </w:r>
      <w:r>
        <w:rPr>
          <w:spacing w:val="1"/>
          <w:w w:val="100"/>
        </w:rPr>
        <w:t>z</w:t>
      </w:r>
      <w:r>
        <w:rPr>
          <w:spacing w:val="-1"/>
          <w:w w:val="100"/>
        </w:rPr>
        <w:t>aç</w:t>
      </w:r>
      <w:r>
        <w:rPr>
          <w:spacing w:val="4"/>
          <w:w w:val="100"/>
        </w:rPr>
        <w:t>ã</w:t>
      </w:r>
      <w:r>
        <w:rPr/>
        <w:t>o </w:t>
      </w:r>
      <w:r>
        <w:rPr>
          <w:spacing w:val="-18"/>
        </w:rPr>
        <w:t> </w:t>
      </w:r>
      <w:r>
        <w:rPr/>
        <w:t>de </w:t>
      </w:r>
      <w:r>
        <w:rPr>
          <w:spacing w:val="-16"/>
        </w:rPr>
        <w:t> </w:t>
      </w:r>
      <w:r>
        <w:rPr>
          <w:w w:val="99"/>
        </w:rPr>
        <w:t>s</w:t>
      </w:r>
      <w:r>
        <w:rPr>
          <w:spacing w:val="-1"/>
          <w:w w:val="99"/>
        </w:rPr>
        <w:t>e</w:t>
      </w:r>
      <w:r>
        <w:rPr>
          <w:w w:val="99"/>
        </w:rPr>
        <w:t>us</w:t>
      </w:r>
      <w:r>
        <w:rPr/>
        <w:t> </w:t>
      </w:r>
      <w:r>
        <w:rPr>
          <w:spacing w:val="-15"/>
        </w:rPr>
        <w:t> </w:t>
      </w:r>
      <w:r>
        <w:rPr>
          <w:w w:val="99"/>
        </w:rPr>
        <w:t>sis</w:t>
      </w:r>
      <w:r>
        <w:rPr/>
        <w:t>tem</w:t>
      </w:r>
      <w:r>
        <w:rPr>
          <w:spacing w:val="-1"/>
        </w:rPr>
        <w:t>a</w:t>
      </w:r>
      <w:r>
        <w:rPr>
          <w:w w:val="99"/>
        </w:rPr>
        <w:t>s</w:t>
      </w:r>
      <w:r>
        <w:rPr/>
        <w:t> </w:t>
      </w:r>
      <w:r>
        <w:rPr>
          <w:spacing w:val="-17"/>
        </w:rPr>
        <w:t> </w:t>
      </w:r>
      <w:r>
        <w:rPr/>
        <w:t>de ensino, a União, os Estados, o Distrito Federal e os Municípios definirão formas de colaboração, de modo a assegurar a universalização do ensino obrigatório" e define ainda a duração de dez anos para o Plano Nacional de Educação (PNE), que passa a ter  o objetivo de articular o</w:t>
      </w:r>
      <w:r>
        <w:rPr>
          <w:spacing w:val="-3"/>
        </w:rPr>
        <w:t> </w:t>
      </w:r>
      <w:r>
        <w:rPr/>
        <w:t>SNE.</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before="210"/>
        <w:ind w:left="954"/>
      </w:pPr>
      <w:r>
        <w:rPr/>
        <w:t>Do exposto, compreendemos que a instituição do sistema de educação </w:t>
      </w:r>
      <w:r>
        <w:rPr>
          <w:spacing w:val="54"/>
        </w:rPr>
        <w:t> </w:t>
      </w:r>
      <w:r>
        <w:rPr/>
        <w:t>implica</w:t>
      </w:r>
    </w:p>
    <w:p>
      <w:pPr>
        <w:pStyle w:val="BodyText"/>
        <w:spacing w:line="360" w:lineRule="auto" w:before="139"/>
        <w:ind w:left="102" w:right="116"/>
        <w:jc w:val="both"/>
      </w:pPr>
      <w:r>
        <w:rPr>
          <w:spacing w:val="-1"/>
          <w:w w:val="44"/>
        </w:rPr>
        <w:t>―</w:t>
      </w:r>
      <w:r>
        <w:rPr>
          <w:w w:val="99"/>
        </w:rPr>
        <w:t>o</w:t>
      </w:r>
      <w:r>
        <w:rPr>
          <w:spacing w:val="-1"/>
          <w:w w:val="99"/>
        </w:rPr>
        <w:t>r</w:t>
      </w:r>
      <w:r>
        <w:rPr>
          <w:w w:val="100"/>
        </w:rPr>
        <w:t>d</w:t>
      </w:r>
      <w:r>
        <w:rPr>
          <w:spacing w:val="-1"/>
          <w:w w:val="100"/>
        </w:rPr>
        <w:t>e</w:t>
      </w:r>
      <w:r>
        <w:rPr>
          <w:w w:val="100"/>
        </w:rPr>
        <w:t>n</w:t>
      </w:r>
      <w:r>
        <w:rPr>
          <w:spacing w:val="-1"/>
          <w:w w:val="100"/>
        </w:rPr>
        <w:t>a</w:t>
      </w:r>
      <w:r>
        <w:rPr>
          <w:spacing w:val="2"/>
          <w:w w:val="100"/>
        </w:rPr>
        <w:t>m</w:t>
      </w:r>
      <w:r>
        <w:rPr>
          <w:spacing w:val="-1"/>
          <w:w w:val="100"/>
        </w:rPr>
        <w:t>e</w:t>
      </w:r>
      <w:r>
        <w:rPr>
          <w:w w:val="109"/>
        </w:rPr>
        <w:t>nto‖,</w:t>
      </w:r>
      <w:r>
        <w:rPr/>
        <w:t> </w:t>
      </w:r>
      <w:r>
        <w:rPr>
          <w:spacing w:val="-16"/>
        </w:rPr>
        <w:t> </w:t>
      </w:r>
      <w:r>
        <w:rPr>
          <w:spacing w:val="-1"/>
          <w:w w:val="44"/>
        </w:rPr>
        <w:t>―</w:t>
      </w:r>
      <w:r>
        <w:rPr>
          <w:spacing w:val="-1"/>
          <w:w w:val="100"/>
        </w:rPr>
        <w:t>c</w:t>
      </w:r>
      <w:r>
        <w:rPr>
          <w:w w:val="100"/>
        </w:rPr>
        <w:t>onsc</w:t>
      </w:r>
      <w:r>
        <w:rPr>
          <w:spacing w:val="1"/>
          <w:w w:val="100"/>
        </w:rPr>
        <w:t>i</w:t>
      </w:r>
      <w:r>
        <w:rPr>
          <w:spacing w:val="-1"/>
          <w:w w:val="100"/>
        </w:rPr>
        <w:t>ê</w:t>
      </w:r>
      <w:r>
        <w:rPr>
          <w:w w:val="100"/>
        </w:rPr>
        <w:t>n</w:t>
      </w:r>
      <w:r>
        <w:rPr>
          <w:spacing w:val="-1"/>
          <w:w w:val="100"/>
        </w:rPr>
        <w:t>c</w:t>
      </w:r>
      <w:r>
        <w:rPr>
          <w:w w:val="100"/>
        </w:rPr>
        <w:t>ia</w:t>
      </w:r>
      <w:r>
        <w:rPr/>
        <w:t> </w:t>
      </w:r>
      <w:r>
        <w:rPr>
          <w:spacing w:val="-16"/>
        </w:rPr>
        <w:t> </w:t>
      </w:r>
      <w:r>
        <w:rPr>
          <w:w w:val="99"/>
        </w:rPr>
        <w:t>dos</w:t>
      </w:r>
      <w:r>
        <w:rPr/>
        <w:t> </w:t>
      </w:r>
      <w:r>
        <w:rPr>
          <w:spacing w:val="-15"/>
        </w:rPr>
        <w:t> </w:t>
      </w:r>
      <w:r>
        <w:rPr/>
        <w:t>p</w:t>
      </w:r>
      <w:r>
        <w:rPr>
          <w:spacing w:val="-1"/>
        </w:rPr>
        <w:t>r</w:t>
      </w:r>
      <w:r>
        <w:rPr>
          <w:w w:val="100"/>
        </w:rPr>
        <w:t>oblem</w:t>
      </w:r>
      <w:r>
        <w:rPr>
          <w:spacing w:val="-1"/>
          <w:w w:val="100"/>
        </w:rPr>
        <w:t>a</w:t>
      </w:r>
      <w:r>
        <w:rPr>
          <w:w w:val="99"/>
        </w:rPr>
        <w:t>s</w:t>
      </w:r>
      <w:r>
        <w:rPr/>
        <w:t> </w:t>
      </w:r>
      <w:r>
        <w:rPr>
          <w:spacing w:val="-15"/>
        </w:rPr>
        <w:t> </w:t>
      </w:r>
      <w:r>
        <w:rPr>
          <w:w w:val="100"/>
        </w:rPr>
        <w:t>da</w:t>
      </w:r>
      <w:r>
        <w:rPr/>
        <w:t> </w:t>
      </w:r>
      <w:r>
        <w:rPr>
          <w:spacing w:val="-16"/>
        </w:rPr>
        <w:t> </w:t>
      </w:r>
      <w:r>
        <w:rPr>
          <w:w w:val="100"/>
        </w:rPr>
        <w:t>situ</w:t>
      </w:r>
      <w:r>
        <w:rPr>
          <w:spacing w:val="-1"/>
          <w:w w:val="100"/>
        </w:rPr>
        <w:t>a</w:t>
      </w:r>
      <w:r>
        <w:rPr>
          <w:spacing w:val="-1"/>
          <w:w w:val="100"/>
        </w:rPr>
        <w:t>çã</w:t>
      </w:r>
      <w:r>
        <w:rPr/>
        <w:t>o, </w:t>
      </w:r>
      <w:r>
        <w:rPr>
          <w:spacing w:val="-15"/>
        </w:rPr>
        <w:t> </w:t>
      </w:r>
      <w:r>
        <w:rPr>
          <w:spacing w:val="-1"/>
          <w:w w:val="100"/>
        </w:rPr>
        <w:t>c</w:t>
      </w:r>
      <w:r>
        <w:rPr>
          <w:w w:val="100"/>
        </w:rPr>
        <w:t>onh</w:t>
      </w:r>
      <w:r>
        <w:rPr>
          <w:spacing w:val="-1"/>
          <w:w w:val="100"/>
        </w:rPr>
        <w:t>e</w:t>
      </w:r>
      <w:r>
        <w:rPr>
          <w:spacing w:val="-1"/>
          <w:w w:val="100"/>
        </w:rPr>
        <w:t>c</w:t>
      </w:r>
      <w:r>
        <w:rPr>
          <w:w w:val="100"/>
        </w:rPr>
        <w:t>im</w:t>
      </w:r>
      <w:r>
        <w:rPr>
          <w:spacing w:val="-1"/>
          <w:w w:val="100"/>
        </w:rPr>
        <w:t>e</w:t>
      </w:r>
      <w:r>
        <w:rPr>
          <w:w w:val="100"/>
        </w:rPr>
        <w:t>nto</w:t>
      </w:r>
      <w:r>
        <w:rPr/>
        <w:t> </w:t>
      </w:r>
      <w:r>
        <w:rPr>
          <w:spacing w:val="-12"/>
        </w:rPr>
        <w:t> </w:t>
      </w:r>
      <w:r>
        <w:rPr>
          <w:w w:val="100"/>
        </w:rPr>
        <w:t>da</w:t>
      </w:r>
      <w:r>
        <w:rPr/>
        <w:t> </w:t>
      </w:r>
      <w:r>
        <w:rPr>
          <w:spacing w:val="-16"/>
        </w:rPr>
        <w:t> </w:t>
      </w:r>
      <w:r>
        <w:rPr>
          <w:w w:val="100"/>
        </w:rPr>
        <w:t>r</w:t>
      </w:r>
      <w:r>
        <w:rPr>
          <w:spacing w:val="-2"/>
          <w:w w:val="100"/>
        </w:rPr>
        <w:t>e</w:t>
      </w:r>
      <w:r>
        <w:rPr>
          <w:spacing w:val="-1"/>
          <w:w w:val="100"/>
        </w:rPr>
        <w:t>a</w:t>
      </w:r>
      <w:r>
        <w:rPr>
          <w:w w:val="100"/>
        </w:rPr>
        <w:t>li</w:t>
      </w:r>
      <w:r>
        <w:rPr>
          <w:w w:val="100"/>
        </w:rPr>
        <w:t>d</w:t>
      </w:r>
      <w:r>
        <w:rPr>
          <w:spacing w:val="-1"/>
          <w:w w:val="100"/>
        </w:rPr>
        <w:t>a</w:t>
      </w:r>
      <w:r>
        <w:rPr>
          <w:w w:val="100"/>
        </w:rPr>
        <w:t>d</w:t>
      </w:r>
      <w:r>
        <w:rPr>
          <w:spacing w:val="-1"/>
          <w:w w:val="100"/>
        </w:rPr>
        <w:t>e</w:t>
      </w:r>
      <w:r>
        <w:rPr/>
        <w:t>, formulação de uma pedagogia‖ (SAVIANI, 2014, p. 9, 14), o que pode ser compreendido, também, como planejamento da</w:t>
      </w:r>
      <w:r>
        <w:rPr>
          <w:spacing w:val="-8"/>
        </w:rPr>
        <w:t> </w:t>
      </w:r>
      <w:r>
        <w:rPr/>
        <w:t>educação.</w:t>
      </w:r>
    </w:p>
    <w:p>
      <w:pPr>
        <w:pStyle w:val="BodyText"/>
        <w:spacing w:line="360" w:lineRule="auto" w:before="4"/>
        <w:ind w:left="102" w:right="120" w:firstLine="851"/>
        <w:jc w:val="both"/>
      </w:pPr>
      <w:r>
        <w:rPr/>
        <w:t>Assim, a discussão aqui provocada acerca da legalidade de os Municípios legislarem em matéria de educação, implica, conforme Gracindo (2010, p. 229), em que</w:t>
      </w:r>
    </w:p>
    <w:p>
      <w:pPr>
        <w:pStyle w:val="BodyText"/>
        <w:spacing w:line="360" w:lineRule="auto" w:before="4"/>
        <w:ind w:left="102" w:right="117"/>
        <w:jc w:val="both"/>
      </w:pPr>
      <w:r>
        <w:rPr>
          <w:spacing w:val="-1"/>
          <w:w w:val="44"/>
        </w:rPr>
        <w:t>―</w:t>
      </w:r>
      <w:r>
        <w:rPr>
          <w:w w:val="99"/>
        </w:rPr>
        <w:t>por </w:t>
      </w:r>
      <w:r>
        <w:rPr>
          <w:spacing w:val="-28"/>
          <w:w w:val="99"/>
        </w:rPr>
        <w:t> </w:t>
      </w:r>
      <w:r>
        <w:rPr>
          <w:w w:val="100"/>
        </w:rPr>
        <w:t>mais</w:t>
      </w:r>
      <w:r>
        <w:rPr/>
        <w:t> </w:t>
      </w:r>
      <w:r>
        <w:rPr>
          <w:spacing w:val="-27"/>
        </w:rPr>
        <w:t> </w:t>
      </w:r>
      <w:r>
        <w:rPr/>
        <w:t>q</w:t>
      </w:r>
      <w:r>
        <w:rPr>
          <w:spacing w:val="2"/>
        </w:rPr>
        <w:t>u</w:t>
      </w:r>
      <w:r>
        <w:rPr>
          <w:w w:val="100"/>
        </w:rPr>
        <w:t>e</w:t>
      </w:r>
      <w:r>
        <w:rPr/>
        <w:t> </w:t>
      </w:r>
      <w:r>
        <w:rPr>
          <w:spacing w:val="-28"/>
        </w:rPr>
        <w:t> </w:t>
      </w:r>
      <w:r>
        <w:rPr/>
        <w:t>o </w:t>
      </w:r>
      <w:r>
        <w:rPr>
          <w:spacing w:val="-27"/>
        </w:rPr>
        <w:t> </w:t>
      </w:r>
      <w:r>
        <w:rPr/>
        <w:t>MEC </w:t>
      </w:r>
      <w:r>
        <w:rPr>
          <w:spacing w:val="-24"/>
        </w:rPr>
        <w:t> </w:t>
      </w:r>
      <w:r>
        <w:rPr>
          <w:w w:val="100"/>
        </w:rPr>
        <w:t>e</w:t>
      </w:r>
      <w:r>
        <w:rPr/>
        <w:t> </w:t>
      </w:r>
      <w:r>
        <w:rPr>
          <w:spacing w:val="-26"/>
        </w:rPr>
        <w:t> </w:t>
      </w:r>
      <w:r>
        <w:rPr/>
        <w:t>o </w:t>
      </w:r>
      <w:r>
        <w:rPr>
          <w:spacing w:val="-27"/>
        </w:rPr>
        <w:t> </w:t>
      </w:r>
      <w:r>
        <w:rPr>
          <w:spacing w:val="3"/>
        </w:rPr>
        <w:t>C</w:t>
      </w:r>
      <w:r>
        <w:rPr>
          <w:w w:val="99"/>
        </w:rPr>
        <w:t>NE,</w:t>
      </w:r>
      <w:r>
        <w:rPr/>
        <w:t> </w:t>
      </w:r>
      <w:r>
        <w:rPr>
          <w:spacing w:val="-28"/>
        </w:rPr>
        <w:t> </w:t>
      </w:r>
      <w:r>
        <w:rPr/>
        <w:t>ó</w:t>
      </w:r>
      <w:r>
        <w:rPr>
          <w:spacing w:val="1"/>
        </w:rPr>
        <w:t>r</w:t>
      </w:r>
      <w:r>
        <w:rPr/>
        <w:t>g</w:t>
      </w:r>
      <w:r>
        <w:rPr>
          <w:spacing w:val="-1"/>
        </w:rPr>
        <w:t>ã</w:t>
      </w:r>
      <w:r>
        <w:rPr>
          <w:w w:val="99"/>
        </w:rPr>
        <w:t>os</w:t>
      </w:r>
      <w:r>
        <w:rPr/>
        <w:t> </w:t>
      </w:r>
      <w:r>
        <w:rPr>
          <w:spacing w:val="-27"/>
        </w:rPr>
        <w:t> </w:t>
      </w:r>
      <w:r>
        <w:rPr/>
        <w:t>que </w:t>
      </w:r>
      <w:r>
        <w:rPr>
          <w:spacing w:val="-28"/>
        </w:rPr>
        <w:t> </w:t>
      </w:r>
      <w:r>
        <w:rPr>
          <w:w w:val="99"/>
        </w:rPr>
        <w:t>su</w:t>
      </w:r>
      <w:r>
        <w:rPr>
          <w:spacing w:val="2"/>
          <w:w w:val="99"/>
        </w:rPr>
        <w:t>s</w:t>
      </w:r>
      <w:r>
        <w:rPr/>
        <w:t>tent</w:t>
      </w:r>
      <w:r>
        <w:rPr>
          <w:spacing w:val="-1"/>
        </w:rPr>
        <w:t>a</w:t>
      </w:r>
      <w:r>
        <w:rPr/>
        <w:t>m </w:t>
      </w:r>
      <w:r>
        <w:rPr>
          <w:spacing w:val="-27"/>
        </w:rPr>
        <w:t> </w:t>
      </w:r>
      <w:r>
        <w:rPr>
          <w:spacing w:val="-1"/>
        </w:rPr>
        <w:t>e</w:t>
      </w:r>
      <w:r>
        <w:rPr>
          <w:w w:val="99"/>
        </w:rPr>
        <w:t>sse</w:t>
      </w:r>
      <w:r>
        <w:rPr/>
        <w:t> </w:t>
      </w:r>
      <w:r>
        <w:rPr>
          <w:spacing w:val="-28"/>
        </w:rPr>
        <w:t> </w:t>
      </w:r>
      <w:r>
        <w:rPr>
          <w:w w:val="99"/>
        </w:rPr>
        <w:t>sis</w:t>
      </w:r>
      <w:r>
        <w:rPr/>
        <w:t>tem</w:t>
      </w:r>
      <w:r>
        <w:rPr>
          <w:spacing w:val="-1"/>
        </w:rPr>
        <w:t>a</w:t>
      </w:r>
      <w:r>
        <w:rPr/>
        <w:t>, </w:t>
      </w:r>
      <w:r>
        <w:rPr>
          <w:spacing w:val="-25"/>
        </w:rPr>
        <w:t> </w:t>
      </w:r>
      <w:r>
        <w:rPr>
          <w:spacing w:val="-1"/>
        </w:rPr>
        <w:t>a</w:t>
      </w:r>
      <w:r>
        <w:rPr/>
        <w:t>rt</w:t>
      </w:r>
      <w:r>
        <w:rPr>
          <w:spacing w:val="2"/>
        </w:rPr>
        <w:t>i</w:t>
      </w:r>
      <w:r>
        <w:rPr>
          <w:spacing w:val="-1"/>
        </w:rPr>
        <w:t>c</w:t>
      </w:r>
      <w:r>
        <w:rPr/>
        <w:t>ule</w:t>
      </w:r>
      <w:r>
        <w:rPr>
          <w:spacing w:val="3"/>
        </w:rPr>
        <w:t>m</w:t>
      </w:r>
      <w:r>
        <w:rPr>
          <w:spacing w:val="-1"/>
        </w:rPr>
        <w:t>-</w:t>
      </w:r>
      <w:r>
        <w:rPr>
          <w:w w:val="99"/>
        </w:rPr>
        <w:t>se</w:t>
      </w:r>
      <w:r>
        <w:rPr/>
        <w:t> </w:t>
      </w:r>
      <w:r>
        <w:rPr>
          <w:spacing w:val="-28"/>
        </w:rPr>
        <w:t> </w:t>
      </w:r>
      <w:r>
        <w:rPr/>
        <w:t>no sentido de coordenar os sistemas federal, estaduais e municipais [de educação], suas tarefas esbarram em questões levantadas sobre sua pertinência e legitimidade‖, o que Saviani (2014, p. 21) afirma ser definitivamente clarificado pela LDB ao explicitar  </w:t>
      </w:r>
      <w:r>
        <w:rPr>
          <w:spacing w:val="12"/>
        </w:rPr>
        <w:t> </w:t>
      </w:r>
      <w:r>
        <w:rPr/>
        <w:t>que</w:t>
      </w:r>
    </w:p>
    <w:p>
      <w:pPr>
        <w:pStyle w:val="BodyText"/>
        <w:spacing w:line="360" w:lineRule="auto" w:before="4"/>
        <w:ind w:left="102" w:right="117"/>
        <w:jc w:val="both"/>
      </w:pPr>
      <w:r>
        <w:rPr>
          <w:w w:val="44"/>
        </w:rPr>
        <w:t>―</w:t>
      </w:r>
      <w:r>
        <w:rPr>
          <w:w w:val="100"/>
        </w:rPr>
        <w:t>a</w:t>
      </w:r>
      <w:r>
        <w:rPr/>
        <w:t> </w:t>
      </w:r>
      <w:r>
        <w:rPr>
          <w:w w:val="100"/>
        </w:rPr>
        <w:t>de</w:t>
      </w:r>
      <w:r>
        <w:rPr>
          <w:w w:val="100"/>
        </w:rPr>
        <w:t>finiçã</w:t>
      </w:r>
      <w:r>
        <w:rPr/>
        <w:t>o </w:t>
      </w:r>
      <w:r>
        <w:rPr>
          <w:w w:val="100"/>
        </w:rPr>
        <w:t>clara</w:t>
      </w:r>
      <w:r>
        <w:rPr/>
        <w:t> </w:t>
      </w:r>
      <w:r>
        <w:rPr>
          <w:w w:val="100"/>
        </w:rPr>
        <w:t>da</w:t>
      </w:r>
      <w:r>
        <w:rPr/>
        <w:t> </w:t>
      </w:r>
      <w:r>
        <w:rPr>
          <w:w w:val="100"/>
        </w:rPr>
        <w:t>c</w:t>
      </w:r>
      <w:r>
        <w:rPr/>
        <w:t>o</w:t>
      </w:r>
      <w:r>
        <w:rPr>
          <w:w w:val="100"/>
        </w:rPr>
        <w:t>mpetênc</w:t>
      </w:r>
      <w:r>
        <w:rPr>
          <w:w w:val="100"/>
        </w:rPr>
        <w:t>ia</w:t>
      </w:r>
      <w:r>
        <w:rPr/>
        <w:t> </w:t>
      </w:r>
      <w:r>
        <w:rPr>
          <w:w w:val="99"/>
        </w:rPr>
        <w:t>dos</w:t>
      </w:r>
      <w:r>
        <w:rPr/>
        <w:t> Muni</w:t>
      </w:r>
      <w:r>
        <w:rPr>
          <w:w w:val="100"/>
        </w:rPr>
        <w:t>cípi</w:t>
      </w:r>
      <w:r>
        <w:rPr>
          <w:w w:val="99"/>
        </w:rPr>
        <w:t>os</w:t>
      </w:r>
      <w:r>
        <w:rPr/>
        <w:t> </w:t>
      </w:r>
      <w:r>
        <w:rPr>
          <w:w w:val="100"/>
        </w:rPr>
        <w:t>para</w:t>
      </w:r>
      <w:r>
        <w:rPr/>
        <w:t> </w:t>
      </w:r>
      <w:r>
        <w:rPr>
          <w:w w:val="100"/>
        </w:rPr>
        <w:t>inst</w:t>
      </w:r>
      <w:r>
        <w:rPr>
          <w:w w:val="100"/>
        </w:rPr>
        <w:t>it</w:t>
      </w:r>
      <w:r>
        <w:rPr>
          <w:w w:val="100"/>
        </w:rPr>
        <w:t>uir</w:t>
      </w:r>
      <w:r>
        <w:rPr/>
        <w:t> </w:t>
      </w:r>
      <w:r>
        <w:rPr>
          <w:w w:val="99"/>
        </w:rPr>
        <w:t>os</w:t>
      </w:r>
      <w:r>
        <w:rPr/>
        <w:t> próprios </w:t>
      </w:r>
      <w:r>
        <w:rPr>
          <w:w w:val="99"/>
        </w:rPr>
        <w:t>sis</w:t>
      </w:r>
      <w:r>
        <w:rPr>
          <w:w w:val="100"/>
        </w:rPr>
        <w:t>tema</w:t>
      </w:r>
      <w:r>
        <w:rPr>
          <w:w w:val="99"/>
        </w:rPr>
        <w:t>s</w:t>
      </w:r>
      <w:r>
        <w:rPr/>
        <w:t> </w:t>
      </w:r>
      <w:r>
        <w:rPr>
          <w:w w:val="100"/>
        </w:rPr>
        <w:t>de </w:t>
      </w:r>
      <w:r>
        <w:rPr/>
        <w:t>ensino flui da LDB e não da Constituição Federal‖.</w:t>
      </w:r>
    </w:p>
    <w:p>
      <w:pPr>
        <w:pStyle w:val="BodyText"/>
        <w:spacing w:line="360" w:lineRule="auto" w:before="3"/>
        <w:ind w:left="102" w:right="115" w:firstLine="851"/>
        <w:jc w:val="both"/>
      </w:pPr>
      <w:r>
        <w:rPr/>
        <w:t>Desse modo, ainda no ano de 1993, período em que a definição de competência dos Municípios em instituir seus sistemas de ensino não era clara, o Brasil elabora o Plano Decenal de Educação para Todos (BRASIL, 1993), que faz, também, alusão a elaboração de planos no âmbito dos Municípios.</w:t>
      </w:r>
    </w:p>
    <w:p>
      <w:pPr>
        <w:pStyle w:val="BodyText"/>
        <w:rPr>
          <w:sz w:val="26"/>
        </w:rPr>
      </w:pPr>
    </w:p>
    <w:p>
      <w:pPr>
        <w:pStyle w:val="BodyText"/>
        <w:spacing w:before="4"/>
        <w:rPr>
          <w:sz w:val="38"/>
        </w:rPr>
      </w:pPr>
    </w:p>
    <w:p>
      <w:pPr>
        <w:pStyle w:val="Heading1"/>
        <w:numPr>
          <w:ilvl w:val="1"/>
          <w:numId w:val="12"/>
        </w:numPr>
        <w:tabs>
          <w:tab w:pos="551" w:val="left" w:leader="none"/>
        </w:tabs>
        <w:spacing w:line="360" w:lineRule="auto" w:before="0" w:after="0"/>
        <w:ind w:left="102" w:right="120" w:firstLine="0"/>
        <w:jc w:val="both"/>
      </w:pPr>
      <w:r>
        <w:rPr/>
        <w:t>Planejamento da educação pelos Municípios nos anos 1990: origem das propostas</w:t>
      </w:r>
    </w:p>
    <w:p>
      <w:pPr>
        <w:pStyle w:val="BodyText"/>
        <w:rPr>
          <w:b/>
          <w:sz w:val="36"/>
        </w:rPr>
      </w:pPr>
    </w:p>
    <w:p>
      <w:pPr>
        <w:pStyle w:val="BodyText"/>
        <w:spacing w:line="360" w:lineRule="auto"/>
        <w:ind w:left="102" w:right="120" w:firstLine="851"/>
        <w:jc w:val="both"/>
      </w:pPr>
      <w:r>
        <w:rPr/>
        <w:t>A partir dos anos 1990, o planejamento da educação pelos Municípios está diretamente ligado à competência legal destas esferas em instituir seus próprios sistemas de educação. Já em 1993, na gestão do Presidente da República Itamar Franco e do Ministro da Educação Murilo de Avellar Hingel, o Plano Decenal de Educação para Todos (1993-2003) faz menção quanto a elaboração de Planos de Educação pelos Municípios. Na sua Apresentação, o texto explicita que seu processo de construção deu or</w:t>
      </w:r>
      <w:r>
        <w:rPr>
          <w:w w:val="100"/>
        </w:rPr>
        <w:t>ig</w:t>
      </w:r>
      <w:r>
        <w:rPr>
          <w:w w:val="100"/>
        </w:rPr>
        <w:t>e</w:t>
      </w:r>
      <w:r>
        <w:rPr>
          <w:w w:val="100"/>
        </w:rPr>
        <w:t>m,</w:t>
      </w:r>
      <w:r>
        <w:rPr/>
        <w:t> </w:t>
      </w:r>
      <w:r>
        <w:rPr>
          <w:w w:val="100"/>
        </w:rPr>
        <w:t>também,</w:t>
      </w:r>
      <w:r>
        <w:rPr/>
        <w:t> </w:t>
      </w:r>
      <w:r>
        <w:rPr>
          <w:w w:val="100"/>
        </w:rPr>
        <w:t>a</w:t>
      </w:r>
      <w:r>
        <w:rPr/>
        <w:t> </w:t>
      </w:r>
      <w:r>
        <w:rPr>
          <w:w w:val="100"/>
        </w:rPr>
        <w:t>plano</w:t>
      </w:r>
      <w:r>
        <w:rPr>
          <w:w w:val="99"/>
        </w:rPr>
        <w:t>s</w:t>
      </w:r>
      <w:r>
        <w:rPr/>
        <w:t> </w:t>
      </w:r>
      <w:r>
        <w:rPr>
          <w:w w:val="100"/>
        </w:rPr>
        <w:t>de</w:t>
      </w:r>
      <w:r>
        <w:rPr>
          <w:w w:val="100"/>
        </w:rPr>
        <w:t>ce</w:t>
      </w:r>
      <w:r>
        <w:rPr>
          <w:w w:val="100"/>
        </w:rPr>
        <w:t>na</w:t>
      </w:r>
      <w:r>
        <w:rPr>
          <w:w w:val="100"/>
        </w:rPr>
        <w:t>is </w:t>
      </w:r>
      <w:r>
        <w:rPr>
          <w:w w:val="100"/>
        </w:rPr>
        <w:t>e</w:t>
      </w:r>
      <w:r>
        <w:rPr>
          <w:w w:val="100"/>
        </w:rPr>
        <w:t>stadu</w:t>
      </w:r>
      <w:r>
        <w:rPr>
          <w:w w:val="100"/>
        </w:rPr>
        <w:t>a</w:t>
      </w:r>
      <w:r>
        <w:rPr>
          <w:w w:val="100"/>
        </w:rPr>
        <w:t>is </w:t>
      </w:r>
      <w:r>
        <w:rPr>
          <w:w w:val="100"/>
        </w:rPr>
        <w:t>e</w:t>
      </w:r>
      <w:r>
        <w:rPr/>
        <w:t> </w:t>
      </w:r>
      <w:r>
        <w:rPr>
          <w:w w:val="100"/>
        </w:rPr>
        <w:t>muni</w:t>
      </w:r>
      <w:r>
        <w:rPr>
          <w:w w:val="100"/>
        </w:rPr>
        <w:t>c</w:t>
      </w:r>
      <w:r>
        <w:rPr>
          <w:w w:val="100"/>
        </w:rPr>
        <w:t>ipais:</w:t>
      </w:r>
      <w:r>
        <w:rPr/>
        <w:t> </w:t>
      </w:r>
      <w:r>
        <w:rPr>
          <w:w w:val="44"/>
        </w:rPr>
        <w:t>―</w:t>
      </w:r>
      <w:r>
        <w:rPr>
          <w:w w:val="99"/>
        </w:rPr>
        <w:t>[...] </w:t>
      </w:r>
      <w:r>
        <w:rPr>
          <w:w w:val="99"/>
        </w:rPr>
        <w:t>Após</w:t>
      </w:r>
      <w:r>
        <w:rPr/>
        <w:t> </w:t>
      </w:r>
      <w:r>
        <w:rPr>
          <w:w w:val="100"/>
        </w:rPr>
        <w:t>ter</w:t>
      </w:r>
      <w:r>
        <w:rPr/>
        <w:t> </w:t>
      </w:r>
      <w:r>
        <w:rPr>
          <w:w w:val="100"/>
        </w:rPr>
        <w:t>da</w:t>
      </w:r>
      <w:r>
        <w:rPr/>
        <w:t>do or</w:t>
      </w:r>
      <w:r>
        <w:rPr>
          <w:w w:val="100"/>
        </w:rPr>
        <w:t>igem</w:t>
      </w:r>
      <w:r>
        <w:rPr/>
        <w:t> </w:t>
      </w:r>
      <w:r>
        <w:rPr>
          <w:w w:val="100"/>
        </w:rPr>
        <w:t>a </w:t>
      </w:r>
      <w:r>
        <w:rPr/>
        <w:t>planos decenais dos Estados e Municípios e se ter enriquecido por meio de amplos e plurais debates por todo o País, chega-se a um texto revisado e aperfeiçoado deste Plano [...]‖. (BRASIL, 1993, p. 8).</w:t>
      </w:r>
    </w:p>
    <w:p>
      <w:pPr>
        <w:pStyle w:val="BodyText"/>
        <w:spacing w:line="360" w:lineRule="auto" w:before="3"/>
        <w:ind w:left="102" w:right="123" w:firstLine="851"/>
        <w:jc w:val="both"/>
      </w:pPr>
      <w:r>
        <w:rPr/>
        <w:t>Por mais que o Plano Decenal tenha motivado a elaboração de planos decenais pelos Municípios, destacamos que tal competência legal ainda não havia sido estabelecida,    pois    somente    no    ano    de    1996    seria    aprovada    a    LDB    nº</w:t>
      </w:r>
    </w:p>
    <w:p>
      <w:pPr>
        <w:spacing w:after="0" w:line="360" w:lineRule="auto"/>
        <w:jc w:val="both"/>
        <w:sectPr>
          <w:headerReference w:type="default" r:id="rId35"/>
          <w:pgSz w:w="11910" w:h="16840"/>
          <w:pgMar w:header="749" w:footer="0" w:top="960" w:bottom="280" w:left="1600" w:right="1580"/>
        </w:sectPr>
      </w:pPr>
    </w:p>
    <w:p>
      <w:pPr>
        <w:pStyle w:val="BodyText"/>
        <w:rPr>
          <w:sz w:val="20"/>
        </w:rPr>
      </w:pPr>
    </w:p>
    <w:p>
      <w:pPr>
        <w:pStyle w:val="BodyText"/>
        <w:spacing w:line="362" w:lineRule="auto" w:before="210"/>
        <w:ind w:left="102"/>
      </w:pPr>
      <w:r>
        <w:rPr/>
        <w:t>9.394/1996 (BRASIL, 1996). Lei que regulamenta a institucionalização do SME (LAGARES, 2013, s/p):</w:t>
      </w:r>
    </w:p>
    <w:p>
      <w:pPr>
        <w:pStyle w:val="BodyText"/>
        <w:spacing w:before="1"/>
      </w:pPr>
    </w:p>
    <w:p>
      <w:pPr>
        <w:spacing w:line="240" w:lineRule="auto" w:before="0"/>
        <w:ind w:left="2370" w:right="113" w:firstLine="0"/>
        <w:jc w:val="both"/>
        <w:rPr>
          <w:sz w:val="20"/>
        </w:rPr>
      </w:pPr>
      <w:r>
        <w:rPr>
          <w:sz w:val="19"/>
        </w:rPr>
        <w:t>Na conjuntura de implantação, a LDB/96 coloca, pela primeira vez de forma efetiva no país, a questão relativa aos sistemas de educação no âmbito dos </w:t>
      </w:r>
      <w:r>
        <w:rPr>
          <w:sz w:val="20"/>
        </w:rPr>
        <w:t>Municípios (art. 8º); regulamenta o </w:t>
      </w:r>
      <w:r>
        <w:rPr>
          <w:i/>
          <w:sz w:val="20"/>
        </w:rPr>
        <w:t>processo de institucionalização efetiva </w:t>
      </w:r>
      <w:r>
        <w:rPr>
          <w:sz w:val="20"/>
        </w:rPr>
        <w:t>de Sistemas Municipais de Educação (arts. 8º, 11, 18 e 89); reitera o disposto na CF (BRASIL, 1988) quanto à possibilidade da </w:t>
      </w:r>
      <w:r>
        <w:rPr>
          <w:i/>
          <w:sz w:val="20"/>
        </w:rPr>
        <w:t>organização </w:t>
      </w:r>
      <w:r>
        <w:rPr>
          <w:sz w:val="20"/>
        </w:rPr>
        <w:t>de sistemas de educação pelos Municípios (art. 8º); apresenta três possíveis opções aos Municípios para organizarem a educação sob sua responsabilidade: </w:t>
      </w:r>
      <w:r>
        <w:rPr>
          <w:i/>
          <w:sz w:val="20"/>
        </w:rPr>
        <w:t>processo </w:t>
      </w:r>
      <w:r>
        <w:rPr>
          <w:i/>
          <w:sz w:val="20"/>
        </w:rPr>
        <w:t>de institucionalização efetiva de </w:t>
      </w:r>
      <w:r>
        <w:rPr>
          <w:sz w:val="20"/>
        </w:rPr>
        <w:t>sistemas próprios de educação; conservação das redes municipais de ensino integradas ao Sistema Estadual de Educação; composição de um sistema único de educação básica que integre as responsabilidades educacionais do Estado e do Município (art. 11); respalda- se na CF (BRASIL, 1988, art. 30, incisos I e II; art. 211; art. 212, parágrafo 2º) para definir as atribuições dos Municípios de baixar normas complementares ao seu sistema, bem como de autorizar, credenciar e supervisionar (art. 18); trata da inclusão das creches e pré-escolas nos  sistemas de educação (art. 89).</w:t>
      </w:r>
    </w:p>
    <w:p>
      <w:pPr>
        <w:pStyle w:val="BodyText"/>
        <w:rPr>
          <w:sz w:val="22"/>
        </w:rPr>
      </w:pPr>
    </w:p>
    <w:p>
      <w:pPr>
        <w:pStyle w:val="BodyText"/>
        <w:spacing w:line="360" w:lineRule="auto" w:before="160"/>
        <w:ind w:left="102" w:right="116" w:firstLine="851"/>
        <w:jc w:val="both"/>
      </w:pPr>
      <w:r>
        <w:rPr/>
        <w:t>Para a autora, um dos elementos constitutivos do processo efetivo de institucionalização de sistemas municipais de educação é o planejamento no campo da educação e das instituições (LAGARES, 2008). Assim, é possível afirmar que, por força da LDB, diversos dispositivos e mecanismos legais e orientadores vão encaminhar diretrizes para a regulamentação do SME, e, como consequência, para a elaboração dos PMEs (BRASIL, 1996, art. 87).</w:t>
      </w:r>
    </w:p>
    <w:p>
      <w:pPr>
        <w:pStyle w:val="BodyText"/>
        <w:rPr>
          <w:sz w:val="26"/>
        </w:rPr>
      </w:pPr>
    </w:p>
    <w:p>
      <w:pPr>
        <w:pStyle w:val="BodyText"/>
        <w:rPr>
          <w:sz w:val="26"/>
        </w:rPr>
      </w:pPr>
    </w:p>
    <w:p>
      <w:pPr>
        <w:pStyle w:val="BodyText"/>
        <w:spacing w:before="8"/>
        <w:rPr>
          <w:sz w:val="20"/>
        </w:rPr>
      </w:pPr>
    </w:p>
    <w:p>
      <w:pPr>
        <w:pStyle w:val="Heading1"/>
        <w:numPr>
          <w:ilvl w:val="1"/>
          <w:numId w:val="13"/>
        </w:numPr>
        <w:tabs>
          <w:tab w:pos="563" w:val="left" w:leader="none"/>
        </w:tabs>
        <w:spacing w:line="360" w:lineRule="auto" w:before="0" w:after="0"/>
        <w:ind w:left="102" w:right="121" w:firstLine="0"/>
        <w:jc w:val="left"/>
      </w:pPr>
      <w:r>
        <w:rPr/>
        <w:t>Anos 2000: vasta produção de normas e documentos com diretrizes e orientações para o planejamento da educação</w:t>
      </w:r>
      <w:r>
        <w:rPr>
          <w:spacing w:val="-15"/>
        </w:rPr>
        <w:t> </w:t>
      </w:r>
      <w:r>
        <w:rPr/>
        <w:t>municipal</w:t>
      </w:r>
    </w:p>
    <w:p>
      <w:pPr>
        <w:pStyle w:val="BodyText"/>
        <w:spacing w:before="11"/>
        <w:rPr>
          <w:b/>
          <w:sz w:val="35"/>
        </w:rPr>
      </w:pPr>
    </w:p>
    <w:p>
      <w:pPr>
        <w:pStyle w:val="BodyText"/>
        <w:spacing w:line="360" w:lineRule="auto"/>
        <w:ind w:left="102" w:right="113" w:firstLine="851"/>
        <w:jc w:val="both"/>
      </w:pPr>
      <w:r>
        <w:rPr/>
        <w:t>Em busca de registros de intencionalidades em diretrizes e orientações para os Municípios brasileiros planejarem suas atribuições no campo da educação nos anos 2000, nos foi possível organizá-las em dois períodos, considerando a primeira e a segunda década do século XXI (SOUSA, 2012; SOUSA, LAGARES, 2014; LAGARES, 2015; SOUSA, 2015): O primeiro, com a aprovação e a vigência do PNE 2001-2010 (BRASIL, 2001), e um segundo período, no contexto de elaboração, aprovação e implementação do PNE 2014-2024 (BRASIL,</w:t>
      </w:r>
      <w:r>
        <w:rPr>
          <w:spacing w:val="-9"/>
        </w:rPr>
        <w:t> </w:t>
      </w:r>
      <w:r>
        <w:rPr/>
        <w:t>2014a).</w:t>
      </w:r>
    </w:p>
    <w:p>
      <w:pPr>
        <w:pStyle w:val="BodyText"/>
        <w:spacing w:line="360" w:lineRule="auto" w:before="3"/>
        <w:ind w:left="102" w:right="117" w:firstLine="851"/>
        <w:jc w:val="both"/>
      </w:pPr>
      <w:r>
        <w:rPr/>
        <w:t>No primeiro período, são apontados pelos autores Sousa (2012), Sousa e Lagares (2014) e Lagares (2015), pelo menos quatro documentos:</w:t>
      </w:r>
    </w:p>
    <w:p>
      <w:pPr>
        <w:spacing w:after="0" w:line="360" w:lineRule="auto"/>
        <w:jc w:val="both"/>
        <w:sectPr>
          <w:headerReference w:type="default" r:id="rId36"/>
          <w:pgSz w:w="11910" w:h="16840"/>
          <w:pgMar w:header="749" w:footer="0" w:top="960" w:bottom="280" w:left="1600" w:right="1580"/>
          <w:pgNumType w:start="61"/>
        </w:sectPr>
      </w:pPr>
    </w:p>
    <w:p>
      <w:pPr>
        <w:pStyle w:val="BodyText"/>
        <w:rPr>
          <w:sz w:val="20"/>
        </w:rPr>
      </w:pPr>
    </w:p>
    <w:p>
      <w:pPr>
        <w:pStyle w:val="ListParagraph"/>
        <w:numPr>
          <w:ilvl w:val="2"/>
          <w:numId w:val="13"/>
        </w:numPr>
        <w:tabs>
          <w:tab w:pos="1314" w:val="left" w:leader="none"/>
        </w:tabs>
        <w:spacing w:line="360" w:lineRule="auto" w:before="210" w:after="0"/>
        <w:ind w:left="1314" w:right="117" w:hanging="360"/>
        <w:jc w:val="both"/>
        <w:rPr>
          <w:sz w:val="24"/>
        </w:rPr>
      </w:pPr>
      <w:r>
        <w:rPr>
          <w:sz w:val="24"/>
        </w:rPr>
        <w:t>Em 2001, o próprio PNE 2001-2010 (já revogado), aprovado por meio da Lei nº 10.172 (BRASIL, 2001, art. 2º), ao dispor que os Municípios deveriam, com base no Plano Nacional, elaborar seus planos decenais correspondentes.</w:t>
      </w:r>
    </w:p>
    <w:p>
      <w:pPr>
        <w:pStyle w:val="ListParagraph"/>
        <w:numPr>
          <w:ilvl w:val="2"/>
          <w:numId w:val="13"/>
        </w:numPr>
        <w:tabs>
          <w:tab w:pos="1518" w:val="left" w:leader="none"/>
        </w:tabs>
        <w:spacing w:line="360" w:lineRule="auto" w:before="3" w:after="0"/>
        <w:ind w:left="102" w:right="117" w:firstLine="852"/>
        <w:jc w:val="both"/>
        <w:rPr>
          <w:sz w:val="24"/>
        </w:rPr>
      </w:pPr>
      <w:r>
        <w:rPr>
          <w:sz w:val="24"/>
        </w:rPr>
        <w:t>Em 2005, a publicação pelo MEC de documentos específicos para subsidiar os Municípios na elaboração dos PMEs, por meio do Programa de Apoio aos Sistemas de Ensino para o Acompanhamento e Avaliação do PNE e dos Planos Estaduais e Municipais</w:t>
      </w:r>
      <w:r>
        <w:rPr>
          <w:spacing w:val="-2"/>
          <w:sz w:val="24"/>
        </w:rPr>
        <w:t> </w:t>
      </w:r>
      <w:r>
        <w:rPr>
          <w:sz w:val="24"/>
        </w:rPr>
        <w:t>sendo:</w:t>
      </w:r>
    </w:p>
    <w:p>
      <w:pPr>
        <w:pStyle w:val="ListParagraph"/>
        <w:numPr>
          <w:ilvl w:val="3"/>
          <w:numId w:val="13"/>
        </w:numPr>
        <w:tabs>
          <w:tab w:pos="1331" w:val="left" w:leader="none"/>
        </w:tabs>
        <w:spacing w:line="360" w:lineRule="auto" w:before="3" w:after="0"/>
        <w:ind w:left="954" w:right="121" w:firstLine="0"/>
        <w:jc w:val="left"/>
        <w:rPr>
          <w:sz w:val="24"/>
        </w:rPr>
      </w:pPr>
      <w:r>
        <w:rPr>
          <w:sz w:val="24"/>
        </w:rPr>
        <w:t>Documento Norteador para a elaboração do Plano Municipal de Educação (BRASIL,</w:t>
      </w:r>
      <w:r>
        <w:rPr>
          <w:spacing w:val="-5"/>
          <w:sz w:val="24"/>
        </w:rPr>
        <w:t> </w:t>
      </w:r>
      <w:r>
        <w:rPr>
          <w:sz w:val="24"/>
        </w:rPr>
        <w:t>2005a).</w:t>
      </w:r>
    </w:p>
    <w:p>
      <w:pPr>
        <w:pStyle w:val="ListParagraph"/>
        <w:numPr>
          <w:ilvl w:val="3"/>
          <w:numId w:val="13"/>
        </w:numPr>
        <w:tabs>
          <w:tab w:pos="1343" w:val="left" w:leader="none"/>
        </w:tabs>
        <w:spacing w:line="360" w:lineRule="auto" w:before="3" w:after="0"/>
        <w:ind w:left="954" w:right="121" w:firstLine="0"/>
        <w:jc w:val="left"/>
        <w:rPr>
          <w:sz w:val="24"/>
        </w:rPr>
      </w:pPr>
      <w:r>
        <w:rPr>
          <w:sz w:val="24"/>
        </w:rPr>
        <w:t>Subsídios para o planejamento da Rede Escolar com base na experiência em Minicenso Educacional (BRASIL,</w:t>
      </w:r>
      <w:r>
        <w:rPr>
          <w:spacing w:val="-9"/>
          <w:sz w:val="24"/>
        </w:rPr>
        <w:t> </w:t>
      </w:r>
      <w:r>
        <w:rPr>
          <w:sz w:val="24"/>
        </w:rPr>
        <w:t>2005b).</w:t>
      </w:r>
    </w:p>
    <w:p>
      <w:pPr>
        <w:pStyle w:val="ListParagraph"/>
        <w:numPr>
          <w:ilvl w:val="3"/>
          <w:numId w:val="13"/>
        </w:numPr>
        <w:tabs>
          <w:tab w:pos="1379" w:val="left" w:leader="none"/>
        </w:tabs>
        <w:spacing w:line="360" w:lineRule="auto" w:before="3" w:after="0"/>
        <w:ind w:left="954" w:right="121" w:firstLine="0"/>
        <w:jc w:val="left"/>
        <w:rPr>
          <w:sz w:val="24"/>
        </w:rPr>
      </w:pPr>
      <w:r>
        <w:rPr>
          <w:sz w:val="24"/>
        </w:rPr>
        <w:t>Subsídio para o Planejamento de Conferência Municipal de Educação (BRASIL,</w:t>
      </w:r>
      <w:r>
        <w:rPr>
          <w:spacing w:val="-5"/>
          <w:sz w:val="24"/>
        </w:rPr>
        <w:t> </w:t>
      </w:r>
      <w:r>
        <w:rPr>
          <w:sz w:val="24"/>
        </w:rPr>
        <w:t>2005c).</w:t>
      </w:r>
    </w:p>
    <w:p>
      <w:pPr>
        <w:pStyle w:val="BodyText"/>
        <w:spacing w:before="5"/>
        <w:rPr>
          <w:sz w:val="36"/>
        </w:rPr>
      </w:pPr>
    </w:p>
    <w:p>
      <w:pPr>
        <w:pStyle w:val="BodyText"/>
        <w:spacing w:line="360" w:lineRule="auto"/>
        <w:ind w:left="102" w:right="122" w:firstLine="851"/>
        <w:jc w:val="both"/>
      </w:pPr>
      <w:r>
        <w:rPr/>
        <w:t>No segundo período, que corresponde ao contexto de elaboração, aprovação e implementação do PNE 2014-2024, Sousa (2012), Sousa e Lagares (2014) e Lagares (2015) apontam, pelo menos, sete documentos:</w:t>
      </w:r>
    </w:p>
    <w:p>
      <w:pPr>
        <w:pStyle w:val="ListParagraph"/>
        <w:numPr>
          <w:ilvl w:val="0"/>
          <w:numId w:val="14"/>
        </w:numPr>
        <w:tabs>
          <w:tab w:pos="1379" w:val="left" w:leader="none"/>
        </w:tabs>
        <w:spacing w:line="360" w:lineRule="auto" w:before="4" w:after="0"/>
        <w:ind w:left="1378" w:right="119" w:hanging="424"/>
        <w:jc w:val="both"/>
        <w:rPr>
          <w:sz w:val="24"/>
        </w:rPr>
      </w:pPr>
      <w:r>
        <w:rPr>
          <w:sz w:val="24"/>
        </w:rPr>
        <w:t>Em 2010, o Documento Final da Conferência Nacional de Educação de 2010 (Conae) (BRASIL, 2010), que, também, faz referência a efetivação de planos estaduais e municipais para a consecução das diretrizes e metas do PNE, situando os PMEs como espaços de definição de políticas de Estado, por meio de gestão</w:t>
      </w:r>
      <w:r>
        <w:rPr>
          <w:spacing w:val="-9"/>
          <w:sz w:val="24"/>
        </w:rPr>
        <w:t> </w:t>
      </w:r>
      <w:r>
        <w:rPr>
          <w:sz w:val="24"/>
        </w:rPr>
        <w:t>democrática.</w:t>
      </w:r>
    </w:p>
    <w:p>
      <w:pPr>
        <w:pStyle w:val="ListParagraph"/>
        <w:numPr>
          <w:ilvl w:val="0"/>
          <w:numId w:val="14"/>
        </w:numPr>
        <w:tabs>
          <w:tab w:pos="1518" w:val="left" w:leader="none"/>
        </w:tabs>
        <w:spacing w:line="360" w:lineRule="auto" w:before="6" w:after="0"/>
        <w:ind w:left="102" w:right="121" w:firstLine="852"/>
        <w:jc w:val="both"/>
        <w:rPr>
          <w:sz w:val="24"/>
        </w:rPr>
      </w:pPr>
      <w:r>
        <w:rPr>
          <w:sz w:val="24"/>
        </w:rPr>
        <w:t>Em 2014, o Documento Base para a Conae (BRASIL, 2014b), também, faz menção aos planos decenais de educação dos entes federados como elementos para a organicidade das políticas, reiterando a necessidade de sua elaboração, bem como de  sua implementação, acompanhamento e avaliação. Nesse processo, ainda, a democracia é defendida como princípio da gestão, com o necessário auxílio técnico e financeiro da União aos demais entes</w:t>
      </w:r>
      <w:r>
        <w:rPr>
          <w:spacing w:val="-7"/>
          <w:sz w:val="24"/>
        </w:rPr>
        <w:t> </w:t>
      </w:r>
      <w:r>
        <w:rPr>
          <w:sz w:val="24"/>
        </w:rPr>
        <w:t>federados.</w:t>
      </w:r>
    </w:p>
    <w:p>
      <w:pPr>
        <w:pStyle w:val="BodyText"/>
        <w:spacing w:line="360" w:lineRule="auto" w:before="3"/>
        <w:ind w:left="102" w:right="118" w:firstLine="851"/>
        <w:jc w:val="both"/>
      </w:pPr>
      <w:r>
        <w:rPr/>
        <w:t>3. Em 2014, a Lei nº 13.005 (BRASIL, 2014a, art. 7º e 8º e Meta 19) que aprova o PNE, explicita o dever dos entes federados com a elaboração ou a adequação de seus respectivos planos, com políticas articuladas federativamente e com base em princípios democráticos, com ampla participação de representantes da comunidade educacional e da sociedade</w:t>
      </w:r>
      <w:r>
        <w:rPr>
          <w:spacing w:val="-6"/>
        </w:rPr>
        <w:t> </w:t>
      </w:r>
      <w:r>
        <w:rPr/>
        <w:t>civil.</w:t>
      </w:r>
    </w:p>
    <w:p>
      <w:pPr>
        <w:spacing w:after="0" w:line="360" w:lineRule="auto"/>
        <w:jc w:val="both"/>
        <w:sectPr>
          <w:pgSz w:w="11910" w:h="16840"/>
          <w:pgMar w:header="749" w:footer="0" w:top="960" w:bottom="280" w:left="1600" w:right="1580"/>
        </w:sectPr>
      </w:pPr>
    </w:p>
    <w:p>
      <w:pPr>
        <w:pStyle w:val="BodyText"/>
        <w:rPr>
          <w:sz w:val="20"/>
        </w:rPr>
      </w:pPr>
    </w:p>
    <w:p>
      <w:pPr>
        <w:pStyle w:val="ListParagraph"/>
        <w:numPr>
          <w:ilvl w:val="0"/>
          <w:numId w:val="15"/>
        </w:numPr>
        <w:tabs>
          <w:tab w:pos="1538" w:val="left" w:leader="none"/>
        </w:tabs>
        <w:spacing w:line="357" w:lineRule="auto" w:before="210" w:after="0"/>
        <w:ind w:left="122" w:right="114" w:firstLine="852"/>
        <w:jc w:val="both"/>
        <w:rPr>
          <w:sz w:val="24"/>
        </w:rPr>
      </w:pPr>
      <w:r>
        <w:rPr>
          <w:sz w:val="24"/>
        </w:rPr>
        <w:t>Também, em 2014, o MEC, por meio do SASE, elabora um conjunto  com quatro Cadernos</w:t>
      </w:r>
      <w:r>
        <w:rPr>
          <w:position w:val="10"/>
          <w:sz w:val="14"/>
        </w:rPr>
        <w:t>13 </w:t>
      </w:r>
      <w:r>
        <w:rPr>
          <w:sz w:val="24"/>
        </w:rPr>
        <w:t>com o intuito de contribuir com Estados e Municípios na elaboração dos PEEs e dos</w:t>
      </w:r>
      <w:r>
        <w:rPr>
          <w:spacing w:val="-5"/>
          <w:sz w:val="24"/>
        </w:rPr>
        <w:t> </w:t>
      </w:r>
      <w:r>
        <w:rPr>
          <w:sz w:val="24"/>
        </w:rPr>
        <w:t>PMEs:</w:t>
      </w:r>
    </w:p>
    <w:p>
      <w:pPr>
        <w:pStyle w:val="ListParagraph"/>
        <w:numPr>
          <w:ilvl w:val="1"/>
          <w:numId w:val="15"/>
        </w:numPr>
        <w:tabs>
          <w:tab w:pos="1394" w:val="left" w:leader="none"/>
        </w:tabs>
        <w:spacing w:line="240" w:lineRule="auto" w:before="8" w:after="0"/>
        <w:ind w:left="974" w:right="0" w:firstLine="0"/>
        <w:jc w:val="left"/>
        <w:rPr>
          <w:sz w:val="24"/>
        </w:rPr>
      </w:pPr>
      <w:r>
        <w:rPr>
          <w:sz w:val="24"/>
        </w:rPr>
        <w:t>Construindo as Metas do Seu Município (BRASIL,</w:t>
      </w:r>
      <w:r>
        <w:rPr>
          <w:spacing w:val="-13"/>
          <w:sz w:val="24"/>
        </w:rPr>
        <w:t> </w:t>
      </w:r>
      <w:r>
        <w:rPr>
          <w:sz w:val="24"/>
        </w:rPr>
        <w:t>2014c).</w:t>
      </w:r>
    </w:p>
    <w:p>
      <w:pPr>
        <w:pStyle w:val="ListParagraph"/>
        <w:numPr>
          <w:ilvl w:val="1"/>
          <w:numId w:val="15"/>
        </w:numPr>
        <w:tabs>
          <w:tab w:pos="1394" w:val="left" w:leader="none"/>
        </w:tabs>
        <w:spacing w:line="240" w:lineRule="auto" w:before="136" w:after="0"/>
        <w:ind w:left="1394" w:right="0" w:hanging="420"/>
        <w:jc w:val="left"/>
        <w:rPr>
          <w:sz w:val="24"/>
        </w:rPr>
      </w:pPr>
      <w:r>
        <w:rPr>
          <w:sz w:val="24"/>
        </w:rPr>
        <w:t>Alinhando os Planos de Educação (BRASIL,</w:t>
      </w:r>
      <w:r>
        <w:rPr>
          <w:spacing w:val="-7"/>
          <w:sz w:val="24"/>
        </w:rPr>
        <w:t> </w:t>
      </w:r>
      <w:r>
        <w:rPr>
          <w:sz w:val="24"/>
        </w:rPr>
        <w:t>2014d).</w:t>
      </w:r>
    </w:p>
    <w:p>
      <w:pPr>
        <w:pStyle w:val="ListParagraph"/>
        <w:numPr>
          <w:ilvl w:val="1"/>
          <w:numId w:val="15"/>
        </w:numPr>
        <w:tabs>
          <w:tab w:pos="1461" w:val="left" w:leader="none"/>
        </w:tabs>
        <w:spacing w:line="360" w:lineRule="auto" w:before="138" w:after="0"/>
        <w:ind w:left="974" w:right="123" w:firstLine="0"/>
        <w:jc w:val="left"/>
        <w:rPr>
          <w:sz w:val="24"/>
        </w:rPr>
      </w:pPr>
      <w:r>
        <w:rPr>
          <w:sz w:val="24"/>
        </w:rPr>
        <w:t>Conhecendo as 20 Metas do Plano Nacional de Educação (BRASIL, 2014e).</w:t>
      </w:r>
    </w:p>
    <w:p>
      <w:pPr>
        <w:pStyle w:val="ListParagraph"/>
        <w:numPr>
          <w:ilvl w:val="1"/>
          <w:numId w:val="15"/>
        </w:numPr>
        <w:tabs>
          <w:tab w:pos="1394" w:val="left" w:leader="none"/>
        </w:tabs>
        <w:spacing w:line="240" w:lineRule="auto" w:before="5" w:after="0"/>
        <w:ind w:left="1394" w:right="0" w:hanging="420"/>
        <w:jc w:val="left"/>
        <w:rPr>
          <w:sz w:val="24"/>
        </w:rPr>
      </w:pPr>
      <w:r>
        <w:rPr>
          <w:sz w:val="24"/>
        </w:rPr>
        <w:t>Plano Municipal de Educação: Caderno de Orientações (BRASIL,</w:t>
      </w:r>
      <w:r>
        <w:rPr>
          <w:spacing w:val="-14"/>
          <w:sz w:val="24"/>
        </w:rPr>
        <w:t> </w:t>
      </w:r>
      <w:r>
        <w:rPr>
          <w:sz w:val="24"/>
        </w:rPr>
        <w:t>2014f).</w:t>
      </w:r>
    </w:p>
    <w:p>
      <w:pPr>
        <w:pStyle w:val="BodyText"/>
        <w:rPr>
          <w:sz w:val="26"/>
        </w:rPr>
      </w:pPr>
    </w:p>
    <w:p>
      <w:pPr>
        <w:pStyle w:val="BodyText"/>
        <w:spacing w:before="10"/>
        <w:rPr>
          <w:sz w:val="21"/>
        </w:rPr>
      </w:pPr>
    </w:p>
    <w:p>
      <w:pPr>
        <w:pStyle w:val="BodyText"/>
        <w:spacing w:line="357" w:lineRule="auto" w:before="1"/>
        <w:ind w:left="122" w:right="116" w:firstLine="851"/>
        <w:jc w:val="both"/>
      </w:pPr>
      <w:r>
        <w:rPr/>
        <w:t>Nesse contexto, além dos Cadernos, foi constituída uma rede de assistência técnica para elaboração e/ou adequação dos Planos, pelo MEC/SASE, por meio, sobretudo de Avaliadores Educacionais (AEs), assim como foi produzido outro  conjunto de documentos e realizados encontros de formação com Dirigentes Municipais de Educação e/ou técnicos dos Municípios, com o apoio do MEC, para  estudar  e discutir o material e o</w:t>
      </w:r>
      <w:r>
        <w:rPr>
          <w:spacing w:val="-4"/>
        </w:rPr>
        <w:t> </w:t>
      </w:r>
      <w:r>
        <w:rPr/>
        <w:t>processo</w:t>
      </w:r>
      <w:r>
        <w:rPr>
          <w:position w:val="10"/>
          <w:sz w:val="14"/>
        </w:rPr>
        <w:t>14</w:t>
      </w:r>
      <w:r>
        <w:rPr/>
        <w:t>.</w:t>
      </w:r>
    </w:p>
    <w:p>
      <w:pPr>
        <w:pStyle w:val="BodyText"/>
        <w:spacing w:line="360" w:lineRule="auto" w:before="3"/>
        <w:ind w:left="122" w:right="118" w:firstLine="851"/>
        <w:jc w:val="both"/>
      </w:pPr>
      <w:r>
        <w:rPr/>
        <w:t>Esta vasta produção documental e a rede de assistência técnica desde o início dos anos 2000, segundo os próprios documentos têm como objetivo o regime de colaboração considerando que cabe à União a prestação de assistência técnica e financeira aos Estados, ao Distrito Federal e aos Municípios para o desenvolvimento de seus sistemas de ensino, assim como a coordenação da política nacional de educação e a elaboração do PNE, em colaboração com os Estados, o Distrito Federal e os Municípios (BRASIL, 1996, art. 8º, § 1º; até. 9º, I, III).</w:t>
      </w:r>
    </w:p>
    <w:p>
      <w:pPr>
        <w:pStyle w:val="BodyText"/>
        <w:spacing w:line="360" w:lineRule="auto" w:before="3"/>
        <w:ind w:left="122" w:right="122" w:firstLine="851"/>
        <w:jc w:val="both"/>
      </w:pPr>
      <w:r>
        <w:rPr/>
        <w:t>Em 2005, dos documentos elaborados pelo MEC, no contexto de vigência do PNE 2001-2010, apenas um faz menção ao regime de colaboração, sendo o Documento Norteador para elaboração do Plano Municipal de educação (BRASIL, 2005a, p. 30), que discute acerca das necessidades/competências do Município:</w:t>
      </w:r>
    </w:p>
    <w:p>
      <w:pPr>
        <w:pStyle w:val="BodyText"/>
        <w:spacing w:before="3"/>
        <w:rPr>
          <w:sz w:val="36"/>
        </w:rPr>
      </w:pPr>
    </w:p>
    <w:p>
      <w:pPr>
        <w:spacing w:before="1"/>
        <w:ind w:left="2390" w:right="117" w:firstLine="0"/>
        <w:jc w:val="both"/>
        <w:rPr>
          <w:sz w:val="20"/>
        </w:rPr>
      </w:pPr>
      <w:r>
        <w:rPr>
          <w:sz w:val="20"/>
        </w:rPr>
        <w:t>É muito importante o Município voltar sua atenção, quando da elaboração do Plano Municipal de Educação, para as áreas que requerem um envolvimento e uma articulação com as esferas federal e estadual, e assim abrir um canal de comunicação e estabelecer um </w:t>
      </w:r>
      <w:r>
        <w:rPr>
          <w:b/>
          <w:sz w:val="20"/>
        </w:rPr>
        <w:t>regime de colaboração</w:t>
      </w:r>
      <w:r>
        <w:rPr>
          <w:sz w:val="20"/>
        </w:rPr>
        <w:t>, sobretudo, nas questões relativas à  gestão,  à avaliação, ao  financiamento da educação,    </w:t>
      </w:r>
      <w:r>
        <w:rPr>
          <w:spacing w:val="45"/>
          <w:sz w:val="20"/>
        </w:rPr>
        <w:t> </w:t>
      </w:r>
      <w:r>
        <w:rPr>
          <w:sz w:val="20"/>
        </w:rPr>
        <w:t>à</w:t>
      </w:r>
    </w:p>
    <w:p>
      <w:pPr>
        <w:pStyle w:val="BodyText"/>
        <w:spacing w:before="4"/>
        <w:rPr>
          <w:sz w:val="10"/>
        </w:rPr>
      </w:pPr>
      <w:r>
        <w:rPr/>
        <w:pict>
          <v:line style="position:absolute;mso-position-horizontal-relative:page;mso-position-vertical-relative:paragraph;z-index:1408;mso-wrap-distance-left:0;mso-wrap-distance-right:0" from="85.103996pt,8.278641pt" to="229.123996pt,8.278641pt" stroked="true" strokeweight=".72003pt" strokecolor="#000000">
            <v:stroke dashstyle="solid"/>
            <w10:wrap type="topAndBottom"/>
          </v:line>
        </w:pict>
      </w:r>
    </w:p>
    <w:p>
      <w:pPr>
        <w:spacing w:line="242" w:lineRule="auto" w:before="39"/>
        <w:ind w:left="122" w:right="123" w:firstLine="0"/>
        <w:jc w:val="both"/>
        <w:rPr>
          <w:sz w:val="20"/>
        </w:rPr>
      </w:pPr>
      <w:r>
        <w:rPr>
          <w:rFonts w:ascii="Calibri" w:hAnsi="Calibri"/>
          <w:position w:val="10"/>
          <w:sz w:val="13"/>
        </w:rPr>
        <w:t>13 </w:t>
      </w:r>
      <w:r>
        <w:rPr>
          <w:sz w:val="20"/>
        </w:rPr>
        <w:t>No momento do levantamento de documentos para esta pesquisa, dos quatro Cadernos, três estavam disponíveis no </w:t>
      </w:r>
      <w:r>
        <w:rPr>
          <w:i/>
          <w:sz w:val="20"/>
        </w:rPr>
        <w:t>site pne.mec.gov.br/publicações, </w:t>
      </w:r>
      <w:r>
        <w:rPr>
          <w:sz w:val="20"/>
        </w:rPr>
        <w:t>sendo o ‗Planejando a Próxima Década‘: Alinhando os Planos de Educação‘, o ‗Conhecendo as 20 Metas do Plano Nacional de Educação‘ e o ‗Plano Municipal de Educação: Orientações aos Municípios.</w:t>
      </w:r>
    </w:p>
    <w:p>
      <w:pPr>
        <w:spacing w:line="236" w:lineRule="exact" w:before="5"/>
        <w:ind w:left="122" w:right="128" w:firstLine="0"/>
        <w:jc w:val="both"/>
        <w:rPr>
          <w:sz w:val="20"/>
        </w:rPr>
      </w:pPr>
      <w:r>
        <w:rPr>
          <w:rFonts w:ascii="Calibri" w:hAnsi="Calibri"/>
          <w:position w:val="10"/>
          <w:sz w:val="13"/>
        </w:rPr>
        <w:t>14</w:t>
      </w:r>
      <w:r>
        <w:rPr>
          <w:sz w:val="20"/>
        </w:rPr>
        <w:t>Rede que será detalhada no terceiro capítulo desta Dissertação, ao tratar especificamente do processo no Estado do Tocantins.</w:t>
      </w:r>
    </w:p>
    <w:p>
      <w:pPr>
        <w:spacing w:after="0" w:line="236" w:lineRule="exact"/>
        <w:jc w:val="both"/>
        <w:rPr>
          <w:sz w:val="20"/>
        </w:rPr>
        <w:sectPr>
          <w:pgSz w:w="11910" w:h="16840"/>
          <w:pgMar w:header="749" w:footer="0" w:top="960" w:bottom="280" w:left="1580" w:right="1580"/>
        </w:sectPr>
      </w:pPr>
    </w:p>
    <w:p>
      <w:pPr>
        <w:pStyle w:val="BodyText"/>
        <w:rPr>
          <w:sz w:val="20"/>
        </w:rPr>
      </w:pPr>
    </w:p>
    <w:p>
      <w:pPr>
        <w:pStyle w:val="BodyText"/>
        <w:spacing w:before="2"/>
        <w:rPr>
          <w:sz w:val="18"/>
        </w:rPr>
      </w:pPr>
    </w:p>
    <w:p>
      <w:pPr>
        <w:spacing w:before="0"/>
        <w:ind w:left="2370" w:right="119" w:firstLine="0"/>
        <w:jc w:val="left"/>
        <w:rPr>
          <w:sz w:val="20"/>
        </w:rPr>
      </w:pPr>
      <w:r>
        <w:rPr>
          <w:sz w:val="20"/>
        </w:rPr>
        <w:t>elaboração do PPA, e mesmo ao atendimento de outra etapa e/ou modalidade de ensino. (Grifos nossos).</w:t>
      </w:r>
    </w:p>
    <w:p>
      <w:pPr>
        <w:pStyle w:val="BodyText"/>
        <w:rPr>
          <w:sz w:val="22"/>
        </w:rPr>
      </w:pPr>
    </w:p>
    <w:p>
      <w:pPr>
        <w:pStyle w:val="BodyText"/>
        <w:spacing w:line="360" w:lineRule="auto" w:before="163"/>
        <w:ind w:left="102" w:right="118" w:firstLine="851"/>
        <w:jc w:val="both"/>
      </w:pPr>
      <w:r>
        <w:rPr>
          <w:w w:val="99"/>
        </w:rPr>
        <w:t>P</w:t>
      </w:r>
      <w:r>
        <w:rPr>
          <w:spacing w:val="-1"/>
        </w:rPr>
        <w:t>a</w:t>
      </w:r>
      <w:r>
        <w:rPr/>
        <w:t>ra</w:t>
      </w:r>
      <w:r>
        <w:rPr>
          <w:spacing w:val="14"/>
        </w:rPr>
        <w:t> </w:t>
      </w:r>
      <w:r>
        <w:rPr>
          <w:w w:val="99"/>
        </w:rPr>
        <w:t>os</w:t>
      </w:r>
      <w:r>
        <w:rPr>
          <w:spacing w:val="16"/>
        </w:rPr>
        <w:t> </w:t>
      </w:r>
      <w:r>
        <w:rPr/>
        <w:t>d</w:t>
      </w:r>
      <w:r>
        <w:rPr>
          <w:spacing w:val="-1"/>
        </w:rPr>
        <w:t>e</w:t>
      </w:r>
      <w:r>
        <w:rPr/>
        <w:t>mais,</w:t>
      </w:r>
      <w:r>
        <w:rPr>
          <w:spacing w:val="16"/>
        </w:rPr>
        <w:t> </w:t>
      </w:r>
      <w:r>
        <w:rPr>
          <w:w w:val="99"/>
        </w:rPr>
        <w:t>os</w:t>
      </w:r>
      <w:r>
        <w:rPr>
          <w:spacing w:val="16"/>
        </w:rPr>
        <w:t> </w:t>
      </w:r>
      <w:r>
        <w:rPr/>
        <w:t>objet</w:t>
      </w:r>
      <w:r>
        <w:rPr>
          <w:spacing w:val="2"/>
        </w:rPr>
        <w:t>i</w:t>
      </w:r>
      <w:r>
        <w:rPr>
          <w:w w:val="99"/>
        </w:rPr>
        <w:t>vos</w:t>
      </w:r>
      <w:r>
        <w:rPr>
          <w:spacing w:val="16"/>
        </w:rPr>
        <w:t> </w:t>
      </w:r>
      <w:r>
        <w:rPr/>
        <w:t>r</w:t>
      </w:r>
      <w:r>
        <w:rPr>
          <w:spacing w:val="-2"/>
        </w:rPr>
        <w:t>e</w:t>
      </w:r>
      <w:r>
        <w:rPr/>
        <w:t>fer</w:t>
      </w:r>
      <w:r>
        <w:rPr>
          <w:spacing w:val="-2"/>
        </w:rPr>
        <w:t>e</w:t>
      </w:r>
      <w:r>
        <w:rPr>
          <w:spacing w:val="3"/>
        </w:rPr>
        <w:t>m</w:t>
      </w:r>
      <w:r>
        <w:rPr>
          <w:spacing w:val="-1"/>
        </w:rPr>
        <w:t>-</w:t>
      </w:r>
      <w:r>
        <w:rPr/>
        <w:t>se</w:t>
      </w:r>
      <w:r>
        <w:rPr>
          <w:spacing w:val="18"/>
        </w:rPr>
        <w:t> </w:t>
      </w:r>
      <w:r>
        <w:rPr>
          <w:w w:val="100"/>
        </w:rPr>
        <w:t>a</w:t>
      </w:r>
      <w:r>
        <w:rPr>
          <w:spacing w:val="15"/>
        </w:rPr>
        <w:t> </w:t>
      </w:r>
      <w:r>
        <w:rPr>
          <w:spacing w:val="-1"/>
          <w:w w:val="44"/>
        </w:rPr>
        <w:t>―</w:t>
      </w:r>
      <w:r>
        <w:rPr/>
        <w:t>in</w:t>
      </w:r>
      <w:r>
        <w:rPr>
          <w:spacing w:val="1"/>
        </w:rPr>
        <w:t>c</w:t>
      </w:r>
      <w:r>
        <w:rPr>
          <w:spacing w:val="-1"/>
        </w:rPr>
        <w:t>e</w:t>
      </w:r>
      <w:r>
        <w:rPr/>
        <w:t>ntiv</w:t>
      </w:r>
      <w:r>
        <w:rPr>
          <w:spacing w:val="-1"/>
        </w:rPr>
        <w:t>a</w:t>
      </w:r>
      <w:r>
        <w:rPr/>
        <w:t>r</w:t>
      </w:r>
      <w:r>
        <w:rPr>
          <w:spacing w:val="15"/>
        </w:rPr>
        <w:t> </w:t>
      </w:r>
      <w:r>
        <w:rPr>
          <w:w w:val="99"/>
        </w:rPr>
        <w:t>os</w:t>
      </w:r>
      <w:r>
        <w:rPr>
          <w:spacing w:val="16"/>
        </w:rPr>
        <w:t> </w:t>
      </w:r>
      <w:r>
        <w:rPr/>
        <w:t>dir</w:t>
      </w:r>
      <w:r>
        <w:rPr>
          <w:spacing w:val="2"/>
        </w:rPr>
        <w:t>i</w:t>
      </w:r>
      <w:r>
        <w:rPr>
          <w:spacing w:val="-3"/>
        </w:rPr>
        <w:t>g</w:t>
      </w:r>
      <w:r>
        <w:rPr>
          <w:spacing w:val="-1"/>
        </w:rPr>
        <w:t>e</w:t>
      </w:r>
      <w:r>
        <w:rPr/>
        <w:t>ntes</w:t>
      </w:r>
      <w:r>
        <w:rPr>
          <w:spacing w:val="16"/>
        </w:rPr>
        <w:t> </w:t>
      </w:r>
      <w:r>
        <w:rPr/>
        <w:t>muni</w:t>
      </w:r>
      <w:r>
        <w:rPr>
          <w:spacing w:val="-1"/>
        </w:rPr>
        <w:t>c</w:t>
      </w:r>
      <w:r>
        <w:rPr>
          <w:spacing w:val="2"/>
        </w:rPr>
        <w:t>i</w:t>
      </w:r>
      <w:r>
        <w:rPr/>
        <w:t>p</w:t>
      </w:r>
      <w:r>
        <w:rPr>
          <w:spacing w:val="-1"/>
        </w:rPr>
        <w:t>a</w:t>
      </w:r>
      <w:r>
        <w:rPr>
          <w:w w:val="99"/>
        </w:rPr>
        <w:t>is </w:t>
      </w:r>
      <w:r>
        <w:rPr/>
        <w:t>de educação na afirmação da importância e da necessidade dos municípios elaborarem seus Planos Municipais de Educação objetivando a organização e o fortalecimento dos sistemas de ensino, de modo geral‖ (BRASIL, 2005a). Ainda, em orientar os dirigentes municipais quanto à metodologia de diagnóstico da realidade (BRASIL, 2005b), e, para </w:t>
      </w:r>
      <w:r>
        <w:rPr>
          <w:w w:val="100"/>
        </w:rPr>
        <w:t>tanto,</w:t>
      </w:r>
      <w:r>
        <w:rPr>
          <w:spacing w:val="23"/>
        </w:rPr>
        <w:t> </w:t>
      </w:r>
      <w:r>
        <w:rPr>
          <w:spacing w:val="-1"/>
          <w:w w:val="44"/>
        </w:rPr>
        <w:t>―</w:t>
      </w:r>
      <w:r>
        <w:rPr>
          <w:w w:val="100"/>
        </w:rPr>
        <w:t>r</w:t>
      </w:r>
      <w:r>
        <w:rPr>
          <w:spacing w:val="-2"/>
          <w:w w:val="100"/>
        </w:rPr>
        <w:t>e</w:t>
      </w:r>
      <w:r>
        <w:rPr>
          <w:w w:val="100"/>
        </w:rPr>
        <w:t>t</w:t>
      </w:r>
      <w:r>
        <w:rPr>
          <w:spacing w:val="1"/>
          <w:w w:val="100"/>
        </w:rPr>
        <w:t>r</w:t>
      </w:r>
      <w:r>
        <w:rPr>
          <w:spacing w:val="-1"/>
          <w:w w:val="100"/>
        </w:rPr>
        <w:t>a</w:t>
      </w:r>
      <w:r>
        <w:rPr>
          <w:w w:val="100"/>
        </w:rPr>
        <w:t>ta</w:t>
      </w:r>
      <w:r>
        <w:rPr>
          <w:spacing w:val="23"/>
        </w:rPr>
        <w:t> </w:t>
      </w:r>
      <w:r>
        <w:rPr>
          <w:w w:val="100"/>
        </w:rPr>
        <w:t>de</w:t>
      </w:r>
      <w:r>
        <w:rPr>
          <w:spacing w:val="25"/>
        </w:rPr>
        <w:t> </w:t>
      </w:r>
      <w:r>
        <w:rPr/>
        <w:t>fo</w:t>
      </w:r>
      <w:r>
        <w:rPr>
          <w:spacing w:val="-2"/>
        </w:rPr>
        <w:t>r</w:t>
      </w:r>
      <w:r>
        <w:rPr>
          <w:w w:val="100"/>
        </w:rPr>
        <w:t>ma</w:t>
      </w:r>
      <w:r>
        <w:rPr>
          <w:spacing w:val="25"/>
        </w:rPr>
        <w:t> </w:t>
      </w:r>
      <w:r>
        <w:rPr/>
        <w:t>o</w:t>
      </w:r>
      <w:r>
        <w:rPr>
          <w:spacing w:val="-1"/>
        </w:rPr>
        <w:t>r</w:t>
      </w:r>
      <w:r>
        <w:rPr>
          <w:w w:val="100"/>
        </w:rPr>
        <w:t>g</w:t>
      </w:r>
      <w:r>
        <w:rPr>
          <w:spacing w:val="-1"/>
          <w:w w:val="100"/>
        </w:rPr>
        <w:t>a</w:t>
      </w:r>
      <w:r>
        <w:rPr>
          <w:w w:val="100"/>
        </w:rPr>
        <w:t>ni</w:t>
      </w:r>
      <w:r>
        <w:rPr>
          <w:spacing w:val="1"/>
          <w:w w:val="100"/>
        </w:rPr>
        <w:t>z</w:t>
      </w:r>
      <w:r>
        <w:rPr>
          <w:spacing w:val="-1"/>
          <w:w w:val="100"/>
        </w:rPr>
        <w:t>a</w:t>
      </w:r>
      <w:r>
        <w:rPr>
          <w:w w:val="100"/>
        </w:rPr>
        <w:t>da</w:t>
      </w:r>
      <w:r>
        <w:rPr>
          <w:spacing w:val="22"/>
        </w:rPr>
        <w:t> </w:t>
      </w:r>
      <w:r>
        <w:rPr>
          <w:w w:val="100"/>
        </w:rPr>
        <w:t>e</w:t>
      </w:r>
      <w:r>
        <w:rPr>
          <w:spacing w:val="22"/>
        </w:rPr>
        <w:t> </w:t>
      </w:r>
      <w:r>
        <w:rPr>
          <w:w w:val="100"/>
        </w:rPr>
        <w:t>sint</w:t>
      </w:r>
      <w:r>
        <w:rPr>
          <w:spacing w:val="-1"/>
          <w:w w:val="100"/>
        </w:rPr>
        <w:t>é</w:t>
      </w:r>
      <w:r>
        <w:rPr>
          <w:w w:val="100"/>
        </w:rPr>
        <w:t>ti</w:t>
      </w:r>
      <w:r>
        <w:rPr>
          <w:spacing w:val="1"/>
          <w:w w:val="100"/>
        </w:rPr>
        <w:t>c</w:t>
      </w:r>
      <w:r>
        <w:rPr>
          <w:w w:val="100"/>
        </w:rPr>
        <w:t>a</w:t>
      </w:r>
      <w:r>
        <w:rPr>
          <w:spacing w:val="22"/>
        </w:rPr>
        <w:t> </w:t>
      </w:r>
      <w:r>
        <w:rPr/>
        <w:t>o</w:t>
      </w:r>
      <w:r>
        <w:rPr>
          <w:spacing w:val="26"/>
        </w:rPr>
        <w:t> </w:t>
      </w:r>
      <w:r>
        <w:rPr/>
        <w:t>p</w:t>
      </w:r>
      <w:r>
        <w:rPr>
          <w:spacing w:val="-1"/>
        </w:rPr>
        <w:t>r</w:t>
      </w:r>
      <w:r>
        <w:rPr>
          <w:w w:val="100"/>
        </w:rPr>
        <w:t>o</w:t>
      </w:r>
      <w:r>
        <w:rPr>
          <w:spacing w:val="-1"/>
          <w:w w:val="100"/>
        </w:rPr>
        <w:t>c</w:t>
      </w:r>
      <w:r>
        <w:rPr>
          <w:spacing w:val="-1"/>
          <w:w w:val="100"/>
        </w:rPr>
        <w:t>e</w:t>
      </w:r>
      <w:r>
        <w:rPr>
          <w:w w:val="99"/>
        </w:rPr>
        <w:t>sso</w:t>
      </w:r>
      <w:r>
        <w:rPr>
          <w:spacing w:val="24"/>
        </w:rPr>
        <w:t> </w:t>
      </w:r>
      <w:r>
        <w:rPr>
          <w:w w:val="100"/>
        </w:rPr>
        <w:t>p</w:t>
      </w:r>
      <w:r>
        <w:rPr>
          <w:spacing w:val="1"/>
          <w:w w:val="100"/>
        </w:rPr>
        <w:t>a</w:t>
      </w:r>
      <w:r>
        <w:rPr>
          <w:w w:val="100"/>
        </w:rPr>
        <w:t>rticip</w:t>
      </w:r>
      <w:r>
        <w:rPr>
          <w:spacing w:val="-2"/>
          <w:w w:val="100"/>
        </w:rPr>
        <w:t>a</w:t>
      </w:r>
      <w:r>
        <w:rPr>
          <w:w w:val="100"/>
        </w:rPr>
        <w:t>ti</w:t>
      </w:r>
      <w:r>
        <w:rPr/>
        <w:t>vo</w:t>
      </w:r>
      <w:r>
        <w:rPr>
          <w:spacing w:val="23"/>
        </w:rPr>
        <w:t> </w:t>
      </w:r>
      <w:r>
        <w:rPr>
          <w:spacing w:val="2"/>
        </w:rPr>
        <w:t>d</w:t>
      </w:r>
      <w:r>
        <w:rPr/>
        <w:t>o</w:t>
      </w:r>
      <w:r>
        <w:rPr>
          <w:spacing w:val="23"/>
        </w:rPr>
        <w:t> </w:t>
      </w:r>
      <w:r>
        <w:rPr>
          <w:w w:val="100"/>
        </w:rPr>
        <w:t>instrum</w:t>
      </w:r>
      <w:r>
        <w:rPr>
          <w:spacing w:val="-2"/>
          <w:w w:val="100"/>
        </w:rPr>
        <w:t>e</w:t>
      </w:r>
      <w:r>
        <w:rPr>
          <w:w w:val="100"/>
        </w:rPr>
        <w:t>nto </w:t>
      </w:r>
      <w:r>
        <w:rPr/>
        <w:t>denominado Conferência [e] os passos para o processo preparatório nas suas etapas  fases e momentos‖ (BRASIL,</w:t>
      </w:r>
      <w:r>
        <w:rPr>
          <w:spacing w:val="31"/>
        </w:rPr>
        <w:t> </w:t>
      </w:r>
      <w:r>
        <w:rPr/>
        <w:t>2005c).</w:t>
      </w:r>
    </w:p>
    <w:p>
      <w:pPr>
        <w:pStyle w:val="BodyText"/>
        <w:spacing w:line="360" w:lineRule="auto" w:before="4"/>
        <w:ind w:left="102" w:right="116" w:firstLine="851"/>
        <w:jc w:val="both"/>
      </w:pPr>
      <w:r>
        <w:rPr/>
        <w:t>No contexto da segunda década dos anos 2000, especificamente em 2013, para o  MEC,  </w:t>
      </w:r>
      <w:r>
        <w:rPr>
          <w:w w:val="100"/>
        </w:rPr>
        <w:t>a</w:t>
      </w:r>
      <w:r>
        <w:rPr/>
        <w:t>  </w:t>
      </w:r>
      <w:r>
        <w:rPr>
          <w:w w:val="100"/>
        </w:rPr>
        <w:t>ideia</w:t>
      </w:r>
      <w:r>
        <w:rPr/>
        <w:t>  </w:t>
      </w:r>
      <w:r>
        <w:rPr>
          <w:w w:val="100"/>
        </w:rPr>
        <w:t>é</w:t>
      </w:r>
      <w:r>
        <w:rPr/>
        <w:t>  </w:t>
      </w:r>
      <w:r>
        <w:rPr>
          <w:w w:val="44"/>
        </w:rPr>
        <w:t>―</w:t>
      </w:r>
      <w:r>
        <w:rPr>
          <w:b/>
        </w:rPr>
        <w:t>Fortalecer  a  colaboração  </w:t>
      </w:r>
      <w:r>
        <w:rPr/>
        <w:t>entre  MEC</w:t>
      </w:r>
      <w:r>
        <w:rPr>
          <w:w w:val="99"/>
        </w:rPr>
        <w:t>/SASE,</w:t>
      </w:r>
      <w:r>
        <w:rPr/>
        <w:t>  </w:t>
      </w:r>
      <w:r>
        <w:rPr>
          <w:w w:val="99"/>
        </w:rPr>
        <w:t>FN</w:t>
      </w:r>
      <w:r>
        <w:rPr>
          <w:w w:val="99"/>
        </w:rPr>
        <w:t>DE,</w:t>
      </w:r>
      <w:r>
        <w:rPr/>
        <w:t>  Governo Estadual/Distrital, administrações municipais, arranjos territoriais, instituições de educação básica e instituições de ensino superior públicas, por meio de ações que visem a melhoria da qualidade de ensino‖. (BRASIL, 2013, p.6). (Grifos nossos).</w:t>
      </w:r>
    </w:p>
    <w:p>
      <w:pPr>
        <w:pStyle w:val="BodyText"/>
        <w:spacing w:line="360" w:lineRule="auto" w:before="6"/>
        <w:ind w:left="102" w:right="117" w:firstLine="911"/>
        <w:jc w:val="both"/>
      </w:pPr>
      <w:r>
        <w:rPr/>
        <w:t>Mas o que é regime de colaboração? Ele é uma realidade no País? Segundo C</w:t>
      </w:r>
      <w:r>
        <w:rPr>
          <w:spacing w:val="-1"/>
          <w:w w:val="100"/>
        </w:rPr>
        <w:t>a</w:t>
      </w:r>
      <w:r>
        <w:rPr>
          <w:w w:val="100"/>
        </w:rPr>
        <w:t>v</w:t>
      </w:r>
      <w:r>
        <w:rPr>
          <w:spacing w:val="-1"/>
          <w:w w:val="100"/>
        </w:rPr>
        <w:t>a</w:t>
      </w:r>
      <w:r>
        <w:rPr>
          <w:w w:val="100"/>
        </w:rPr>
        <w:t>lc</w:t>
      </w:r>
      <w:r>
        <w:rPr>
          <w:spacing w:val="-2"/>
          <w:w w:val="100"/>
        </w:rPr>
        <w:t>a</w:t>
      </w:r>
      <w:r>
        <w:rPr>
          <w:w w:val="100"/>
        </w:rPr>
        <w:t>nte</w:t>
      </w:r>
      <w:r>
        <w:rPr/>
        <w:t> </w:t>
      </w:r>
      <w:r>
        <w:rPr>
          <w:spacing w:val="-23"/>
        </w:rPr>
        <w:t> </w:t>
      </w:r>
      <w:r>
        <w:rPr/>
        <w:t>(201</w:t>
      </w:r>
      <w:r>
        <w:rPr>
          <w:spacing w:val="-1"/>
        </w:rPr>
        <w:t>5</w:t>
      </w:r>
      <w:r>
        <w:rPr/>
        <w:t>, </w:t>
      </w:r>
      <w:r>
        <w:rPr>
          <w:spacing w:val="-25"/>
        </w:rPr>
        <w:t> </w:t>
      </w:r>
      <w:r>
        <w:rPr/>
        <w:t>p.11</w:t>
      </w:r>
      <w:r>
        <w:rPr>
          <w:spacing w:val="2"/>
        </w:rPr>
        <w:t>5</w:t>
      </w:r>
      <w:r>
        <w:rPr/>
        <w:t>), </w:t>
      </w:r>
      <w:r>
        <w:rPr>
          <w:spacing w:val="-25"/>
        </w:rPr>
        <w:t> </w:t>
      </w:r>
      <w:r>
        <w:rPr>
          <w:spacing w:val="-1"/>
          <w:w w:val="44"/>
        </w:rPr>
        <w:t>―</w:t>
      </w:r>
      <w:r>
        <w:rPr/>
        <w:t>o </w:t>
      </w:r>
      <w:r>
        <w:rPr>
          <w:spacing w:val="-25"/>
        </w:rPr>
        <w:t> </w:t>
      </w:r>
      <w:r>
        <w:rPr>
          <w:spacing w:val="1"/>
        </w:rPr>
        <w:t>r</w:t>
      </w:r>
      <w:r>
        <w:rPr>
          <w:spacing w:val="1"/>
          <w:w w:val="100"/>
        </w:rPr>
        <w:t>e</w:t>
      </w:r>
      <w:r>
        <w:rPr>
          <w:spacing w:val="-3"/>
        </w:rPr>
        <w:t>g</w:t>
      </w:r>
      <w:r>
        <w:rPr>
          <w:w w:val="100"/>
        </w:rPr>
        <w:t>ime</w:t>
      </w:r>
      <w:r>
        <w:rPr/>
        <w:t> </w:t>
      </w:r>
      <w:r>
        <w:rPr>
          <w:spacing w:val="-26"/>
        </w:rPr>
        <w:t> </w:t>
      </w:r>
      <w:r>
        <w:rPr>
          <w:w w:val="100"/>
        </w:rPr>
        <w:t>de</w:t>
      </w:r>
      <w:r>
        <w:rPr/>
        <w:t> </w:t>
      </w:r>
      <w:r>
        <w:rPr>
          <w:spacing w:val="-23"/>
        </w:rPr>
        <w:t> </w:t>
      </w:r>
      <w:r>
        <w:rPr>
          <w:spacing w:val="-1"/>
          <w:w w:val="100"/>
        </w:rPr>
        <w:t>c</w:t>
      </w:r>
      <w:r>
        <w:rPr>
          <w:w w:val="100"/>
        </w:rPr>
        <w:t>olabor</w:t>
      </w:r>
      <w:r>
        <w:rPr>
          <w:spacing w:val="-1"/>
          <w:w w:val="100"/>
        </w:rPr>
        <w:t>açã</w:t>
      </w:r>
      <w:r>
        <w:rPr/>
        <w:t>o </w:t>
      </w:r>
      <w:r>
        <w:rPr>
          <w:spacing w:val="-22"/>
        </w:rPr>
        <w:t> </w:t>
      </w:r>
      <w:r>
        <w:rPr>
          <w:spacing w:val="-1"/>
          <w:w w:val="100"/>
        </w:rPr>
        <w:t>e</w:t>
      </w:r>
      <w:r>
        <w:rPr>
          <w:w w:val="100"/>
        </w:rPr>
        <w:t>stá</w:t>
      </w:r>
      <w:r>
        <w:rPr/>
        <w:t> </w:t>
      </w:r>
      <w:r>
        <w:rPr>
          <w:spacing w:val="-25"/>
        </w:rPr>
        <w:t> </w:t>
      </w:r>
      <w:r>
        <w:rPr>
          <w:w w:val="100"/>
        </w:rPr>
        <w:t>implí</w:t>
      </w:r>
      <w:r>
        <w:rPr>
          <w:spacing w:val="-1"/>
          <w:w w:val="100"/>
        </w:rPr>
        <w:t>c</w:t>
      </w:r>
      <w:r>
        <w:rPr>
          <w:w w:val="100"/>
        </w:rPr>
        <w:t>it</w:t>
      </w:r>
      <w:r>
        <w:rPr/>
        <w:t>o </w:t>
      </w:r>
      <w:r>
        <w:rPr>
          <w:spacing w:val="-25"/>
        </w:rPr>
        <w:t> </w:t>
      </w:r>
      <w:r>
        <w:rPr/>
        <w:t>ou </w:t>
      </w:r>
      <w:r>
        <w:rPr>
          <w:spacing w:val="-25"/>
        </w:rPr>
        <w:t> </w:t>
      </w:r>
      <w:r>
        <w:rPr/>
        <w:t>p</w:t>
      </w:r>
      <w:r>
        <w:rPr>
          <w:spacing w:val="-1"/>
        </w:rPr>
        <w:t>r</w:t>
      </w:r>
      <w:r>
        <w:rPr>
          <w:spacing w:val="-1"/>
          <w:w w:val="100"/>
        </w:rPr>
        <w:t>e</w:t>
      </w:r>
      <w:r>
        <w:rPr>
          <w:w w:val="100"/>
        </w:rPr>
        <w:t>vist</w:t>
      </w:r>
      <w:r>
        <w:rPr/>
        <w:t>o </w:t>
      </w:r>
      <w:r>
        <w:rPr>
          <w:spacing w:val="-25"/>
        </w:rPr>
        <w:t> </w:t>
      </w:r>
      <w:r>
        <w:rPr>
          <w:w w:val="100"/>
        </w:rPr>
        <w:t>e</w:t>
      </w:r>
      <w:r>
        <w:rPr/>
        <w:t> </w:t>
      </w:r>
      <w:r>
        <w:rPr>
          <w:spacing w:val="-26"/>
        </w:rPr>
        <w:t> </w:t>
      </w:r>
      <w:r>
        <w:rPr>
          <w:w w:val="100"/>
        </w:rPr>
        <w:t>n</w:t>
      </w:r>
      <w:r>
        <w:rPr>
          <w:spacing w:val="-1"/>
          <w:w w:val="100"/>
        </w:rPr>
        <w:t>ã</w:t>
      </w:r>
      <w:r>
        <w:rPr/>
        <w:t>o regulamentado, constituindo-se, portanto, em um princípio. Devendo [...] como previsto ser o aporte do federalismo cooperativo, que objetiva a equalização das diferenças e conflitos federativos com a definição das competências e responsabilidades entre os sistemas de ensino da federação, no</w:t>
      </w:r>
      <w:r>
        <w:rPr>
          <w:spacing w:val="30"/>
        </w:rPr>
        <w:t> </w:t>
      </w:r>
      <w:r>
        <w:rPr/>
        <w:t>Brasil.‖</w:t>
      </w:r>
    </w:p>
    <w:p>
      <w:pPr>
        <w:pStyle w:val="BodyText"/>
        <w:rPr>
          <w:sz w:val="26"/>
        </w:rPr>
      </w:pPr>
    </w:p>
    <w:p>
      <w:pPr>
        <w:pStyle w:val="BodyText"/>
        <w:rPr>
          <w:sz w:val="26"/>
        </w:rPr>
      </w:pPr>
    </w:p>
    <w:p>
      <w:pPr>
        <w:pStyle w:val="BodyText"/>
        <w:spacing w:before="11"/>
        <w:rPr>
          <w:sz w:val="20"/>
        </w:rPr>
      </w:pPr>
    </w:p>
    <w:p>
      <w:pPr>
        <w:pStyle w:val="Heading2"/>
        <w:numPr>
          <w:ilvl w:val="2"/>
          <w:numId w:val="16"/>
        </w:numPr>
        <w:tabs>
          <w:tab w:pos="643" w:val="left" w:leader="none"/>
        </w:tabs>
        <w:spacing w:line="240" w:lineRule="auto" w:before="0" w:after="0"/>
        <w:ind w:left="642" w:right="0" w:hanging="540"/>
        <w:jc w:val="left"/>
        <w:rPr>
          <w:i/>
        </w:rPr>
      </w:pPr>
      <w:r>
        <w:rPr>
          <w:i/>
        </w:rPr>
        <w:t>Contexto de aprovação e vigência do PNE</w:t>
      </w:r>
      <w:r>
        <w:rPr>
          <w:i/>
          <w:spacing w:val="-7"/>
        </w:rPr>
        <w:t> </w:t>
      </w:r>
      <w:r>
        <w:rPr>
          <w:i/>
        </w:rPr>
        <w:t>2001-2010</w:t>
      </w:r>
    </w:p>
    <w:p>
      <w:pPr>
        <w:pStyle w:val="BodyText"/>
        <w:rPr>
          <w:b/>
          <w:i/>
          <w:sz w:val="26"/>
        </w:rPr>
      </w:pPr>
    </w:p>
    <w:p>
      <w:pPr>
        <w:pStyle w:val="BodyText"/>
        <w:spacing w:before="6"/>
        <w:rPr>
          <w:b/>
          <w:i/>
          <w:sz w:val="21"/>
        </w:rPr>
      </w:pPr>
    </w:p>
    <w:p>
      <w:pPr>
        <w:pStyle w:val="ListParagraph"/>
        <w:numPr>
          <w:ilvl w:val="3"/>
          <w:numId w:val="16"/>
        </w:numPr>
        <w:tabs>
          <w:tab w:pos="830" w:val="left" w:leader="none"/>
        </w:tabs>
        <w:spacing w:line="360" w:lineRule="auto" w:before="0" w:after="0"/>
        <w:ind w:left="102" w:right="117" w:firstLine="0"/>
        <w:jc w:val="left"/>
        <w:rPr>
          <w:i/>
          <w:sz w:val="24"/>
        </w:rPr>
      </w:pPr>
      <w:r>
        <w:rPr>
          <w:i/>
          <w:sz w:val="24"/>
        </w:rPr>
        <w:t>Plano Nacional de Educação 2001-2010: ordenamento legal para a elaboração </w:t>
      </w:r>
      <w:r>
        <w:rPr>
          <w:i/>
          <w:sz w:val="24"/>
        </w:rPr>
        <w:t>dos planos municipais de</w:t>
      </w:r>
      <w:r>
        <w:rPr>
          <w:i/>
          <w:spacing w:val="-6"/>
          <w:sz w:val="24"/>
        </w:rPr>
        <w:t> </w:t>
      </w:r>
      <w:r>
        <w:rPr>
          <w:i/>
          <w:sz w:val="24"/>
        </w:rPr>
        <w:t>educação</w:t>
      </w:r>
    </w:p>
    <w:p>
      <w:pPr>
        <w:pStyle w:val="BodyText"/>
        <w:spacing w:before="5"/>
        <w:rPr>
          <w:i/>
          <w:sz w:val="36"/>
        </w:rPr>
      </w:pPr>
    </w:p>
    <w:p>
      <w:pPr>
        <w:pStyle w:val="BodyText"/>
        <w:spacing w:line="360" w:lineRule="auto"/>
        <w:ind w:left="102" w:right="119" w:firstLine="851"/>
        <w:jc w:val="both"/>
      </w:pPr>
      <w:r>
        <w:rPr/>
        <w:t>Em 2001, é aprovada a Lei nº 10.172, de 09 de janeiro (BRASIL, 2001), que aprova o Plano Nacional de Educação (PNE 2001-2010).</w:t>
      </w:r>
    </w:p>
    <w:p>
      <w:pPr>
        <w:pStyle w:val="BodyText"/>
        <w:spacing w:line="360" w:lineRule="auto" w:before="4"/>
        <w:ind w:left="102" w:right="117" w:firstLine="851"/>
        <w:jc w:val="both"/>
      </w:pPr>
      <w:r>
        <w:rPr/>
        <w:t>Dos sete artigos da Lei, dois conferem importância significativa à elaboração dos PMEs, sendo o art. 2º que indica, juntamente com os demais entes federativos, que os Municípios deveriam elaborar seus planos decenais correspondentes, e o art. 5º indicando a necessidade de os planos plurianuais, desde o da União aos dos demais</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2" w:lineRule="auto" w:before="210"/>
        <w:ind w:left="102"/>
      </w:pPr>
      <w:r>
        <w:rPr/>
        <w:t>entes, serem elaborados com intuito de dar suporte aos respectivos planos (BRASIL, 2001).</w:t>
      </w:r>
    </w:p>
    <w:p>
      <w:pPr>
        <w:pStyle w:val="BodyText"/>
        <w:spacing w:line="360" w:lineRule="auto"/>
        <w:ind w:left="102" w:right="118" w:firstLine="851"/>
        <w:jc w:val="both"/>
      </w:pPr>
      <w:r>
        <w:rPr/>
        <w:t>Além da Lei, o PNE agrega um Anexo contendo uma Introdução com Histórico, Objetivos e Prioridades, assim como para cada nível, etapa e modalidade da educação, um Diagnóstico, as Diretrizes e os Objetivos e</w:t>
      </w:r>
      <w:r>
        <w:rPr>
          <w:spacing w:val="-11"/>
        </w:rPr>
        <w:t> </w:t>
      </w:r>
      <w:r>
        <w:rPr/>
        <w:t>Metas.</w:t>
      </w:r>
    </w:p>
    <w:p>
      <w:pPr>
        <w:pStyle w:val="BodyText"/>
        <w:spacing w:line="360" w:lineRule="auto" w:before="6"/>
        <w:ind w:left="102" w:right="117" w:firstLine="851"/>
        <w:jc w:val="both"/>
      </w:pPr>
      <w:r>
        <w:rPr/>
        <w:t>Já na seção dos Objetivos e Prioridades, o documento destaca que, por se tratar </w:t>
      </w:r>
      <w:r>
        <w:rPr>
          <w:w w:val="100"/>
        </w:rPr>
        <w:t>de</w:t>
      </w:r>
      <w:r>
        <w:rPr/>
        <w:t>  </w:t>
      </w:r>
      <w:r>
        <w:rPr>
          <w:w w:val="100"/>
        </w:rPr>
        <w:t>meta</w:t>
      </w:r>
      <w:r>
        <w:rPr>
          <w:w w:val="99"/>
        </w:rPr>
        <w:t>s</w:t>
      </w:r>
      <w:r>
        <w:rPr/>
        <w:t>   g</w:t>
      </w:r>
      <w:r>
        <w:rPr>
          <w:w w:val="100"/>
        </w:rPr>
        <w:t>e</w:t>
      </w:r>
      <w:r>
        <w:rPr>
          <w:w w:val="100"/>
        </w:rPr>
        <w:t>ra</w:t>
      </w:r>
      <w:r>
        <w:rPr/>
        <w:t>is,  ser</w:t>
      </w:r>
      <w:r>
        <w:rPr>
          <w:w w:val="100"/>
        </w:rPr>
        <w:t>á</w:t>
      </w:r>
      <w:r>
        <w:rPr/>
        <w:t>   pr</w:t>
      </w:r>
      <w:r>
        <w:rPr>
          <w:w w:val="100"/>
        </w:rPr>
        <w:t>ec</w:t>
      </w:r>
      <w:r>
        <w:rPr/>
        <w:t>iso  </w:t>
      </w:r>
      <w:r>
        <w:rPr>
          <w:w w:val="100"/>
        </w:rPr>
        <w:t>e</w:t>
      </w:r>
      <w:r>
        <w:rPr>
          <w:w w:val="100"/>
        </w:rPr>
        <w:t>ntr</w:t>
      </w:r>
      <w:r>
        <w:rPr>
          <w:w w:val="100"/>
        </w:rPr>
        <w:t>e</w:t>
      </w:r>
      <w:r>
        <w:rPr/>
        <w:t>  </w:t>
      </w:r>
      <w:r>
        <w:rPr>
          <w:w w:val="100"/>
        </w:rPr>
        <w:t>outra</w:t>
      </w:r>
      <w:r>
        <w:rPr>
          <w:w w:val="99"/>
        </w:rPr>
        <w:t>s,</w:t>
      </w:r>
      <w:r>
        <w:rPr/>
        <w:t>   </w:t>
      </w:r>
      <w:r>
        <w:rPr>
          <w:w w:val="44"/>
        </w:rPr>
        <w:t>―</w:t>
      </w:r>
      <w:r>
        <w:rPr>
          <w:w w:val="100"/>
        </w:rPr>
        <w:t>a</w:t>
      </w:r>
      <w:r>
        <w:rPr/>
        <w:t>  </w:t>
      </w:r>
      <w:r>
        <w:rPr>
          <w:w w:val="100"/>
        </w:rPr>
        <w:t>e</w:t>
      </w:r>
      <w:r>
        <w:rPr>
          <w:w w:val="100"/>
        </w:rPr>
        <w:t>labor</w:t>
      </w:r>
      <w:r>
        <w:rPr>
          <w:w w:val="100"/>
        </w:rPr>
        <w:t>açã</w:t>
      </w:r>
      <w:r>
        <w:rPr/>
        <w:t>o  </w:t>
      </w:r>
      <w:r>
        <w:rPr>
          <w:w w:val="100"/>
        </w:rPr>
        <w:t>de</w:t>
      </w:r>
      <w:r>
        <w:rPr/>
        <w:t>  planos   estadua</w:t>
      </w:r>
      <w:r>
        <w:rPr>
          <w:w w:val="99"/>
        </w:rPr>
        <w:t>is</w:t>
      </w:r>
      <w:r>
        <w:rPr/>
        <w:t>  e municipais‖ (BRASIL, 2001).</w:t>
      </w:r>
    </w:p>
    <w:p>
      <w:pPr>
        <w:pStyle w:val="BodyText"/>
        <w:spacing w:line="360" w:lineRule="auto" w:before="4"/>
        <w:ind w:left="102" w:right="114" w:firstLine="851"/>
        <w:jc w:val="both"/>
      </w:pPr>
      <w:r>
        <w:rPr/>
        <w:t>O corpo do documento destaca os dois níveis de Educação, sendo a Básica e Superior, com as Modalidades de Ensino Educação de Jovens e Adultos, Educação à Distância e Tecnologias Educacionais, Educação Tecnológica e Formação Profissional, Educação Especial e Educação Indígena. Ainda, traz outras três seções, tratando do Magistério da Educação Básica, do Financiamento e Gestão e do Acompanhamento e Avaliação do Plano (BRASIL, 2001).</w:t>
      </w:r>
    </w:p>
    <w:p>
      <w:pPr>
        <w:pStyle w:val="BodyText"/>
        <w:spacing w:line="360" w:lineRule="auto" w:before="4"/>
        <w:ind w:left="102" w:right="116" w:firstLine="851"/>
        <w:jc w:val="both"/>
      </w:pPr>
      <w:r>
        <w:rPr/>
        <w:t>Segundo Dourado (2010, p. 684), a estrutura do PNE ancora-se à organização </w:t>
      </w:r>
      <w:r>
        <w:rPr>
          <w:w w:val="100"/>
        </w:rPr>
        <w:t>da</w:t>
      </w:r>
      <w:r>
        <w:rPr/>
        <w:t> </w:t>
      </w:r>
      <w:r>
        <w:rPr>
          <w:spacing w:val="-4"/>
        </w:rPr>
        <w:t> </w:t>
      </w:r>
      <w:r>
        <w:rPr>
          <w:spacing w:val="-1"/>
          <w:w w:val="100"/>
        </w:rPr>
        <w:t>e</w:t>
      </w:r>
      <w:r>
        <w:rPr/>
        <w:t>d</w:t>
      </w:r>
      <w:r>
        <w:rPr>
          <w:spacing w:val="2"/>
        </w:rPr>
        <w:t>u</w:t>
      </w:r>
      <w:r>
        <w:rPr>
          <w:spacing w:val="-1"/>
          <w:w w:val="100"/>
        </w:rPr>
        <w:t>ca</w:t>
      </w:r>
      <w:r>
        <w:rPr>
          <w:spacing w:val="1"/>
          <w:w w:val="100"/>
        </w:rPr>
        <w:t>ç</w:t>
      </w:r>
      <w:r>
        <w:rPr>
          <w:spacing w:val="-1"/>
          <w:w w:val="100"/>
        </w:rPr>
        <w:t>ã</w:t>
      </w:r>
      <w:r>
        <w:rPr/>
        <w:t>o </w:t>
      </w:r>
      <w:r>
        <w:rPr>
          <w:spacing w:val="-3"/>
        </w:rPr>
        <w:t> </w:t>
      </w:r>
      <w:r>
        <w:rPr>
          <w:spacing w:val="2"/>
        </w:rPr>
        <w:t>b</w:t>
      </w:r>
      <w:r>
        <w:rPr>
          <w:w w:val="100"/>
        </w:rPr>
        <w:t>r</w:t>
      </w:r>
      <w:r>
        <w:rPr>
          <w:spacing w:val="-2"/>
          <w:w w:val="100"/>
        </w:rPr>
        <w:t>a</w:t>
      </w:r>
      <w:r>
        <w:rPr>
          <w:w w:val="100"/>
        </w:rPr>
        <w:t>sil</w:t>
      </w:r>
      <w:r>
        <w:rPr>
          <w:spacing w:val="-1"/>
          <w:w w:val="100"/>
        </w:rPr>
        <w:t>e</w:t>
      </w:r>
      <w:r>
        <w:rPr>
          <w:w w:val="100"/>
        </w:rPr>
        <w:t>ir</w:t>
      </w:r>
      <w:r>
        <w:rPr>
          <w:spacing w:val="-2"/>
          <w:w w:val="100"/>
        </w:rPr>
        <w:t>a</w:t>
      </w:r>
      <w:r>
        <w:rPr/>
        <w:t>, </w:t>
      </w:r>
      <w:r>
        <w:rPr>
          <w:spacing w:val="1"/>
        </w:rPr>
        <w:t> </w:t>
      </w:r>
      <w:r>
        <w:rPr>
          <w:w w:val="100"/>
        </w:rPr>
        <w:t>e</w:t>
      </w:r>
      <w:r>
        <w:rPr/>
        <w:t> </w:t>
      </w:r>
      <w:r>
        <w:rPr>
          <w:spacing w:val="-4"/>
        </w:rPr>
        <w:t> </w:t>
      </w:r>
      <w:r>
        <w:rPr>
          <w:spacing w:val="-1"/>
          <w:w w:val="44"/>
        </w:rPr>
        <w:t>―</w:t>
      </w:r>
      <w:r>
        <w:rPr/>
        <w:t>o </w:t>
      </w:r>
      <w:r>
        <w:rPr>
          <w:spacing w:val="-1"/>
        </w:rPr>
        <w:t> </w:t>
      </w:r>
      <w:r>
        <w:rPr>
          <w:spacing w:val="-1"/>
          <w:w w:val="100"/>
        </w:rPr>
        <w:t>c</w:t>
      </w:r>
      <w:r>
        <w:rPr>
          <w:w w:val="100"/>
        </w:rPr>
        <w:t>onjunt</w:t>
      </w:r>
      <w:r>
        <w:rPr/>
        <w:t>o </w:t>
      </w:r>
      <w:r>
        <w:rPr>
          <w:spacing w:val="-3"/>
        </w:rPr>
        <w:t> </w:t>
      </w:r>
      <w:r>
        <w:rPr>
          <w:w w:val="100"/>
        </w:rPr>
        <w:t>de</w:t>
      </w:r>
      <w:r>
        <w:rPr/>
        <w:t> </w:t>
      </w:r>
      <w:r>
        <w:rPr>
          <w:spacing w:val="-2"/>
        </w:rPr>
        <w:t> </w:t>
      </w:r>
      <w:r>
        <w:rPr>
          <w:w w:val="100"/>
        </w:rPr>
        <w:t>dir</w:t>
      </w:r>
      <w:r>
        <w:rPr>
          <w:spacing w:val="-2"/>
          <w:w w:val="100"/>
        </w:rPr>
        <w:t>e</w:t>
      </w:r>
      <w:r>
        <w:rPr>
          <w:spacing w:val="2"/>
          <w:w w:val="100"/>
        </w:rPr>
        <w:t>t</w:t>
      </w:r>
      <w:r>
        <w:rPr>
          <w:spacing w:val="1"/>
          <w:w w:val="99"/>
        </w:rPr>
        <w:t>r</w:t>
      </w:r>
      <w:r>
        <w:rPr>
          <w:w w:val="100"/>
        </w:rPr>
        <w:t>i</w:t>
      </w:r>
      <w:r>
        <w:rPr>
          <w:spacing w:val="1"/>
          <w:w w:val="100"/>
        </w:rPr>
        <w:t>z</w:t>
      </w:r>
      <w:r>
        <w:rPr>
          <w:spacing w:val="-1"/>
          <w:w w:val="100"/>
        </w:rPr>
        <w:t>e</w:t>
      </w:r>
      <w:r>
        <w:rPr>
          <w:w w:val="99"/>
        </w:rPr>
        <w:t>s</w:t>
      </w:r>
      <w:r>
        <w:rPr/>
        <w:t> </w:t>
      </w:r>
      <w:r>
        <w:rPr>
          <w:spacing w:val="-3"/>
        </w:rPr>
        <w:t> </w:t>
      </w:r>
      <w:r>
        <w:rPr>
          <w:w w:val="100"/>
        </w:rPr>
        <w:t>e</w:t>
      </w:r>
      <w:r>
        <w:rPr/>
        <w:t> </w:t>
      </w:r>
      <w:r>
        <w:rPr>
          <w:spacing w:val="-4"/>
        </w:rPr>
        <w:t> </w:t>
      </w:r>
      <w:r>
        <w:rPr>
          <w:w w:val="100"/>
        </w:rPr>
        <w:t>met</w:t>
      </w:r>
      <w:r>
        <w:rPr>
          <w:spacing w:val="-1"/>
          <w:w w:val="100"/>
        </w:rPr>
        <w:t>a</w:t>
      </w:r>
      <w:r>
        <w:rPr>
          <w:w w:val="99"/>
        </w:rPr>
        <w:t>s</w:t>
      </w:r>
      <w:r>
        <w:rPr/>
        <w:t>  </w:t>
      </w:r>
      <w:r>
        <w:rPr>
          <w:w w:val="100"/>
        </w:rPr>
        <w:t>r</w:t>
      </w:r>
      <w:r>
        <w:rPr>
          <w:spacing w:val="-2"/>
          <w:w w:val="100"/>
        </w:rPr>
        <w:t>e</w:t>
      </w:r>
      <w:r>
        <w:rPr>
          <w:w w:val="100"/>
        </w:rPr>
        <w:t>t</w:t>
      </w:r>
      <w:r>
        <w:rPr>
          <w:spacing w:val="1"/>
          <w:w w:val="100"/>
        </w:rPr>
        <w:t>r</w:t>
      </w:r>
      <w:r>
        <w:rPr>
          <w:spacing w:val="-1"/>
          <w:w w:val="100"/>
        </w:rPr>
        <w:t>a</w:t>
      </w:r>
      <w:r>
        <w:rPr>
          <w:w w:val="100"/>
        </w:rPr>
        <w:t>tam</w:t>
      </w:r>
      <w:r>
        <w:rPr/>
        <w:t> </w:t>
      </w:r>
      <w:r>
        <w:rPr>
          <w:spacing w:val="-3"/>
        </w:rPr>
        <w:t> </w:t>
      </w:r>
      <w:r>
        <w:rPr>
          <w:w w:val="100"/>
        </w:rPr>
        <w:t>a</w:t>
      </w:r>
      <w:r>
        <w:rPr/>
        <w:t> </w:t>
      </w:r>
      <w:r>
        <w:rPr>
          <w:spacing w:val="-2"/>
        </w:rPr>
        <w:t> </w:t>
      </w:r>
      <w:r>
        <w:rPr>
          <w:spacing w:val="-1"/>
          <w:w w:val="100"/>
        </w:rPr>
        <w:t>c</w:t>
      </w:r>
      <w:r>
        <w:rPr>
          <w:spacing w:val="1"/>
          <w:w w:val="100"/>
        </w:rPr>
        <w:t>a</w:t>
      </w:r>
      <w:r>
        <w:rPr>
          <w:w w:val="100"/>
        </w:rPr>
        <w:t>r</w:t>
      </w:r>
      <w:r>
        <w:rPr>
          <w:spacing w:val="-2"/>
          <w:w w:val="100"/>
        </w:rPr>
        <w:t>ê</w:t>
      </w:r>
      <w:r>
        <w:rPr>
          <w:w w:val="100"/>
        </w:rPr>
        <w:t>n</w:t>
      </w:r>
      <w:r>
        <w:rPr>
          <w:spacing w:val="-1"/>
          <w:w w:val="100"/>
        </w:rPr>
        <w:t>c</w:t>
      </w:r>
      <w:r>
        <w:rPr>
          <w:w w:val="100"/>
        </w:rPr>
        <w:t>ia</w:t>
      </w:r>
      <w:r>
        <w:rPr/>
        <w:t> </w:t>
      </w:r>
      <w:r>
        <w:rPr>
          <w:spacing w:val="-1"/>
        </w:rPr>
        <w:t> </w:t>
      </w:r>
      <w:r>
        <w:rPr>
          <w:w w:val="100"/>
        </w:rPr>
        <w:t>de </w:t>
      </w:r>
      <w:r>
        <w:rPr/>
        <w:t>organicidade interna do Plano, na medida em que várias metas são reiteradas, por vezes superpostas, e, em outros casos, as metas não apresentam a devida articulação interna, especialmente, no que se refere a concepções, financiamento e</w:t>
      </w:r>
      <w:r>
        <w:rPr>
          <w:spacing w:val="30"/>
        </w:rPr>
        <w:t> </w:t>
      </w:r>
      <w:r>
        <w:rPr/>
        <w:t>gestão.‖</w:t>
      </w:r>
    </w:p>
    <w:p>
      <w:pPr>
        <w:pStyle w:val="BodyText"/>
        <w:spacing w:line="360" w:lineRule="auto" w:before="7"/>
        <w:ind w:left="102" w:right="116" w:firstLine="851"/>
        <w:jc w:val="both"/>
      </w:pPr>
      <w:r>
        <w:rPr/>
        <w:t>A essa desarticulação interna do PNE 2001-2010, podemos caracterizá-la como sendo devida às disputas de poder presentes no delineamento de políticas públicas,  como referenciamos no Capítulo </w:t>
      </w:r>
      <w:r>
        <w:rPr>
          <w:spacing w:val="-3"/>
        </w:rPr>
        <w:t>I, </w:t>
      </w:r>
      <w:r>
        <w:rPr/>
        <w:t>por meio das ideias, dentre outras, de Sander (2005), Dourado (2010) e Fonseca (2013) sendo, respectivamente: entre os defensores da educação pública e os promotores da educação privada; entre classes sociais e relações sociais capitalistas; e, também, entre políticas de governo e demandas da</w:t>
      </w:r>
      <w:r>
        <w:rPr>
          <w:spacing w:val="-18"/>
        </w:rPr>
        <w:t> </w:t>
      </w:r>
      <w:r>
        <w:rPr/>
        <w:t>sociedade.</w:t>
      </w:r>
    </w:p>
    <w:p>
      <w:pPr>
        <w:pStyle w:val="BodyText"/>
        <w:spacing w:line="360" w:lineRule="auto" w:before="6"/>
        <w:ind w:left="102" w:right="116" w:firstLine="851"/>
        <w:jc w:val="both"/>
      </w:pPr>
      <w:r>
        <w:rPr/>
        <w:t>De certo modo, a elaboração e a aprovação do PNE 2001-2010 podem ser comparadas à elaboração da LDB nº 9.394/1996, principalmente, no que se refere ao tempo de elaboração após a exigência definida em Lei, ou seja, a LDB que foi sancionada oito anos após a Constituição (BRASIL, 1988), mas que já vinha sendo elaborado em um anteprojeto de lei com redação concluída em fevereiro de 1988 </w:t>
      </w:r>
      <w:r>
        <w:rPr>
          <w:w w:val="99"/>
        </w:rPr>
        <w:t>(SA</w:t>
      </w:r>
      <w:r>
        <w:rPr>
          <w:spacing w:val="1"/>
          <w:w w:val="99"/>
        </w:rPr>
        <w:t>V</w:t>
      </w:r>
      <w:r>
        <w:rPr>
          <w:spacing w:val="-4"/>
          <w:w w:val="99"/>
        </w:rPr>
        <w:t>I</w:t>
      </w:r>
      <w:r>
        <w:rPr>
          <w:w w:val="99"/>
        </w:rPr>
        <w:t>A</w:t>
      </w:r>
      <w:r>
        <w:rPr>
          <w:spacing w:val="1"/>
          <w:w w:val="99"/>
        </w:rPr>
        <w:t>N</w:t>
      </w:r>
      <w:r>
        <w:rPr>
          <w:spacing w:val="-4"/>
          <w:w w:val="99"/>
        </w:rPr>
        <w:t>I</w:t>
      </w:r>
      <w:r>
        <w:rPr>
          <w:w w:val="99"/>
        </w:rPr>
        <w:t>, </w:t>
      </w:r>
      <w:r>
        <w:rPr>
          <w:spacing w:val="-18"/>
          <w:w w:val="99"/>
        </w:rPr>
        <w:t> </w:t>
      </w:r>
      <w:r>
        <w:rPr>
          <w:w w:val="99"/>
        </w:rPr>
        <w:t>1997</w:t>
      </w:r>
      <w:r>
        <w:rPr>
          <w:spacing w:val="-1"/>
          <w:w w:val="99"/>
        </w:rPr>
        <w:t>)</w:t>
      </w:r>
      <w:r>
        <w:rPr>
          <w:w w:val="99"/>
        </w:rPr>
        <w:t>. </w:t>
      </w:r>
      <w:r>
        <w:rPr>
          <w:spacing w:val="-20"/>
          <w:w w:val="99"/>
        </w:rPr>
        <w:t> </w:t>
      </w:r>
      <w:r>
        <w:rPr>
          <w:w w:val="99"/>
        </w:rPr>
        <w:t>E, </w:t>
      </w:r>
      <w:r>
        <w:rPr>
          <w:spacing w:val="-20"/>
          <w:w w:val="99"/>
        </w:rPr>
        <w:t> </w:t>
      </w:r>
      <w:r>
        <w:rPr>
          <w:spacing w:val="2"/>
          <w:w w:val="99"/>
        </w:rPr>
        <w:t>n</w:t>
      </w:r>
      <w:r>
        <w:rPr>
          <w:w w:val="99"/>
        </w:rPr>
        <w:t>o </w:t>
      </w:r>
      <w:r>
        <w:rPr>
          <w:spacing w:val="-17"/>
          <w:w w:val="99"/>
        </w:rPr>
        <w:t> </w:t>
      </w:r>
      <w:r>
        <w:rPr>
          <w:spacing w:val="-1"/>
          <w:w w:val="99"/>
        </w:rPr>
        <w:t>ca</w:t>
      </w:r>
      <w:r>
        <w:rPr>
          <w:w w:val="99"/>
        </w:rPr>
        <w:t>so</w:t>
      </w:r>
      <w:r>
        <w:rPr/>
        <w:t> </w:t>
      </w:r>
      <w:r>
        <w:rPr>
          <w:spacing w:val="-20"/>
        </w:rPr>
        <w:t> </w:t>
      </w:r>
      <w:r>
        <w:rPr/>
        <w:t>do </w:t>
      </w:r>
      <w:r>
        <w:rPr>
          <w:spacing w:val="-20"/>
        </w:rPr>
        <w:t> </w:t>
      </w:r>
      <w:r>
        <w:rPr>
          <w:w w:val="99"/>
        </w:rPr>
        <w:t>P</w:t>
      </w:r>
      <w:r>
        <w:rPr>
          <w:w w:val="99"/>
        </w:rPr>
        <w:t>NE</w:t>
      </w:r>
      <w:r>
        <w:rPr/>
        <w:t> </w:t>
      </w:r>
      <w:r>
        <w:rPr>
          <w:spacing w:val="-21"/>
        </w:rPr>
        <w:t> </w:t>
      </w:r>
      <w:r>
        <w:rPr/>
        <w:t>2001</w:t>
      </w:r>
      <w:r>
        <w:rPr>
          <w:spacing w:val="-1"/>
        </w:rPr>
        <w:t>-</w:t>
      </w:r>
      <w:r>
        <w:rPr/>
        <w:t>2</w:t>
      </w:r>
      <w:r>
        <w:rPr>
          <w:spacing w:val="2"/>
        </w:rPr>
        <w:t>0</w:t>
      </w:r>
      <w:r>
        <w:rPr/>
        <w:t>10, </w:t>
      </w:r>
      <w:r>
        <w:rPr>
          <w:spacing w:val="-20"/>
        </w:rPr>
        <w:t> </w:t>
      </w:r>
      <w:r>
        <w:rPr>
          <w:spacing w:val="-1"/>
          <w:w w:val="44"/>
        </w:rPr>
        <w:t>―</w:t>
      </w:r>
      <w:r>
        <w:rPr>
          <w:spacing w:val="-1"/>
          <w:w w:val="100"/>
        </w:rPr>
        <w:t>a</w:t>
      </w:r>
      <w:r>
        <w:rPr>
          <w:w w:val="100"/>
        </w:rPr>
        <w:t>ntes </w:t>
      </w:r>
      <w:r>
        <w:rPr>
          <w:spacing w:val="-20"/>
          <w:w w:val="100"/>
        </w:rPr>
        <w:t> </w:t>
      </w:r>
      <w:r>
        <w:rPr>
          <w:w w:val="100"/>
        </w:rPr>
        <w:t>que </w:t>
      </w:r>
      <w:r>
        <w:rPr>
          <w:spacing w:val="-19"/>
          <w:w w:val="100"/>
        </w:rPr>
        <w:t> </w:t>
      </w:r>
      <w:r>
        <w:rPr>
          <w:w w:val="100"/>
        </w:rPr>
        <w:t>a</w:t>
      </w:r>
      <w:r>
        <w:rPr/>
        <w:t> </w:t>
      </w:r>
      <w:r>
        <w:rPr>
          <w:spacing w:val="-18"/>
        </w:rPr>
        <w:t> </w:t>
      </w:r>
      <w:r>
        <w:rPr>
          <w:spacing w:val="-3"/>
          <w:w w:val="100"/>
        </w:rPr>
        <w:t>L</w:t>
      </w:r>
      <w:r>
        <w:rPr>
          <w:spacing w:val="1"/>
          <w:w w:val="99"/>
        </w:rPr>
        <w:t>D</w:t>
      </w:r>
      <w:r>
        <w:rPr>
          <w:w w:val="100"/>
        </w:rPr>
        <w:t>B </w:t>
      </w:r>
      <w:r>
        <w:rPr>
          <w:spacing w:val="-22"/>
          <w:w w:val="100"/>
        </w:rPr>
        <w:t> </w:t>
      </w:r>
      <w:r>
        <w:rPr>
          <w:spacing w:val="1"/>
          <w:w w:val="100"/>
        </w:rPr>
        <w:t>f</w:t>
      </w:r>
      <w:r>
        <w:rPr>
          <w:w w:val="99"/>
        </w:rPr>
        <w:t>osse </w:t>
      </w:r>
      <w:r>
        <w:rPr>
          <w:spacing w:val="-20"/>
          <w:w w:val="99"/>
        </w:rPr>
        <w:t> </w:t>
      </w:r>
      <w:r>
        <w:rPr>
          <w:spacing w:val="-1"/>
          <w:w w:val="100"/>
        </w:rPr>
        <w:t>e</w:t>
      </w:r>
      <w:r>
        <w:rPr>
          <w:w w:val="100"/>
        </w:rPr>
        <w:t>dit</w:t>
      </w:r>
      <w:r>
        <w:rPr>
          <w:spacing w:val="-1"/>
          <w:w w:val="100"/>
        </w:rPr>
        <w:t>a</w:t>
      </w:r>
      <w:r>
        <w:rPr>
          <w:w w:val="100"/>
        </w:rPr>
        <w:t>d</w:t>
      </w:r>
      <w:r>
        <w:rPr>
          <w:spacing w:val="1"/>
          <w:w w:val="100"/>
        </w:rPr>
        <w:t>a</w:t>
      </w:r>
      <w:r>
        <w:rPr/>
        <w:t>, entidades da sociedade civil já [o] vinham preparando‖. A semelhança, no caso,  também, refere-se que as Leis citadas tiveram início e motivação por meio de entidades da sociedade civil, no entanto, os projetos finalmente aprovados foram advindos ou</w:t>
      </w:r>
      <w:r>
        <w:rPr>
          <w:spacing w:val="13"/>
        </w:rPr>
        <w:t> </w:t>
      </w:r>
      <w:r>
        <w:rPr/>
        <w:t>com</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0" w:lineRule="auto" w:before="210"/>
        <w:ind w:left="102" w:right="121"/>
        <w:jc w:val="both"/>
      </w:pPr>
      <w:r>
        <w:rPr>
          <w:w w:val="100"/>
        </w:rPr>
        <w:t>maior</w:t>
      </w:r>
      <w:r>
        <w:rPr/>
        <w:t>  </w:t>
      </w:r>
      <w:r>
        <w:rPr>
          <w:w w:val="100"/>
        </w:rPr>
        <w:t>incidênc</w:t>
      </w:r>
      <w:r>
        <w:rPr>
          <w:w w:val="100"/>
        </w:rPr>
        <w:t>ia</w:t>
      </w:r>
      <w:r>
        <w:rPr/>
        <w:t>   </w:t>
      </w:r>
      <w:r>
        <w:rPr>
          <w:w w:val="100"/>
        </w:rPr>
        <w:t>de</w:t>
      </w:r>
      <w:r>
        <w:rPr/>
        <w:t>  q</w:t>
      </w:r>
      <w:r>
        <w:rPr>
          <w:w w:val="100"/>
        </w:rPr>
        <w:t>ue</w:t>
      </w:r>
      <w:r>
        <w:rPr/>
        <w:t>stões  </w:t>
      </w:r>
      <w:r>
        <w:rPr>
          <w:w w:val="100"/>
        </w:rPr>
        <w:t>pontuada</w:t>
      </w:r>
      <w:r>
        <w:rPr>
          <w:w w:val="99"/>
        </w:rPr>
        <w:t>s</w:t>
      </w:r>
      <w:r>
        <w:rPr/>
        <w:t>  p</w:t>
      </w:r>
      <w:r>
        <w:rPr>
          <w:w w:val="100"/>
        </w:rPr>
        <w:t>e</w:t>
      </w:r>
      <w:r>
        <w:rPr>
          <w:w w:val="100"/>
        </w:rPr>
        <w:t>lo</w:t>
      </w:r>
      <w:r>
        <w:rPr/>
        <w:t>  gov</w:t>
      </w:r>
      <w:r>
        <w:rPr>
          <w:w w:val="100"/>
        </w:rPr>
        <w:t>e</w:t>
      </w:r>
      <w:r>
        <w:rPr>
          <w:w w:val="99"/>
        </w:rPr>
        <w:t>rno  </w:t>
      </w:r>
      <w:r>
        <w:rPr>
          <w:w w:val="100"/>
        </w:rPr>
        <w:t>de</w:t>
      </w:r>
      <w:r>
        <w:rPr/>
        <w:t>  modo  </w:t>
      </w:r>
      <w:r>
        <w:rPr>
          <w:w w:val="100"/>
        </w:rPr>
        <w:t>a</w:t>
      </w:r>
      <w:r>
        <w:rPr/>
        <w:t>   </w:t>
      </w:r>
      <w:r>
        <w:rPr>
          <w:w w:val="44"/>
        </w:rPr>
        <w:t>―</w:t>
      </w:r>
      <w:r>
        <w:rPr>
          <w:w w:val="99"/>
        </w:rPr>
        <w:t>pr</w:t>
      </w:r>
      <w:r>
        <w:rPr>
          <w:w w:val="100"/>
        </w:rPr>
        <w:t>e</w:t>
      </w:r>
      <w:r>
        <w:rPr>
          <w:w w:val="99"/>
        </w:rPr>
        <w:t>se</w:t>
      </w:r>
      <w:r>
        <w:rPr>
          <w:w w:val="100"/>
        </w:rPr>
        <w:t>rva</w:t>
      </w:r>
      <w:r>
        <w:rPr>
          <w:w w:val="99"/>
        </w:rPr>
        <w:t>r   </w:t>
      </w:r>
      <w:r>
        <w:rPr>
          <w:w w:val="99"/>
        </w:rPr>
        <w:t>os </w:t>
      </w:r>
      <w:r>
        <w:rPr>
          <w:w w:val="100"/>
        </w:rPr>
        <w:t>inte</w:t>
      </w:r>
      <w:r>
        <w:rPr>
          <w:w w:val="100"/>
        </w:rPr>
        <w:t>re</w:t>
      </w:r>
      <w:r>
        <w:rPr>
          <w:w w:val="99"/>
        </w:rPr>
        <w:t>sses</w:t>
      </w:r>
      <w:r>
        <w:rPr/>
        <w:t>  </w:t>
      </w:r>
      <w:r>
        <w:rPr>
          <w:w w:val="99"/>
        </w:rPr>
        <w:t>dos</w:t>
      </w:r>
      <w:r>
        <w:rPr/>
        <w:t>  grupos  p</w:t>
      </w:r>
      <w:r>
        <w:rPr>
          <w:w w:val="100"/>
        </w:rPr>
        <w:t>riva</w:t>
      </w:r>
      <w:r>
        <w:rPr>
          <w:w w:val="100"/>
        </w:rPr>
        <w:t>ti</w:t>
      </w:r>
      <w:r>
        <w:rPr>
          <w:w w:val="109"/>
        </w:rPr>
        <w:t>stas‖</w:t>
      </w:r>
      <w:r>
        <w:rPr/>
        <w:t>  </w:t>
      </w:r>
      <w:r>
        <w:rPr>
          <w:w w:val="99"/>
        </w:rPr>
        <w:t>(SAV</w:t>
      </w:r>
      <w:r>
        <w:rPr>
          <w:w w:val="99"/>
        </w:rPr>
        <w:t>I</w:t>
      </w:r>
      <w:r>
        <w:rPr>
          <w:w w:val="99"/>
        </w:rPr>
        <w:t>AN</w:t>
      </w:r>
      <w:r>
        <w:rPr>
          <w:w w:val="99"/>
        </w:rPr>
        <w:t>I,  1997,  p.  157),  </w:t>
      </w:r>
      <w:r>
        <w:rPr>
          <w:w w:val="100"/>
        </w:rPr>
        <w:t>e</w:t>
      </w:r>
      <w:r>
        <w:rPr/>
        <w:t>  sendo  </w:t>
      </w:r>
      <w:r>
        <w:rPr>
          <w:w w:val="44"/>
        </w:rPr>
        <w:t>―</w:t>
      </w:r>
      <w:r>
        <w:rPr>
          <w:w w:val="99"/>
        </w:rPr>
        <w:t>[</w:t>
      </w:r>
      <w:r>
        <w:rPr>
          <w:w w:val="100"/>
        </w:rPr>
        <w:t>fié</w:t>
      </w:r>
      <w:r>
        <w:rPr/>
        <w:t>is]  </w:t>
      </w:r>
      <w:r>
        <w:rPr>
          <w:w w:val="100"/>
        </w:rPr>
        <w:t>a</w:t>
      </w:r>
      <w:r>
        <w:rPr>
          <w:w w:val="99"/>
        </w:rPr>
        <w:t>os </w:t>
      </w:r>
      <w:r>
        <w:rPr/>
        <w:t>cânones do neoliberalismo‖ (VALENTE, 2001, p. 40).</w:t>
      </w:r>
    </w:p>
    <w:p>
      <w:pPr>
        <w:pStyle w:val="BodyText"/>
        <w:spacing w:line="360" w:lineRule="auto" w:before="5"/>
        <w:ind w:left="102" w:right="117" w:firstLine="851"/>
        <w:jc w:val="both"/>
      </w:pPr>
      <w:r>
        <w:rPr/>
        <w:t>Com efeito, logo após a aprovação da LDB nº 9.394/1996, os educadores mobilizam-se em um processo de elaboração do PNE, como formato de plano global, para a educação em todos os seus níveis, etapas e modalidades, e de Estado (BORDIGNON, 2011). De modo contrário, também, o executivo, encaminha projeto de Lei. Assim, segundo Dourado (2010, p. 683), os dois projetos encaminhados </w:t>
      </w:r>
      <w:r>
        <w:rPr>
          <w:w w:val="100"/>
        </w:rPr>
        <w:t>a</w:t>
      </w:r>
      <w:r>
        <w:rPr>
          <w:w w:val="99"/>
        </w:rPr>
        <w:t>pr</w:t>
      </w:r>
      <w:r>
        <w:rPr>
          <w:w w:val="100"/>
        </w:rPr>
        <w:t>e</w:t>
      </w:r>
      <w:r>
        <w:rPr>
          <w:w w:val="99"/>
        </w:rPr>
        <w:t>se</w:t>
      </w:r>
      <w:r>
        <w:rPr>
          <w:w w:val="100"/>
        </w:rPr>
        <w:t>nt</w:t>
      </w:r>
      <w:r>
        <w:rPr>
          <w:w w:val="100"/>
        </w:rPr>
        <w:t>a</w:t>
      </w:r>
      <w:r>
        <w:rPr>
          <w:w w:val="100"/>
        </w:rPr>
        <w:t>m</w:t>
      </w:r>
      <w:r>
        <w:rPr/>
        <w:t> </w:t>
      </w:r>
      <w:r>
        <w:rPr>
          <w:w w:val="44"/>
        </w:rPr>
        <w:t>―</w:t>
      </w:r>
      <w:r>
        <w:rPr>
          <w:w w:val="100"/>
        </w:rPr>
        <w:t>Conc</w:t>
      </w:r>
      <w:r>
        <w:rPr>
          <w:w w:val="100"/>
        </w:rPr>
        <w:t>e</w:t>
      </w:r>
      <w:r>
        <w:rPr>
          <w:w w:val="100"/>
        </w:rPr>
        <w:t>pç</w:t>
      </w:r>
      <w:r>
        <w:rPr/>
        <w:t>õ</w:t>
      </w:r>
      <w:r>
        <w:rPr>
          <w:w w:val="100"/>
        </w:rPr>
        <w:t>e</w:t>
      </w:r>
      <w:r>
        <w:rPr>
          <w:w w:val="99"/>
        </w:rPr>
        <w:t>s</w:t>
      </w:r>
      <w:r>
        <w:rPr/>
        <w:t> </w:t>
      </w:r>
      <w:r>
        <w:rPr>
          <w:w w:val="100"/>
        </w:rPr>
        <w:t>e</w:t>
      </w:r>
      <w:r>
        <w:rPr/>
        <w:t> pr</w:t>
      </w:r>
      <w:r>
        <w:rPr>
          <w:w w:val="100"/>
        </w:rPr>
        <w:t>ioridade</w:t>
      </w:r>
      <w:r>
        <w:rPr>
          <w:w w:val="99"/>
        </w:rPr>
        <w:t>s</w:t>
      </w:r>
      <w:r>
        <w:rPr/>
        <w:t> </w:t>
      </w:r>
      <w:r>
        <w:rPr>
          <w:w w:val="100"/>
        </w:rPr>
        <w:t>e</w:t>
      </w:r>
      <w:r>
        <w:rPr>
          <w:w w:val="100"/>
        </w:rPr>
        <w:t>duc</w:t>
      </w:r>
      <w:r>
        <w:rPr>
          <w:w w:val="100"/>
        </w:rPr>
        <w:t>ac</w:t>
      </w:r>
      <w:r>
        <w:rPr>
          <w:w w:val="100"/>
        </w:rPr>
        <w:t>ion</w:t>
      </w:r>
      <w:r>
        <w:rPr>
          <w:w w:val="100"/>
        </w:rPr>
        <w:t>a</w:t>
      </w:r>
      <w:r>
        <w:rPr>
          <w:w w:val="100"/>
        </w:rPr>
        <w:t>is </w:t>
      </w:r>
      <w:r>
        <w:rPr>
          <w:w w:val="100"/>
        </w:rPr>
        <w:t>dist</w:t>
      </w:r>
      <w:r>
        <w:rPr>
          <w:w w:val="100"/>
        </w:rPr>
        <w:t>inta</w:t>
      </w:r>
      <w:r>
        <w:rPr>
          <w:w w:val="99"/>
        </w:rPr>
        <w:t>s,</w:t>
      </w:r>
      <w:r>
        <w:rPr/>
        <w:t> sobretudo n</w:t>
      </w:r>
      <w:r>
        <w:rPr>
          <w:w w:val="100"/>
        </w:rPr>
        <w:t>a</w:t>
      </w:r>
      <w:r>
        <w:rPr/>
        <w:t> </w:t>
      </w:r>
      <w:r>
        <w:rPr>
          <w:w w:val="100"/>
        </w:rPr>
        <w:t>a</w:t>
      </w:r>
      <w:r>
        <w:rPr>
          <w:w w:val="99"/>
        </w:rPr>
        <w:t>br</w:t>
      </w:r>
      <w:r>
        <w:rPr>
          <w:w w:val="100"/>
        </w:rPr>
        <w:t>a</w:t>
      </w:r>
      <w:r>
        <w:rPr/>
        <w:t>ng</w:t>
      </w:r>
      <w:r>
        <w:rPr>
          <w:w w:val="100"/>
        </w:rPr>
        <w:t>ê</w:t>
      </w:r>
      <w:r>
        <w:rPr/>
        <w:t>n</w:t>
      </w:r>
      <w:r>
        <w:rPr>
          <w:w w:val="100"/>
        </w:rPr>
        <w:t>c</w:t>
      </w:r>
      <w:r>
        <w:rPr>
          <w:w w:val="100"/>
        </w:rPr>
        <w:t>i</w:t>
      </w:r>
      <w:r>
        <w:rPr>
          <w:w w:val="100"/>
        </w:rPr>
        <w:t>a </w:t>
      </w:r>
      <w:r>
        <w:rPr/>
        <w:t>das políticas, em seu financiamento e gestão‖, reforçando e acentuando as disputas entre os conservadores e os progressistas. O referido plano, quando aprovado, é resultado   da</w:t>
      </w:r>
    </w:p>
    <w:p>
      <w:pPr>
        <w:pStyle w:val="BodyText"/>
        <w:spacing w:line="360" w:lineRule="auto" w:before="5"/>
        <w:ind w:left="102" w:right="123"/>
        <w:jc w:val="both"/>
      </w:pPr>
      <w:r>
        <w:rPr>
          <w:spacing w:val="-1"/>
          <w:w w:val="44"/>
        </w:rPr>
        <w:t>―</w:t>
      </w:r>
      <w:r>
        <w:rPr>
          <w:w w:val="100"/>
        </w:rPr>
        <w:t>h</w:t>
      </w:r>
      <w:r>
        <w:rPr>
          <w:spacing w:val="1"/>
          <w:w w:val="100"/>
        </w:rPr>
        <w:t>e</w:t>
      </w:r>
      <w:r>
        <w:rPr>
          <w:spacing w:val="-3"/>
        </w:rPr>
        <w:t>g</w:t>
      </w:r>
      <w:r>
        <w:rPr>
          <w:spacing w:val="-1"/>
          <w:w w:val="100"/>
        </w:rPr>
        <w:t>e</w:t>
      </w:r>
      <w:r>
        <w:rPr>
          <w:w w:val="100"/>
        </w:rPr>
        <w:t>moni</w:t>
      </w:r>
      <w:r>
        <w:rPr>
          <w:w w:val="100"/>
        </w:rPr>
        <w:t>a</w:t>
      </w:r>
      <w:r>
        <w:rPr/>
        <w:t> </w:t>
      </w:r>
      <w:r>
        <w:rPr>
          <w:spacing w:val="-23"/>
        </w:rPr>
        <w:t> </w:t>
      </w:r>
      <w:r>
        <w:rPr>
          <w:spacing w:val="-3"/>
        </w:rPr>
        <w:t>g</w:t>
      </w:r>
      <w:r>
        <w:rPr>
          <w:w w:val="100"/>
        </w:rPr>
        <w:t>ov</w:t>
      </w:r>
      <w:r>
        <w:rPr>
          <w:spacing w:val="1"/>
          <w:w w:val="100"/>
        </w:rPr>
        <w:t>e</w:t>
      </w:r>
      <w:r>
        <w:rPr>
          <w:w w:val="100"/>
        </w:rPr>
        <w:t>rn</w:t>
      </w:r>
      <w:r>
        <w:rPr>
          <w:spacing w:val="-2"/>
          <w:w w:val="100"/>
        </w:rPr>
        <w:t>a</w:t>
      </w:r>
      <w:r>
        <w:rPr>
          <w:w w:val="100"/>
        </w:rPr>
        <w:t>me</w:t>
      </w:r>
      <w:r>
        <w:rPr>
          <w:spacing w:val="1"/>
          <w:w w:val="100"/>
        </w:rPr>
        <w:t>n</w:t>
      </w:r>
      <w:r>
        <w:rPr>
          <w:w w:val="100"/>
        </w:rPr>
        <w:t>tal</w:t>
      </w:r>
      <w:r>
        <w:rPr/>
        <w:t> </w:t>
      </w:r>
      <w:r>
        <w:rPr>
          <w:spacing w:val="-25"/>
        </w:rPr>
        <w:t> </w:t>
      </w:r>
      <w:r>
        <w:rPr/>
        <w:t>no </w:t>
      </w:r>
      <w:r>
        <w:rPr>
          <w:spacing w:val="-25"/>
        </w:rPr>
        <w:t> </w:t>
      </w:r>
      <w:r>
        <w:rPr/>
        <w:t>Con</w:t>
      </w:r>
      <w:r>
        <w:rPr>
          <w:spacing w:val="-3"/>
        </w:rPr>
        <w:t>g</w:t>
      </w:r>
      <w:r>
        <w:rPr>
          <w:w w:val="100"/>
        </w:rPr>
        <w:t>r</w:t>
      </w:r>
      <w:r>
        <w:rPr>
          <w:spacing w:val="-2"/>
          <w:w w:val="100"/>
        </w:rPr>
        <w:t>e</w:t>
      </w:r>
      <w:r>
        <w:rPr>
          <w:w w:val="99"/>
        </w:rPr>
        <w:t>sso</w:t>
      </w:r>
      <w:r>
        <w:rPr/>
        <w:t> </w:t>
      </w:r>
      <w:r>
        <w:rPr>
          <w:spacing w:val="-24"/>
        </w:rPr>
        <w:t> </w:t>
      </w:r>
      <w:r>
        <w:rPr/>
        <w:t>Na</w:t>
      </w:r>
      <w:r>
        <w:rPr>
          <w:spacing w:val="-1"/>
          <w:w w:val="100"/>
        </w:rPr>
        <w:t>c</w:t>
      </w:r>
      <w:r>
        <w:rPr>
          <w:w w:val="100"/>
        </w:rPr>
        <w:t>ional,</w:t>
      </w:r>
      <w:r>
        <w:rPr/>
        <w:t> </w:t>
      </w:r>
      <w:r>
        <w:rPr>
          <w:spacing w:val="-25"/>
        </w:rPr>
        <w:t> </w:t>
      </w:r>
      <w:r>
        <w:rPr>
          <w:w w:val="100"/>
        </w:rPr>
        <w:t>que </w:t>
      </w:r>
      <w:r>
        <w:rPr>
          <w:spacing w:val="-26"/>
          <w:w w:val="100"/>
        </w:rPr>
        <w:t> </w:t>
      </w:r>
      <w:r>
        <w:rPr>
          <w:w w:val="99"/>
        </w:rPr>
        <w:t>busc</w:t>
      </w:r>
      <w:r>
        <w:rPr>
          <w:spacing w:val="-1"/>
          <w:w w:val="99"/>
        </w:rPr>
        <w:t>o</w:t>
      </w:r>
      <w:r>
        <w:rPr>
          <w:w w:val="99"/>
        </w:rPr>
        <w:t>u </w:t>
      </w:r>
      <w:r>
        <w:rPr>
          <w:spacing w:val="-25"/>
          <w:w w:val="99"/>
        </w:rPr>
        <w:t> </w:t>
      </w:r>
      <w:r>
        <w:rPr>
          <w:w w:val="100"/>
        </w:rPr>
        <w:t>tr</w:t>
      </w:r>
      <w:r>
        <w:rPr>
          <w:spacing w:val="-2"/>
          <w:w w:val="100"/>
        </w:rPr>
        <w:t>a</w:t>
      </w:r>
      <w:r>
        <w:rPr>
          <w:w w:val="100"/>
        </w:rPr>
        <w:t>du</w:t>
      </w:r>
      <w:r>
        <w:rPr>
          <w:spacing w:val="1"/>
          <w:w w:val="100"/>
        </w:rPr>
        <w:t>z</w:t>
      </w:r>
      <w:r>
        <w:rPr>
          <w:w w:val="100"/>
        </w:rPr>
        <w:t>ir</w:t>
      </w:r>
      <w:r>
        <w:rPr/>
        <w:t> </w:t>
      </w:r>
      <w:r>
        <w:rPr>
          <w:spacing w:val="-25"/>
        </w:rPr>
        <w:t> </w:t>
      </w:r>
      <w:r>
        <w:rPr>
          <w:w w:val="100"/>
        </w:rPr>
        <w:t>a</w:t>
      </w:r>
      <w:r>
        <w:rPr/>
        <w:t> </w:t>
      </w:r>
      <w:r>
        <w:rPr>
          <w:spacing w:val="-26"/>
        </w:rPr>
        <w:t> </w:t>
      </w:r>
      <w:r>
        <w:rPr>
          <w:w w:val="100"/>
        </w:rPr>
        <w:t>ló</w:t>
      </w:r>
      <w:r>
        <w:rPr>
          <w:spacing w:val="-2"/>
          <w:w w:val="100"/>
        </w:rPr>
        <w:t>g</w:t>
      </w:r>
      <w:r>
        <w:rPr>
          <w:w w:val="100"/>
        </w:rPr>
        <w:t>ica</w:t>
      </w:r>
      <w:r>
        <w:rPr/>
        <w:t> </w:t>
      </w:r>
      <w:r>
        <w:rPr>
          <w:spacing w:val="-26"/>
        </w:rPr>
        <w:t> </w:t>
      </w:r>
      <w:r>
        <w:rPr>
          <w:w w:val="100"/>
        </w:rPr>
        <w:t>d</w:t>
      </w:r>
      <w:r>
        <w:rPr>
          <w:spacing w:val="1"/>
          <w:w w:val="100"/>
        </w:rPr>
        <w:t>a</w:t>
      </w:r>
      <w:r>
        <w:rPr>
          <w:w w:val="99"/>
        </w:rPr>
        <w:t>s </w:t>
      </w:r>
      <w:r>
        <w:rPr/>
        <w:t>políticas governamentais em</w:t>
      </w:r>
      <w:r>
        <w:rPr>
          <w:spacing w:val="31"/>
        </w:rPr>
        <w:t> </w:t>
      </w:r>
      <w:r>
        <w:rPr/>
        <w:t>curso‖.</w:t>
      </w:r>
    </w:p>
    <w:p>
      <w:pPr>
        <w:pStyle w:val="BodyText"/>
        <w:spacing w:line="360" w:lineRule="auto" w:before="5"/>
        <w:ind w:left="102" w:right="118" w:firstLine="851"/>
        <w:jc w:val="both"/>
      </w:pPr>
      <w:r>
        <w:rPr/>
        <w:t>Segundo Valente (2001, p. 13), era previsível que o executivo acampasse vitória frente à mobilização dos educadores, pois, o governo Fernando Henrique </w:t>
      </w:r>
      <w:r>
        <w:rPr>
          <w:w w:val="99"/>
        </w:rPr>
        <w:t>C</w:t>
      </w:r>
      <w:r>
        <w:rPr>
          <w:spacing w:val="-1"/>
          <w:w w:val="100"/>
        </w:rPr>
        <w:t>a</w:t>
      </w:r>
      <w:r>
        <w:rPr>
          <w:w w:val="99"/>
        </w:rPr>
        <w:t>rdoso, </w:t>
      </w:r>
      <w:r>
        <w:rPr>
          <w:spacing w:val="-28"/>
          <w:w w:val="99"/>
        </w:rPr>
        <w:t> </w:t>
      </w:r>
      <w:r>
        <w:rPr>
          <w:spacing w:val="-1"/>
          <w:w w:val="44"/>
        </w:rPr>
        <w:t>―</w:t>
      </w:r>
      <w:r>
        <w:rPr>
          <w:spacing w:val="-1"/>
          <w:w w:val="100"/>
        </w:rPr>
        <w:t>c</w:t>
      </w:r>
      <w:r>
        <w:rPr>
          <w:w w:val="100"/>
        </w:rPr>
        <w:t>onta</w:t>
      </w:r>
      <w:r>
        <w:rPr/>
        <w:t> </w:t>
      </w:r>
      <w:r>
        <w:rPr>
          <w:spacing w:val="-28"/>
        </w:rPr>
        <w:t> </w:t>
      </w:r>
      <w:r>
        <w:rPr>
          <w:spacing w:val="-1"/>
          <w:w w:val="100"/>
        </w:rPr>
        <w:t>c</w:t>
      </w:r>
      <w:r>
        <w:rPr>
          <w:w w:val="100"/>
        </w:rPr>
        <w:t>om</w:t>
      </w:r>
      <w:r>
        <w:rPr/>
        <w:t> </w:t>
      </w:r>
      <w:r>
        <w:rPr>
          <w:spacing w:val="-27"/>
        </w:rPr>
        <w:t> </w:t>
      </w:r>
      <w:r>
        <w:rPr>
          <w:spacing w:val="1"/>
          <w:w w:val="100"/>
        </w:rPr>
        <w:t>a</w:t>
      </w:r>
      <w:r>
        <w:rPr>
          <w:w w:val="100"/>
        </w:rPr>
        <w:t>mpl</w:t>
      </w:r>
      <w:r>
        <w:rPr>
          <w:w w:val="100"/>
        </w:rPr>
        <w:t>a</w:t>
      </w:r>
      <w:r>
        <w:rPr/>
        <w:t> </w:t>
      </w:r>
      <w:r>
        <w:rPr>
          <w:spacing w:val="-28"/>
        </w:rPr>
        <w:t> </w:t>
      </w:r>
      <w:r>
        <w:rPr>
          <w:w w:val="100"/>
        </w:rPr>
        <w:t>maio</w:t>
      </w:r>
      <w:r>
        <w:rPr>
          <w:spacing w:val="-1"/>
          <w:w w:val="100"/>
        </w:rPr>
        <w:t>r</w:t>
      </w:r>
      <w:r>
        <w:rPr>
          <w:w w:val="100"/>
        </w:rPr>
        <w:t>ia</w:t>
      </w:r>
      <w:r>
        <w:rPr/>
        <w:t> </w:t>
      </w:r>
      <w:r>
        <w:rPr>
          <w:spacing w:val="-28"/>
        </w:rPr>
        <w:t> </w:t>
      </w:r>
      <w:r>
        <w:rPr>
          <w:w w:val="100"/>
        </w:rPr>
        <w:t>na</w:t>
      </w:r>
      <w:r>
        <w:rPr/>
        <w:t> </w:t>
      </w:r>
      <w:r>
        <w:rPr>
          <w:spacing w:val="-28"/>
        </w:rPr>
        <w:t> </w:t>
      </w:r>
      <w:r>
        <w:rPr/>
        <w:t>C</w:t>
      </w:r>
      <w:r>
        <w:rPr>
          <w:spacing w:val="-1"/>
          <w:w w:val="100"/>
        </w:rPr>
        <w:t>â</w:t>
      </w:r>
      <w:r>
        <w:rPr>
          <w:w w:val="100"/>
        </w:rPr>
        <w:t>ma</w:t>
      </w:r>
      <w:r>
        <w:rPr>
          <w:spacing w:val="-2"/>
          <w:w w:val="100"/>
        </w:rPr>
        <w:t>r</w:t>
      </w:r>
      <w:r>
        <w:rPr>
          <w:w w:val="100"/>
        </w:rPr>
        <w:t>a</w:t>
      </w:r>
      <w:r>
        <w:rPr/>
        <w:t> </w:t>
      </w:r>
      <w:r>
        <w:rPr>
          <w:spacing w:val="-28"/>
        </w:rPr>
        <w:t> </w:t>
      </w:r>
      <w:r>
        <w:rPr>
          <w:w w:val="99"/>
        </w:rPr>
        <w:t>dos</w:t>
      </w:r>
      <w:r>
        <w:rPr/>
        <w:t> </w:t>
      </w:r>
      <w:r>
        <w:rPr>
          <w:spacing w:val="-27"/>
        </w:rPr>
        <w:t> </w:t>
      </w:r>
      <w:r>
        <w:rPr/>
        <w:t>D</w:t>
      </w:r>
      <w:r>
        <w:rPr>
          <w:spacing w:val="-2"/>
        </w:rPr>
        <w:t>e</w:t>
      </w:r>
      <w:r>
        <w:rPr/>
        <w:t>putados </w:t>
      </w:r>
      <w:r>
        <w:rPr>
          <w:spacing w:val="-27"/>
        </w:rPr>
        <w:t> </w:t>
      </w:r>
      <w:r>
        <w:rPr>
          <w:w w:val="100"/>
        </w:rPr>
        <w:t>e</w:t>
      </w:r>
      <w:r>
        <w:rPr/>
        <w:t> </w:t>
      </w:r>
      <w:r>
        <w:rPr>
          <w:spacing w:val="-28"/>
        </w:rPr>
        <w:t> </w:t>
      </w:r>
      <w:r>
        <w:rPr/>
        <w:t>no </w:t>
      </w:r>
      <w:r>
        <w:rPr>
          <w:spacing w:val="-27"/>
        </w:rPr>
        <w:t> </w:t>
      </w:r>
      <w:r>
        <w:rPr>
          <w:w w:val="99"/>
        </w:rPr>
        <w:t>S</w:t>
      </w:r>
      <w:r>
        <w:rPr>
          <w:spacing w:val="-1"/>
          <w:w w:val="100"/>
        </w:rPr>
        <w:t>e</w:t>
      </w:r>
      <w:r>
        <w:rPr>
          <w:w w:val="100"/>
        </w:rPr>
        <w:t>n</w:t>
      </w:r>
      <w:r>
        <w:rPr>
          <w:spacing w:val="-1"/>
          <w:w w:val="100"/>
        </w:rPr>
        <w:t>a</w:t>
      </w:r>
      <w:r>
        <w:rPr>
          <w:w w:val="112"/>
        </w:rPr>
        <w:t>do</w:t>
      </w:r>
      <w:r>
        <w:rPr>
          <w:spacing w:val="-1"/>
          <w:w w:val="112"/>
        </w:rPr>
        <w:t>‖</w:t>
      </w:r>
      <w:r>
        <w:rPr/>
        <w:t>, </w:t>
      </w:r>
      <w:r>
        <w:rPr>
          <w:spacing w:val="-27"/>
        </w:rPr>
        <w:t> </w:t>
      </w:r>
      <w:r>
        <w:rPr/>
        <w:t>o </w:t>
      </w:r>
      <w:r>
        <w:rPr>
          <w:spacing w:val="-27"/>
        </w:rPr>
        <w:t> </w:t>
      </w:r>
      <w:r>
        <w:rPr>
          <w:w w:val="100"/>
        </w:rPr>
        <w:t>qu</w:t>
      </w:r>
      <w:r>
        <w:rPr>
          <w:spacing w:val="-1"/>
          <w:w w:val="100"/>
        </w:rPr>
        <w:t>e</w:t>
      </w:r>
      <w:r>
        <w:rPr>
          <w:w w:val="100"/>
        </w:rPr>
        <w:t>, </w:t>
      </w:r>
      <w:r>
        <w:rPr/>
        <w:t>além de encaminhar um substitutivo do executivo, em contraposição à proposta da </w:t>
      </w:r>
      <w:r>
        <w:rPr>
          <w:w w:val="100"/>
        </w:rPr>
        <w:t>soci</w:t>
      </w:r>
      <w:r>
        <w:rPr>
          <w:spacing w:val="-2"/>
          <w:w w:val="100"/>
        </w:rPr>
        <w:t>e</w:t>
      </w:r>
      <w:r>
        <w:rPr>
          <w:w w:val="100"/>
        </w:rPr>
        <w:t>d</w:t>
      </w:r>
      <w:r>
        <w:rPr>
          <w:spacing w:val="-1"/>
          <w:w w:val="100"/>
        </w:rPr>
        <w:t>a</w:t>
      </w:r>
      <w:r>
        <w:rPr>
          <w:w w:val="100"/>
        </w:rPr>
        <w:t>d</w:t>
      </w:r>
      <w:r>
        <w:rPr>
          <w:spacing w:val="-1"/>
          <w:w w:val="100"/>
        </w:rPr>
        <w:t>e</w:t>
      </w:r>
      <w:r>
        <w:rPr/>
        <w:t>,</w:t>
      </w:r>
      <w:r>
        <w:rPr>
          <w:spacing w:val="11"/>
        </w:rPr>
        <w:t> </w:t>
      </w:r>
      <w:r>
        <w:rPr>
          <w:spacing w:val="-1"/>
          <w:w w:val="44"/>
        </w:rPr>
        <w:t>―</w:t>
      </w:r>
      <w:r>
        <w:rPr>
          <w:w w:val="100"/>
        </w:rPr>
        <w:t>tr</w:t>
      </w:r>
      <w:r>
        <w:rPr>
          <w:spacing w:val="-2"/>
          <w:w w:val="100"/>
        </w:rPr>
        <w:t>a</w:t>
      </w:r>
      <w:r>
        <w:rPr>
          <w:w w:val="100"/>
        </w:rPr>
        <w:t>tou</w:t>
      </w:r>
      <w:r>
        <w:rPr>
          <w:spacing w:val="-1"/>
          <w:w w:val="99"/>
        </w:rPr>
        <w:t>-</w:t>
      </w:r>
      <w:r>
        <w:rPr>
          <w:w w:val="99"/>
        </w:rPr>
        <w:t>se</w:t>
      </w:r>
      <w:r>
        <w:rPr>
          <w:spacing w:val="8"/>
        </w:rPr>
        <w:t> </w:t>
      </w:r>
      <w:r>
        <w:rPr>
          <w:spacing w:val="2"/>
        </w:rPr>
        <w:t>d</w:t>
      </w:r>
      <w:r>
        <w:rPr/>
        <w:t>e</w:t>
      </w:r>
      <w:r>
        <w:rPr>
          <w:spacing w:val="10"/>
        </w:rPr>
        <w:t> </w:t>
      </w:r>
      <w:r>
        <w:rPr>
          <w:spacing w:val="-1"/>
        </w:rPr>
        <w:t>a</w:t>
      </w:r>
      <w:r>
        <w:rPr/>
        <w:t>b</w:t>
      </w:r>
      <w:r>
        <w:rPr>
          <w:spacing w:val="-1"/>
        </w:rPr>
        <w:t>re</w:t>
      </w:r>
      <w:r>
        <w:rPr/>
        <w:t>vi</w:t>
      </w:r>
      <w:r>
        <w:rPr>
          <w:spacing w:val="1"/>
        </w:rPr>
        <w:t>a</w:t>
      </w:r>
      <w:r>
        <w:rPr/>
        <w:t>r</w:t>
      </w:r>
      <w:r>
        <w:rPr>
          <w:spacing w:val="8"/>
        </w:rPr>
        <w:t> </w:t>
      </w:r>
      <w:r>
        <w:rPr/>
        <w:t>a</w:t>
      </w:r>
      <w:r>
        <w:rPr>
          <w:spacing w:val="8"/>
        </w:rPr>
        <w:t> </w:t>
      </w:r>
      <w:r>
        <w:rPr/>
        <w:t>p</w:t>
      </w:r>
      <w:r>
        <w:rPr>
          <w:spacing w:val="-1"/>
        </w:rPr>
        <w:t>a</w:t>
      </w:r>
      <w:r>
        <w:rPr/>
        <w:t>rtici</w:t>
      </w:r>
      <w:r>
        <w:rPr>
          <w:spacing w:val="2"/>
        </w:rPr>
        <w:t>p</w:t>
      </w:r>
      <w:r>
        <w:rPr>
          <w:spacing w:val="-1"/>
        </w:rPr>
        <w:t>açã</w:t>
      </w:r>
      <w:r>
        <w:rPr/>
        <w:t>o</w:t>
      </w:r>
      <w:r>
        <w:rPr>
          <w:spacing w:val="9"/>
        </w:rPr>
        <w:t> </w:t>
      </w:r>
      <w:r>
        <w:rPr>
          <w:spacing w:val="2"/>
          <w:w w:val="99"/>
        </w:rPr>
        <w:t>s</w:t>
      </w:r>
      <w:r>
        <w:rPr/>
        <w:t>o</w:t>
      </w:r>
      <w:r>
        <w:rPr>
          <w:spacing w:val="-1"/>
        </w:rPr>
        <w:t>c</w:t>
      </w:r>
      <w:r>
        <w:rPr/>
        <w:t>ial</w:t>
      </w:r>
      <w:r>
        <w:rPr>
          <w:spacing w:val="9"/>
        </w:rPr>
        <w:t> </w:t>
      </w:r>
      <w:r>
        <w:rPr/>
        <w:t>no</w:t>
      </w:r>
      <w:r>
        <w:rPr>
          <w:spacing w:val="9"/>
        </w:rPr>
        <w:t> </w:t>
      </w:r>
      <w:r>
        <w:rPr/>
        <w:t>d</w:t>
      </w:r>
      <w:r>
        <w:rPr>
          <w:spacing w:val="-1"/>
        </w:rPr>
        <w:t>e</w:t>
      </w:r>
      <w:r>
        <w:rPr/>
        <w:t>b</w:t>
      </w:r>
      <w:r>
        <w:rPr>
          <w:spacing w:val="-1"/>
        </w:rPr>
        <w:t>a</w:t>
      </w:r>
      <w:r>
        <w:rPr/>
        <w:t>te</w:t>
      </w:r>
      <w:r>
        <w:rPr>
          <w:spacing w:val="8"/>
        </w:rPr>
        <w:t> </w:t>
      </w:r>
      <w:r>
        <w:rPr/>
        <w:t>do</w:t>
      </w:r>
      <w:r>
        <w:rPr>
          <w:spacing w:val="9"/>
        </w:rPr>
        <w:t> </w:t>
      </w:r>
      <w:r>
        <w:rPr/>
        <w:t>Co</w:t>
      </w:r>
      <w:r>
        <w:rPr>
          <w:spacing w:val="2"/>
        </w:rPr>
        <w:t>n</w:t>
      </w:r>
      <w:r>
        <w:rPr>
          <w:spacing w:val="-3"/>
        </w:rPr>
        <w:t>g</w:t>
      </w:r>
      <w:r>
        <w:rPr>
          <w:spacing w:val="1"/>
        </w:rPr>
        <w:t>r</w:t>
      </w:r>
      <w:r>
        <w:rPr>
          <w:spacing w:val="-1"/>
        </w:rPr>
        <w:t>e</w:t>
      </w:r>
      <w:r>
        <w:rPr>
          <w:w w:val="99"/>
        </w:rPr>
        <w:t>sso,</w:t>
      </w:r>
      <w:r>
        <w:rPr>
          <w:spacing w:val="9"/>
        </w:rPr>
        <w:t> </w:t>
      </w:r>
      <w:r>
        <w:rPr/>
        <w:t>f</w:t>
      </w:r>
      <w:r>
        <w:rPr>
          <w:spacing w:val="-2"/>
        </w:rPr>
        <w:t>a</w:t>
      </w:r>
      <w:r>
        <w:rPr>
          <w:spacing w:val="1"/>
        </w:rPr>
        <w:t>z</w:t>
      </w:r>
      <w:r>
        <w:rPr>
          <w:spacing w:val="-1"/>
        </w:rPr>
        <w:t>e</w:t>
      </w:r>
      <w:r>
        <w:rPr/>
        <w:t>ndo preponderar nas audiências públicas os convites para autoridades e técnicos vinculados às posições oficiais‖. Este mesmo autor define ainda que o plano deixou de fazer jus ao nome por causa dos vetos feitos pelo presidente e encaminha, como razões  dessa atitude, os mandos determinantes da política proclamada pelo Fundo Monetário Internacional, devido a fidelidade do governo aos cânones do</w:t>
      </w:r>
      <w:r>
        <w:rPr>
          <w:spacing w:val="-13"/>
        </w:rPr>
        <w:t> </w:t>
      </w:r>
      <w:r>
        <w:rPr/>
        <w:t>neoliberalismo.</w:t>
      </w:r>
    </w:p>
    <w:p>
      <w:pPr>
        <w:pStyle w:val="BodyText"/>
        <w:spacing w:line="360" w:lineRule="auto" w:before="5"/>
        <w:ind w:left="102" w:right="114" w:firstLine="851"/>
        <w:jc w:val="both"/>
      </w:pPr>
      <w:r>
        <w:rPr/>
        <w:t>Desse conjunto de análises acerca do PNE 2001-2010, é possível que as intencionalidades na gestão da educação, pelo governo à época, não coadunem com uma </w:t>
      </w:r>
      <w:r>
        <w:rPr>
          <w:spacing w:val="-1"/>
          <w:w w:val="100"/>
        </w:rPr>
        <w:t>e</w:t>
      </w:r>
      <w:r>
        <w:rPr>
          <w:w w:val="100"/>
        </w:rPr>
        <w:t>du</w:t>
      </w:r>
      <w:r>
        <w:rPr>
          <w:spacing w:val="-1"/>
          <w:w w:val="100"/>
        </w:rPr>
        <w:t>c</w:t>
      </w:r>
      <w:r>
        <w:rPr>
          <w:spacing w:val="1"/>
          <w:w w:val="100"/>
        </w:rPr>
        <w:t>a</w:t>
      </w:r>
      <w:r>
        <w:rPr>
          <w:spacing w:val="-1"/>
          <w:w w:val="100"/>
        </w:rPr>
        <w:t>çã</w:t>
      </w:r>
      <w:r>
        <w:rPr/>
        <w:t>o </w:t>
      </w:r>
      <w:r>
        <w:rPr>
          <w:spacing w:val="-15"/>
        </w:rPr>
        <w:t> </w:t>
      </w:r>
      <w:r>
        <w:rPr>
          <w:w w:val="100"/>
        </w:rPr>
        <w:t>que </w:t>
      </w:r>
      <w:r>
        <w:rPr>
          <w:spacing w:val="-16"/>
          <w:w w:val="100"/>
        </w:rPr>
        <w:t> </w:t>
      </w:r>
      <w:r>
        <w:rPr>
          <w:spacing w:val="2"/>
          <w:w w:val="100"/>
        </w:rPr>
        <w:t>p</w:t>
      </w:r>
      <w:r>
        <w:rPr>
          <w:w w:val="99"/>
        </w:rPr>
        <w:t>ropo</w:t>
      </w:r>
      <w:r>
        <w:rPr>
          <w:spacing w:val="-2"/>
          <w:w w:val="99"/>
        </w:rPr>
        <w:t>r</w:t>
      </w:r>
      <w:r>
        <w:rPr>
          <w:spacing w:val="-1"/>
          <w:w w:val="100"/>
        </w:rPr>
        <w:t>c</w:t>
      </w:r>
      <w:r>
        <w:rPr>
          <w:w w:val="100"/>
        </w:rPr>
        <w:t>i</w:t>
      </w:r>
      <w:r>
        <w:rPr>
          <w:spacing w:val="2"/>
          <w:w w:val="100"/>
        </w:rPr>
        <w:t>o</w:t>
      </w:r>
      <w:r>
        <w:rPr>
          <w:w w:val="100"/>
        </w:rPr>
        <w:t>ne</w:t>
      </w:r>
      <w:r>
        <w:rPr/>
        <w:t> </w:t>
      </w:r>
      <w:r>
        <w:rPr>
          <w:spacing w:val="-16"/>
        </w:rPr>
        <w:t> </w:t>
      </w:r>
      <w:r>
        <w:rPr>
          <w:spacing w:val="-1"/>
          <w:w w:val="44"/>
        </w:rPr>
        <w:t>―</w:t>
      </w:r>
      <w:r>
        <w:rPr>
          <w:w w:val="100"/>
        </w:rPr>
        <w:t>a</w:t>
      </w:r>
      <w:r>
        <w:rPr/>
        <w:t> </w:t>
      </w:r>
      <w:r>
        <w:rPr>
          <w:spacing w:val="-16"/>
        </w:rPr>
        <w:t> </w:t>
      </w:r>
      <w:r>
        <w:rPr/>
        <w:t>f</w:t>
      </w:r>
      <w:r>
        <w:rPr>
          <w:spacing w:val="1"/>
        </w:rPr>
        <w:t>o</w:t>
      </w:r>
      <w:r>
        <w:rPr>
          <w:w w:val="100"/>
        </w:rPr>
        <w:t>rm</w:t>
      </w:r>
      <w:r>
        <w:rPr>
          <w:spacing w:val="-2"/>
          <w:w w:val="100"/>
        </w:rPr>
        <w:t>a</w:t>
      </w:r>
      <w:r>
        <w:rPr>
          <w:spacing w:val="1"/>
          <w:w w:val="100"/>
        </w:rPr>
        <w:t>ç</w:t>
      </w:r>
      <w:r>
        <w:rPr>
          <w:spacing w:val="-1"/>
          <w:w w:val="100"/>
        </w:rPr>
        <w:t>ã</w:t>
      </w:r>
      <w:r>
        <w:rPr/>
        <w:t>o </w:t>
      </w:r>
      <w:r>
        <w:rPr>
          <w:spacing w:val="-15"/>
        </w:rPr>
        <w:t> </w:t>
      </w:r>
      <w:r>
        <w:rPr>
          <w:w w:val="100"/>
        </w:rPr>
        <w:t>da</w:t>
      </w:r>
      <w:r>
        <w:rPr/>
        <w:t> </w:t>
      </w:r>
      <w:r>
        <w:rPr>
          <w:spacing w:val="-16"/>
        </w:rPr>
        <w:t> </w:t>
      </w:r>
      <w:r>
        <w:rPr/>
        <w:t>hu</w:t>
      </w:r>
      <w:r>
        <w:rPr>
          <w:spacing w:val="2"/>
        </w:rPr>
        <w:t>m</w:t>
      </w:r>
      <w:r>
        <w:rPr>
          <w:spacing w:val="-1"/>
          <w:w w:val="100"/>
        </w:rPr>
        <w:t>a</w:t>
      </w:r>
      <w:r>
        <w:rPr>
          <w:w w:val="100"/>
        </w:rPr>
        <w:t>nidade</w:t>
      </w:r>
      <w:r>
        <w:rPr/>
        <w:t> </w:t>
      </w:r>
      <w:r>
        <w:rPr>
          <w:spacing w:val="-17"/>
        </w:rPr>
        <w:t> </w:t>
      </w:r>
      <w:r>
        <w:rPr>
          <w:spacing w:val="-1"/>
          <w:w w:val="100"/>
        </w:rPr>
        <w:t>e</w:t>
      </w:r>
      <w:r>
        <w:rPr>
          <w:w w:val="100"/>
        </w:rPr>
        <w:t>m</w:t>
      </w:r>
      <w:r>
        <w:rPr/>
        <w:t> </w:t>
      </w:r>
      <w:r>
        <w:rPr>
          <w:spacing w:val="-15"/>
        </w:rPr>
        <w:t> </w:t>
      </w:r>
      <w:r>
        <w:rPr>
          <w:spacing w:val="1"/>
          <w:w w:val="100"/>
        </w:rPr>
        <w:t>c</w:t>
      </w:r>
      <w:r>
        <w:rPr>
          <w:spacing w:val="-1"/>
          <w:w w:val="100"/>
        </w:rPr>
        <w:t>a</w:t>
      </w:r>
      <w:r>
        <w:rPr>
          <w:w w:val="100"/>
        </w:rPr>
        <w:t>da</w:t>
      </w:r>
      <w:r>
        <w:rPr/>
        <w:t> </w:t>
      </w:r>
      <w:r>
        <w:rPr>
          <w:spacing w:val="-16"/>
        </w:rPr>
        <w:t> </w:t>
      </w:r>
      <w:r>
        <w:rPr>
          <w:w w:val="100"/>
        </w:rPr>
        <w:t>indiv</w:t>
      </w:r>
      <w:r>
        <w:rPr>
          <w:spacing w:val="2"/>
          <w:w w:val="100"/>
        </w:rPr>
        <w:t>í</w:t>
      </w:r>
      <w:r>
        <w:rPr/>
        <w:t>duo </w:t>
      </w:r>
      <w:r>
        <w:rPr>
          <w:spacing w:val="-15"/>
        </w:rPr>
        <w:t> </w:t>
      </w:r>
      <w:r>
        <w:rPr>
          <w:spacing w:val="6"/>
          <w:w w:val="99"/>
        </w:rPr>
        <w:t>s</w:t>
      </w:r>
      <w:r>
        <w:rPr>
          <w:w w:val="100"/>
        </w:rPr>
        <w:t>in</w:t>
      </w:r>
      <w:r>
        <w:rPr>
          <w:spacing w:val="-2"/>
          <w:w w:val="100"/>
        </w:rPr>
        <w:t>g</w:t>
      </w:r>
      <w:r>
        <w:rPr>
          <w:w w:val="100"/>
        </w:rPr>
        <w:t>ular</w:t>
      </w:r>
      <w:r>
        <w:rPr>
          <w:w w:val="158"/>
        </w:rPr>
        <w:t>‖ </w:t>
      </w:r>
      <w:r>
        <w:rPr/>
        <w:t>(SAVIANI, 2015, p. 293), mas que, forjadas pelos interesses e intenções de um governo comprometido com interesses particularizados, sobretudo de mercado, vêm, de forma contrária, satisfazer vontades e necessidades do</w:t>
      </w:r>
      <w:r>
        <w:rPr>
          <w:spacing w:val="-11"/>
        </w:rPr>
        <w:t> </w:t>
      </w:r>
      <w:r>
        <w:rPr/>
        <w:t>capital.</w:t>
      </w:r>
    </w:p>
    <w:p>
      <w:pPr>
        <w:pStyle w:val="BodyText"/>
        <w:spacing w:line="360" w:lineRule="auto" w:before="3"/>
        <w:ind w:left="102" w:right="117" w:firstLine="851"/>
        <w:jc w:val="both"/>
      </w:pPr>
      <w:r>
        <w:rPr/>
        <w:t>A tradução da lógica governamental em curso (DOURADO, 2010), intencionalmente presente no PNE, traz responsabilizações aos Municípios na forma de descentralização da educação, pois,</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before="2"/>
        <w:rPr>
          <w:sz w:val="18"/>
        </w:rPr>
      </w:pPr>
    </w:p>
    <w:p>
      <w:pPr>
        <w:spacing w:before="0"/>
        <w:ind w:left="2370" w:right="120" w:firstLine="0"/>
        <w:jc w:val="both"/>
        <w:rPr>
          <w:sz w:val="20"/>
        </w:rPr>
      </w:pPr>
      <w:r>
        <w:rPr>
          <w:sz w:val="20"/>
        </w:rPr>
        <w:t>O texto do PNE explicita a responsabilidade dos Municípios desde a definição de seus objetivos e prioridades, ao enfatizar atribuições, como a garantia de ensino fundamental obrigatório de oito anos a todas as crianças de sete a quatorze anos e a todos os que a ele não tiveram acesso na idade própria ou que não o concluíram, assegurando-lhes o ingresso, a permanência e a conclusão; a erradicação do analfabetismo; a ampliação do atendimento nos demais níveis de ensino, incluindo-se a educação infantil; a extensão da escolaridade obrigatória para crianças de seis anos de idade; a valorização  dos profissionais da educação; o desenvolvimento de sistemas de informação e de avaliação em todos os níveis e modalidades de ensino. (LAGARES, 2008, p. 50-51).</w:t>
      </w:r>
    </w:p>
    <w:p>
      <w:pPr>
        <w:pStyle w:val="BodyText"/>
        <w:spacing w:before="9"/>
        <w:rPr>
          <w:sz w:val="23"/>
        </w:rPr>
      </w:pPr>
    </w:p>
    <w:p>
      <w:pPr>
        <w:pStyle w:val="BodyText"/>
        <w:spacing w:line="360" w:lineRule="auto" w:before="1"/>
        <w:ind w:left="102" w:right="120" w:firstLine="851"/>
        <w:jc w:val="both"/>
      </w:pPr>
      <w:r>
        <w:rPr/>
        <w:t>Acerca dessa necessidade pontuada como prioridade e, também, exigida no art. 2º </w:t>
      </w:r>
      <w:r>
        <w:rPr>
          <w:spacing w:val="-18"/>
        </w:rPr>
        <w:t> </w:t>
      </w:r>
      <w:r>
        <w:rPr/>
        <w:t>do </w:t>
      </w:r>
      <w:r>
        <w:rPr>
          <w:spacing w:val="-18"/>
        </w:rPr>
        <w:t> </w:t>
      </w:r>
      <w:r>
        <w:rPr>
          <w:w w:val="99"/>
        </w:rPr>
        <w:t>P</w:t>
      </w:r>
      <w:r>
        <w:rPr>
          <w:w w:val="99"/>
        </w:rPr>
        <w:t>NE,</w:t>
      </w:r>
      <w:r>
        <w:rPr/>
        <w:t> </w:t>
      </w:r>
      <w:r>
        <w:rPr>
          <w:spacing w:val="-18"/>
        </w:rPr>
        <w:t> </w:t>
      </w:r>
      <w:r>
        <w:rPr>
          <w:w w:val="99"/>
        </w:rPr>
        <w:t>S</w:t>
      </w:r>
      <w:r>
        <w:rPr/>
        <w:t>ou</w:t>
      </w:r>
      <w:r>
        <w:rPr>
          <w:spacing w:val="1"/>
        </w:rPr>
        <w:t>z</w:t>
      </w:r>
      <w:r>
        <w:rPr/>
        <w:t>a </w:t>
      </w:r>
      <w:r>
        <w:rPr>
          <w:spacing w:val="-18"/>
        </w:rPr>
        <w:t> </w:t>
      </w:r>
      <w:r>
        <w:rPr/>
        <w:t>e </w:t>
      </w:r>
      <w:r>
        <w:rPr>
          <w:spacing w:val="-18"/>
        </w:rPr>
        <w:t> </w:t>
      </w:r>
      <w:r>
        <w:rPr>
          <w:w w:val="99"/>
        </w:rPr>
        <w:t>D</w:t>
      </w:r>
      <w:r>
        <w:rPr>
          <w:spacing w:val="1"/>
          <w:w w:val="99"/>
        </w:rPr>
        <w:t>u</w:t>
      </w:r>
      <w:r>
        <w:rPr>
          <w:spacing w:val="-1"/>
        </w:rPr>
        <w:t>a</w:t>
      </w:r>
      <w:r>
        <w:rPr/>
        <w:t>rte </w:t>
      </w:r>
      <w:r>
        <w:rPr>
          <w:spacing w:val="-16"/>
        </w:rPr>
        <w:t> </w:t>
      </w:r>
      <w:r>
        <w:rPr/>
        <w:t>(201</w:t>
      </w:r>
      <w:r>
        <w:rPr>
          <w:spacing w:val="-1"/>
        </w:rPr>
        <w:t>4</w:t>
      </w:r>
      <w:r>
        <w:rPr/>
        <w:t>, </w:t>
      </w:r>
      <w:r>
        <w:rPr>
          <w:spacing w:val="-15"/>
        </w:rPr>
        <w:t> </w:t>
      </w:r>
      <w:r>
        <w:rPr/>
        <w:t>p. </w:t>
      </w:r>
      <w:r>
        <w:rPr>
          <w:spacing w:val="-18"/>
        </w:rPr>
        <w:t> </w:t>
      </w:r>
      <w:r>
        <w:rPr/>
        <w:t>179) </w:t>
      </w:r>
      <w:r>
        <w:rPr>
          <w:spacing w:val="-16"/>
        </w:rPr>
        <w:t> </w:t>
      </w:r>
      <w:r>
        <w:rPr>
          <w:spacing w:val="-1"/>
          <w:w w:val="100"/>
        </w:rPr>
        <w:t>a</w:t>
      </w:r>
      <w:r>
        <w:rPr>
          <w:spacing w:val="1"/>
          <w:w w:val="100"/>
        </w:rPr>
        <w:t>c</w:t>
      </w:r>
      <w:r>
        <w:rPr>
          <w:w w:val="100"/>
        </w:rPr>
        <w:t>re</w:t>
      </w:r>
      <w:r>
        <w:rPr>
          <w:w w:val="100"/>
        </w:rPr>
        <w:t>dit</w:t>
      </w:r>
      <w:r>
        <w:rPr>
          <w:spacing w:val="-1"/>
          <w:w w:val="100"/>
        </w:rPr>
        <w:t>a</w:t>
      </w:r>
      <w:r>
        <w:rPr>
          <w:w w:val="100"/>
        </w:rPr>
        <w:t>m</w:t>
      </w:r>
      <w:r>
        <w:rPr/>
        <w:t> </w:t>
      </w:r>
      <w:r>
        <w:rPr>
          <w:spacing w:val="-17"/>
        </w:rPr>
        <w:t> </w:t>
      </w:r>
      <w:r>
        <w:rPr>
          <w:w w:val="100"/>
        </w:rPr>
        <w:t>que </w:t>
      </w:r>
      <w:r>
        <w:rPr>
          <w:spacing w:val="-18"/>
          <w:w w:val="100"/>
        </w:rPr>
        <w:t> </w:t>
      </w:r>
      <w:r>
        <w:rPr>
          <w:spacing w:val="-1"/>
          <w:w w:val="44"/>
        </w:rPr>
        <w:t>―</w:t>
      </w:r>
      <w:r>
        <w:rPr>
          <w:w w:val="99"/>
        </w:rPr>
        <w:t>A</w:t>
      </w:r>
      <w:r>
        <w:rPr/>
        <w:t> </w:t>
      </w:r>
      <w:r>
        <w:rPr>
          <w:spacing w:val="-18"/>
        </w:rPr>
        <w:t> </w:t>
      </w:r>
      <w:r>
        <w:rPr>
          <w:w w:val="100"/>
        </w:rPr>
        <w:t>i</w:t>
      </w:r>
      <w:r>
        <w:rPr>
          <w:spacing w:val="2"/>
          <w:w w:val="100"/>
        </w:rPr>
        <w:t>n</w:t>
      </w:r>
      <w:r>
        <w:rPr>
          <w:spacing w:val="-1"/>
          <w:w w:val="100"/>
        </w:rPr>
        <w:t>e</w:t>
      </w:r>
      <w:r>
        <w:rPr>
          <w:spacing w:val="2"/>
        </w:rPr>
        <w:t>x</w:t>
      </w:r>
      <w:r>
        <w:rPr>
          <w:w w:val="100"/>
        </w:rPr>
        <w:t>ist</w:t>
      </w:r>
      <w:r>
        <w:rPr>
          <w:spacing w:val="-1"/>
          <w:w w:val="100"/>
        </w:rPr>
        <w:t>ê</w:t>
      </w:r>
      <w:r>
        <w:rPr>
          <w:w w:val="100"/>
        </w:rPr>
        <w:t>n</w:t>
      </w:r>
      <w:r>
        <w:rPr>
          <w:spacing w:val="-1"/>
          <w:w w:val="100"/>
        </w:rPr>
        <w:t>c</w:t>
      </w:r>
      <w:r>
        <w:rPr>
          <w:w w:val="100"/>
        </w:rPr>
        <w:t>ia</w:t>
      </w:r>
      <w:r>
        <w:rPr/>
        <w:t> </w:t>
      </w:r>
      <w:r>
        <w:rPr>
          <w:spacing w:val="-18"/>
        </w:rPr>
        <w:t> </w:t>
      </w:r>
      <w:r>
        <w:rPr>
          <w:w w:val="100"/>
        </w:rPr>
        <w:t>de</w:t>
      </w:r>
      <w:r>
        <w:rPr/>
        <w:t> </w:t>
      </w:r>
      <w:r>
        <w:rPr>
          <w:spacing w:val="-18"/>
        </w:rPr>
        <w:t> </w:t>
      </w:r>
      <w:r>
        <w:rPr/>
        <w:t>novos aportes de recursos financeiros [...] contribuiu para que Estados e Municípios fossem lenientes na produção dos seus respectivos planos de educação‖. Os autores relatam  que, conforme levantamento realizado pelo Observatório da Educação da Organização Não Governamental (ONG) Ação Educativa, em 2010, último ano de vigência do PNE 2001-2010, a situação dos Planos Estaduais era a que</w:t>
      </w:r>
      <w:r>
        <w:rPr>
          <w:spacing w:val="-12"/>
        </w:rPr>
        <w:t> </w:t>
      </w:r>
      <w:r>
        <w:rPr/>
        <w:t>segue:</w:t>
      </w:r>
    </w:p>
    <w:p>
      <w:pPr>
        <w:pStyle w:val="BodyText"/>
        <w:spacing w:before="4"/>
        <w:rPr>
          <w:sz w:val="36"/>
        </w:rPr>
      </w:pPr>
    </w:p>
    <w:p>
      <w:pPr>
        <w:spacing w:before="0"/>
        <w:ind w:left="2370" w:right="117" w:firstLine="0"/>
        <w:jc w:val="both"/>
        <w:rPr>
          <w:sz w:val="20"/>
        </w:rPr>
      </w:pPr>
      <w:r>
        <w:rPr>
          <w:sz w:val="20"/>
        </w:rPr>
        <w:t>apenas 42% [ou seja, 11], possuíam PEEs, fazendo-se presente, apenas, nos seguintes territórios: pioneiramente, em Pernambuco, aprovado em 2002, e  no Mato Grosso do Sul, aprovado em 2003; em Alagoas, na Bahia e Paraíba, aprovados em 2006, e no Tocantins, aprovado em 2007; sendo que, de modo relativamente tardio, no Amazonas, Goiás e Mato Grosso, aprovados em 2008; no Rio de Janeiro, aprovado em 2009, e, mais recentemente, no Pará, aprovado em</w:t>
      </w:r>
      <w:r>
        <w:rPr>
          <w:spacing w:val="-4"/>
          <w:sz w:val="20"/>
        </w:rPr>
        <w:t> </w:t>
      </w:r>
      <w:r>
        <w:rPr>
          <w:sz w:val="20"/>
        </w:rPr>
        <w:t>2010.</w:t>
      </w:r>
    </w:p>
    <w:p>
      <w:pPr>
        <w:pStyle w:val="BodyText"/>
        <w:rPr>
          <w:sz w:val="22"/>
        </w:rPr>
      </w:pPr>
    </w:p>
    <w:p>
      <w:pPr>
        <w:pStyle w:val="BodyText"/>
        <w:spacing w:before="164"/>
        <w:ind w:left="954"/>
      </w:pPr>
      <w:r>
        <w:rPr/>
        <w:t>No que diz respeito aos Municípios,</w:t>
      </w:r>
    </w:p>
    <w:p>
      <w:pPr>
        <w:pStyle w:val="BodyText"/>
        <w:rPr>
          <w:sz w:val="26"/>
        </w:rPr>
      </w:pPr>
    </w:p>
    <w:p>
      <w:pPr>
        <w:spacing w:before="233"/>
        <w:ind w:left="2370" w:right="122" w:firstLine="0"/>
        <w:jc w:val="both"/>
        <w:rPr>
          <w:sz w:val="20"/>
        </w:rPr>
      </w:pPr>
      <w:r>
        <w:rPr>
          <w:sz w:val="20"/>
        </w:rPr>
        <w:t>dos 5.565 Municípios da federação, apenas cerca de 60,8% (3.384) declaram possuir seus planos locais, resultado do incremento de 4,4 pontos percentuais em relação ao quantitativo anteriormente identificado, em 2009 (BRASIL.IBGE, 2010), trazendo à vista a ausência deste plano, no mínimo, em 39,2% das localidades do país. (SOUZA; DUARTE, 2014, p. 179).</w:t>
      </w:r>
    </w:p>
    <w:p>
      <w:pPr>
        <w:pStyle w:val="BodyText"/>
        <w:rPr>
          <w:sz w:val="22"/>
        </w:rPr>
      </w:pPr>
    </w:p>
    <w:p>
      <w:pPr>
        <w:pStyle w:val="BodyText"/>
        <w:spacing w:line="360" w:lineRule="auto" w:before="161"/>
        <w:ind w:left="102" w:right="120" w:firstLine="851"/>
        <w:jc w:val="both"/>
      </w:pPr>
      <w:r>
        <w:rPr/>
        <w:t>Assim, como na Lei do PNE apenas há a exigência da elaboração de planos correspondentes, mas não determinando prazo, é possível pensarmos, que a não elaboração de planos no âmbito dos Municípios se deu pelo próprio interesse do Gov</w:t>
      </w:r>
      <w:r>
        <w:rPr>
          <w:spacing w:val="-2"/>
        </w:rPr>
        <w:t>e</w:t>
      </w:r>
      <w:r>
        <w:rPr/>
        <w:t>rno </w:t>
      </w:r>
      <w:r>
        <w:rPr>
          <w:spacing w:val="-11"/>
        </w:rPr>
        <w:t> </w:t>
      </w:r>
      <w:r>
        <w:rPr>
          <w:w w:val="99"/>
        </w:rPr>
        <w:t>F</w:t>
      </w:r>
      <w:r>
        <w:rPr>
          <w:spacing w:val="-1"/>
        </w:rPr>
        <w:t>e</w:t>
      </w:r>
      <w:r>
        <w:rPr/>
        <w:t>d</w:t>
      </w:r>
      <w:r>
        <w:rPr>
          <w:spacing w:val="-1"/>
        </w:rPr>
        <w:t>e</w:t>
      </w:r>
      <w:r>
        <w:rPr>
          <w:spacing w:val="1"/>
        </w:rPr>
        <w:t>r</w:t>
      </w:r>
      <w:r>
        <w:rPr>
          <w:spacing w:val="-1"/>
        </w:rPr>
        <w:t>a</w:t>
      </w:r>
      <w:r>
        <w:rPr/>
        <w:t>l </w:t>
      </w:r>
      <w:r>
        <w:rPr>
          <w:spacing w:val="-10"/>
        </w:rPr>
        <w:t> </w:t>
      </w:r>
      <w:r>
        <w:rPr>
          <w:spacing w:val="-1"/>
        </w:rPr>
        <w:t>e</w:t>
      </w:r>
      <w:r>
        <w:rPr/>
        <w:t>m </w:t>
      </w:r>
      <w:r>
        <w:rPr>
          <w:spacing w:val="-9"/>
        </w:rPr>
        <w:t> </w:t>
      </w:r>
      <w:r>
        <w:rPr>
          <w:w w:val="100"/>
        </w:rPr>
        <w:t>torn</w:t>
      </w:r>
      <w:r>
        <w:rPr>
          <w:spacing w:val="-2"/>
          <w:w w:val="100"/>
        </w:rPr>
        <w:t>a</w:t>
      </w:r>
      <w:r>
        <w:rPr>
          <w:w w:val="99"/>
        </w:rPr>
        <w:t>r </w:t>
      </w:r>
      <w:r>
        <w:rPr>
          <w:spacing w:val="-11"/>
          <w:w w:val="99"/>
        </w:rPr>
        <w:t> </w:t>
      </w:r>
      <w:r>
        <w:rPr>
          <w:w w:val="99"/>
        </w:rPr>
        <w:t>o </w:t>
      </w:r>
      <w:r>
        <w:rPr>
          <w:spacing w:val="-10"/>
          <w:w w:val="99"/>
        </w:rPr>
        <w:t> </w:t>
      </w:r>
      <w:r>
        <w:rPr>
          <w:w w:val="99"/>
        </w:rPr>
        <w:t>P</w:t>
      </w:r>
      <w:r>
        <w:rPr>
          <w:w w:val="99"/>
        </w:rPr>
        <w:t>NE </w:t>
      </w:r>
      <w:r>
        <w:rPr>
          <w:spacing w:val="-11"/>
          <w:w w:val="99"/>
        </w:rPr>
        <w:t> </w:t>
      </w:r>
      <w:r>
        <w:rPr>
          <w:w w:val="100"/>
        </w:rPr>
        <w:t>uma</w:t>
      </w:r>
      <w:r>
        <w:rPr/>
        <w:t> </w:t>
      </w:r>
      <w:r>
        <w:rPr>
          <w:spacing w:val="-11"/>
        </w:rPr>
        <w:t> </w:t>
      </w:r>
      <w:r>
        <w:rPr>
          <w:spacing w:val="-1"/>
          <w:w w:val="44"/>
        </w:rPr>
        <w:t>―</w:t>
      </w:r>
      <w:r>
        <w:rPr>
          <w:spacing w:val="-1"/>
          <w:w w:val="100"/>
        </w:rPr>
        <w:t>ca</w:t>
      </w:r>
      <w:r>
        <w:rPr>
          <w:w w:val="100"/>
        </w:rPr>
        <w:t>rta</w:t>
      </w:r>
      <w:r>
        <w:rPr/>
        <w:t> </w:t>
      </w:r>
      <w:r>
        <w:rPr>
          <w:spacing w:val="-9"/>
        </w:rPr>
        <w:t> </w:t>
      </w:r>
      <w:r>
        <w:rPr>
          <w:w w:val="100"/>
        </w:rPr>
        <w:t>de</w:t>
      </w:r>
      <w:r>
        <w:rPr/>
        <w:t> </w:t>
      </w:r>
      <w:r>
        <w:rPr>
          <w:spacing w:val="-11"/>
        </w:rPr>
        <w:t> </w:t>
      </w:r>
      <w:r>
        <w:rPr>
          <w:w w:val="100"/>
        </w:rPr>
        <w:t>int</w:t>
      </w:r>
      <w:r>
        <w:rPr>
          <w:spacing w:val="-1"/>
          <w:w w:val="100"/>
        </w:rPr>
        <w:t>e</w:t>
      </w:r>
      <w:r>
        <w:rPr>
          <w:w w:val="100"/>
        </w:rPr>
        <w:t>n</w:t>
      </w:r>
      <w:r>
        <w:rPr>
          <w:spacing w:val="-1"/>
          <w:w w:val="100"/>
        </w:rPr>
        <w:t>ç</w:t>
      </w:r>
      <w:r>
        <w:rPr>
          <w:w w:val="100"/>
        </w:rPr>
        <w:t>õ</w:t>
      </w:r>
      <w:r>
        <w:rPr>
          <w:spacing w:val="-1"/>
          <w:w w:val="100"/>
        </w:rPr>
        <w:t>e</w:t>
      </w:r>
      <w:r>
        <w:rPr>
          <w:w w:val="124"/>
        </w:rPr>
        <w:t>s</w:t>
      </w:r>
      <w:r>
        <w:rPr>
          <w:spacing w:val="-1"/>
          <w:w w:val="124"/>
        </w:rPr>
        <w:t>‖</w:t>
      </w:r>
      <w:r>
        <w:rPr/>
        <w:t>, </w:t>
      </w:r>
      <w:r>
        <w:rPr>
          <w:spacing w:val="-10"/>
        </w:rPr>
        <w:t> </w:t>
      </w:r>
      <w:r>
        <w:rPr>
          <w:spacing w:val="-1"/>
          <w:w w:val="100"/>
        </w:rPr>
        <w:t>c</w:t>
      </w:r>
      <w:r>
        <w:rPr>
          <w:w w:val="100"/>
        </w:rPr>
        <w:t>omo </w:t>
      </w:r>
      <w:r>
        <w:rPr>
          <w:spacing w:val="-10"/>
          <w:w w:val="100"/>
        </w:rPr>
        <w:t> </w:t>
      </w:r>
      <w:r>
        <w:rPr>
          <w:spacing w:val="-1"/>
          <w:w w:val="100"/>
        </w:rPr>
        <w:t>a</w:t>
      </w:r>
      <w:r>
        <w:rPr>
          <w:w w:val="100"/>
        </w:rPr>
        <w:t>f</w:t>
      </w:r>
      <w:r>
        <w:rPr>
          <w:spacing w:val="1"/>
          <w:w w:val="100"/>
        </w:rPr>
        <w:t>i</w:t>
      </w:r>
      <w:r>
        <w:rPr>
          <w:w w:val="100"/>
        </w:rPr>
        <w:t>rma</w:t>
      </w:r>
      <w:r>
        <w:rPr/>
        <w:t> </w:t>
      </w:r>
      <w:r>
        <w:rPr>
          <w:spacing w:val="-12"/>
        </w:rPr>
        <w:t> </w:t>
      </w:r>
      <w:r>
        <w:rPr/>
        <w:t>V</w:t>
      </w:r>
      <w:r>
        <w:rPr>
          <w:spacing w:val="-2"/>
        </w:rPr>
        <w:t>a</w:t>
      </w:r>
      <w:r>
        <w:rPr>
          <w:w w:val="100"/>
        </w:rPr>
        <w:t>lente </w:t>
      </w:r>
      <w:r>
        <w:rPr/>
        <w:t>(2001, p.</w:t>
      </w:r>
      <w:r>
        <w:rPr>
          <w:spacing w:val="-2"/>
        </w:rPr>
        <w:t> </w:t>
      </w:r>
      <w:r>
        <w:rPr/>
        <w:t>41).</w:t>
      </w:r>
    </w:p>
    <w:p>
      <w:pPr>
        <w:spacing w:after="0" w:line="360" w:lineRule="auto"/>
        <w:jc w:val="both"/>
        <w:sectPr>
          <w:pgSz w:w="11910" w:h="16840"/>
          <w:pgMar w:header="749" w:footer="0" w:top="960" w:bottom="280" w:left="1600" w:right="1580"/>
        </w:sectPr>
      </w:pPr>
    </w:p>
    <w:p>
      <w:pPr>
        <w:pStyle w:val="BodyText"/>
        <w:rPr>
          <w:sz w:val="20"/>
        </w:rPr>
      </w:pPr>
    </w:p>
    <w:p>
      <w:pPr>
        <w:pStyle w:val="ListParagraph"/>
        <w:numPr>
          <w:ilvl w:val="3"/>
          <w:numId w:val="16"/>
        </w:numPr>
        <w:tabs>
          <w:tab w:pos="846" w:val="left" w:leader="none"/>
        </w:tabs>
        <w:spacing w:line="362" w:lineRule="auto" w:before="210" w:after="0"/>
        <w:ind w:left="102" w:right="123" w:firstLine="0"/>
        <w:jc w:val="left"/>
        <w:rPr>
          <w:i/>
          <w:sz w:val="24"/>
        </w:rPr>
      </w:pPr>
      <w:r>
        <w:rPr>
          <w:i/>
          <w:sz w:val="24"/>
        </w:rPr>
        <w:t>Ministério da Educação: documentos norteadores e subsidiários à elaboração </w:t>
      </w:r>
      <w:r>
        <w:rPr>
          <w:i/>
          <w:sz w:val="24"/>
        </w:rPr>
        <w:t>dos planos municipais de</w:t>
      </w:r>
      <w:r>
        <w:rPr>
          <w:i/>
          <w:spacing w:val="-6"/>
          <w:sz w:val="24"/>
        </w:rPr>
        <w:t> </w:t>
      </w:r>
      <w:r>
        <w:rPr>
          <w:i/>
          <w:sz w:val="24"/>
        </w:rPr>
        <w:t>educação</w:t>
      </w:r>
    </w:p>
    <w:p>
      <w:pPr>
        <w:pStyle w:val="BodyText"/>
        <w:spacing w:before="1"/>
        <w:rPr>
          <w:i/>
          <w:sz w:val="36"/>
        </w:rPr>
      </w:pPr>
    </w:p>
    <w:p>
      <w:pPr>
        <w:pStyle w:val="BodyText"/>
        <w:spacing w:line="360" w:lineRule="auto"/>
        <w:ind w:left="102" w:right="116" w:firstLine="851"/>
        <w:jc w:val="both"/>
      </w:pPr>
      <w:r>
        <w:rPr/>
        <w:t>Ainda na vigência do PNE 2001-2010, no ano de 2005, o MEC, por meio do Programa de Apoio aos Sistemas de Ensino para o Acompanhamento e Avaliação do PNE e dos Planos Estaduais e Municipais Correspondentes, elabora três Cadernos com as intenções de estimular e subsidiar os Municípios na elaboração de seus PMEs:</w:t>
      </w:r>
    </w:p>
    <w:p>
      <w:pPr>
        <w:pStyle w:val="ListParagraph"/>
        <w:numPr>
          <w:ilvl w:val="4"/>
          <w:numId w:val="16"/>
        </w:numPr>
        <w:tabs>
          <w:tab w:pos="1518" w:val="left" w:leader="none"/>
        </w:tabs>
        <w:spacing w:line="360" w:lineRule="auto" w:before="5" w:after="0"/>
        <w:ind w:left="102" w:right="120" w:firstLine="852"/>
        <w:jc w:val="both"/>
        <w:rPr>
          <w:sz w:val="24"/>
        </w:rPr>
      </w:pPr>
      <w:r>
        <w:rPr>
          <w:sz w:val="24"/>
        </w:rPr>
        <w:t>Documento Norteador para a elaboração do Plano Municipal de Educação (BRASIL,</w:t>
      </w:r>
      <w:r>
        <w:rPr>
          <w:spacing w:val="-6"/>
          <w:sz w:val="24"/>
        </w:rPr>
        <w:t> </w:t>
      </w:r>
      <w:r>
        <w:rPr>
          <w:sz w:val="24"/>
        </w:rPr>
        <w:t>2005a).</w:t>
      </w:r>
    </w:p>
    <w:p>
      <w:pPr>
        <w:pStyle w:val="ListParagraph"/>
        <w:numPr>
          <w:ilvl w:val="4"/>
          <w:numId w:val="16"/>
        </w:numPr>
        <w:tabs>
          <w:tab w:pos="1518" w:val="left" w:leader="none"/>
        </w:tabs>
        <w:spacing w:line="360" w:lineRule="auto" w:before="5" w:after="0"/>
        <w:ind w:left="102" w:right="122" w:firstLine="852"/>
        <w:jc w:val="both"/>
        <w:rPr>
          <w:sz w:val="24"/>
        </w:rPr>
      </w:pPr>
      <w:r>
        <w:rPr>
          <w:sz w:val="24"/>
        </w:rPr>
        <w:t>Subsídios para o planejamento da Rede Escolar com base na experiência em Minicenso Educacional (BRASIL,</w:t>
      </w:r>
      <w:r>
        <w:rPr>
          <w:spacing w:val="-11"/>
          <w:sz w:val="24"/>
        </w:rPr>
        <w:t> </w:t>
      </w:r>
      <w:r>
        <w:rPr>
          <w:sz w:val="24"/>
        </w:rPr>
        <w:t>2005b).</w:t>
      </w:r>
    </w:p>
    <w:p>
      <w:pPr>
        <w:pStyle w:val="ListParagraph"/>
        <w:numPr>
          <w:ilvl w:val="4"/>
          <w:numId w:val="16"/>
        </w:numPr>
        <w:tabs>
          <w:tab w:pos="1518" w:val="left" w:leader="none"/>
        </w:tabs>
        <w:spacing w:line="360" w:lineRule="auto" w:before="5" w:after="0"/>
        <w:ind w:left="102" w:right="117" w:firstLine="852"/>
        <w:jc w:val="both"/>
        <w:rPr>
          <w:sz w:val="24"/>
        </w:rPr>
      </w:pPr>
      <w:r>
        <w:rPr>
          <w:sz w:val="24"/>
        </w:rPr>
        <w:t>Subsídio para o Planejamento de Conferência Municipal de Educação (BRASIL,</w:t>
      </w:r>
      <w:r>
        <w:rPr>
          <w:spacing w:val="-5"/>
          <w:sz w:val="24"/>
        </w:rPr>
        <w:t> </w:t>
      </w:r>
      <w:r>
        <w:rPr>
          <w:sz w:val="24"/>
        </w:rPr>
        <w:t>2005c).</w:t>
      </w:r>
    </w:p>
    <w:p>
      <w:pPr>
        <w:pStyle w:val="BodyText"/>
        <w:spacing w:line="360" w:lineRule="auto" w:before="5"/>
        <w:ind w:left="102" w:right="119" w:firstLine="851"/>
        <w:jc w:val="both"/>
      </w:pPr>
      <w:r>
        <w:rPr/>
        <w:t>Os três documentos apresentaram uma tiragem (impressa) de quinze mil exemplares (BRASIL, 2005a; 2005b; 2005c), o que nos possibilita crer que, mesmo em pouca quantidade, tenham sido encaminhados aos Municípios, tendo em vista que o  total de exemplares, divididos pelos mais de 5.500 Municípios, daria cerca de dois cadernos para cada</w:t>
      </w:r>
      <w:r>
        <w:rPr>
          <w:spacing w:val="-5"/>
        </w:rPr>
        <w:t> </w:t>
      </w:r>
      <w:r>
        <w:rPr/>
        <w:t>localidade.</w:t>
      </w:r>
    </w:p>
    <w:p>
      <w:pPr>
        <w:pStyle w:val="BodyText"/>
        <w:spacing w:before="4"/>
        <w:rPr>
          <w:sz w:val="36"/>
        </w:rPr>
      </w:pPr>
    </w:p>
    <w:p>
      <w:pPr>
        <w:pStyle w:val="ListParagraph"/>
        <w:numPr>
          <w:ilvl w:val="0"/>
          <w:numId w:val="17"/>
        </w:numPr>
        <w:tabs>
          <w:tab w:pos="348" w:val="left" w:leader="none"/>
        </w:tabs>
        <w:spacing w:line="240" w:lineRule="auto" w:before="1" w:after="0"/>
        <w:ind w:left="102" w:right="0" w:firstLine="0"/>
        <w:jc w:val="left"/>
        <w:rPr>
          <w:sz w:val="24"/>
        </w:rPr>
      </w:pPr>
      <w:r>
        <w:rPr>
          <w:sz w:val="24"/>
        </w:rPr>
        <w:t>Documento Norteador para a elaboração do Plano Municipal de</w:t>
      </w:r>
      <w:r>
        <w:rPr>
          <w:spacing w:val="-11"/>
          <w:sz w:val="24"/>
        </w:rPr>
        <w:t> </w:t>
      </w:r>
      <w:r>
        <w:rPr>
          <w:sz w:val="24"/>
        </w:rPr>
        <w:t>Educação</w:t>
      </w:r>
    </w:p>
    <w:p>
      <w:pPr>
        <w:pStyle w:val="BodyText"/>
        <w:rPr>
          <w:sz w:val="20"/>
        </w:rPr>
      </w:pPr>
    </w:p>
    <w:p>
      <w:pPr>
        <w:pStyle w:val="BodyText"/>
        <w:spacing w:before="5"/>
        <w:rPr>
          <w:sz w:val="22"/>
        </w:rPr>
      </w:pPr>
      <w:r>
        <w:rPr/>
        <w:drawing>
          <wp:anchor distT="0" distB="0" distL="0" distR="0" allowOverlap="1" layoutInCell="1" locked="0" behindDoc="0" simplePos="0" relativeHeight="1432">
            <wp:simplePos x="0" y="0"/>
            <wp:positionH relativeFrom="page">
              <wp:posOffset>2379979</wp:posOffset>
            </wp:positionH>
            <wp:positionV relativeFrom="paragraph">
              <wp:posOffset>188778</wp:posOffset>
            </wp:positionV>
            <wp:extent cx="2410561" cy="2312289"/>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37" cstate="print"/>
                    <a:stretch>
                      <a:fillRect/>
                    </a:stretch>
                  </pic:blipFill>
                  <pic:spPr>
                    <a:xfrm>
                      <a:off x="0" y="0"/>
                      <a:ext cx="2410561" cy="2312289"/>
                    </a:xfrm>
                    <a:prstGeom prst="rect">
                      <a:avLst/>
                    </a:prstGeom>
                  </pic:spPr>
                </pic:pic>
              </a:graphicData>
            </a:graphic>
          </wp:anchor>
        </w:drawing>
      </w:r>
    </w:p>
    <w:p>
      <w:pPr>
        <w:pStyle w:val="BodyText"/>
        <w:rPr>
          <w:sz w:val="26"/>
        </w:rPr>
      </w:pPr>
    </w:p>
    <w:p>
      <w:pPr>
        <w:pStyle w:val="BodyText"/>
        <w:spacing w:line="360" w:lineRule="auto" w:before="193"/>
        <w:ind w:left="102" w:right="119" w:firstLine="851"/>
        <w:jc w:val="both"/>
      </w:pPr>
      <w:r>
        <w:rPr/>
        <w:t>Por meio da Coordenação-Geral de Articulação e Fortalecimento Institucional dos Sistemas de Ensino (CAFISE), órgão do Departamento de Articulação e Desenvolvimento dos Sistemas de Ensino (DASE) do MEC, é elaborado o   Documento</w:t>
      </w:r>
    </w:p>
    <w:p>
      <w:pPr>
        <w:spacing w:after="0" w:line="360" w:lineRule="auto"/>
        <w:jc w:val="both"/>
        <w:sectPr>
          <w:pgSz w:w="11910" w:h="16840"/>
          <w:pgMar w:header="749" w:footer="0" w:top="960" w:bottom="280" w:left="1600" w:right="1580"/>
        </w:sectPr>
      </w:pPr>
    </w:p>
    <w:p>
      <w:pPr>
        <w:pStyle w:val="BodyText"/>
        <w:rPr>
          <w:sz w:val="20"/>
        </w:rPr>
      </w:pPr>
    </w:p>
    <w:p>
      <w:pPr>
        <w:spacing w:line="360" w:lineRule="auto" w:before="210"/>
        <w:ind w:left="102" w:right="118" w:firstLine="0"/>
        <w:jc w:val="both"/>
        <w:rPr>
          <w:sz w:val="24"/>
        </w:rPr>
      </w:pPr>
      <w:r>
        <w:rPr>
          <w:sz w:val="24"/>
        </w:rPr>
        <w:t>Norteador para a elaboração do Plano Municipal de Educação, um livro de autoria de Clodoaldo Jose de Almeida Souza. O texto está organizado estruturalmente com uma </w:t>
      </w:r>
      <w:r>
        <w:rPr>
          <w:i/>
          <w:sz w:val="24"/>
        </w:rPr>
        <w:t>Apresentação</w:t>
      </w:r>
      <w:r>
        <w:rPr>
          <w:sz w:val="24"/>
        </w:rPr>
        <w:t>, seguida por doze </w:t>
      </w:r>
      <w:r>
        <w:rPr>
          <w:i/>
          <w:sz w:val="24"/>
        </w:rPr>
        <w:t>Seções </w:t>
      </w:r>
      <w:r>
        <w:rPr>
          <w:sz w:val="24"/>
        </w:rPr>
        <w:t>incluindo as </w:t>
      </w:r>
      <w:r>
        <w:rPr>
          <w:i/>
          <w:sz w:val="24"/>
        </w:rPr>
        <w:t>Considerações Finais </w:t>
      </w:r>
      <w:r>
        <w:rPr>
          <w:sz w:val="24"/>
        </w:rPr>
        <w:t>e mais as </w:t>
      </w:r>
      <w:r>
        <w:rPr>
          <w:i/>
          <w:sz w:val="24"/>
        </w:rPr>
        <w:t>Referências </w:t>
      </w:r>
      <w:r>
        <w:rPr>
          <w:sz w:val="24"/>
        </w:rPr>
        <w:t>e os </w:t>
      </w:r>
      <w:r>
        <w:rPr>
          <w:i/>
          <w:sz w:val="24"/>
        </w:rPr>
        <w:t>Anexos</w:t>
      </w:r>
      <w:r>
        <w:rPr>
          <w:sz w:val="24"/>
        </w:rPr>
        <w:t>.</w:t>
      </w:r>
    </w:p>
    <w:p>
      <w:pPr>
        <w:pStyle w:val="BodyText"/>
        <w:spacing w:line="360" w:lineRule="auto" w:before="3"/>
        <w:ind w:left="102" w:right="115" w:firstLine="851"/>
        <w:jc w:val="both"/>
      </w:pPr>
      <w:r>
        <w:rPr/>
        <w:t>Segundo consta da sua </w:t>
      </w:r>
      <w:r>
        <w:rPr>
          <w:i/>
        </w:rPr>
        <w:t>Apresentação </w:t>
      </w:r>
      <w:r>
        <w:rPr/>
        <w:t>(BRASIL, 2005a, p. 7), assinada por Francisco das Chagas Fernandes, Secretário de Educação Básica do MEC, seu o </w:t>
      </w:r>
      <w:r>
        <w:rPr>
          <w:w w:val="100"/>
        </w:rPr>
        <w:t>objetivo</w:t>
      </w:r>
      <w:r>
        <w:rPr/>
        <w:t> </w:t>
      </w:r>
      <w:r>
        <w:rPr>
          <w:spacing w:val="-12"/>
        </w:rPr>
        <w:t> </w:t>
      </w:r>
      <w:r>
        <w:rPr>
          <w:w w:val="100"/>
        </w:rPr>
        <w:t>é</w:t>
      </w:r>
      <w:r>
        <w:rPr/>
        <w:t> </w:t>
      </w:r>
      <w:r>
        <w:rPr>
          <w:spacing w:val="-14"/>
        </w:rPr>
        <w:t> </w:t>
      </w:r>
      <w:r>
        <w:rPr>
          <w:spacing w:val="-1"/>
          <w:w w:val="44"/>
        </w:rPr>
        <w:t>―</w:t>
      </w:r>
      <w:r>
        <w:rPr>
          <w:w w:val="100"/>
        </w:rPr>
        <w:t>oportuni</w:t>
      </w:r>
      <w:r>
        <w:rPr>
          <w:spacing w:val="1"/>
          <w:w w:val="100"/>
        </w:rPr>
        <w:t>z</w:t>
      </w:r>
      <w:r>
        <w:rPr>
          <w:spacing w:val="-1"/>
          <w:w w:val="100"/>
        </w:rPr>
        <w:t>a</w:t>
      </w:r>
      <w:r>
        <w:rPr>
          <w:w w:val="99"/>
        </w:rPr>
        <w:t>r </w:t>
      </w:r>
      <w:r>
        <w:rPr>
          <w:spacing w:val="-13"/>
          <w:w w:val="99"/>
        </w:rPr>
        <w:t> </w:t>
      </w:r>
      <w:r>
        <w:rPr>
          <w:spacing w:val="-1"/>
          <w:w w:val="100"/>
        </w:rPr>
        <w:t>a</w:t>
      </w:r>
      <w:r>
        <w:rPr>
          <w:w w:val="99"/>
        </w:rPr>
        <w:t>os</w:t>
      </w:r>
      <w:r>
        <w:rPr/>
        <w:t> </w:t>
      </w:r>
      <w:r>
        <w:rPr>
          <w:spacing w:val="-12"/>
        </w:rPr>
        <w:t> </w:t>
      </w:r>
      <w:r>
        <w:rPr/>
        <w:t>Muni</w:t>
      </w:r>
      <w:r>
        <w:rPr>
          <w:spacing w:val="-1"/>
          <w:w w:val="100"/>
        </w:rPr>
        <w:t>c</w:t>
      </w:r>
      <w:r>
        <w:rPr>
          <w:w w:val="100"/>
        </w:rPr>
        <w:t>ípi</w:t>
      </w:r>
      <w:r>
        <w:rPr>
          <w:w w:val="99"/>
        </w:rPr>
        <w:t>os</w:t>
      </w:r>
      <w:r>
        <w:rPr/>
        <w:t> </w:t>
      </w:r>
      <w:r>
        <w:rPr>
          <w:spacing w:val="-12"/>
        </w:rPr>
        <w:t> </w:t>
      </w:r>
      <w:r>
        <w:rPr/>
        <w:t>o </w:t>
      </w:r>
      <w:r>
        <w:rPr>
          <w:spacing w:val="-13"/>
        </w:rPr>
        <w:t> </w:t>
      </w:r>
      <w:r>
        <w:rPr>
          <w:w w:val="100"/>
        </w:rPr>
        <w:t>plan</w:t>
      </w:r>
      <w:r>
        <w:rPr>
          <w:spacing w:val="-2"/>
          <w:w w:val="100"/>
        </w:rPr>
        <w:t>e</w:t>
      </w:r>
      <w:r>
        <w:rPr>
          <w:w w:val="100"/>
        </w:rPr>
        <w:t>jam</w:t>
      </w:r>
      <w:r>
        <w:rPr>
          <w:spacing w:val="-1"/>
          <w:w w:val="100"/>
        </w:rPr>
        <w:t>e</w:t>
      </w:r>
      <w:r>
        <w:rPr>
          <w:w w:val="100"/>
        </w:rPr>
        <w:t>nto</w:t>
      </w:r>
      <w:r>
        <w:rPr/>
        <w:t> </w:t>
      </w:r>
      <w:r>
        <w:rPr>
          <w:spacing w:val="-12"/>
        </w:rPr>
        <w:t> </w:t>
      </w:r>
      <w:r>
        <w:rPr>
          <w:w w:val="100"/>
        </w:rPr>
        <w:t>e</w:t>
      </w:r>
      <w:r>
        <w:rPr/>
        <w:t> </w:t>
      </w:r>
      <w:r>
        <w:rPr>
          <w:spacing w:val="-14"/>
        </w:rPr>
        <w:t> </w:t>
      </w:r>
      <w:r>
        <w:rPr>
          <w:spacing w:val="-1"/>
          <w:w w:val="100"/>
        </w:rPr>
        <w:t>e</w:t>
      </w:r>
      <w:r>
        <w:rPr>
          <w:spacing w:val="2"/>
        </w:rPr>
        <w:t>x</w:t>
      </w:r>
      <w:r>
        <w:rPr>
          <w:spacing w:val="-1"/>
          <w:w w:val="100"/>
        </w:rPr>
        <w:t>ec</w:t>
      </w:r>
      <w:r>
        <w:rPr>
          <w:w w:val="100"/>
        </w:rPr>
        <w:t>u</w:t>
      </w:r>
      <w:r>
        <w:rPr>
          <w:spacing w:val="1"/>
          <w:w w:val="100"/>
        </w:rPr>
        <w:t>ç</w:t>
      </w:r>
      <w:r>
        <w:rPr>
          <w:spacing w:val="-1"/>
          <w:w w:val="100"/>
        </w:rPr>
        <w:t>ã</w:t>
      </w:r>
      <w:r>
        <w:rPr/>
        <w:t>o </w:t>
      </w:r>
      <w:r>
        <w:rPr>
          <w:spacing w:val="-13"/>
        </w:rPr>
        <w:t> </w:t>
      </w:r>
      <w:r>
        <w:rPr>
          <w:w w:val="100"/>
        </w:rPr>
        <w:t>de</w:t>
      </w:r>
      <w:r>
        <w:rPr/>
        <w:t> </w:t>
      </w:r>
      <w:r>
        <w:rPr>
          <w:spacing w:val="-11"/>
        </w:rPr>
        <w:t> </w:t>
      </w:r>
      <w:r>
        <w:rPr/>
        <w:t>suas </w:t>
      </w:r>
      <w:r>
        <w:rPr>
          <w:spacing w:val="-13"/>
        </w:rPr>
        <w:t> </w:t>
      </w:r>
      <w:r>
        <w:rPr>
          <w:spacing w:val="-1"/>
          <w:w w:val="100"/>
        </w:rPr>
        <w:t>aç</w:t>
      </w:r>
      <w:r>
        <w:rPr>
          <w:w w:val="100"/>
        </w:rPr>
        <w:t>õ</w:t>
      </w:r>
      <w:r>
        <w:rPr>
          <w:spacing w:val="-1"/>
          <w:w w:val="100"/>
        </w:rPr>
        <w:t>e</w:t>
      </w:r>
      <w:r>
        <w:rPr>
          <w:w w:val="99"/>
        </w:rPr>
        <w:t>s</w:t>
      </w:r>
      <w:r>
        <w:rPr/>
        <w:t> </w:t>
      </w:r>
      <w:r>
        <w:rPr>
          <w:spacing w:val="-10"/>
        </w:rPr>
        <w:t> </w:t>
      </w:r>
      <w:r>
        <w:rPr>
          <w:w w:val="100"/>
        </w:rPr>
        <w:t>a </w:t>
      </w:r>
      <w:r>
        <w:rPr/>
        <w:t>partir de informações da situação educacional‖. E, ainda, o documento é explicitado como um instrumento do regime de</w:t>
      </w:r>
      <w:r>
        <w:rPr>
          <w:spacing w:val="-9"/>
        </w:rPr>
        <w:t> </w:t>
      </w:r>
      <w:r>
        <w:rPr/>
        <w:t>colaboração:</w:t>
      </w:r>
    </w:p>
    <w:p>
      <w:pPr>
        <w:pStyle w:val="BodyText"/>
        <w:spacing w:before="5"/>
      </w:pPr>
    </w:p>
    <w:p>
      <w:pPr>
        <w:spacing w:before="0"/>
        <w:ind w:left="2370" w:right="119" w:firstLine="0"/>
        <w:jc w:val="both"/>
        <w:rPr>
          <w:sz w:val="20"/>
        </w:rPr>
      </w:pPr>
      <w:r>
        <w:rPr>
          <w:sz w:val="20"/>
        </w:rPr>
        <w:t>uma contribuição que se soma aos esforços da União Nacional dos Dirigentes Municipais de Educação – Undime, da União Nacional dos Conselhos Municipais de Educação –- UNCME e do Fundo das Nações Unidas para a Infância – Unicef, no trabalho permanente e constante de incentivar os dirigentes municipais de educação na afirmação da importância e da necessidade dos Municípios elaborarem seus Planos Municipais de Educação objetivando a organização e o fortalecimento dos sistemas de ensino, de  modo</w:t>
      </w:r>
      <w:r>
        <w:rPr>
          <w:spacing w:val="-6"/>
          <w:sz w:val="20"/>
        </w:rPr>
        <w:t> </w:t>
      </w:r>
      <w:r>
        <w:rPr>
          <w:sz w:val="20"/>
        </w:rPr>
        <w:t>geral.</w:t>
      </w:r>
    </w:p>
    <w:p>
      <w:pPr>
        <w:pStyle w:val="BodyText"/>
        <w:rPr>
          <w:sz w:val="22"/>
        </w:rPr>
      </w:pPr>
    </w:p>
    <w:p>
      <w:pPr>
        <w:pStyle w:val="BodyText"/>
        <w:spacing w:line="360" w:lineRule="auto" w:before="161"/>
        <w:ind w:left="102" w:right="119" w:firstLine="851"/>
        <w:jc w:val="both"/>
      </w:pPr>
      <w:r>
        <w:rPr/>
        <w:t>Em seguida, a sua </w:t>
      </w:r>
      <w:r>
        <w:rPr>
          <w:i/>
        </w:rPr>
        <w:t>Introdução </w:t>
      </w:r>
      <w:r>
        <w:rPr/>
        <w:t>(BRASIL, 2005a, p. 9-10), explicita como sendo crítica/democrática a concepção do Documento acerca do PME, pois é:</w:t>
      </w:r>
    </w:p>
    <w:p>
      <w:pPr>
        <w:pStyle w:val="BodyText"/>
        <w:spacing w:before="5"/>
      </w:pPr>
    </w:p>
    <w:p>
      <w:pPr>
        <w:spacing w:before="0"/>
        <w:ind w:left="2370" w:right="1679" w:firstLine="0"/>
        <w:jc w:val="left"/>
        <w:rPr>
          <w:sz w:val="20"/>
        </w:rPr>
      </w:pPr>
      <w:r>
        <w:rPr>
          <w:sz w:val="20"/>
        </w:rPr>
        <w:t>um </w:t>
      </w:r>
      <w:r>
        <w:rPr>
          <w:b/>
          <w:sz w:val="20"/>
        </w:rPr>
        <w:t>plano de Estado </w:t>
      </w:r>
      <w:r>
        <w:rPr>
          <w:sz w:val="20"/>
        </w:rPr>
        <w:t>e não somente um plano de governo. [...]</w:t>
      </w:r>
    </w:p>
    <w:p>
      <w:pPr>
        <w:spacing w:before="0"/>
        <w:ind w:left="2370" w:right="928" w:firstLine="0"/>
        <w:jc w:val="left"/>
        <w:rPr>
          <w:sz w:val="20"/>
        </w:rPr>
      </w:pPr>
      <w:r>
        <w:rPr>
          <w:sz w:val="20"/>
        </w:rPr>
        <w:t>[que], resgata-se o sentido da </w:t>
      </w:r>
      <w:r>
        <w:rPr>
          <w:b/>
          <w:sz w:val="20"/>
        </w:rPr>
        <w:t>continuidade das políticas públicas</w:t>
      </w:r>
      <w:r>
        <w:rPr>
          <w:sz w:val="20"/>
        </w:rPr>
        <w:t>. [...]</w:t>
      </w:r>
    </w:p>
    <w:p>
      <w:pPr>
        <w:spacing w:before="2"/>
        <w:ind w:left="2370" w:right="116" w:firstLine="0"/>
        <w:jc w:val="both"/>
        <w:rPr>
          <w:sz w:val="20"/>
        </w:rPr>
      </w:pPr>
      <w:r>
        <w:rPr>
          <w:sz w:val="20"/>
        </w:rPr>
        <w:t>[que] constitui-se como o momento de um </w:t>
      </w:r>
      <w:r>
        <w:rPr>
          <w:b/>
          <w:sz w:val="20"/>
        </w:rPr>
        <w:t>planejamento conjunto </w:t>
      </w:r>
      <w:r>
        <w:rPr>
          <w:sz w:val="20"/>
        </w:rPr>
        <w:t>do </w:t>
      </w:r>
      <w:r>
        <w:rPr>
          <w:b/>
          <w:sz w:val="20"/>
        </w:rPr>
        <w:t>governo com a sociedade civil </w:t>
      </w:r>
      <w:r>
        <w:rPr>
          <w:sz w:val="20"/>
        </w:rPr>
        <w:t>que, com </w:t>
      </w:r>
      <w:r>
        <w:rPr>
          <w:b/>
          <w:sz w:val="20"/>
        </w:rPr>
        <w:t>base científica </w:t>
      </w:r>
      <w:r>
        <w:rPr>
          <w:sz w:val="20"/>
        </w:rPr>
        <w:t>e com a utilização de </w:t>
      </w:r>
      <w:r>
        <w:rPr>
          <w:b/>
          <w:sz w:val="20"/>
        </w:rPr>
        <w:t>recursos previsíveis</w:t>
      </w:r>
      <w:r>
        <w:rPr>
          <w:sz w:val="20"/>
        </w:rPr>
        <w:t>, deve ter como intuito responder às </w:t>
      </w:r>
      <w:r>
        <w:rPr>
          <w:b/>
          <w:sz w:val="20"/>
        </w:rPr>
        <w:t>necessidades sociais</w:t>
      </w:r>
      <w:r>
        <w:rPr>
          <w:sz w:val="20"/>
        </w:rPr>
        <w:t>.</w:t>
      </w:r>
    </w:p>
    <w:p>
      <w:pPr>
        <w:pStyle w:val="BodyText"/>
        <w:spacing w:before="10"/>
        <w:rPr>
          <w:sz w:val="23"/>
        </w:rPr>
      </w:pPr>
    </w:p>
    <w:p>
      <w:pPr>
        <w:pStyle w:val="BodyText"/>
        <w:spacing w:line="360" w:lineRule="auto"/>
        <w:ind w:left="102" w:right="117" w:firstLine="851"/>
        <w:jc w:val="both"/>
      </w:pPr>
      <w:r>
        <w:rPr/>
        <w:t>Nesta seção, traz, ainda, uma retrospectiva histórica acerca do planejamento da educação desde o ano de 1932, com o Manifesto dos Pioneiros da Educação Nova; descreve a estrutura do PNE 2001-2010, enfatizando a exigência da elaboração dos planos estaduais, distrital e municipais correspondentes e, também, faz menção aos compromissos internacionais dos quais o Brasil é signatário.</w:t>
      </w:r>
    </w:p>
    <w:p>
      <w:pPr>
        <w:pStyle w:val="BodyText"/>
        <w:spacing w:line="360" w:lineRule="auto" w:before="6"/>
        <w:ind w:left="102" w:right="115" w:firstLine="851"/>
        <w:jc w:val="both"/>
      </w:pPr>
      <w:r>
        <w:rPr/>
        <w:t>Seguindo, na seção </w:t>
      </w:r>
      <w:r>
        <w:rPr>
          <w:i/>
        </w:rPr>
        <w:t>Princípios Norteadores do Processo de Elaboração dos </w:t>
      </w:r>
      <w:r>
        <w:rPr>
          <w:i/>
        </w:rPr>
        <w:t>Planos </w:t>
      </w:r>
      <w:r>
        <w:rPr/>
        <w:t>(p.18-9)</w:t>
      </w:r>
      <w:r>
        <w:rPr>
          <w:i/>
        </w:rPr>
        <w:t>, </w:t>
      </w:r>
      <w:r>
        <w:rPr/>
        <w:t>o Documento apresenta dois, sendo o Princípio da Gestão Democrática da Educação, e os Princípios da Autonomia e da Colaboração. Para o primeiro, o Do</w:t>
      </w:r>
      <w:r>
        <w:rPr>
          <w:spacing w:val="-2"/>
        </w:rPr>
        <w:t>c</w:t>
      </w:r>
      <w:r>
        <w:rPr>
          <w:w w:val="100"/>
        </w:rPr>
        <w:t>umento</w:t>
      </w:r>
      <w:r>
        <w:rPr/>
        <w:t>  </w:t>
      </w:r>
      <w:r>
        <w:rPr>
          <w:spacing w:val="-27"/>
        </w:rPr>
        <w:t> </w:t>
      </w:r>
      <w:r>
        <w:rPr>
          <w:w w:val="100"/>
        </w:rPr>
        <w:t>v</w:t>
      </w:r>
      <w:r>
        <w:rPr>
          <w:spacing w:val="-1"/>
          <w:w w:val="100"/>
        </w:rPr>
        <w:t>e</w:t>
      </w:r>
      <w:r>
        <w:rPr>
          <w:w w:val="99"/>
        </w:rPr>
        <w:t>rsa  </w:t>
      </w:r>
      <w:r>
        <w:rPr>
          <w:spacing w:val="-29"/>
          <w:w w:val="99"/>
        </w:rPr>
        <w:t> </w:t>
      </w:r>
      <w:r>
        <w:rPr>
          <w:w w:val="100"/>
        </w:rPr>
        <w:t>que  </w:t>
      </w:r>
      <w:r>
        <w:rPr>
          <w:spacing w:val="-26"/>
          <w:w w:val="100"/>
        </w:rPr>
        <w:t> </w:t>
      </w:r>
      <w:r>
        <w:rPr>
          <w:w w:val="99"/>
        </w:rPr>
        <w:t>p</w:t>
      </w:r>
      <w:r>
        <w:rPr>
          <w:spacing w:val="-1"/>
          <w:w w:val="99"/>
        </w:rPr>
        <w:t>r</w:t>
      </w:r>
      <w:r>
        <w:rPr>
          <w:w w:val="99"/>
        </w:rPr>
        <w:t>opor</w:t>
      </w:r>
      <w:r>
        <w:rPr>
          <w:spacing w:val="-2"/>
          <w:w w:val="99"/>
        </w:rPr>
        <w:t>c</w:t>
      </w:r>
      <w:r>
        <w:rPr>
          <w:w w:val="100"/>
        </w:rPr>
        <w:t>ione</w:t>
      </w:r>
      <w:r>
        <w:rPr/>
        <w:t>  </w:t>
      </w:r>
      <w:r>
        <w:rPr>
          <w:spacing w:val="-28"/>
        </w:rPr>
        <w:t> </w:t>
      </w:r>
      <w:r>
        <w:rPr>
          <w:spacing w:val="-1"/>
          <w:w w:val="44"/>
        </w:rPr>
        <w:t>―</w:t>
      </w:r>
      <w:r>
        <w:rPr>
          <w:w w:val="100"/>
        </w:rPr>
        <w:t>t</w:t>
      </w:r>
      <w:r>
        <w:rPr>
          <w:spacing w:val="1"/>
          <w:w w:val="100"/>
        </w:rPr>
        <w:t>r</w:t>
      </w:r>
      <w:r>
        <w:rPr>
          <w:spacing w:val="-1"/>
          <w:w w:val="100"/>
        </w:rPr>
        <w:t>a</w:t>
      </w:r>
      <w:r>
        <w:rPr>
          <w:w w:val="99"/>
        </w:rPr>
        <w:t>nspar</w:t>
      </w:r>
      <w:r>
        <w:rPr>
          <w:spacing w:val="-1"/>
          <w:w w:val="100"/>
        </w:rPr>
        <w:t>ê</w:t>
      </w:r>
      <w:r>
        <w:rPr>
          <w:spacing w:val="2"/>
        </w:rPr>
        <w:t>n</w:t>
      </w:r>
      <w:r>
        <w:rPr>
          <w:spacing w:val="-1"/>
          <w:w w:val="100"/>
        </w:rPr>
        <w:t>c</w:t>
      </w:r>
      <w:r>
        <w:rPr>
          <w:w w:val="100"/>
        </w:rPr>
        <w:t>ia</w:t>
      </w:r>
      <w:r>
        <w:rPr/>
        <w:t>  </w:t>
      </w:r>
      <w:r>
        <w:rPr>
          <w:spacing w:val="-28"/>
        </w:rPr>
        <w:t> </w:t>
      </w:r>
      <w:r>
        <w:rPr>
          <w:w w:val="100"/>
        </w:rPr>
        <w:t>e</w:t>
      </w:r>
      <w:r>
        <w:rPr/>
        <w:t>  </w:t>
      </w:r>
      <w:r>
        <w:rPr>
          <w:spacing w:val="-28"/>
        </w:rPr>
        <w:t> </w:t>
      </w:r>
      <w:r>
        <w:rPr>
          <w:w w:val="100"/>
        </w:rPr>
        <w:t>im</w:t>
      </w:r>
      <w:r>
        <w:rPr>
          <w:w w:val="100"/>
        </w:rPr>
        <w:t>p</w:t>
      </w:r>
      <w:r>
        <w:rPr>
          <w:spacing w:val="-1"/>
          <w:w w:val="100"/>
        </w:rPr>
        <w:t>e</w:t>
      </w:r>
      <w:r>
        <w:rPr>
          <w:w w:val="100"/>
        </w:rPr>
        <w:t>ssoalidad</w:t>
      </w:r>
      <w:r>
        <w:rPr>
          <w:spacing w:val="-2"/>
          <w:w w:val="100"/>
        </w:rPr>
        <w:t>e</w:t>
      </w:r>
      <w:r>
        <w:rPr/>
        <w:t>,  </w:t>
      </w:r>
      <w:r>
        <w:rPr>
          <w:spacing w:val="-27"/>
        </w:rPr>
        <w:t> </w:t>
      </w:r>
      <w:r>
        <w:rPr>
          <w:spacing w:val="-1"/>
          <w:w w:val="100"/>
        </w:rPr>
        <w:t>a</w:t>
      </w:r>
      <w:r>
        <w:rPr>
          <w:spacing w:val="3"/>
        </w:rPr>
        <w:t>u</w:t>
      </w:r>
      <w:r>
        <w:rPr/>
        <w:t>tonomia  </w:t>
      </w:r>
      <w:r>
        <w:rPr>
          <w:spacing w:val="-28"/>
        </w:rPr>
        <w:t> </w:t>
      </w:r>
      <w:r>
        <w:rPr/>
        <w:t>e participação, liderança e trabalho coletivo, representatividade e competência‖. Para o s</w:t>
      </w:r>
      <w:r>
        <w:rPr>
          <w:spacing w:val="-1"/>
        </w:rPr>
        <w:t>e</w:t>
      </w:r>
      <w:r>
        <w:rPr>
          <w:spacing w:val="-3"/>
        </w:rPr>
        <w:t>g</w:t>
      </w:r>
      <w:r>
        <w:rPr/>
        <w:t>undo, </w:t>
      </w:r>
      <w:r>
        <w:rPr>
          <w:spacing w:val="-30"/>
        </w:rPr>
        <w:t> </w:t>
      </w:r>
      <w:r>
        <w:rPr>
          <w:w w:val="100"/>
        </w:rPr>
        <w:t>que </w:t>
      </w:r>
      <w:r>
        <w:rPr>
          <w:spacing w:val="-30"/>
          <w:w w:val="100"/>
        </w:rPr>
        <w:t> </w:t>
      </w:r>
      <w:r>
        <w:rPr>
          <w:spacing w:val="1"/>
          <w:w w:val="44"/>
        </w:rPr>
        <w:t>―</w:t>
      </w:r>
      <w:r>
        <w:rPr>
          <w:w w:val="100"/>
        </w:rPr>
        <w:t>a</w:t>
      </w:r>
      <w:r>
        <w:rPr/>
        <w:t> </w:t>
      </w:r>
      <w:r>
        <w:rPr>
          <w:spacing w:val="-30"/>
        </w:rPr>
        <w:t> </w:t>
      </w:r>
      <w:r>
        <w:rPr>
          <w:spacing w:val="-1"/>
          <w:w w:val="100"/>
        </w:rPr>
        <w:t>a</w:t>
      </w:r>
      <w:r>
        <w:rPr>
          <w:w w:val="100"/>
        </w:rPr>
        <w:t>pli</w:t>
      </w:r>
      <w:r>
        <w:rPr>
          <w:spacing w:val="-1"/>
          <w:w w:val="100"/>
        </w:rPr>
        <w:t>c</w:t>
      </w:r>
      <w:r>
        <w:rPr>
          <w:spacing w:val="1"/>
          <w:w w:val="100"/>
        </w:rPr>
        <w:t>aç</w:t>
      </w:r>
      <w:r>
        <w:rPr>
          <w:spacing w:val="-1"/>
          <w:w w:val="100"/>
        </w:rPr>
        <w:t>ã</w:t>
      </w:r>
      <w:r>
        <w:rPr/>
        <w:t>o </w:t>
      </w:r>
      <w:r>
        <w:rPr>
          <w:spacing w:val="-30"/>
        </w:rPr>
        <w:t> </w:t>
      </w:r>
      <w:r>
        <w:rPr>
          <w:w w:val="100"/>
        </w:rPr>
        <w:t>de</w:t>
      </w:r>
      <w:r>
        <w:rPr/>
        <w:t> </w:t>
      </w:r>
      <w:r>
        <w:rPr>
          <w:spacing w:val="-30"/>
        </w:rPr>
        <w:t> </w:t>
      </w:r>
      <w:r>
        <w:rPr>
          <w:w w:val="100"/>
        </w:rPr>
        <w:t>um</w:t>
      </w:r>
      <w:r>
        <w:rPr/>
        <w:t> </w:t>
      </w:r>
      <w:r>
        <w:rPr>
          <w:spacing w:val="-29"/>
        </w:rPr>
        <w:t> </w:t>
      </w:r>
      <w:r>
        <w:rPr/>
        <w:t>p</w:t>
      </w:r>
      <w:r>
        <w:rPr>
          <w:spacing w:val="-1"/>
        </w:rPr>
        <w:t>r</w:t>
      </w:r>
      <w:r>
        <w:rPr>
          <w:w w:val="100"/>
        </w:rPr>
        <w:t>incípio</w:t>
      </w:r>
      <w:r>
        <w:rPr/>
        <w:t> </w:t>
      </w:r>
      <w:r>
        <w:rPr>
          <w:spacing w:val="-29"/>
        </w:rPr>
        <w:t> </w:t>
      </w:r>
      <w:r>
        <w:rPr>
          <w:w w:val="100"/>
        </w:rPr>
        <w:t>r</w:t>
      </w:r>
      <w:r>
        <w:rPr>
          <w:spacing w:val="-2"/>
          <w:w w:val="100"/>
        </w:rPr>
        <w:t>e</w:t>
      </w:r>
      <w:r>
        <w:rPr>
          <w:w w:val="100"/>
        </w:rPr>
        <w:t>qu</w:t>
      </w:r>
      <w:r>
        <w:rPr>
          <w:spacing w:val="-1"/>
          <w:w w:val="100"/>
        </w:rPr>
        <w:t>e</w:t>
      </w:r>
      <w:r>
        <w:rPr>
          <w:w w:val="99"/>
        </w:rPr>
        <w:t>r </w:t>
      </w:r>
      <w:r>
        <w:rPr>
          <w:spacing w:val="-30"/>
          <w:w w:val="99"/>
        </w:rPr>
        <w:t> </w:t>
      </w:r>
      <w:r>
        <w:rPr>
          <w:w w:val="100"/>
        </w:rPr>
        <w:t>a</w:t>
      </w:r>
      <w:r>
        <w:rPr/>
        <w:t> </w:t>
      </w:r>
      <w:r>
        <w:rPr>
          <w:spacing w:val="-30"/>
        </w:rPr>
        <w:t> </w:t>
      </w:r>
      <w:r>
        <w:rPr>
          <w:spacing w:val="-1"/>
          <w:w w:val="100"/>
        </w:rPr>
        <w:t>c</w:t>
      </w:r>
      <w:r>
        <w:rPr>
          <w:w w:val="100"/>
        </w:rPr>
        <w:t>olabor</w:t>
      </w:r>
      <w:r>
        <w:rPr>
          <w:spacing w:val="-1"/>
          <w:w w:val="100"/>
        </w:rPr>
        <w:t>açã</w:t>
      </w:r>
      <w:r>
        <w:rPr/>
        <w:t>o </w:t>
      </w:r>
      <w:r>
        <w:rPr>
          <w:spacing w:val="-30"/>
        </w:rPr>
        <w:t> </w:t>
      </w:r>
      <w:r>
        <w:rPr/>
        <w:t>do </w:t>
      </w:r>
      <w:r>
        <w:rPr>
          <w:spacing w:val="-30"/>
        </w:rPr>
        <w:t> </w:t>
      </w:r>
      <w:r>
        <w:rPr/>
        <w:t>out</w:t>
      </w:r>
      <w:r>
        <w:rPr>
          <w:spacing w:val="1"/>
        </w:rPr>
        <w:t>r</w:t>
      </w:r>
      <w:r>
        <w:rPr>
          <w:w w:val="120"/>
        </w:rPr>
        <w:t>o</w:t>
      </w:r>
      <w:r>
        <w:rPr>
          <w:spacing w:val="-1"/>
          <w:w w:val="120"/>
        </w:rPr>
        <w:t>‖</w:t>
      </w:r>
      <w:r>
        <w:rPr/>
        <w:t>, </w:t>
      </w:r>
      <w:r>
        <w:rPr>
          <w:spacing w:val="-30"/>
        </w:rPr>
        <w:t> </w:t>
      </w:r>
      <w:r>
        <w:rPr>
          <w:w w:val="100"/>
        </w:rPr>
        <w:t>e</w:t>
      </w:r>
      <w:r>
        <w:rPr/>
        <w:t> </w:t>
      </w:r>
      <w:r>
        <w:rPr>
          <w:spacing w:val="-30"/>
        </w:rPr>
        <w:t> </w:t>
      </w:r>
      <w:r>
        <w:rPr>
          <w:w w:val="100"/>
        </w:rPr>
        <w:t>d</w:t>
      </w:r>
      <w:r>
        <w:rPr>
          <w:spacing w:val="-1"/>
          <w:w w:val="100"/>
        </w:rPr>
        <w:t>e</w:t>
      </w:r>
      <w:r>
        <w:rPr>
          <w:w w:val="100"/>
        </w:rPr>
        <w:t>sta</w:t>
      </w:r>
      <w:r>
        <w:rPr>
          <w:spacing w:val="-2"/>
          <w:w w:val="100"/>
        </w:rPr>
        <w:t>c</w:t>
      </w:r>
      <w:r>
        <w:rPr>
          <w:w w:val="100"/>
        </w:rPr>
        <w:t>a</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2" w:lineRule="auto" w:before="210"/>
        <w:ind w:left="102"/>
        <w:rPr>
          <w:b/>
        </w:rPr>
      </w:pPr>
      <w:r>
        <w:rPr/>
        <w:t>como importante para cada ente o conhecimento de suas ações e daquelas que podem </w:t>
      </w:r>
      <w:r>
        <w:rPr>
          <w:w w:val="100"/>
        </w:rPr>
        <w:t>c</w:t>
      </w:r>
      <w:r>
        <w:rPr>
          <w:w w:val="100"/>
        </w:rPr>
        <w:t>oincidir</w:t>
      </w:r>
      <w:r>
        <w:rPr/>
        <w:t> </w:t>
      </w:r>
      <w:r>
        <w:rPr>
          <w:w w:val="100"/>
        </w:rPr>
        <w:t>pa</w:t>
      </w:r>
      <w:r>
        <w:rPr>
          <w:w w:val="99"/>
        </w:rPr>
        <w:t>r</w:t>
      </w:r>
      <w:r>
        <w:rPr>
          <w:w w:val="100"/>
        </w:rPr>
        <w:t>a</w:t>
      </w:r>
      <w:r>
        <w:rPr/>
        <w:t> </w:t>
      </w:r>
      <w:r>
        <w:rPr>
          <w:w w:val="100"/>
        </w:rPr>
        <w:t>a</w:t>
      </w:r>
      <w:r>
        <w:rPr/>
        <w:t>mbos </w:t>
      </w:r>
      <w:r>
        <w:rPr>
          <w:w w:val="100"/>
        </w:rPr>
        <w:t>e</w:t>
      </w:r>
      <w:r>
        <w:rPr/>
        <w:t>, </w:t>
      </w:r>
      <w:r>
        <w:rPr>
          <w:w w:val="100"/>
        </w:rPr>
        <w:t>a</w:t>
      </w:r>
      <w:r>
        <w:rPr>
          <w:w w:val="99"/>
        </w:rPr>
        <w:t>ssi</w:t>
      </w:r>
      <w:r>
        <w:rPr>
          <w:w w:val="100"/>
        </w:rPr>
        <w:t>m,</w:t>
      </w:r>
      <w:r>
        <w:rPr/>
        <w:t> </w:t>
      </w:r>
      <w:r>
        <w:rPr>
          <w:w w:val="100"/>
        </w:rPr>
        <w:t>re</w:t>
      </w:r>
      <w:r>
        <w:rPr>
          <w:w w:val="100"/>
        </w:rPr>
        <w:t>a</w:t>
      </w:r>
      <w:r>
        <w:rPr>
          <w:w w:val="100"/>
        </w:rPr>
        <w:t>li</w:t>
      </w:r>
      <w:r>
        <w:rPr>
          <w:w w:val="100"/>
        </w:rPr>
        <w:t>za</w:t>
      </w:r>
      <w:r>
        <w:rPr>
          <w:w w:val="100"/>
        </w:rPr>
        <w:t>da</w:t>
      </w:r>
      <w:r>
        <w:rPr>
          <w:w w:val="99"/>
        </w:rPr>
        <w:t>s</w:t>
      </w:r>
      <w:r>
        <w:rPr/>
        <w:t> </w:t>
      </w:r>
      <w:r>
        <w:rPr>
          <w:w w:val="100"/>
        </w:rPr>
        <w:t>em</w:t>
      </w:r>
      <w:r>
        <w:rPr/>
        <w:t> </w:t>
      </w:r>
      <w:r>
        <w:rPr>
          <w:w w:val="44"/>
        </w:rPr>
        <w:t>―</w:t>
      </w:r>
      <w:r>
        <w:rPr>
          <w:w w:val="100"/>
        </w:rPr>
        <w:t>pa</w:t>
      </w:r>
      <w:r>
        <w:rPr>
          <w:w w:val="99"/>
        </w:rPr>
        <w:t>r</w:t>
      </w:r>
      <w:r>
        <w:rPr>
          <w:w w:val="100"/>
        </w:rPr>
        <w:t>ceria</w:t>
      </w:r>
      <w:r>
        <w:rPr>
          <w:w w:val="158"/>
        </w:rPr>
        <w:t>‖</w:t>
      </w:r>
      <w:r>
        <w:rPr>
          <w:b/>
        </w:rPr>
        <w:t>.</w:t>
      </w:r>
    </w:p>
    <w:p>
      <w:pPr>
        <w:pStyle w:val="BodyText"/>
        <w:spacing w:line="360" w:lineRule="auto"/>
        <w:ind w:left="102" w:right="115" w:firstLine="851"/>
        <w:jc w:val="both"/>
      </w:pPr>
      <w:r>
        <w:rPr/>
        <w:t>Na sequência, em uma seção intitulada </w:t>
      </w:r>
      <w:r>
        <w:rPr>
          <w:i/>
        </w:rPr>
        <w:t>Atores que Devem Participar do </w:t>
      </w:r>
      <w:r>
        <w:rPr>
          <w:i/>
        </w:rPr>
        <w:t>Processo de Elaboração, Execução e Acompanhamento do Plano Municipal de Educação </w:t>
      </w:r>
      <w:r>
        <w:rPr/>
        <w:t>(20-22), o Documento apresenta o Poder Executivo (Prefeitura, Secretaria de Educação e outras, como Secretaria de Saúde, Assistência Social, Trabalho, Justiça e Segurança, Fazenda e Planejamento, dentre outros; Representante do Conselho Municipal de Educação (CME), do Conselho Estadual de Educação (CEE) e de outros Conselhos, tais como Conselho do Fundo de Manutenção e Desenvolvimento do Ensino Fundamental e de Valorização do Magistério (Fundef), Conselho Tutelar, Conselho do Direito da Criança e do Adolescente, Conselho da Alimentação Escolar (CAE); Representante da Secretaria Estadual da Educação e das Delegacias Regionais de Ensino); o Poder Legislativo (Câmara de Vereadores, especialmente, as Comissões de Educação, Cultura e Esportes, Família e Seguridade Social, Orçamento e Finanças; Tribunal de Contas); o Ministério Público (Promotorias e Procuradorias); e Sociedade Civil Organizada (Entidades ligadas à educação – estaduais, municipais ou representações locais de entidades nacionais –, União Nacional dos Dirigentes Municipais de Educação (Undime), União Nacional dos Conselhos Municipais de Educação (Uncme), Confederação Nacional dos Trabalhadores em Educação (CNTE); Entidades nacionais, estaduais e municipais que, no âmbito do Município, trabalham no campo das relações étnico-raciais, sindicatos, associações de alunos – União Nacional dos Estudantes (UNE), União Brasileira de Estudantes Secundaristas (UBES), Centro Acadêmico (CA); Instituições de Ensino Superior; Associações e Sindicatos de Profissionais da Educação, Associação de Diretores de Escolas, Associação de Supervisores de Ensino; Associações – Associação de Pais e Professores (APP), Associação de Pais e Amigos dos Excepcionais (Apae), Associação de Pais e Mestres (APM) –; Fórum de Educação Infantil; Fundações ligadas à Educação, Pastoral da Criança, Pastoral do Menor, Lions Clube, Rotary, Associação de Bairro e outros).</w:t>
      </w:r>
    </w:p>
    <w:p>
      <w:pPr>
        <w:pStyle w:val="BodyText"/>
        <w:spacing w:line="360" w:lineRule="auto" w:before="4"/>
        <w:ind w:left="102" w:right="118" w:firstLine="851"/>
        <w:jc w:val="both"/>
      </w:pPr>
      <w:r>
        <w:rPr/>
        <w:t>Em outra seção, </w:t>
      </w:r>
      <w:r>
        <w:rPr>
          <w:i/>
        </w:rPr>
        <w:t>Componentes e Divisão de Responsabilidades no Processo de </w:t>
      </w:r>
      <w:r>
        <w:rPr>
          <w:i/>
        </w:rPr>
        <w:t>Elaboração do Plano Municipal de Educação </w:t>
      </w:r>
      <w:r>
        <w:rPr/>
        <w:t>(p. 23-4), demonstra a necessidade de dividir as responsabilidades no desenvolvimento do processo e, para tanto, expressa ser </w:t>
      </w:r>
      <w:r>
        <w:rPr>
          <w:w w:val="100"/>
        </w:rPr>
        <w:t>im</w:t>
      </w:r>
      <w:r>
        <w:rPr>
          <w:w w:val="100"/>
        </w:rPr>
        <w:t>port</w:t>
      </w:r>
      <w:r>
        <w:rPr>
          <w:spacing w:val="-2"/>
          <w:w w:val="100"/>
        </w:rPr>
        <w:t>a</w:t>
      </w:r>
      <w:r>
        <w:rPr>
          <w:w w:val="100"/>
        </w:rPr>
        <w:t>nte</w:t>
      </w:r>
      <w:r>
        <w:rPr/>
        <w:t>  </w:t>
      </w:r>
      <w:r>
        <w:rPr>
          <w:spacing w:val="-3"/>
        </w:rPr>
        <w:t>g</w:t>
      </w:r>
      <w:r>
        <w:rPr>
          <w:spacing w:val="-1"/>
          <w:w w:val="100"/>
        </w:rPr>
        <w:t>a</w:t>
      </w:r>
      <w:r>
        <w:rPr>
          <w:spacing w:val="1"/>
          <w:w w:val="99"/>
        </w:rPr>
        <w:t>r</w:t>
      </w:r>
      <w:r>
        <w:rPr>
          <w:spacing w:val="-1"/>
          <w:w w:val="100"/>
        </w:rPr>
        <w:t>a</w:t>
      </w:r>
      <w:r>
        <w:rPr>
          <w:w w:val="100"/>
        </w:rPr>
        <w:t>nti</w:t>
      </w:r>
      <w:r>
        <w:rPr>
          <w:w w:val="99"/>
        </w:rPr>
        <w:t>r  </w:t>
      </w:r>
      <w:r>
        <w:rPr>
          <w:w w:val="100"/>
        </w:rPr>
        <w:t>a</w:t>
      </w:r>
      <w:r>
        <w:rPr/>
        <w:t>  </w:t>
      </w:r>
      <w:r>
        <w:rPr>
          <w:spacing w:val="2"/>
        </w:rPr>
        <w:t>p</w:t>
      </w:r>
      <w:r>
        <w:rPr>
          <w:spacing w:val="-1"/>
          <w:w w:val="100"/>
        </w:rPr>
        <w:t>a</w:t>
      </w:r>
      <w:r>
        <w:rPr>
          <w:w w:val="100"/>
        </w:rPr>
        <w:t>rticip</w:t>
      </w:r>
      <w:r>
        <w:rPr>
          <w:spacing w:val="-2"/>
          <w:w w:val="100"/>
        </w:rPr>
        <w:t>a</w:t>
      </w:r>
      <w:r>
        <w:rPr>
          <w:spacing w:val="1"/>
          <w:w w:val="100"/>
        </w:rPr>
        <w:t>ç</w:t>
      </w:r>
      <w:r>
        <w:rPr>
          <w:spacing w:val="-1"/>
          <w:w w:val="100"/>
        </w:rPr>
        <w:t>ã</w:t>
      </w:r>
      <w:r>
        <w:rPr/>
        <w:t>o  </w:t>
      </w:r>
      <w:r>
        <w:rPr>
          <w:spacing w:val="-1"/>
          <w:w w:val="44"/>
        </w:rPr>
        <w:t>―</w:t>
      </w:r>
      <w:r>
        <w:rPr>
          <w:w w:val="99"/>
        </w:rPr>
        <w:t>dos</w:t>
      </w:r>
      <w:r>
        <w:rPr/>
        <w:t>  </w:t>
      </w:r>
      <w:r>
        <w:rPr>
          <w:w w:val="100"/>
        </w:rPr>
        <w:t>difer</w:t>
      </w:r>
      <w:r>
        <w:rPr>
          <w:spacing w:val="-2"/>
          <w:w w:val="100"/>
        </w:rPr>
        <w:t>e</w:t>
      </w:r>
      <w:r>
        <w:rPr>
          <w:spacing w:val="2"/>
        </w:rPr>
        <w:t>n</w:t>
      </w:r>
      <w:r>
        <w:rPr>
          <w:w w:val="100"/>
        </w:rPr>
        <w:t>tes</w:t>
      </w:r>
      <w:r>
        <w:rPr/>
        <w:t>  s</w:t>
      </w:r>
      <w:r>
        <w:rPr>
          <w:spacing w:val="-1"/>
        </w:rPr>
        <w:t>e</w:t>
      </w:r>
      <w:r>
        <w:rPr>
          <w:w w:val="100"/>
        </w:rPr>
        <w:t>tor</w:t>
      </w:r>
      <w:r>
        <w:rPr>
          <w:spacing w:val="-2"/>
          <w:w w:val="100"/>
        </w:rPr>
        <w:t>e</w:t>
      </w:r>
      <w:r>
        <w:rPr>
          <w:w w:val="99"/>
        </w:rPr>
        <w:t>s,</w:t>
      </w:r>
      <w:r>
        <w:rPr/>
        <w:t>  </w:t>
      </w:r>
      <w:r>
        <w:rPr>
          <w:spacing w:val="-1"/>
          <w:w w:val="100"/>
        </w:rPr>
        <w:t>e</w:t>
      </w:r>
      <w:r>
        <w:rPr>
          <w:w w:val="100"/>
        </w:rPr>
        <w:t>nti</w:t>
      </w:r>
      <w:r>
        <w:rPr>
          <w:w w:val="100"/>
        </w:rPr>
        <w:t>d</w:t>
      </w:r>
      <w:r>
        <w:rPr>
          <w:spacing w:val="-1"/>
          <w:w w:val="100"/>
        </w:rPr>
        <w:t>a</w:t>
      </w:r>
      <w:r>
        <w:rPr>
          <w:w w:val="100"/>
        </w:rPr>
        <w:t>d</w:t>
      </w:r>
      <w:r>
        <w:rPr>
          <w:spacing w:val="-1"/>
          <w:w w:val="100"/>
        </w:rPr>
        <w:t>e</w:t>
      </w:r>
      <w:r>
        <w:rPr>
          <w:w w:val="99"/>
        </w:rPr>
        <w:t>s</w:t>
      </w:r>
      <w:r>
        <w:rPr/>
        <w:t>  </w:t>
      </w:r>
      <w:r>
        <w:rPr>
          <w:w w:val="100"/>
        </w:rPr>
        <w:t>e</w:t>
      </w:r>
      <w:r>
        <w:rPr/>
        <w:t>  s</w:t>
      </w:r>
      <w:r>
        <w:rPr>
          <w:spacing w:val="1"/>
        </w:rPr>
        <w:t>e</w:t>
      </w:r>
      <w:r>
        <w:rPr>
          <w:spacing w:val="-3"/>
        </w:rPr>
        <w:t>g</w:t>
      </w:r>
      <w:r>
        <w:rPr>
          <w:w w:val="100"/>
        </w:rPr>
        <w:t>mentos, </w:t>
      </w:r>
      <w:r>
        <w:rPr>
          <w:spacing w:val="-1"/>
          <w:w w:val="100"/>
        </w:rPr>
        <w:t>c</w:t>
      </w:r>
      <w:r>
        <w:rPr>
          <w:w w:val="100"/>
        </w:rPr>
        <w:t>onf</w:t>
      </w:r>
      <w:r>
        <w:rPr>
          <w:spacing w:val="-2"/>
          <w:w w:val="100"/>
        </w:rPr>
        <w:t>e</w:t>
      </w:r>
      <w:r>
        <w:rPr>
          <w:w w:val="100"/>
        </w:rPr>
        <w:t>rindo um </w:t>
      </w:r>
      <w:r>
        <w:rPr>
          <w:spacing w:val="-1"/>
          <w:w w:val="100"/>
        </w:rPr>
        <w:t>a</w:t>
      </w:r>
      <w:r>
        <w:rPr>
          <w:w w:val="100"/>
        </w:rPr>
        <w:t>mpl</w:t>
      </w:r>
      <w:r>
        <w:rPr/>
        <w:t>o </w:t>
      </w:r>
      <w:r>
        <w:rPr>
          <w:spacing w:val="1"/>
          <w:w w:val="100"/>
        </w:rPr>
        <w:t>ca</w:t>
      </w:r>
      <w:r>
        <w:rPr>
          <w:w w:val="100"/>
        </w:rPr>
        <w:t>r</w:t>
      </w:r>
      <w:r>
        <w:rPr>
          <w:spacing w:val="-2"/>
          <w:w w:val="100"/>
        </w:rPr>
        <w:t>á</w:t>
      </w:r>
      <w:r>
        <w:rPr>
          <w:w w:val="100"/>
        </w:rPr>
        <w:t>ter</w:t>
      </w:r>
      <w:r>
        <w:rPr/>
        <w:t> </w:t>
      </w:r>
      <w:r>
        <w:rPr>
          <w:w w:val="100"/>
        </w:rPr>
        <w:t>polí</w:t>
      </w:r>
      <w:r>
        <w:rPr>
          <w:w w:val="100"/>
        </w:rPr>
        <w:t>ti</w:t>
      </w:r>
      <w:r>
        <w:rPr>
          <w:spacing w:val="-1"/>
          <w:w w:val="100"/>
        </w:rPr>
        <w:t>c</w:t>
      </w:r>
      <w:r>
        <w:rPr/>
        <w:t>o </w:t>
      </w:r>
      <w:r>
        <w:rPr>
          <w:spacing w:val="-1"/>
          <w:w w:val="100"/>
        </w:rPr>
        <w:t>a</w:t>
      </w:r>
      <w:r>
        <w:rPr/>
        <w:t>o p</w:t>
      </w:r>
      <w:r>
        <w:rPr>
          <w:spacing w:val="-1"/>
        </w:rPr>
        <w:t>r</w:t>
      </w:r>
      <w:r>
        <w:rPr>
          <w:spacing w:val="2"/>
        </w:rPr>
        <w:t>o</w:t>
      </w:r>
      <w:r>
        <w:rPr>
          <w:spacing w:val="-1"/>
          <w:w w:val="100"/>
        </w:rPr>
        <w:t>ce</w:t>
      </w:r>
      <w:r>
        <w:rPr>
          <w:w w:val="99"/>
        </w:rPr>
        <w:t>s</w:t>
      </w:r>
      <w:r>
        <w:rPr>
          <w:spacing w:val="2"/>
          <w:w w:val="99"/>
        </w:rPr>
        <w:t>s</w:t>
      </w:r>
      <w:r>
        <w:rPr>
          <w:w w:val="120"/>
        </w:rPr>
        <w:t>o</w:t>
      </w:r>
      <w:r>
        <w:rPr>
          <w:spacing w:val="-1"/>
          <w:w w:val="120"/>
        </w:rPr>
        <w:t>‖</w:t>
      </w:r>
      <w:r>
        <w:rPr/>
        <w:t>, </w:t>
      </w:r>
      <w:r>
        <w:rPr>
          <w:w w:val="100"/>
        </w:rPr>
        <w:t>b</w:t>
      </w:r>
      <w:r>
        <w:rPr>
          <w:spacing w:val="-1"/>
          <w:w w:val="100"/>
        </w:rPr>
        <w:t>e</w:t>
      </w:r>
      <w:r>
        <w:rPr>
          <w:w w:val="100"/>
        </w:rPr>
        <w:t>m</w:t>
      </w:r>
      <w:r>
        <w:rPr/>
        <w:t> </w:t>
      </w:r>
      <w:r>
        <w:rPr>
          <w:spacing w:val="-1"/>
          <w:w w:val="100"/>
        </w:rPr>
        <w:t>c</w:t>
      </w:r>
      <w:r>
        <w:rPr>
          <w:w w:val="100"/>
        </w:rPr>
        <w:t>omo </w:t>
      </w:r>
      <w:r>
        <w:rPr>
          <w:spacing w:val="1"/>
          <w:w w:val="44"/>
        </w:rPr>
        <w:t>―</w:t>
      </w:r>
      <w:r>
        <w:rPr>
          <w:w w:val="100"/>
        </w:rPr>
        <w:t>a</w:t>
      </w:r>
      <w:r>
        <w:rPr/>
        <w:t> </w:t>
      </w:r>
      <w:r>
        <w:rPr>
          <w:spacing w:val="-3"/>
        </w:rPr>
        <w:t>g</w:t>
      </w:r>
      <w:r>
        <w:rPr>
          <w:spacing w:val="-1"/>
          <w:w w:val="100"/>
        </w:rPr>
        <w:t>a</w:t>
      </w:r>
      <w:r>
        <w:rPr>
          <w:spacing w:val="1"/>
          <w:w w:val="99"/>
        </w:rPr>
        <w:t>r</w:t>
      </w:r>
      <w:r>
        <w:rPr>
          <w:spacing w:val="-1"/>
          <w:w w:val="100"/>
        </w:rPr>
        <w:t>a</w:t>
      </w:r>
      <w:r>
        <w:rPr>
          <w:w w:val="100"/>
        </w:rPr>
        <w:t>ntia</w:t>
      </w:r>
      <w:r>
        <w:rPr/>
        <w:t> </w:t>
      </w:r>
      <w:r>
        <w:rPr>
          <w:w w:val="100"/>
        </w:rPr>
        <w:t>de</w:t>
      </w:r>
      <w:r>
        <w:rPr/>
        <w:t> </w:t>
      </w:r>
      <w:r>
        <w:rPr>
          <w:w w:val="100"/>
        </w:rPr>
        <w:t>p</w:t>
      </w:r>
      <w:r>
        <w:rPr>
          <w:spacing w:val="-1"/>
          <w:w w:val="100"/>
        </w:rPr>
        <w:t>e</w:t>
      </w:r>
      <w:r>
        <w:rPr/>
        <w:t>ssoal </w:t>
      </w:r>
      <w:r>
        <w:rPr>
          <w:w w:val="100"/>
        </w:rPr>
        <w:t>e </w:t>
      </w:r>
      <w:r>
        <w:rPr/>
        <w:t>suporte técnico da área‖. A este processo descrito, é importante destacar o</w:t>
      </w:r>
      <w:r>
        <w:rPr>
          <w:spacing w:val="50"/>
        </w:rPr>
        <w:t> </w:t>
      </w:r>
      <w:r>
        <w:rPr/>
        <w:t>entendimento</w:t>
      </w:r>
    </w:p>
    <w:p>
      <w:pPr>
        <w:spacing w:after="0" w:line="360" w:lineRule="auto"/>
        <w:jc w:val="both"/>
        <w:sectPr>
          <w:headerReference w:type="default" r:id="rId38"/>
          <w:pgSz w:w="11910" w:h="16840"/>
          <w:pgMar w:header="749" w:footer="0" w:top="960" w:bottom="280" w:left="1600" w:right="1580"/>
        </w:sectPr>
      </w:pPr>
    </w:p>
    <w:p>
      <w:pPr>
        <w:pStyle w:val="BodyText"/>
        <w:rPr>
          <w:sz w:val="20"/>
        </w:rPr>
      </w:pPr>
    </w:p>
    <w:p>
      <w:pPr>
        <w:pStyle w:val="BodyText"/>
        <w:spacing w:line="362" w:lineRule="auto" w:before="210"/>
        <w:ind w:left="102" w:right="115"/>
        <w:jc w:val="both"/>
      </w:pPr>
      <w:r>
        <w:rPr>
          <w:w w:val="99"/>
        </w:rPr>
        <w:t>p</w:t>
      </w:r>
      <w:r>
        <w:rPr>
          <w:spacing w:val="-1"/>
          <w:w w:val="99"/>
        </w:rPr>
        <w:t>r</w:t>
      </w:r>
      <w:r>
        <w:rPr>
          <w:spacing w:val="-1"/>
          <w:w w:val="100"/>
        </w:rPr>
        <w:t>e</w:t>
      </w:r>
      <w:r>
        <w:rPr>
          <w:w w:val="99"/>
        </w:rPr>
        <w:t>s</w:t>
      </w:r>
      <w:r>
        <w:rPr>
          <w:spacing w:val="-1"/>
          <w:w w:val="99"/>
        </w:rPr>
        <w:t>e</w:t>
      </w:r>
      <w:r>
        <w:rPr>
          <w:w w:val="100"/>
        </w:rPr>
        <w:t>nte</w:t>
      </w:r>
      <w:r>
        <w:rPr/>
        <w:t> </w:t>
      </w:r>
      <w:r>
        <w:rPr>
          <w:spacing w:val="-25"/>
        </w:rPr>
        <w:t> </w:t>
      </w:r>
      <w:r>
        <w:rPr/>
        <w:t>no </w:t>
      </w:r>
      <w:r>
        <w:rPr>
          <w:spacing w:val="-25"/>
        </w:rPr>
        <w:t> </w:t>
      </w:r>
      <w:r>
        <w:rPr>
          <w:w w:val="100"/>
        </w:rPr>
        <w:t>do</w:t>
      </w:r>
      <w:r>
        <w:rPr>
          <w:spacing w:val="-1"/>
          <w:w w:val="100"/>
        </w:rPr>
        <w:t>c</w:t>
      </w:r>
      <w:r>
        <w:rPr>
          <w:w w:val="100"/>
        </w:rPr>
        <w:t>umento, </w:t>
      </w:r>
      <w:r>
        <w:rPr>
          <w:spacing w:val="-25"/>
          <w:w w:val="100"/>
        </w:rPr>
        <w:t> </w:t>
      </w:r>
      <w:r>
        <w:rPr>
          <w:w w:val="100"/>
        </w:rPr>
        <w:t>qu</w:t>
      </w:r>
      <w:r>
        <w:rPr>
          <w:spacing w:val="-1"/>
          <w:w w:val="100"/>
        </w:rPr>
        <w:t>a</w:t>
      </w:r>
      <w:r>
        <w:rPr>
          <w:w w:val="100"/>
        </w:rPr>
        <w:t>l</w:t>
      </w:r>
      <w:r>
        <w:rPr/>
        <w:t> </w:t>
      </w:r>
      <w:r>
        <w:rPr>
          <w:spacing w:val="-24"/>
        </w:rPr>
        <w:t> </w:t>
      </w:r>
      <w:r>
        <w:rPr/>
        <w:t>s</w:t>
      </w:r>
      <w:r>
        <w:rPr>
          <w:spacing w:val="-1"/>
        </w:rPr>
        <w:t>e</w:t>
      </w:r>
      <w:r>
        <w:rPr>
          <w:w w:val="100"/>
        </w:rPr>
        <w:t>ja,</w:t>
      </w:r>
      <w:r>
        <w:rPr/>
        <w:t> </w:t>
      </w:r>
      <w:r>
        <w:rPr>
          <w:spacing w:val="-25"/>
        </w:rPr>
        <w:t> </w:t>
      </w:r>
      <w:r>
        <w:rPr/>
        <w:t>o </w:t>
      </w:r>
      <w:r>
        <w:rPr>
          <w:spacing w:val="-25"/>
        </w:rPr>
        <w:t> </w:t>
      </w:r>
      <w:r>
        <w:rPr>
          <w:w w:val="100"/>
        </w:rPr>
        <w:t>de</w:t>
      </w:r>
      <w:r>
        <w:rPr/>
        <w:t> </w:t>
      </w:r>
      <w:r>
        <w:rPr>
          <w:spacing w:val="-26"/>
        </w:rPr>
        <w:t> </w:t>
      </w:r>
      <w:r>
        <w:rPr>
          <w:w w:val="100"/>
        </w:rPr>
        <w:t>que </w:t>
      </w:r>
      <w:r>
        <w:rPr>
          <w:spacing w:val="-26"/>
          <w:w w:val="100"/>
        </w:rPr>
        <w:t> </w:t>
      </w:r>
      <w:r>
        <w:rPr>
          <w:spacing w:val="-1"/>
          <w:w w:val="44"/>
        </w:rPr>
        <w:t>―</w:t>
      </w:r>
      <w:r>
        <w:rPr/>
        <w:t>todos </w:t>
      </w:r>
      <w:r>
        <w:rPr>
          <w:spacing w:val="-24"/>
        </w:rPr>
        <w:t> </w:t>
      </w:r>
      <w:r>
        <w:rPr/>
        <w:t>se </w:t>
      </w:r>
      <w:r>
        <w:rPr>
          <w:spacing w:val="-25"/>
        </w:rPr>
        <w:t> </w:t>
      </w:r>
      <w:r>
        <w:rPr>
          <w:spacing w:val="-1"/>
          <w:w w:val="100"/>
        </w:rPr>
        <w:t>e</w:t>
      </w:r>
      <w:r>
        <w:rPr>
          <w:w w:val="100"/>
        </w:rPr>
        <w:t>nvolvam</w:t>
      </w:r>
      <w:r>
        <w:rPr/>
        <w:t> </w:t>
      </w:r>
      <w:r>
        <w:rPr>
          <w:spacing w:val="-25"/>
        </w:rPr>
        <w:t> </w:t>
      </w:r>
      <w:r>
        <w:rPr>
          <w:w w:val="100"/>
        </w:rPr>
        <w:t>e</w:t>
      </w:r>
      <w:r>
        <w:rPr/>
        <w:t> </w:t>
      </w:r>
      <w:r>
        <w:rPr>
          <w:spacing w:val="-26"/>
        </w:rPr>
        <w:t> </w:t>
      </w:r>
      <w:r>
        <w:rPr/>
        <w:t>o </w:t>
      </w:r>
      <w:r>
        <w:rPr>
          <w:spacing w:val="-25"/>
        </w:rPr>
        <w:t> </w:t>
      </w:r>
      <w:r>
        <w:rPr>
          <w:w w:val="100"/>
        </w:rPr>
        <w:t>r</w:t>
      </w:r>
      <w:r>
        <w:rPr>
          <w:spacing w:val="-2"/>
          <w:w w:val="100"/>
        </w:rPr>
        <w:t>e</w:t>
      </w:r>
      <w:r>
        <w:rPr>
          <w:w w:val="100"/>
        </w:rPr>
        <w:t>sult</w:t>
      </w:r>
      <w:r>
        <w:rPr>
          <w:spacing w:val="-1"/>
          <w:w w:val="100"/>
        </w:rPr>
        <w:t>a</w:t>
      </w:r>
      <w:r>
        <w:rPr/>
        <w:t>do </w:t>
      </w:r>
      <w:r>
        <w:rPr>
          <w:spacing w:val="-25"/>
        </w:rPr>
        <w:t> </w:t>
      </w:r>
      <w:r>
        <w:rPr/>
        <w:t>s</w:t>
      </w:r>
      <w:r>
        <w:rPr>
          <w:spacing w:val="-1"/>
        </w:rPr>
        <w:t>e</w:t>
      </w:r>
      <w:r>
        <w:rPr>
          <w:w w:val="100"/>
        </w:rPr>
        <w:t>ja</w:t>
      </w:r>
      <w:r>
        <w:rPr/>
        <w:t> </w:t>
      </w:r>
      <w:r>
        <w:rPr>
          <w:spacing w:val="-20"/>
        </w:rPr>
        <w:t> </w:t>
      </w:r>
      <w:r>
        <w:rPr>
          <w:b/>
        </w:rPr>
        <w:t>o produto </w:t>
      </w:r>
      <w:r>
        <w:rPr/>
        <w:t>pelo qual a sociedade deve sentir-se corresponsável‖. (Grifos</w:t>
      </w:r>
      <w:r>
        <w:rPr>
          <w:spacing w:val="29"/>
        </w:rPr>
        <w:t> </w:t>
      </w:r>
      <w:r>
        <w:rPr/>
        <w:t>nossos).</w:t>
      </w:r>
    </w:p>
    <w:p>
      <w:pPr>
        <w:pStyle w:val="BodyText"/>
        <w:ind w:left="954"/>
      </w:pPr>
      <w:r>
        <w:rPr/>
        <w:t>O destaque certamente imprime uma concepção acerca do planejamento </w:t>
      </w:r>
      <w:r>
        <w:rPr>
          <w:spacing w:val="58"/>
        </w:rPr>
        <w:t> </w:t>
      </w:r>
      <w:r>
        <w:rPr/>
        <w:t>como</w:t>
      </w:r>
    </w:p>
    <w:p>
      <w:pPr>
        <w:pStyle w:val="BodyText"/>
        <w:spacing w:line="360" w:lineRule="auto" w:before="138"/>
        <w:ind w:left="102" w:right="118"/>
        <w:jc w:val="both"/>
      </w:pPr>
      <w:r>
        <w:rPr>
          <w:spacing w:val="-1"/>
          <w:w w:val="44"/>
        </w:rPr>
        <w:t>―</w:t>
      </w:r>
      <w:r>
        <w:rPr>
          <w:spacing w:val="-1"/>
          <w:w w:val="100"/>
        </w:rPr>
        <w:t>c</w:t>
      </w:r>
      <w:r>
        <w:rPr/>
        <w:t>onst</w:t>
      </w:r>
      <w:r>
        <w:rPr>
          <w:w w:val="100"/>
        </w:rPr>
        <w:t>ruç</w:t>
      </w:r>
      <w:r>
        <w:rPr>
          <w:spacing w:val="-1"/>
          <w:w w:val="100"/>
        </w:rPr>
        <w:t>ã</w:t>
      </w:r>
      <w:r>
        <w:rPr/>
        <w:t>o</w:t>
      </w:r>
      <w:r>
        <w:rPr>
          <w:spacing w:val="14"/>
        </w:rPr>
        <w:t> </w:t>
      </w:r>
      <w:r>
        <w:rPr/>
        <w:t>do</w:t>
      </w:r>
      <w:r>
        <w:rPr>
          <w:spacing w:val="16"/>
        </w:rPr>
        <w:t> </w:t>
      </w:r>
      <w:r>
        <w:rPr>
          <w:w w:val="99"/>
        </w:rPr>
        <w:t>P</w:t>
      </w:r>
      <w:r>
        <w:rPr>
          <w:w w:val="100"/>
        </w:rPr>
        <w:t>lano</w:t>
      </w:r>
      <w:r>
        <w:rPr>
          <w:spacing w:val="13"/>
        </w:rPr>
        <w:t> </w:t>
      </w:r>
      <w:r>
        <w:rPr>
          <w:w w:val="100"/>
        </w:rPr>
        <w:t>e</w:t>
      </w:r>
      <w:r>
        <w:rPr>
          <w:spacing w:val="17"/>
        </w:rPr>
        <w:t> </w:t>
      </w:r>
      <w:r>
        <w:rPr/>
        <w:t>do</w:t>
      </w:r>
      <w:r>
        <w:rPr>
          <w:spacing w:val="14"/>
        </w:rPr>
        <w:t> </w:t>
      </w:r>
      <w:r>
        <w:rPr/>
        <w:t>p</w:t>
      </w:r>
      <w:r>
        <w:rPr>
          <w:spacing w:val="-1"/>
        </w:rPr>
        <w:t>r</w:t>
      </w:r>
      <w:r>
        <w:rPr/>
        <w:t>oduto</w:t>
      </w:r>
      <w:r>
        <w:rPr>
          <w:spacing w:val="14"/>
        </w:rPr>
        <w:t> </w:t>
      </w:r>
      <w:r>
        <w:rPr>
          <w:w w:val="100"/>
        </w:rPr>
        <w:t>fi</w:t>
      </w:r>
      <w:r>
        <w:rPr>
          <w:spacing w:val="1"/>
          <w:w w:val="100"/>
        </w:rPr>
        <w:t>n</w:t>
      </w:r>
      <w:r>
        <w:rPr>
          <w:spacing w:val="-1"/>
          <w:w w:val="100"/>
        </w:rPr>
        <w:t>a</w:t>
      </w:r>
      <w:r>
        <w:rPr>
          <w:w w:val="120"/>
        </w:rPr>
        <w:t>l‖.</w:t>
      </w:r>
      <w:r>
        <w:rPr>
          <w:spacing w:val="13"/>
        </w:rPr>
        <w:t> </w:t>
      </w:r>
      <w:r>
        <w:rPr>
          <w:w w:val="99"/>
        </w:rPr>
        <w:t>No</w:t>
      </w:r>
      <w:r>
        <w:rPr>
          <w:spacing w:val="15"/>
        </w:rPr>
        <w:t> </w:t>
      </w:r>
      <w:r>
        <w:rPr>
          <w:spacing w:val="-1"/>
          <w:w w:val="100"/>
        </w:rPr>
        <w:t>e</w:t>
      </w:r>
      <w:r>
        <w:rPr>
          <w:spacing w:val="2"/>
        </w:rPr>
        <w:t>n</w:t>
      </w:r>
      <w:r>
        <w:rPr>
          <w:w w:val="100"/>
        </w:rPr>
        <w:t>tanto,</w:t>
      </w:r>
      <w:r>
        <w:rPr>
          <w:spacing w:val="14"/>
        </w:rPr>
        <w:t> </w:t>
      </w:r>
      <w:r>
        <w:rPr/>
        <w:t>o</w:t>
      </w:r>
      <w:r>
        <w:rPr>
          <w:spacing w:val="14"/>
        </w:rPr>
        <w:t> </w:t>
      </w:r>
      <w:r>
        <w:rPr>
          <w:w w:val="100"/>
        </w:rPr>
        <w:t>do</w:t>
      </w:r>
      <w:r>
        <w:rPr>
          <w:spacing w:val="-1"/>
          <w:w w:val="100"/>
        </w:rPr>
        <w:t>c</w:t>
      </w:r>
      <w:r>
        <w:rPr>
          <w:w w:val="100"/>
        </w:rPr>
        <w:t>umento</w:t>
      </w:r>
      <w:r>
        <w:rPr>
          <w:spacing w:val="16"/>
          <w:w w:val="100"/>
        </w:rPr>
        <w:t> </w:t>
      </w:r>
      <w:r>
        <w:rPr>
          <w:spacing w:val="-1"/>
          <w:w w:val="100"/>
        </w:rPr>
        <w:t>e</w:t>
      </w:r>
      <w:r>
        <w:rPr>
          <w:spacing w:val="2"/>
        </w:rPr>
        <w:t>x</w:t>
      </w:r>
      <w:r>
        <w:rPr/>
        <w:t>p</w:t>
      </w:r>
      <w:r>
        <w:rPr>
          <w:spacing w:val="-1"/>
        </w:rPr>
        <w:t>r</w:t>
      </w:r>
      <w:r>
        <w:rPr>
          <w:spacing w:val="-1"/>
          <w:w w:val="100"/>
        </w:rPr>
        <w:t>e</w:t>
      </w:r>
      <w:r>
        <w:rPr>
          <w:w w:val="99"/>
        </w:rPr>
        <w:t>ssa,</w:t>
      </w:r>
      <w:r>
        <w:rPr>
          <w:spacing w:val="13"/>
        </w:rPr>
        <w:t> </w:t>
      </w:r>
      <w:r>
        <w:rPr>
          <w:w w:val="100"/>
        </w:rPr>
        <w:t>tamb</w:t>
      </w:r>
      <w:r>
        <w:rPr>
          <w:spacing w:val="-1"/>
          <w:w w:val="100"/>
        </w:rPr>
        <w:t>é</w:t>
      </w:r>
      <w:r>
        <w:rPr>
          <w:w w:val="100"/>
        </w:rPr>
        <w:t>m, </w:t>
      </w:r>
      <w:r>
        <w:rPr>
          <w:w w:val="100"/>
        </w:rPr>
        <w:t>que</w:t>
      </w:r>
      <w:r>
        <w:rPr>
          <w:spacing w:val="6"/>
          <w:w w:val="100"/>
        </w:rPr>
        <w:t> </w:t>
      </w:r>
      <w:r>
        <w:rPr>
          <w:spacing w:val="-1"/>
          <w:w w:val="44"/>
        </w:rPr>
        <w:t>―</w:t>
      </w:r>
      <w:r>
        <w:rPr>
          <w:w w:val="100"/>
        </w:rPr>
        <w:t>a</w:t>
      </w:r>
      <w:r>
        <w:rPr>
          <w:spacing w:val="8"/>
        </w:rPr>
        <w:t> </w:t>
      </w:r>
      <w:r>
        <w:rPr>
          <w:spacing w:val="-1"/>
          <w:w w:val="100"/>
        </w:rPr>
        <w:t>a</w:t>
      </w:r>
      <w:r>
        <w:rPr>
          <w:spacing w:val="1"/>
          <w:w w:val="100"/>
        </w:rPr>
        <w:t>ç</w:t>
      </w:r>
      <w:r>
        <w:rPr>
          <w:spacing w:val="-1"/>
          <w:w w:val="100"/>
        </w:rPr>
        <w:t>ã</w:t>
      </w:r>
      <w:r>
        <w:rPr/>
        <w:t>o</w:t>
      </w:r>
      <w:r>
        <w:rPr>
          <w:spacing w:val="6"/>
        </w:rPr>
        <w:t> </w:t>
      </w:r>
      <w:r>
        <w:rPr>
          <w:spacing w:val="2"/>
        </w:rPr>
        <w:t>p</w:t>
      </w:r>
      <w:r>
        <w:rPr>
          <w:spacing w:val="-1"/>
          <w:w w:val="100"/>
        </w:rPr>
        <w:t>e</w:t>
      </w:r>
      <w:r>
        <w:rPr>
          <w:w w:val="100"/>
        </w:rPr>
        <w:t>rm</w:t>
      </w:r>
      <w:r>
        <w:rPr>
          <w:spacing w:val="-2"/>
          <w:w w:val="100"/>
        </w:rPr>
        <w:t>a</w:t>
      </w:r>
      <w:r>
        <w:rPr>
          <w:w w:val="100"/>
        </w:rPr>
        <w:t>n</w:t>
      </w:r>
      <w:r>
        <w:rPr>
          <w:spacing w:val="-1"/>
          <w:w w:val="100"/>
        </w:rPr>
        <w:t>e</w:t>
      </w:r>
      <w:r>
        <w:rPr>
          <w:w w:val="100"/>
        </w:rPr>
        <w:t>n</w:t>
      </w:r>
      <w:r>
        <w:rPr>
          <w:spacing w:val="2"/>
          <w:w w:val="100"/>
        </w:rPr>
        <w:t>t</w:t>
      </w:r>
      <w:r>
        <w:rPr>
          <w:w w:val="100"/>
        </w:rPr>
        <w:t>e</w:t>
      </w:r>
      <w:r>
        <w:rPr>
          <w:spacing w:val="8"/>
        </w:rPr>
        <w:t> </w:t>
      </w:r>
      <w:r>
        <w:rPr/>
        <w:t>do</w:t>
      </w:r>
      <w:r>
        <w:rPr>
          <w:spacing w:val="6"/>
        </w:rPr>
        <w:t> </w:t>
      </w:r>
      <w:r>
        <w:rPr/>
        <w:t>Conselho</w:t>
      </w:r>
      <w:r>
        <w:rPr>
          <w:spacing w:val="6"/>
        </w:rPr>
        <w:t> </w:t>
      </w:r>
      <w:r>
        <w:rPr/>
        <w:t>Muni</w:t>
      </w:r>
      <w:r>
        <w:rPr>
          <w:spacing w:val="-1"/>
          <w:w w:val="100"/>
        </w:rPr>
        <w:t>c</w:t>
      </w:r>
      <w:r>
        <w:rPr>
          <w:w w:val="100"/>
        </w:rPr>
        <w:t>ipal</w:t>
      </w:r>
      <w:r>
        <w:rPr>
          <w:spacing w:val="9"/>
        </w:rPr>
        <w:t> </w:t>
      </w:r>
      <w:r>
        <w:rPr>
          <w:w w:val="100"/>
        </w:rPr>
        <w:t>de</w:t>
      </w:r>
      <w:r>
        <w:rPr>
          <w:spacing w:val="6"/>
        </w:rPr>
        <w:t> </w:t>
      </w:r>
      <w:r>
        <w:rPr>
          <w:w w:val="100"/>
        </w:rPr>
        <w:t>Educ</w:t>
      </w:r>
      <w:r>
        <w:rPr>
          <w:spacing w:val="-1"/>
          <w:w w:val="100"/>
        </w:rPr>
        <w:t>açã</w:t>
      </w:r>
      <w:r>
        <w:rPr/>
        <w:t>o</w:t>
      </w:r>
      <w:r>
        <w:rPr>
          <w:spacing w:val="14"/>
        </w:rPr>
        <w:t> </w:t>
      </w:r>
      <w:r>
        <w:rPr/>
        <w:t>–</w:t>
      </w:r>
      <w:r>
        <w:rPr>
          <w:spacing w:val="7"/>
        </w:rPr>
        <w:t> </w:t>
      </w:r>
      <w:r>
        <w:rPr/>
        <w:t>CME,</w:t>
      </w:r>
      <w:r>
        <w:rPr>
          <w:spacing w:val="7"/>
        </w:rPr>
        <w:t> </w:t>
      </w:r>
      <w:r>
        <w:rPr>
          <w:spacing w:val="-1"/>
        </w:rPr>
        <w:t>c</w:t>
      </w:r>
      <w:r>
        <w:rPr>
          <w:spacing w:val="2"/>
        </w:rPr>
        <w:t>o</w:t>
      </w:r>
      <w:r>
        <w:rPr/>
        <w:t>m</w:t>
      </w:r>
      <w:r>
        <w:rPr>
          <w:spacing w:val="7"/>
        </w:rPr>
        <w:t> </w:t>
      </w:r>
      <w:r>
        <w:rPr/>
        <w:t>d</w:t>
      </w:r>
      <w:r>
        <w:rPr>
          <w:spacing w:val="-1"/>
        </w:rPr>
        <w:t>e</w:t>
      </w:r>
      <w:r>
        <w:rPr/>
        <w:t>moc</w:t>
      </w:r>
      <w:r>
        <w:rPr>
          <w:spacing w:val="-2"/>
        </w:rPr>
        <w:t>r</w:t>
      </w:r>
      <w:r>
        <w:rPr>
          <w:spacing w:val="1"/>
        </w:rPr>
        <w:t>a</w:t>
      </w:r>
      <w:r>
        <w:rPr>
          <w:spacing w:val="-1"/>
        </w:rPr>
        <w:t>c</w:t>
      </w:r>
      <w:r>
        <w:rPr/>
        <w:t>ia, legitimidade e qualidade científica, visa garantir não somente a qualidade do processo  de construção do PME, mas também </w:t>
      </w:r>
      <w:r>
        <w:rPr>
          <w:b/>
        </w:rPr>
        <w:t>a qualidade social do Plano</w:t>
      </w:r>
      <w:r>
        <w:rPr/>
        <w:t>‖. (Grifos</w:t>
      </w:r>
      <w:r>
        <w:rPr>
          <w:spacing w:val="27"/>
        </w:rPr>
        <w:t> </w:t>
      </w:r>
      <w:r>
        <w:rPr/>
        <w:t>nossos).</w:t>
      </w:r>
    </w:p>
    <w:p>
      <w:pPr>
        <w:spacing w:line="360" w:lineRule="auto" w:before="5"/>
        <w:ind w:left="102" w:right="116" w:firstLine="851"/>
        <w:jc w:val="both"/>
        <w:rPr>
          <w:sz w:val="24"/>
        </w:rPr>
      </w:pPr>
      <w:r>
        <w:rPr>
          <w:sz w:val="24"/>
        </w:rPr>
        <w:t>Na sequência, na seção </w:t>
      </w:r>
      <w:r>
        <w:rPr>
          <w:i/>
          <w:sz w:val="24"/>
        </w:rPr>
        <w:t>Responsabilidade Pública e Iniciativa Privada (</w:t>
      </w:r>
      <w:r>
        <w:rPr>
          <w:sz w:val="24"/>
        </w:rPr>
        <w:t>p. 25- 6),  é  tratado  o  aspecto  da  abrangência  do  </w:t>
      </w:r>
      <w:r>
        <w:rPr>
          <w:w w:val="99"/>
          <w:sz w:val="24"/>
        </w:rPr>
        <w:t>P</w:t>
      </w:r>
      <w:r>
        <w:rPr>
          <w:w w:val="99"/>
          <w:sz w:val="24"/>
        </w:rPr>
        <w:t>M</w:t>
      </w:r>
      <w:r>
        <w:rPr>
          <w:sz w:val="24"/>
        </w:rPr>
        <w:t>E,  qual  </w:t>
      </w:r>
      <w:r>
        <w:rPr>
          <w:w w:val="99"/>
          <w:sz w:val="24"/>
        </w:rPr>
        <w:t>se</w:t>
      </w:r>
      <w:r>
        <w:rPr>
          <w:sz w:val="24"/>
        </w:rPr>
        <w:t>ja,  </w:t>
      </w:r>
      <w:r>
        <w:rPr>
          <w:w w:val="44"/>
          <w:sz w:val="24"/>
        </w:rPr>
        <w:t>―</w:t>
      </w:r>
      <w:r>
        <w:rPr>
          <w:w w:val="100"/>
          <w:sz w:val="24"/>
        </w:rPr>
        <w:t>tra</w:t>
      </w:r>
      <w:r>
        <w:rPr>
          <w:w w:val="100"/>
          <w:sz w:val="24"/>
        </w:rPr>
        <w:t>ta</w:t>
      </w:r>
      <w:r>
        <w:rPr>
          <w:w w:val="99"/>
          <w:sz w:val="24"/>
        </w:rPr>
        <w:t>r  do  </w:t>
      </w:r>
      <w:r>
        <w:rPr>
          <w:w w:val="100"/>
          <w:sz w:val="24"/>
        </w:rPr>
        <w:t>c</w:t>
      </w:r>
      <w:r>
        <w:rPr>
          <w:w w:val="100"/>
          <w:sz w:val="24"/>
        </w:rPr>
        <w:t>onjunt</w:t>
      </w:r>
      <w:r>
        <w:rPr>
          <w:sz w:val="24"/>
        </w:rPr>
        <w:t>o  </w:t>
      </w:r>
      <w:r>
        <w:rPr>
          <w:w w:val="100"/>
          <w:sz w:val="24"/>
        </w:rPr>
        <w:t>da </w:t>
      </w:r>
      <w:r>
        <w:rPr>
          <w:sz w:val="24"/>
        </w:rPr>
        <w:t>educação no âmbito municipal, expressando, por conseguinte, uma política educacional para </w:t>
      </w:r>
      <w:r>
        <w:rPr>
          <w:b/>
          <w:sz w:val="24"/>
        </w:rPr>
        <w:t>todos os níveis, as etapas e modalidades de educação e de ensino”. </w:t>
      </w:r>
      <w:r>
        <w:rPr>
          <w:sz w:val="24"/>
        </w:rPr>
        <w:t>(Grifos nossos).</w:t>
      </w:r>
    </w:p>
    <w:p>
      <w:pPr>
        <w:pStyle w:val="BodyText"/>
        <w:spacing w:line="360" w:lineRule="auto" w:before="3"/>
        <w:ind w:left="102" w:right="111" w:firstLine="851"/>
        <w:jc w:val="both"/>
      </w:pPr>
      <w:r>
        <w:rPr/>
        <w:t>Na seção </w:t>
      </w:r>
      <w:r>
        <w:rPr>
          <w:i/>
        </w:rPr>
        <w:t>Substância e Forma </w:t>
      </w:r>
      <w:r>
        <w:rPr/>
        <w:t>(p. 27-30)</w:t>
      </w:r>
      <w:r>
        <w:rPr>
          <w:i/>
        </w:rPr>
        <w:t>, </w:t>
      </w:r>
      <w:r>
        <w:rPr/>
        <w:t>o documento aborda o aspecto </w:t>
      </w:r>
      <w:r>
        <w:rPr>
          <w:w w:val="100"/>
        </w:rPr>
        <w:t>r</w:t>
      </w:r>
      <w:r>
        <w:rPr>
          <w:spacing w:val="-2"/>
          <w:w w:val="100"/>
        </w:rPr>
        <w:t>e</w:t>
      </w:r>
      <w:r>
        <w:rPr>
          <w:w w:val="100"/>
        </w:rPr>
        <w:t>la</w:t>
      </w:r>
      <w:r>
        <w:rPr>
          <w:spacing w:val="-2"/>
          <w:w w:val="100"/>
        </w:rPr>
        <w:t>c</w:t>
      </w:r>
      <w:r>
        <w:rPr>
          <w:w w:val="100"/>
        </w:rPr>
        <w:t>ionado</w:t>
      </w:r>
      <w:r>
        <w:rPr/>
        <w:t> </w:t>
      </w:r>
      <w:r>
        <w:rPr>
          <w:spacing w:val="-28"/>
        </w:rPr>
        <w:t> </w:t>
      </w:r>
      <w:r>
        <w:rPr>
          <w:w w:val="100"/>
        </w:rPr>
        <w:t>à</w:t>
      </w:r>
      <w:r>
        <w:rPr/>
        <w:t> </w:t>
      </w:r>
      <w:r>
        <w:rPr>
          <w:spacing w:val="-28"/>
        </w:rPr>
        <w:t> </w:t>
      </w:r>
      <w:r>
        <w:rPr>
          <w:spacing w:val="-1"/>
          <w:w w:val="100"/>
        </w:rPr>
        <w:t>a</w:t>
      </w:r>
      <w:r>
        <w:rPr>
          <w:w w:val="100"/>
        </w:rPr>
        <w:t>te</w:t>
      </w:r>
      <w:r>
        <w:rPr>
          <w:spacing w:val="1"/>
          <w:w w:val="100"/>
        </w:rPr>
        <w:t>n</w:t>
      </w:r>
      <w:r>
        <w:rPr>
          <w:spacing w:val="-1"/>
          <w:w w:val="100"/>
        </w:rPr>
        <w:t>çã</w:t>
      </w:r>
      <w:r>
        <w:rPr/>
        <w:t>o </w:t>
      </w:r>
      <w:r>
        <w:rPr>
          <w:spacing w:val="-27"/>
        </w:rPr>
        <w:t> </w:t>
      </w:r>
      <w:r>
        <w:rPr>
          <w:spacing w:val="2"/>
        </w:rPr>
        <w:t>d</w:t>
      </w:r>
      <w:r>
        <w:rPr/>
        <w:t>o </w:t>
      </w:r>
      <w:r>
        <w:rPr>
          <w:spacing w:val="-30"/>
        </w:rPr>
        <w:t> </w:t>
      </w:r>
      <w:r>
        <w:rPr/>
        <w:t>Muni</w:t>
      </w:r>
      <w:r>
        <w:rPr>
          <w:spacing w:val="-1"/>
          <w:w w:val="100"/>
        </w:rPr>
        <w:t>c</w:t>
      </w:r>
      <w:r>
        <w:rPr>
          <w:w w:val="100"/>
        </w:rPr>
        <w:t>ípi</w:t>
      </w:r>
      <w:r>
        <w:rPr/>
        <w:t>o </w:t>
      </w:r>
      <w:r>
        <w:rPr>
          <w:spacing w:val="-30"/>
        </w:rPr>
        <w:t> </w:t>
      </w:r>
      <w:r>
        <w:rPr>
          <w:spacing w:val="-1"/>
          <w:w w:val="44"/>
        </w:rPr>
        <w:t>―</w:t>
      </w:r>
      <w:r>
        <w:rPr>
          <w:w w:val="100"/>
        </w:rPr>
        <w:t>p</w:t>
      </w:r>
      <w:r>
        <w:rPr>
          <w:spacing w:val="1"/>
          <w:w w:val="100"/>
        </w:rPr>
        <w:t>a</w:t>
      </w:r>
      <w:r>
        <w:rPr>
          <w:w w:val="100"/>
        </w:rPr>
        <w:t>ra</w:t>
      </w:r>
      <w:r>
        <w:rPr/>
        <w:t> </w:t>
      </w:r>
      <w:r>
        <w:rPr>
          <w:spacing w:val="-29"/>
        </w:rPr>
        <w:t> </w:t>
      </w:r>
      <w:r>
        <w:rPr>
          <w:spacing w:val="-1"/>
          <w:w w:val="100"/>
        </w:rPr>
        <w:t>a</w:t>
      </w:r>
      <w:r>
        <w:rPr>
          <w:w w:val="99"/>
        </w:rPr>
        <w:t>s</w:t>
      </w:r>
      <w:r>
        <w:rPr/>
        <w:t> </w:t>
      </w:r>
      <w:r>
        <w:rPr>
          <w:spacing w:val="-27"/>
        </w:rPr>
        <w:t> </w:t>
      </w:r>
      <w:r>
        <w:rPr>
          <w:spacing w:val="-1"/>
          <w:w w:val="100"/>
        </w:rPr>
        <w:t>á</w:t>
      </w:r>
      <w:r>
        <w:rPr>
          <w:spacing w:val="1"/>
          <w:w w:val="99"/>
        </w:rPr>
        <w:t>r</w:t>
      </w:r>
      <w:r>
        <w:rPr>
          <w:spacing w:val="-1"/>
          <w:w w:val="100"/>
        </w:rPr>
        <w:t>ea</w:t>
      </w:r>
      <w:r>
        <w:rPr>
          <w:w w:val="99"/>
        </w:rPr>
        <w:t>s</w:t>
      </w:r>
      <w:r>
        <w:rPr/>
        <w:t> </w:t>
      </w:r>
      <w:r>
        <w:rPr>
          <w:spacing w:val="-29"/>
        </w:rPr>
        <w:t> </w:t>
      </w:r>
      <w:r>
        <w:rPr/>
        <w:t>q</w:t>
      </w:r>
      <w:r>
        <w:rPr>
          <w:spacing w:val="2"/>
        </w:rPr>
        <w:t>u</w:t>
      </w:r>
      <w:r>
        <w:rPr>
          <w:w w:val="100"/>
        </w:rPr>
        <w:t>e</w:t>
      </w:r>
      <w:r>
        <w:rPr/>
        <w:t> </w:t>
      </w:r>
      <w:r>
        <w:rPr>
          <w:spacing w:val="-30"/>
        </w:rPr>
        <w:t> </w:t>
      </w:r>
      <w:r>
        <w:rPr>
          <w:spacing w:val="1"/>
        </w:rPr>
        <w:t>r</w:t>
      </w:r>
      <w:r>
        <w:rPr>
          <w:spacing w:val="-1"/>
          <w:w w:val="100"/>
        </w:rPr>
        <w:t>e</w:t>
      </w:r>
      <w:r>
        <w:rPr>
          <w:w w:val="100"/>
        </w:rPr>
        <w:t>qu</w:t>
      </w:r>
      <w:r>
        <w:rPr>
          <w:spacing w:val="-1"/>
          <w:w w:val="100"/>
        </w:rPr>
        <w:t>e</w:t>
      </w:r>
      <w:r>
        <w:rPr>
          <w:spacing w:val="1"/>
          <w:w w:val="99"/>
        </w:rPr>
        <w:t>r</w:t>
      </w:r>
      <w:r>
        <w:rPr>
          <w:spacing w:val="-1"/>
          <w:w w:val="100"/>
        </w:rPr>
        <w:t>e</w:t>
      </w:r>
      <w:r>
        <w:rPr>
          <w:w w:val="100"/>
        </w:rPr>
        <w:t>m</w:t>
      </w:r>
      <w:r>
        <w:rPr/>
        <w:t> </w:t>
      </w:r>
      <w:r>
        <w:rPr>
          <w:spacing w:val="-29"/>
        </w:rPr>
        <w:t> </w:t>
      </w:r>
      <w:r>
        <w:rPr>
          <w:w w:val="100"/>
        </w:rPr>
        <w:t>um</w:t>
      </w:r>
      <w:r>
        <w:rPr/>
        <w:t> </w:t>
      </w:r>
      <w:r>
        <w:rPr>
          <w:spacing w:val="-27"/>
        </w:rPr>
        <w:t> </w:t>
      </w:r>
      <w:r>
        <w:rPr>
          <w:spacing w:val="1"/>
          <w:w w:val="100"/>
        </w:rPr>
        <w:t>e</w:t>
      </w:r>
      <w:r>
        <w:rPr>
          <w:w w:val="100"/>
        </w:rPr>
        <w:t>nvolvimento</w:t>
      </w:r>
      <w:r>
        <w:rPr/>
        <w:t> </w:t>
      </w:r>
      <w:r>
        <w:rPr>
          <w:spacing w:val="-30"/>
        </w:rPr>
        <w:t> </w:t>
      </w:r>
      <w:r>
        <w:rPr>
          <w:w w:val="100"/>
        </w:rPr>
        <w:t>e </w:t>
      </w:r>
      <w:r>
        <w:rPr/>
        <w:t>uma articulação com as esferas federal e estadual‖, ou seja, da abordagem no PME  </w:t>
      </w:r>
      <w:r>
        <w:rPr>
          <w:strike/>
        </w:rPr>
        <w:t>e  </w:t>
      </w:r>
      <w:r>
        <w:rPr>
          <w:strike w:val="0"/>
        </w:rPr>
        <w:t>dos níveis e etapas que não são de sua responsabilidade direta, sugerindo assim, diálogo </w:t>
      </w:r>
      <w:r>
        <w:rPr>
          <w:strike w:val="0"/>
          <w:spacing w:val="-1"/>
          <w:w w:val="100"/>
        </w:rPr>
        <w:t>c</w:t>
      </w:r>
      <w:r>
        <w:rPr>
          <w:strike w:val="0"/>
          <w:w w:val="100"/>
        </w:rPr>
        <w:t>om</w:t>
      </w:r>
      <w:r>
        <w:rPr>
          <w:strike w:val="0"/>
          <w:spacing w:val="12"/>
        </w:rPr>
        <w:t> </w:t>
      </w:r>
      <w:r>
        <w:rPr>
          <w:strike w:val="0"/>
          <w:spacing w:val="-1"/>
          <w:w w:val="44"/>
        </w:rPr>
        <w:t>―</w:t>
      </w:r>
      <w:r>
        <w:rPr>
          <w:strike w:val="0"/>
          <w:w w:val="99"/>
        </w:rPr>
        <w:t>os</w:t>
      </w:r>
      <w:r>
        <w:rPr>
          <w:strike w:val="0"/>
          <w:spacing w:val="12"/>
        </w:rPr>
        <w:t> </w:t>
      </w:r>
      <w:r>
        <w:rPr>
          <w:strike w:val="0"/>
          <w:w w:val="100"/>
        </w:rPr>
        <w:t>r</w:t>
      </w:r>
      <w:r>
        <w:rPr>
          <w:strike w:val="0"/>
          <w:spacing w:val="-2"/>
          <w:w w:val="100"/>
        </w:rPr>
        <w:t>e</w:t>
      </w:r>
      <w:r>
        <w:rPr>
          <w:strike w:val="0"/>
          <w:w w:val="99"/>
        </w:rPr>
        <w:t>sponsá</w:t>
      </w:r>
      <w:r>
        <w:rPr>
          <w:strike w:val="0"/>
          <w:spacing w:val="1"/>
          <w:w w:val="99"/>
        </w:rPr>
        <w:t>v</w:t>
      </w:r>
      <w:r>
        <w:rPr>
          <w:strike w:val="0"/>
          <w:spacing w:val="-1"/>
          <w:w w:val="100"/>
        </w:rPr>
        <w:t>e</w:t>
      </w:r>
      <w:r>
        <w:rPr>
          <w:strike w:val="0"/>
          <w:w w:val="100"/>
        </w:rPr>
        <w:t>is</w:t>
      </w:r>
      <w:r>
        <w:rPr>
          <w:strike w:val="0"/>
          <w:spacing w:val="12"/>
          <w:w w:val="100"/>
        </w:rPr>
        <w:t> </w:t>
      </w:r>
      <w:r>
        <w:rPr>
          <w:strike w:val="0"/>
          <w:w w:val="100"/>
        </w:rPr>
        <w:t>por</w:t>
      </w:r>
      <w:r>
        <w:rPr>
          <w:strike w:val="0"/>
          <w:spacing w:val="11"/>
          <w:w w:val="100"/>
        </w:rPr>
        <w:t> </w:t>
      </w:r>
      <w:r>
        <w:rPr>
          <w:strike w:val="0"/>
          <w:spacing w:val="-1"/>
          <w:w w:val="100"/>
        </w:rPr>
        <w:t>e</w:t>
      </w:r>
      <w:r>
        <w:rPr>
          <w:strike w:val="0"/>
          <w:w w:val="99"/>
        </w:rPr>
        <w:t>sses</w:t>
      </w:r>
      <w:r>
        <w:rPr>
          <w:strike w:val="0"/>
          <w:spacing w:val="11"/>
        </w:rPr>
        <w:t> </w:t>
      </w:r>
      <w:r>
        <w:rPr>
          <w:strike w:val="0"/>
          <w:w w:val="100"/>
        </w:rPr>
        <w:t>níveis</w:t>
      </w:r>
      <w:r>
        <w:rPr>
          <w:strike w:val="0"/>
          <w:spacing w:val="12"/>
        </w:rPr>
        <w:t> </w:t>
      </w:r>
      <w:r>
        <w:rPr>
          <w:strike w:val="0"/>
          <w:w w:val="100"/>
        </w:rPr>
        <w:t>de</w:t>
      </w:r>
      <w:r>
        <w:rPr>
          <w:strike w:val="0"/>
          <w:spacing w:val="10"/>
        </w:rPr>
        <w:t> </w:t>
      </w:r>
      <w:r>
        <w:rPr>
          <w:strike w:val="0"/>
          <w:spacing w:val="-1"/>
          <w:w w:val="100"/>
        </w:rPr>
        <w:t>e</w:t>
      </w:r>
      <w:r>
        <w:rPr>
          <w:strike w:val="0"/>
          <w:w w:val="99"/>
        </w:rPr>
        <w:t>s</w:t>
      </w:r>
      <w:r>
        <w:rPr>
          <w:strike w:val="0"/>
          <w:spacing w:val="-1"/>
          <w:w w:val="99"/>
        </w:rPr>
        <w:t>c</w:t>
      </w:r>
      <w:r>
        <w:rPr>
          <w:strike w:val="0"/>
          <w:w w:val="100"/>
        </w:rPr>
        <w:t>ol</w:t>
      </w:r>
      <w:r>
        <w:rPr>
          <w:strike w:val="0"/>
          <w:spacing w:val="1"/>
          <w:w w:val="100"/>
        </w:rPr>
        <w:t>a</w:t>
      </w:r>
      <w:r>
        <w:rPr>
          <w:strike w:val="0"/>
          <w:w w:val="100"/>
        </w:rPr>
        <w:t>riz</w:t>
      </w:r>
      <w:r>
        <w:rPr>
          <w:strike w:val="0"/>
          <w:spacing w:val="-1"/>
          <w:w w:val="100"/>
        </w:rPr>
        <w:t>açã</w:t>
      </w:r>
      <w:r>
        <w:rPr>
          <w:strike w:val="0"/>
          <w:w w:val="120"/>
        </w:rPr>
        <w:t>o</w:t>
      </w:r>
      <w:r>
        <w:rPr>
          <w:strike w:val="0"/>
          <w:spacing w:val="-1"/>
          <w:w w:val="120"/>
        </w:rPr>
        <w:t>‖</w:t>
      </w:r>
      <w:r>
        <w:rPr>
          <w:strike w:val="0"/>
        </w:rPr>
        <w:t>.</w:t>
      </w:r>
      <w:r>
        <w:rPr>
          <w:strike w:val="0"/>
          <w:spacing w:val="11"/>
        </w:rPr>
        <w:t> </w:t>
      </w:r>
      <w:r>
        <w:rPr>
          <w:strike w:val="0"/>
        </w:rPr>
        <w:t>Aind</w:t>
      </w:r>
      <w:r>
        <w:rPr>
          <w:strike w:val="0"/>
          <w:spacing w:val="-1"/>
        </w:rPr>
        <w:t>a</w:t>
      </w:r>
      <w:r>
        <w:rPr>
          <w:strike w:val="0"/>
        </w:rPr>
        <w:t>,</w:t>
      </w:r>
      <w:r>
        <w:rPr>
          <w:strike w:val="0"/>
          <w:spacing w:val="11"/>
        </w:rPr>
        <w:t> </w:t>
      </w:r>
      <w:r>
        <w:rPr>
          <w:strike w:val="0"/>
          <w:spacing w:val="-1"/>
          <w:w w:val="100"/>
        </w:rPr>
        <w:t>a</w:t>
      </w:r>
      <w:r>
        <w:rPr>
          <w:strike w:val="0"/>
          <w:spacing w:val="2"/>
        </w:rPr>
        <w:t>p</w:t>
      </w:r>
      <w:r>
        <w:rPr>
          <w:strike w:val="0"/>
          <w:w w:val="100"/>
        </w:rPr>
        <w:t>r</w:t>
      </w:r>
      <w:r>
        <w:rPr>
          <w:strike w:val="0"/>
          <w:spacing w:val="-2"/>
          <w:w w:val="100"/>
        </w:rPr>
        <w:t>e</w:t>
      </w:r>
      <w:r>
        <w:rPr>
          <w:strike w:val="0"/>
          <w:w w:val="99"/>
        </w:rPr>
        <w:t>s</w:t>
      </w:r>
      <w:r>
        <w:rPr>
          <w:strike w:val="0"/>
          <w:spacing w:val="-1"/>
          <w:w w:val="99"/>
        </w:rPr>
        <w:t>e</w:t>
      </w:r>
      <w:r>
        <w:rPr>
          <w:strike w:val="0"/>
          <w:w w:val="100"/>
        </w:rPr>
        <w:t>n</w:t>
      </w:r>
      <w:r>
        <w:rPr>
          <w:strike w:val="0"/>
          <w:spacing w:val="2"/>
          <w:w w:val="100"/>
        </w:rPr>
        <w:t>t</w:t>
      </w:r>
      <w:r>
        <w:rPr>
          <w:strike w:val="0"/>
          <w:w w:val="100"/>
        </w:rPr>
        <w:t>a</w:t>
      </w:r>
      <w:r>
        <w:rPr>
          <w:strike w:val="0"/>
          <w:spacing w:val="12"/>
        </w:rPr>
        <w:t> </w:t>
      </w:r>
      <w:r>
        <w:rPr>
          <w:strike w:val="0"/>
          <w:w w:val="100"/>
        </w:rPr>
        <w:t>um</w:t>
      </w:r>
      <w:r>
        <w:rPr>
          <w:strike w:val="0"/>
          <w:spacing w:val="12"/>
        </w:rPr>
        <w:t> </w:t>
      </w:r>
      <w:r>
        <w:rPr>
          <w:strike w:val="0"/>
          <w:spacing w:val="-1"/>
          <w:w w:val="100"/>
        </w:rPr>
        <w:t>ca</w:t>
      </w:r>
      <w:r>
        <w:rPr>
          <w:strike w:val="0"/>
          <w:w w:val="100"/>
        </w:rPr>
        <w:t>mi</w:t>
      </w:r>
      <w:r>
        <w:rPr>
          <w:strike w:val="0"/>
        </w:rPr>
        <w:t>nho </w:t>
      </w:r>
      <w:r>
        <w:rPr>
          <w:strike w:val="0"/>
          <w:w w:val="100"/>
        </w:rPr>
        <w:t>a</w:t>
      </w:r>
      <w:r>
        <w:rPr>
          <w:strike w:val="0"/>
        </w:rPr>
        <w:t> </w:t>
      </w:r>
      <w:r>
        <w:rPr>
          <w:strike w:val="0"/>
          <w:spacing w:val="-28"/>
        </w:rPr>
        <w:t> </w:t>
      </w:r>
      <w:r>
        <w:rPr>
          <w:strike w:val="0"/>
        </w:rPr>
        <w:t>s</w:t>
      </w:r>
      <w:r>
        <w:rPr>
          <w:strike w:val="0"/>
          <w:spacing w:val="-1"/>
        </w:rPr>
        <w:t>e</w:t>
      </w:r>
      <w:r>
        <w:rPr>
          <w:strike w:val="0"/>
        </w:rPr>
        <w:t>r </w:t>
      </w:r>
      <w:r>
        <w:rPr>
          <w:strike w:val="0"/>
          <w:spacing w:val="-26"/>
        </w:rPr>
        <w:t> </w:t>
      </w:r>
      <w:r>
        <w:rPr>
          <w:strike w:val="0"/>
          <w:w w:val="100"/>
        </w:rPr>
        <w:t>p</w:t>
      </w:r>
      <w:r>
        <w:rPr>
          <w:strike w:val="0"/>
          <w:spacing w:val="1"/>
          <w:w w:val="100"/>
        </w:rPr>
        <w:t>e</w:t>
      </w:r>
      <w:r>
        <w:rPr>
          <w:strike w:val="0"/>
          <w:w w:val="100"/>
        </w:rPr>
        <w:t>r</w:t>
      </w:r>
      <w:r>
        <w:rPr>
          <w:strike w:val="0"/>
          <w:spacing w:val="-2"/>
          <w:w w:val="100"/>
        </w:rPr>
        <w:t>c</w:t>
      </w:r>
      <w:r>
        <w:rPr>
          <w:strike w:val="0"/>
          <w:w w:val="99"/>
        </w:rPr>
        <w:t>o</w:t>
      </w:r>
      <w:r>
        <w:rPr>
          <w:strike w:val="0"/>
          <w:spacing w:val="1"/>
          <w:w w:val="99"/>
        </w:rPr>
        <w:t>r</w:t>
      </w:r>
      <w:r>
        <w:rPr>
          <w:strike w:val="0"/>
          <w:w w:val="100"/>
        </w:rPr>
        <w:t>rido </w:t>
      </w:r>
      <w:r>
        <w:rPr>
          <w:strike w:val="0"/>
          <w:spacing w:val="-27"/>
          <w:w w:val="100"/>
        </w:rPr>
        <w:t> </w:t>
      </w:r>
      <w:r>
        <w:rPr>
          <w:strike w:val="0"/>
          <w:w w:val="100"/>
        </w:rPr>
        <w:t>no </w:t>
      </w:r>
      <w:r>
        <w:rPr>
          <w:strike w:val="0"/>
          <w:spacing w:val="-27"/>
          <w:w w:val="100"/>
        </w:rPr>
        <w:t> </w:t>
      </w:r>
      <w:r>
        <w:rPr>
          <w:strike w:val="0"/>
          <w:w w:val="99"/>
        </w:rPr>
        <w:t>p</w:t>
      </w:r>
      <w:r>
        <w:rPr>
          <w:strike w:val="0"/>
          <w:spacing w:val="1"/>
          <w:w w:val="99"/>
        </w:rPr>
        <w:t>r</w:t>
      </w:r>
      <w:r>
        <w:rPr>
          <w:strike w:val="0"/>
          <w:w w:val="100"/>
        </w:rPr>
        <w:t>o</w:t>
      </w:r>
      <w:r>
        <w:rPr>
          <w:strike w:val="0"/>
          <w:spacing w:val="1"/>
          <w:w w:val="100"/>
        </w:rPr>
        <w:t>c</w:t>
      </w:r>
      <w:r>
        <w:rPr>
          <w:strike w:val="0"/>
          <w:spacing w:val="-1"/>
          <w:w w:val="100"/>
        </w:rPr>
        <w:t>e</w:t>
      </w:r>
      <w:r>
        <w:rPr>
          <w:strike w:val="0"/>
          <w:w w:val="99"/>
        </w:rPr>
        <w:t>sso</w:t>
      </w:r>
      <w:r>
        <w:rPr>
          <w:strike w:val="0"/>
        </w:rPr>
        <w:t> </w:t>
      </w:r>
      <w:r>
        <w:rPr>
          <w:strike w:val="0"/>
          <w:spacing w:val="-27"/>
        </w:rPr>
        <w:t> </w:t>
      </w:r>
      <w:r>
        <w:rPr>
          <w:strike w:val="0"/>
          <w:spacing w:val="-1"/>
          <w:w w:val="44"/>
        </w:rPr>
        <w:t>―</w:t>
      </w:r>
      <w:r>
        <w:rPr>
          <w:strike w:val="0"/>
          <w:w w:val="100"/>
        </w:rPr>
        <w:t>da</w:t>
      </w:r>
      <w:r>
        <w:rPr>
          <w:strike w:val="0"/>
        </w:rPr>
        <w:t> </w:t>
      </w:r>
      <w:r>
        <w:rPr>
          <w:strike w:val="0"/>
          <w:spacing w:val="-26"/>
        </w:rPr>
        <w:t> </w:t>
      </w:r>
      <w:r>
        <w:rPr>
          <w:strike w:val="0"/>
          <w:spacing w:val="-1"/>
          <w:w w:val="100"/>
        </w:rPr>
        <w:t>e</w:t>
      </w:r>
      <w:r>
        <w:rPr>
          <w:strike w:val="0"/>
          <w:w w:val="100"/>
        </w:rPr>
        <w:t>lab</w:t>
      </w:r>
      <w:r>
        <w:rPr>
          <w:strike w:val="0"/>
          <w:spacing w:val="1"/>
          <w:w w:val="100"/>
        </w:rPr>
        <w:t>o</w:t>
      </w:r>
      <w:r>
        <w:rPr>
          <w:strike w:val="0"/>
          <w:w w:val="100"/>
        </w:rPr>
        <w:t>ra</w:t>
      </w:r>
      <w:r>
        <w:rPr>
          <w:strike w:val="0"/>
          <w:spacing w:val="-1"/>
          <w:w w:val="100"/>
        </w:rPr>
        <w:t>çã</w:t>
      </w:r>
      <w:r>
        <w:rPr>
          <w:strike w:val="0"/>
        </w:rPr>
        <w:t>o </w:t>
      </w:r>
      <w:r>
        <w:rPr>
          <w:strike w:val="0"/>
          <w:spacing w:val="-25"/>
        </w:rPr>
        <w:t> </w:t>
      </w:r>
      <w:r>
        <w:rPr>
          <w:strike w:val="0"/>
          <w:w w:val="100"/>
        </w:rPr>
        <w:t>e</w:t>
      </w:r>
      <w:r>
        <w:rPr>
          <w:strike w:val="0"/>
        </w:rPr>
        <w:t> </w:t>
      </w:r>
      <w:r>
        <w:rPr>
          <w:strike w:val="0"/>
          <w:spacing w:val="-28"/>
        </w:rPr>
        <w:t> </w:t>
      </w:r>
      <w:r>
        <w:rPr>
          <w:strike w:val="0"/>
          <w:spacing w:val="2"/>
        </w:rPr>
        <w:t>o</w:t>
      </w:r>
      <w:r>
        <w:rPr>
          <w:strike w:val="0"/>
          <w:w w:val="100"/>
        </w:rPr>
        <w:t>rg</w:t>
      </w:r>
      <w:r>
        <w:rPr>
          <w:strike w:val="0"/>
          <w:spacing w:val="-2"/>
          <w:w w:val="100"/>
        </w:rPr>
        <w:t>a</w:t>
      </w:r>
      <w:r>
        <w:rPr>
          <w:strike w:val="0"/>
          <w:w w:val="100"/>
        </w:rPr>
        <w:t>ni</w:t>
      </w:r>
      <w:r>
        <w:rPr>
          <w:strike w:val="0"/>
          <w:spacing w:val="1"/>
          <w:w w:val="100"/>
        </w:rPr>
        <w:t>z</w:t>
      </w:r>
      <w:r>
        <w:rPr>
          <w:strike w:val="0"/>
          <w:spacing w:val="-1"/>
          <w:w w:val="100"/>
        </w:rPr>
        <w:t>açã</w:t>
      </w:r>
      <w:r>
        <w:rPr>
          <w:strike w:val="0"/>
        </w:rPr>
        <w:t>o </w:t>
      </w:r>
      <w:r>
        <w:rPr>
          <w:strike w:val="0"/>
          <w:spacing w:val="-27"/>
        </w:rPr>
        <w:t> </w:t>
      </w:r>
      <w:r>
        <w:rPr>
          <w:strike w:val="0"/>
          <w:w w:val="99"/>
        </w:rPr>
        <w:t>dos</w:t>
      </w:r>
      <w:r>
        <w:rPr>
          <w:strike w:val="0"/>
        </w:rPr>
        <w:t> </w:t>
      </w:r>
      <w:r>
        <w:rPr>
          <w:strike w:val="0"/>
          <w:spacing w:val="-25"/>
        </w:rPr>
        <w:t> </w:t>
      </w:r>
      <w:r>
        <w:rPr>
          <w:strike w:val="0"/>
          <w:spacing w:val="1"/>
          <w:w w:val="100"/>
        </w:rPr>
        <w:t>c</w:t>
      </w:r>
      <w:r>
        <w:rPr>
          <w:strike w:val="0"/>
          <w:spacing w:val="-1"/>
          <w:w w:val="100"/>
        </w:rPr>
        <w:t>a</w:t>
      </w:r>
      <w:r>
        <w:rPr>
          <w:strike w:val="0"/>
          <w:w w:val="100"/>
        </w:rPr>
        <w:t>pít</w:t>
      </w:r>
      <w:r>
        <w:rPr>
          <w:strike w:val="0"/>
        </w:rPr>
        <w:t>ulos </w:t>
      </w:r>
      <w:r>
        <w:rPr>
          <w:strike w:val="0"/>
          <w:spacing w:val="-26"/>
        </w:rPr>
        <w:t> </w:t>
      </w:r>
      <w:r>
        <w:rPr>
          <w:strike w:val="0"/>
          <w:w w:val="100"/>
        </w:rPr>
        <w:t>da</w:t>
      </w:r>
      <w:r>
        <w:rPr>
          <w:strike w:val="0"/>
        </w:rPr>
        <w:t> </w:t>
      </w:r>
      <w:r>
        <w:rPr>
          <w:strike w:val="0"/>
          <w:spacing w:val="-26"/>
        </w:rPr>
        <w:t> </w:t>
      </w:r>
      <w:r>
        <w:rPr>
          <w:strike w:val="0"/>
          <w:spacing w:val="-1"/>
          <w:w w:val="100"/>
        </w:rPr>
        <w:t>e</w:t>
      </w:r>
      <w:r>
        <w:rPr>
          <w:strike w:val="0"/>
          <w:w w:val="100"/>
        </w:rPr>
        <w:t>strutura </w:t>
      </w:r>
      <w:r>
        <w:rPr>
          <w:strike w:val="0"/>
        </w:rPr>
        <w:t>temática [do PME]‖, sendo diagnóstico (contextualizar objetiva e precisamente os problemas da educação, com base em estudos existentes e em dados de órgãos oficiais), diretrizes (estabelecer as diretrizes político-pedagógicas para a ação educacional, elegendo e priorizando-as) e objetivos e metas (tomar um caráter particularizado de   cada Município para definir claramente o que quer, explicitando as quantidades  precisas, em um determinado espaço</w:t>
      </w:r>
      <w:r>
        <w:rPr>
          <w:strike w:val="0"/>
          <w:spacing w:val="-9"/>
        </w:rPr>
        <w:t> </w:t>
      </w:r>
      <w:r>
        <w:rPr>
          <w:strike w:val="0"/>
        </w:rPr>
        <w:t>temporal).</w:t>
      </w:r>
    </w:p>
    <w:p>
      <w:pPr>
        <w:pStyle w:val="BodyText"/>
        <w:spacing w:line="360" w:lineRule="auto" w:before="3"/>
        <w:ind w:left="102" w:right="114" w:firstLine="851"/>
        <w:jc w:val="both"/>
      </w:pPr>
      <w:r>
        <w:rPr/>
        <w:t>O Documento traz, ainda, a seção </w:t>
      </w:r>
      <w:r>
        <w:rPr>
          <w:i/>
        </w:rPr>
        <w:t>Acompanhamento e Avaliação </w:t>
      </w:r>
      <w:r>
        <w:rPr/>
        <w:t>(31-2)</w:t>
      </w:r>
      <w:r>
        <w:rPr>
          <w:i/>
        </w:rPr>
        <w:t>, </w:t>
      </w:r>
      <w:r>
        <w:rPr/>
        <w:t>pontuando alguns princípios capazes de garantir que os resultados sejam positivos sendo:</w:t>
      </w:r>
    </w:p>
    <w:p>
      <w:pPr>
        <w:pStyle w:val="BodyText"/>
        <w:spacing w:before="4"/>
      </w:pPr>
    </w:p>
    <w:p>
      <w:pPr>
        <w:spacing w:before="0"/>
        <w:ind w:left="2370" w:right="116" w:firstLine="0"/>
        <w:jc w:val="both"/>
        <w:rPr>
          <w:sz w:val="20"/>
        </w:rPr>
      </w:pPr>
      <w:r>
        <w:rPr>
          <w:sz w:val="20"/>
        </w:rPr>
        <w:t>Visão ampla do processo educativo; Universalização do acesso à escola para todos; Busca de padrão de qualidade; Compromissos de longo prazo; Busca constante de </w:t>
      </w:r>
      <w:r>
        <w:rPr>
          <w:b/>
          <w:sz w:val="20"/>
        </w:rPr>
        <w:t>integração </w:t>
      </w:r>
      <w:r>
        <w:rPr>
          <w:sz w:val="20"/>
        </w:rPr>
        <w:t>por meio do princípio de colaboração entre os entes federativos; Participação democrática no processo de elaboração do Plano, no acompanhamento e no controle de sua execução; Fortalecimento dos canais de participação popular e democratização da gestão; Envolvimento do Poder Legislativo; Abrangência de todas as etapas e modalidades de ensino; Busca de </w:t>
      </w:r>
      <w:r>
        <w:rPr>
          <w:b/>
          <w:sz w:val="20"/>
        </w:rPr>
        <w:t>parcerias</w:t>
      </w:r>
      <w:r>
        <w:rPr>
          <w:sz w:val="20"/>
        </w:rPr>
        <w:t>; Valorização dos profissionais de educação; Humanização das relações. (BRASIL, 2005a, p. 32). (Grifos</w:t>
      </w:r>
      <w:r>
        <w:rPr>
          <w:spacing w:val="-21"/>
          <w:sz w:val="20"/>
        </w:rPr>
        <w:t> </w:t>
      </w:r>
      <w:r>
        <w:rPr>
          <w:sz w:val="20"/>
        </w:rPr>
        <w:t>nossos).</w:t>
      </w:r>
    </w:p>
    <w:p>
      <w:pPr>
        <w:spacing w:after="0"/>
        <w:jc w:val="both"/>
        <w:rPr>
          <w:sz w:val="20"/>
        </w:rPr>
        <w:sectPr>
          <w:headerReference w:type="default" r:id="rId39"/>
          <w:pgSz w:w="11910" w:h="16840"/>
          <w:pgMar w:header="749" w:footer="0" w:top="960" w:bottom="280" w:left="1600" w:right="1580"/>
          <w:pgNumType w:start="71"/>
        </w:sectPr>
      </w:pPr>
    </w:p>
    <w:p>
      <w:pPr>
        <w:pStyle w:val="BodyText"/>
        <w:rPr>
          <w:sz w:val="20"/>
        </w:rPr>
      </w:pPr>
    </w:p>
    <w:p>
      <w:pPr>
        <w:spacing w:line="362" w:lineRule="auto" w:before="210"/>
        <w:ind w:left="102" w:right="113" w:firstLine="851"/>
        <w:jc w:val="both"/>
        <w:rPr>
          <w:sz w:val="24"/>
        </w:rPr>
      </w:pPr>
      <w:r>
        <w:rPr>
          <w:sz w:val="24"/>
        </w:rPr>
        <w:t>Por fim, descreve um roteiro, em uma seção intitulada </w:t>
      </w:r>
      <w:r>
        <w:rPr>
          <w:i/>
          <w:sz w:val="24"/>
        </w:rPr>
        <w:t>Orientações Práticas </w:t>
      </w:r>
      <w:r>
        <w:rPr>
          <w:i/>
          <w:sz w:val="24"/>
        </w:rPr>
        <w:t>para  a  Elaboração  do Plano  Municipal  de  Educação  </w:t>
      </w:r>
      <w:r>
        <w:rPr>
          <w:sz w:val="24"/>
        </w:rPr>
        <w:t>(p.  33-4),  com  o  objetivo</w:t>
      </w:r>
      <w:r>
        <w:rPr>
          <w:spacing w:val="-18"/>
          <w:sz w:val="24"/>
        </w:rPr>
        <w:t> </w:t>
      </w:r>
      <w:r>
        <w:rPr>
          <w:sz w:val="24"/>
        </w:rPr>
        <w:t>de</w:t>
      </w:r>
    </w:p>
    <w:p>
      <w:pPr>
        <w:pStyle w:val="BodyText"/>
        <w:spacing w:line="360" w:lineRule="auto"/>
        <w:ind w:left="102" w:right="116"/>
        <w:jc w:val="both"/>
      </w:pPr>
      <w:r>
        <w:rPr>
          <w:spacing w:val="-1"/>
          <w:w w:val="44"/>
        </w:rPr>
        <w:t>―</w:t>
      </w:r>
      <w:r>
        <w:rPr>
          <w:w w:val="99"/>
        </w:rPr>
        <w:t>subsi</w:t>
      </w:r>
      <w:r>
        <w:rPr>
          <w:w w:val="100"/>
        </w:rPr>
        <w:t>diar</w:t>
      </w:r>
      <w:r>
        <w:rPr/>
        <w:t>  </w:t>
      </w:r>
      <w:r>
        <w:rPr>
          <w:spacing w:val="-9"/>
        </w:rPr>
        <w:t> </w:t>
      </w:r>
      <w:r>
        <w:rPr>
          <w:w w:val="99"/>
        </w:rPr>
        <w:t>os</w:t>
      </w:r>
      <w:r>
        <w:rPr/>
        <w:t>  </w:t>
      </w:r>
      <w:r>
        <w:rPr>
          <w:spacing w:val="-8"/>
        </w:rPr>
        <w:t> </w:t>
      </w:r>
      <w:r>
        <w:rPr>
          <w:w w:val="99"/>
        </w:rPr>
        <w:t>sis</w:t>
      </w:r>
      <w:r>
        <w:rPr>
          <w:w w:val="100"/>
        </w:rPr>
        <w:t>tem</w:t>
      </w:r>
      <w:r>
        <w:rPr>
          <w:spacing w:val="-1"/>
          <w:w w:val="100"/>
        </w:rPr>
        <w:t>a</w:t>
      </w:r>
      <w:r>
        <w:rPr>
          <w:w w:val="99"/>
        </w:rPr>
        <w:t>s</w:t>
      </w:r>
      <w:r>
        <w:rPr/>
        <w:t>  </w:t>
      </w:r>
      <w:r>
        <w:rPr>
          <w:spacing w:val="-8"/>
        </w:rPr>
        <w:t> </w:t>
      </w:r>
      <w:r>
        <w:rPr>
          <w:w w:val="100"/>
        </w:rPr>
        <w:t>de</w:t>
      </w:r>
      <w:r>
        <w:rPr/>
        <w:t>  </w:t>
      </w:r>
      <w:r>
        <w:rPr>
          <w:spacing w:val="-9"/>
        </w:rPr>
        <w:t> </w:t>
      </w:r>
      <w:r>
        <w:rPr>
          <w:spacing w:val="-1"/>
          <w:w w:val="100"/>
        </w:rPr>
        <w:t>e</w:t>
      </w:r>
      <w:r>
        <w:rPr/>
        <w:t>nsino  </w:t>
      </w:r>
      <w:r>
        <w:rPr>
          <w:spacing w:val="-7"/>
        </w:rPr>
        <w:t> </w:t>
      </w:r>
      <w:r>
        <w:rPr/>
        <w:t>no  </w:t>
      </w:r>
      <w:r>
        <w:rPr>
          <w:spacing w:val="-8"/>
        </w:rPr>
        <w:t> </w:t>
      </w:r>
      <w:r>
        <w:rPr>
          <w:w w:val="100"/>
        </w:rPr>
        <w:t>lev</w:t>
      </w:r>
      <w:r>
        <w:rPr>
          <w:spacing w:val="-2"/>
          <w:w w:val="100"/>
        </w:rPr>
        <w:t>a</w:t>
      </w:r>
      <w:r>
        <w:rPr>
          <w:w w:val="100"/>
        </w:rPr>
        <w:t>ntam</w:t>
      </w:r>
      <w:r>
        <w:rPr>
          <w:spacing w:val="-1"/>
          <w:w w:val="100"/>
        </w:rPr>
        <w:t>e</w:t>
      </w:r>
      <w:r>
        <w:rPr>
          <w:w w:val="100"/>
        </w:rPr>
        <w:t>nto</w:t>
      </w:r>
      <w:r>
        <w:rPr/>
        <w:t>  </w:t>
      </w:r>
      <w:r>
        <w:rPr>
          <w:spacing w:val="-7"/>
        </w:rPr>
        <w:t> </w:t>
      </w:r>
      <w:r>
        <w:rPr>
          <w:w w:val="100"/>
        </w:rPr>
        <w:t>e</w:t>
      </w:r>
      <w:r>
        <w:rPr/>
        <w:t>  </w:t>
      </w:r>
      <w:r>
        <w:rPr>
          <w:spacing w:val="-9"/>
        </w:rPr>
        <w:t> </w:t>
      </w:r>
      <w:r>
        <w:rPr>
          <w:w w:val="100"/>
        </w:rPr>
        <w:t>d</w:t>
      </w:r>
      <w:r>
        <w:rPr>
          <w:spacing w:val="-1"/>
          <w:w w:val="100"/>
        </w:rPr>
        <w:t>e</w:t>
      </w:r>
      <w:r>
        <w:rPr>
          <w:w w:val="100"/>
        </w:rPr>
        <w:t>ma</w:t>
      </w:r>
      <w:r>
        <w:rPr>
          <w:spacing w:val="-2"/>
          <w:w w:val="100"/>
        </w:rPr>
        <w:t>r</w:t>
      </w:r>
      <w:r>
        <w:rPr>
          <w:spacing w:val="1"/>
          <w:w w:val="100"/>
        </w:rPr>
        <w:t>c</w:t>
      </w:r>
      <w:r>
        <w:rPr>
          <w:spacing w:val="-1"/>
          <w:w w:val="100"/>
        </w:rPr>
        <w:t>a</w:t>
      </w:r>
      <w:r>
        <w:rPr>
          <w:spacing w:val="1"/>
          <w:w w:val="100"/>
        </w:rPr>
        <w:t>ç</w:t>
      </w:r>
      <w:r>
        <w:rPr>
          <w:spacing w:val="-1"/>
          <w:w w:val="100"/>
        </w:rPr>
        <w:t>ã</w:t>
      </w:r>
      <w:r>
        <w:rPr/>
        <w:t>o  </w:t>
      </w:r>
      <w:r>
        <w:rPr>
          <w:spacing w:val="-6"/>
        </w:rPr>
        <w:t> </w:t>
      </w:r>
      <w:r>
        <w:rPr>
          <w:w w:val="99"/>
        </w:rPr>
        <w:t>dos</w:t>
      </w:r>
      <w:r>
        <w:rPr/>
        <w:t>  </w:t>
      </w:r>
      <w:r>
        <w:rPr>
          <w:spacing w:val="-8"/>
        </w:rPr>
        <w:t> </w:t>
      </w:r>
      <w:r>
        <w:rPr>
          <w:spacing w:val="-1"/>
          <w:w w:val="100"/>
        </w:rPr>
        <w:t>a</w:t>
      </w:r>
      <w:r>
        <w:rPr>
          <w:w w:val="100"/>
        </w:rPr>
        <w:t>spe</w:t>
      </w:r>
      <w:r>
        <w:rPr>
          <w:spacing w:val="-2"/>
          <w:w w:val="100"/>
        </w:rPr>
        <w:t>c</w:t>
      </w:r>
      <w:r>
        <w:rPr>
          <w:w w:val="100"/>
        </w:rPr>
        <w:t>tos </w:t>
      </w:r>
      <w:r>
        <w:rPr>
          <w:spacing w:val="-3"/>
          <w:w w:val="100"/>
        </w:rPr>
        <w:t>g</w:t>
      </w:r>
      <w:r>
        <w:rPr>
          <w:spacing w:val="-1"/>
          <w:w w:val="100"/>
        </w:rPr>
        <w:t>e</w:t>
      </w:r>
      <w:r>
        <w:rPr>
          <w:spacing w:val="2"/>
        </w:rPr>
        <w:t>o</w:t>
      </w:r>
      <w:r>
        <w:rPr/>
        <w:t>g</w:t>
      </w:r>
      <w:r>
        <w:rPr>
          <w:spacing w:val="-1"/>
        </w:rPr>
        <w:t>r</w:t>
      </w:r>
      <w:r>
        <w:rPr>
          <w:spacing w:val="-1"/>
          <w:w w:val="100"/>
        </w:rPr>
        <w:t>á</w:t>
      </w:r>
      <w:r>
        <w:rPr>
          <w:w w:val="100"/>
        </w:rPr>
        <w:t>f</w:t>
      </w:r>
      <w:r>
        <w:rPr>
          <w:spacing w:val="1"/>
          <w:w w:val="100"/>
        </w:rPr>
        <w:t>i</w:t>
      </w:r>
      <w:r>
        <w:rPr>
          <w:spacing w:val="-1"/>
          <w:w w:val="100"/>
        </w:rPr>
        <w:t>c</w:t>
      </w:r>
      <w:r>
        <w:rPr>
          <w:w w:val="111"/>
        </w:rPr>
        <w:t>os‖;</w:t>
      </w:r>
      <w:r>
        <w:rPr>
          <w:spacing w:val="28"/>
        </w:rPr>
        <w:t> </w:t>
      </w:r>
      <w:r>
        <w:rPr>
          <w:w w:val="100"/>
        </w:rPr>
        <w:t>na</w:t>
      </w:r>
      <w:r>
        <w:rPr>
          <w:spacing w:val="27"/>
        </w:rPr>
        <w:t> </w:t>
      </w:r>
      <w:r>
        <w:rPr>
          <w:w w:val="100"/>
        </w:rPr>
        <w:t>obtenç</w:t>
      </w:r>
      <w:r>
        <w:rPr>
          <w:spacing w:val="1"/>
          <w:w w:val="100"/>
        </w:rPr>
        <w:t>ã</w:t>
      </w:r>
      <w:r>
        <w:rPr/>
        <w:t>o</w:t>
      </w:r>
      <w:r>
        <w:rPr>
          <w:spacing w:val="28"/>
        </w:rPr>
        <w:t> </w:t>
      </w:r>
      <w:r>
        <w:rPr>
          <w:w w:val="100"/>
        </w:rPr>
        <w:t>de</w:t>
      </w:r>
      <w:r>
        <w:rPr>
          <w:spacing w:val="27"/>
        </w:rPr>
        <w:t> </w:t>
      </w:r>
      <w:r>
        <w:rPr>
          <w:w w:val="100"/>
        </w:rPr>
        <w:t>um</w:t>
      </w:r>
      <w:r>
        <w:rPr>
          <w:spacing w:val="29"/>
        </w:rPr>
        <w:t> </w:t>
      </w:r>
      <w:r>
        <w:rPr>
          <w:spacing w:val="-1"/>
          <w:w w:val="44"/>
        </w:rPr>
        <w:t>―</w:t>
      </w:r>
      <w:r>
        <w:rPr>
          <w:w w:val="100"/>
        </w:rPr>
        <w:t>ma</w:t>
      </w:r>
      <w:r>
        <w:rPr>
          <w:spacing w:val="-2"/>
          <w:w w:val="100"/>
        </w:rPr>
        <w:t>r</w:t>
      </w:r>
      <w:r>
        <w:rPr>
          <w:spacing w:val="-1"/>
          <w:w w:val="100"/>
        </w:rPr>
        <w:t>c</w:t>
      </w:r>
      <w:r>
        <w:rPr/>
        <w:t>o</w:t>
      </w:r>
      <w:r>
        <w:rPr>
          <w:spacing w:val="28"/>
        </w:rPr>
        <w:t> </w:t>
      </w:r>
      <w:r>
        <w:rPr>
          <w:w w:val="100"/>
        </w:rPr>
        <w:t>da</w:t>
      </w:r>
      <w:r>
        <w:rPr>
          <w:spacing w:val="27"/>
        </w:rPr>
        <w:t> </w:t>
      </w:r>
      <w:r>
        <w:rPr>
          <w:w w:val="100"/>
        </w:rPr>
        <w:t>hist</w:t>
      </w:r>
      <w:r>
        <w:rPr>
          <w:w w:val="99"/>
        </w:rPr>
        <w:t>ó</w:t>
      </w:r>
      <w:r>
        <w:rPr>
          <w:spacing w:val="-1"/>
          <w:w w:val="99"/>
        </w:rPr>
        <w:t>r</w:t>
      </w:r>
      <w:r>
        <w:rPr>
          <w:w w:val="100"/>
        </w:rPr>
        <w:t>ia</w:t>
      </w:r>
      <w:r>
        <w:rPr>
          <w:spacing w:val="28"/>
        </w:rPr>
        <w:t> </w:t>
      </w:r>
      <w:r>
        <w:rPr>
          <w:w w:val="100"/>
        </w:rPr>
        <w:t>da</w:t>
      </w:r>
      <w:r>
        <w:rPr>
          <w:spacing w:val="27"/>
        </w:rPr>
        <w:t> </w:t>
      </w:r>
      <w:r>
        <w:rPr>
          <w:spacing w:val="-1"/>
          <w:w w:val="100"/>
        </w:rPr>
        <w:t>e</w:t>
      </w:r>
      <w:r>
        <w:rPr>
          <w:w w:val="100"/>
        </w:rPr>
        <w:t>du</w:t>
      </w:r>
      <w:r>
        <w:rPr>
          <w:spacing w:val="1"/>
          <w:w w:val="100"/>
        </w:rPr>
        <w:t>c</w:t>
      </w:r>
      <w:r>
        <w:rPr>
          <w:spacing w:val="-1"/>
          <w:w w:val="100"/>
        </w:rPr>
        <w:t>açã</w:t>
      </w:r>
      <w:r>
        <w:rPr/>
        <w:t>o</w:t>
      </w:r>
      <w:r>
        <w:rPr>
          <w:spacing w:val="28"/>
        </w:rPr>
        <w:t> </w:t>
      </w:r>
      <w:r>
        <w:rPr>
          <w:spacing w:val="4"/>
        </w:rPr>
        <w:t>n</w:t>
      </w:r>
      <w:r>
        <w:rPr/>
        <w:t>o</w:t>
      </w:r>
      <w:r>
        <w:rPr>
          <w:spacing w:val="28"/>
        </w:rPr>
        <w:t> </w:t>
      </w:r>
      <w:r>
        <w:rPr>
          <w:w w:val="99"/>
        </w:rPr>
        <w:t>M</w:t>
      </w:r>
      <w:r>
        <w:rPr>
          <w:spacing w:val="2"/>
          <w:w w:val="99"/>
        </w:rPr>
        <w:t>u</w:t>
      </w:r>
      <w:r>
        <w:rPr/>
        <w:t>nicípio</w:t>
      </w:r>
      <w:r>
        <w:rPr>
          <w:spacing w:val="29"/>
        </w:rPr>
        <w:t> </w:t>
      </w:r>
      <w:r>
        <w:rPr/>
        <w:t>e</w:t>
      </w:r>
      <w:r>
        <w:rPr>
          <w:spacing w:val="27"/>
        </w:rPr>
        <w:t> </w:t>
      </w:r>
      <w:r>
        <w:rPr>
          <w:w w:val="99"/>
        </w:rPr>
        <w:t>sua </w:t>
      </w:r>
      <w:r>
        <w:rPr>
          <w:spacing w:val="-1"/>
          <w:w w:val="100"/>
        </w:rPr>
        <w:t>e</w:t>
      </w:r>
      <w:r>
        <w:rPr>
          <w:w w:val="100"/>
        </w:rPr>
        <w:t>voluç</w:t>
      </w:r>
      <w:r>
        <w:rPr>
          <w:spacing w:val="-2"/>
          <w:w w:val="100"/>
        </w:rPr>
        <w:t>ã</w:t>
      </w:r>
      <w:r>
        <w:rPr>
          <w:w w:val="120"/>
        </w:rPr>
        <w:t>o</w:t>
      </w:r>
      <w:r>
        <w:rPr>
          <w:spacing w:val="-1"/>
          <w:w w:val="120"/>
        </w:rPr>
        <w:t>‖</w:t>
      </w:r>
      <w:r>
        <w:rPr>
          <w:w w:val="100"/>
        </w:rPr>
        <w:t>;</w:t>
      </w:r>
      <w:r>
        <w:rPr>
          <w:spacing w:val="9"/>
        </w:rPr>
        <w:t> </w:t>
      </w:r>
      <w:r>
        <w:rPr>
          <w:spacing w:val="-1"/>
          <w:w w:val="100"/>
        </w:rPr>
        <w:t>e</w:t>
      </w:r>
      <w:r>
        <w:rPr/>
        <w:t>,</w:t>
      </w:r>
      <w:r>
        <w:rPr>
          <w:spacing w:val="6"/>
        </w:rPr>
        <w:t> </w:t>
      </w:r>
      <w:r>
        <w:rPr>
          <w:spacing w:val="2"/>
          <w:w w:val="100"/>
        </w:rPr>
        <w:t>t</w:t>
      </w:r>
      <w:r>
        <w:rPr>
          <w:spacing w:val="-1"/>
          <w:w w:val="100"/>
        </w:rPr>
        <w:t>a</w:t>
      </w:r>
      <w:r>
        <w:rPr>
          <w:w w:val="100"/>
        </w:rPr>
        <w:t>mbém,</w:t>
      </w:r>
      <w:r>
        <w:rPr>
          <w:spacing w:val="6"/>
        </w:rPr>
        <w:t> </w:t>
      </w:r>
      <w:r>
        <w:rPr>
          <w:spacing w:val="-1"/>
          <w:w w:val="44"/>
        </w:rPr>
        <w:t>―</w:t>
      </w:r>
      <w:r>
        <w:rPr>
          <w:spacing w:val="2"/>
          <w:w w:val="100"/>
        </w:rPr>
        <w:t>l</w:t>
      </w:r>
      <w:r>
        <w:rPr>
          <w:spacing w:val="-1"/>
          <w:w w:val="100"/>
        </w:rPr>
        <w:t>e</w:t>
      </w:r>
      <w:r>
        <w:rPr>
          <w:w w:val="100"/>
        </w:rPr>
        <w:t>v</w:t>
      </w:r>
      <w:r>
        <w:rPr>
          <w:spacing w:val="-1"/>
          <w:w w:val="100"/>
        </w:rPr>
        <w:t>a</w:t>
      </w:r>
      <w:r>
        <w:rPr>
          <w:w w:val="100"/>
        </w:rPr>
        <w:t>ntam</w:t>
      </w:r>
      <w:r>
        <w:rPr>
          <w:spacing w:val="-1"/>
          <w:w w:val="100"/>
        </w:rPr>
        <w:t>e</w:t>
      </w:r>
      <w:r>
        <w:rPr>
          <w:w w:val="100"/>
        </w:rPr>
        <w:t>nto</w:t>
      </w:r>
      <w:r>
        <w:rPr>
          <w:spacing w:val="7"/>
        </w:rPr>
        <w:t> </w:t>
      </w:r>
      <w:r>
        <w:rPr>
          <w:spacing w:val="2"/>
        </w:rPr>
        <w:t>d</w:t>
      </w:r>
      <w:r>
        <w:rPr>
          <w:w w:val="100"/>
        </w:rPr>
        <w:t>e</w:t>
      </w:r>
      <w:r>
        <w:rPr>
          <w:spacing w:val="8"/>
        </w:rPr>
        <w:t> </w:t>
      </w:r>
      <w:r>
        <w:rPr>
          <w:spacing w:val="-1"/>
          <w:w w:val="100"/>
        </w:rPr>
        <w:t>a</w:t>
      </w:r>
      <w:r>
        <w:rPr>
          <w:w w:val="100"/>
        </w:rPr>
        <w:t>spe</w:t>
      </w:r>
      <w:r>
        <w:rPr>
          <w:spacing w:val="-2"/>
          <w:w w:val="100"/>
        </w:rPr>
        <w:t>c</w:t>
      </w:r>
      <w:r>
        <w:rPr>
          <w:w w:val="100"/>
        </w:rPr>
        <w:t>tos</w:t>
      </w:r>
      <w:r>
        <w:rPr>
          <w:spacing w:val="9"/>
          <w:w w:val="100"/>
        </w:rPr>
        <w:t> </w:t>
      </w:r>
      <w:r>
        <w:rPr>
          <w:spacing w:val="-1"/>
          <w:w w:val="100"/>
        </w:rPr>
        <w:t>e</w:t>
      </w:r>
      <w:r>
        <w:rPr>
          <w:w w:val="99"/>
        </w:rPr>
        <w:t>ssen</w:t>
      </w:r>
      <w:r>
        <w:rPr>
          <w:spacing w:val="-2"/>
          <w:w w:val="99"/>
        </w:rPr>
        <w:t>c</w:t>
      </w:r>
      <w:r>
        <w:rPr>
          <w:spacing w:val="2"/>
          <w:w w:val="100"/>
        </w:rPr>
        <w:t>i</w:t>
      </w:r>
      <w:r>
        <w:rPr>
          <w:spacing w:val="-1"/>
          <w:w w:val="100"/>
        </w:rPr>
        <w:t>a</w:t>
      </w:r>
      <w:r>
        <w:rPr>
          <w:w w:val="100"/>
        </w:rPr>
        <w:t>is</w:t>
      </w:r>
      <w:r>
        <w:rPr>
          <w:spacing w:val="7"/>
          <w:w w:val="100"/>
        </w:rPr>
        <w:t> </w:t>
      </w:r>
      <w:r>
        <w:rPr>
          <w:w w:val="100"/>
        </w:rPr>
        <w:t>e</w:t>
      </w:r>
      <w:r>
        <w:rPr>
          <w:spacing w:val="6"/>
        </w:rPr>
        <w:t> </w:t>
      </w:r>
      <w:r>
        <w:rPr>
          <w:w w:val="100"/>
        </w:rPr>
        <w:t>im</w:t>
      </w:r>
      <w:r>
        <w:rPr>
          <w:w w:val="99"/>
        </w:rPr>
        <w:t>p</w:t>
      </w:r>
      <w:r>
        <w:rPr>
          <w:spacing w:val="1"/>
          <w:w w:val="99"/>
        </w:rPr>
        <w:t>r</w:t>
      </w:r>
      <w:r>
        <w:rPr>
          <w:spacing w:val="-1"/>
          <w:w w:val="100"/>
        </w:rPr>
        <w:t>e</w:t>
      </w:r>
      <w:r>
        <w:rPr>
          <w:w w:val="99"/>
        </w:rPr>
        <w:t>s</w:t>
      </w:r>
      <w:r>
        <w:rPr>
          <w:spacing w:val="-1"/>
          <w:w w:val="99"/>
        </w:rPr>
        <w:t>c</w:t>
      </w:r>
      <w:r>
        <w:rPr>
          <w:w w:val="100"/>
        </w:rPr>
        <w:t>ind</w:t>
      </w:r>
      <w:r>
        <w:rPr>
          <w:spacing w:val="3"/>
          <w:w w:val="100"/>
        </w:rPr>
        <w:t>í</w:t>
      </w:r>
      <w:r>
        <w:rPr>
          <w:w w:val="100"/>
        </w:rPr>
        <w:t>v</w:t>
      </w:r>
      <w:r>
        <w:rPr>
          <w:spacing w:val="-1"/>
          <w:w w:val="100"/>
        </w:rPr>
        <w:t>e</w:t>
      </w:r>
      <w:r>
        <w:rPr>
          <w:w w:val="100"/>
        </w:rPr>
        <w:t>is</w:t>
      </w:r>
      <w:r>
        <w:rPr>
          <w:spacing w:val="7"/>
          <w:w w:val="100"/>
        </w:rPr>
        <w:t> </w:t>
      </w:r>
      <w:r>
        <w:rPr>
          <w:w w:val="100"/>
        </w:rPr>
        <w:t>p</w:t>
      </w:r>
      <w:r>
        <w:rPr>
          <w:spacing w:val="-1"/>
          <w:w w:val="100"/>
        </w:rPr>
        <w:t>a</w:t>
      </w:r>
      <w:r>
        <w:rPr>
          <w:spacing w:val="1"/>
          <w:w w:val="99"/>
        </w:rPr>
        <w:t>r</w:t>
      </w:r>
      <w:r>
        <w:rPr>
          <w:w w:val="100"/>
        </w:rPr>
        <w:t>a</w:t>
      </w:r>
      <w:r>
        <w:rPr>
          <w:spacing w:val="6"/>
        </w:rPr>
        <w:t> </w:t>
      </w:r>
      <w:r>
        <w:rPr>
          <w:w w:val="100"/>
        </w:rPr>
        <w:t>que </w:t>
      </w:r>
      <w:r>
        <w:rPr/>
        <w:t>o ensino e a educação aconteçam no Município, tais como: os recursos humanos; recursos materiais e equipamentos; e, recursos</w:t>
      </w:r>
      <w:r>
        <w:rPr>
          <w:spacing w:val="29"/>
        </w:rPr>
        <w:t> </w:t>
      </w:r>
      <w:r>
        <w:rPr/>
        <w:t>financeiros‖.</w:t>
      </w:r>
    </w:p>
    <w:p>
      <w:pPr>
        <w:pStyle w:val="BodyText"/>
        <w:spacing w:line="360" w:lineRule="auto" w:before="6"/>
        <w:ind w:left="102" w:right="119" w:firstLine="851"/>
        <w:jc w:val="both"/>
      </w:pPr>
      <w:r>
        <w:rPr/>
        <w:t>Como anex</w:t>
      </w:r>
      <w:r>
        <w:rPr>
          <w:w w:val="99"/>
        </w:rPr>
        <w:t>os</w:t>
      </w:r>
      <w:r>
        <w:rPr/>
        <w:t> (p. 90), </w:t>
      </w:r>
      <w:r>
        <w:rPr>
          <w:w w:val="100"/>
        </w:rPr>
        <w:t>a</w:t>
      </w:r>
      <w:r>
        <w:rPr/>
        <w:t>p</w:t>
      </w:r>
      <w:r>
        <w:rPr>
          <w:w w:val="100"/>
        </w:rPr>
        <w:t>re</w:t>
      </w:r>
      <w:r>
        <w:rPr>
          <w:w w:val="99"/>
        </w:rPr>
        <w:t>se</w:t>
      </w:r>
      <w:r>
        <w:rPr>
          <w:w w:val="100"/>
        </w:rPr>
        <w:t>nta</w:t>
      </w:r>
      <w:r>
        <w:rPr/>
        <w:t> </w:t>
      </w:r>
      <w:r>
        <w:rPr>
          <w:w w:val="44"/>
        </w:rPr>
        <w:t>―</w:t>
      </w:r>
      <w:r>
        <w:rPr>
          <w:w w:val="99"/>
        </w:rPr>
        <w:t>su</w:t>
      </w:r>
      <w:r>
        <w:rPr/>
        <w:t>g</w:t>
      </w:r>
      <w:r>
        <w:rPr>
          <w:w w:val="100"/>
        </w:rPr>
        <w:t>e</w:t>
      </w:r>
      <w:r>
        <w:rPr/>
        <w:t>stões </w:t>
      </w:r>
      <w:r>
        <w:rPr>
          <w:w w:val="100"/>
        </w:rPr>
        <w:t>pa</w:t>
      </w:r>
      <w:r>
        <w:rPr>
          <w:w w:val="99"/>
        </w:rPr>
        <w:t>r</w:t>
      </w:r>
      <w:r>
        <w:rPr>
          <w:w w:val="100"/>
        </w:rPr>
        <w:t>a</w:t>
      </w:r>
      <w:r>
        <w:rPr/>
        <w:t> </w:t>
      </w:r>
      <w:r>
        <w:rPr>
          <w:w w:val="100"/>
        </w:rPr>
        <w:t>a</w:t>
      </w:r>
      <w:r>
        <w:rPr/>
        <w:t> </w:t>
      </w:r>
      <w:r>
        <w:rPr>
          <w:w w:val="100"/>
        </w:rPr>
        <w:t>e</w:t>
      </w:r>
      <w:r>
        <w:rPr>
          <w:w w:val="100"/>
        </w:rPr>
        <w:t>labor</w:t>
      </w:r>
      <w:r>
        <w:rPr>
          <w:w w:val="100"/>
        </w:rPr>
        <w:t>açã</w:t>
      </w:r>
      <w:r>
        <w:rPr/>
        <w:t>o do </w:t>
      </w:r>
      <w:r>
        <w:rPr>
          <w:w w:val="100"/>
        </w:rPr>
        <w:t>a</w:t>
      </w:r>
      <w:r>
        <w:rPr>
          <w:w w:val="100"/>
        </w:rPr>
        <w:t>ntepr</w:t>
      </w:r>
      <w:r>
        <w:rPr>
          <w:w w:val="100"/>
        </w:rPr>
        <w:t>ojet</w:t>
      </w:r>
      <w:r>
        <w:rPr/>
        <w:t>o </w:t>
      </w:r>
      <w:r>
        <w:rPr>
          <w:w w:val="100"/>
        </w:rPr>
        <w:t>de </w:t>
      </w:r>
      <w:r>
        <w:rPr/>
        <w:t>Lei do Plano; a mensagem de envio à Câmara Municipal e os procedimentos de mobilização‖.</w:t>
      </w:r>
    </w:p>
    <w:p>
      <w:pPr>
        <w:pStyle w:val="BodyText"/>
        <w:spacing w:line="360" w:lineRule="auto" w:before="4"/>
        <w:ind w:left="102" w:right="115" w:firstLine="851"/>
        <w:jc w:val="both"/>
      </w:pPr>
      <w:r>
        <w:rPr/>
        <w:t>Compreendemos ser importante destacar as etapas procedimentais pontuadas pelo documento acerca da elaboração do plano sendo três: A elaboração do Plano Municipal de Educação; A implantação do Plano Municipal de Educação; e o Acompanhamento e Avaliação do Plano Municipal de Educação. Neste sentido, tomando por base o próprio Documento (BRASIL, 2005a, p. 10), a elaboração do PME </w:t>
      </w:r>
      <w:r>
        <w:rPr>
          <w:w w:val="100"/>
        </w:rPr>
        <w:t>é</w:t>
      </w:r>
      <w:r>
        <w:rPr>
          <w:spacing w:val="27"/>
        </w:rPr>
        <w:t> </w:t>
      </w:r>
      <w:r>
        <w:rPr>
          <w:spacing w:val="-1"/>
          <w:w w:val="100"/>
        </w:rPr>
        <w:t>e</w:t>
      </w:r>
      <w:r>
        <w:rPr>
          <w:w w:val="100"/>
        </w:rPr>
        <w:t>ntendida</w:t>
      </w:r>
      <w:r>
        <w:rPr>
          <w:spacing w:val="27"/>
        </w:rPr>
        <w:t> </w:t>
      </w:r>
      <w:r>
        <w:rPr>
          <w:spacing w:val="-1"/>
          <w:w w:val="100"/>
        </w:rPr>
        <w:t>c</w:t>
      </w:r>
      <w:r>
        <w:rPr>
          <w:w w:val="100"/>
        </w:rPr>
        <w:t>omo</w:t>
      </w:r>
      <w:r>
        <w:rPr>
          <w:spacing w:val="29"/>
          <w:w w:val="100"/>
        </w:rPr>
        <w:t> </w:t>
      </w:r>
      <w:r>
        <w:rPr>
          <w:w w:val="100"/>
        </w:rPr>
        <w:t>p</w:t>
      </w:r>
      <w:r>
        <w:rPr>
          <w:spacing w:val="-1"/>
          <w:w w:val="100"/>
        </w:rPr>
        <w:t>r</w:t>
      </w:r>
      <w:r>
        <w:rPr>
          <w:spacing w:val="2"/>
          <w:w w:val="100"/>
        </w:rPr>
        <w:t>o</w:t>
      </w:r>
      <w:r>
        <w:rPr>
          <w:spacing w:val="-1"/>
          <w:w w:val="100"/>
        </w:rPr>
        <w:t>c</w:t>
      </w:r>
      <w:r>
        <w:rPr>
          <w:spacing w:val="1"/>
          <w:w w:val="100"/>
        </w:rPr>
        <w:t>e</w:t>
      </w:r>
      <w:r>
        <w:rPr>
          <w:w w:val="99"/>
        </w:rPr>
        <w:t>sso,</w:t>
      </w:r>
      <w:r>
        <w:rPr>
          <w:spacing w:val="29"/>
        </w:rPr>
        <w:t> </w:t>
      </w:r>
      <w:r>
        <w:rPr/>
        <w:t>pois,</w:t>
      </w:r>
      <w:r>
        <w:rPr>
          <w:spacing w:val="29"/>
        </w:rPr>
        <w:t> </w:t>
      </w:r>
      <w:r>
        <w:rPr>
          <w:spacing w:val="-1"/>
          <w:w w:val="44"/>
        </w:rPr>
        <w:t>―</w:t>
      </w:r>
      <w:r>
        <w:rPr>
          <w:spacing w:val="-1"/>
          <w:w w:val="100"/>
        </w:rPr>
        <w:t>c</w:t>
      </w:r>
      <w:r>
        <w:rPr/>
        <w:t>onst</w:t>
      </w:r>
      <w:r>
        <w:rPr>
          <w:w w:val="100"/>
        </w:rPr>
        <w:t>it</w:t>
      </w:r>
      <w:r>
        <w:rPr>
          <w:w w:val="100"/>
        </w:rPr>
        <w:t>u</w:t>
      </w:r>
      <w:r>
        <w:rPr>
          <w:spacing w:val="3"/>
          <w:w w:val="100"/>
        </w:rPr>
        <w:t>i</w:t>
      </w:r>
      <w:r>
        <w:rPr>
          <w:spacing w:val="-1"/>
          <w:w w:val="99"/>
        </w:rPr>
        <w:t>-</w:t>
      </w:r>
      <w:r>
        <w:rPr>
          <w:w w:val="99"/>
        </w:rPr>
        <w:t>se</w:t>
      </w:r>
      <w:r>
        <w:rPr>
          <w:spacing w:val="27"/>
        </w:rPr>
        <w:t> </w:t>
      </w:r>
      <w:r>
        <w:rPr>
          <w:spacing w:val="-1"/>
        </w:rPr>
        <w:t>c</w:t>
      </w:r>
      <w:r>
        <w:rPr/>
        <w:t>omo</w:t>
      </w:r>
      <w:r>
        <w:rPr>
          <w:spacing w:val="29"/>
        </w:rPr>
        <w:t> </w:t>
      </w:r>
      <w:r>
        <w:rPr/>
        <w:t>o</w:t>
      </w:r>
      <w:r>
        <w:rPr>
          <w:spacing w:val="28"/>
        </w:rPr>
        <w:t> </w:t>
      </w:r>
      <w:r>
        <w:rPr/>
        <w:t>mom</w:t>
      </w:r>
      <w:r>
        <w:rPr>
          <w:spacing w:val="-1"/>
        </w:rPr>
        <w:t>e</w:t>
      </w:r>
      <w:r>
        <w:rPr/>
        <w:t>nto</w:t>
      </w:r>
      <w:r>
        <w:rPr>
          <w:spacing w:val="29"/>
        </w:rPr>
        <w:t> </w:t>
      </w:r>
      <w:r>
        <w:rPr/>
        <w:t>de</w:t>
      </w:r>
      <w:r>
        <w:rPr>
          <w:spacing w:val="27"/>
        </w:rPr>
        <w:t> </w:t>
      </w:r>
      <w:r>
        <w:rPr/>
        <w:t>um</w:t>
      </w:r>
      <w:r>
        <w:rPr>
          <w:spacing w:val="26"/>
        </w:rPr>
        <w:t> </w:t>
      </w:r>
      <w:r>
        <w:rPr/>
        <w:t>plan</w:t>
      </w:r>
      <w:r>
        <w:rPr>
          <w:spacing w:val="-2"/>
        </w:rPr>
        <w:t>e</w:t>
      </w:r>
      <w:r>
        <w:rPr/>
        <w:t>jam</w:t>
      </w:r>
      <w:r>
        <w:rPr>
          <w:spacing w:val="-1"/>
        </w:rPr>
        <w:t>e</w:t>
      </w:r>
      <w:r>
        <w:rPr/>
        <w:t>nto conjunto do governo com a sociedade civil que, com base científica e com a utilização de recursos previsíveis, deve ter como intuito responder às necessidades sociais‖. </w:t>
      </w:r>
      <w:r>
        <w:rPr>
          <w:w w:val="99"/>
        </w:rPr>
        <w:t>A</w:t>
      </w:r>
      <w:r>
        <w:rPr>
          <w:spacing w:val="-2"/>
          <w:w w:val="99"/>
        </w:rPr>
        <w:t>f</w:t>
      </w:r>
      <w:r>
        <w:rPr>
          <w:w w:val="100"/>
        </w:rPr>
        <w:t>irma,</w:t>
      </w:r>
      <w:r>
        <w:rPr/>
        <w:t> </w:t>
      </w:r>
      <w:r>
        <w:rPr>
          <w:spacing w:val="-9"/>
        </w:rPr>
        <w:t> </w:t>
      </w:r>
      <w:r>
        <w:rPr>
          <w:spacing w:val="-1"/>
          <w:w w:val="100"/>
        </w:rPr>
        <w:t>a</w:t>
      </w:r>
      <w:r>
        <w:rPr>
          <w:w w:val="100"/>
        </w:rPr>
        <w:t>inda,</w:t>
      </w:r>
      <w:r>
        <w:rPr/>
        <w:t> </w:t>
      </w:r>
      <w:r>
        <w:rPr>
          <w:spacing w:val="-8"/>
        </w:rPr>
        <w:t> </w:t>
      </w:r>
      <w:r>
        <w:rPr/>
        <w:t>q</w:t>
      </w:r>
      <w:r>
        <w:rPr>
          <w:spacing w:val="2"/>
        </w:rPr>
        <w:t>u</w:t>
      </w:r>
      <w:r>
        <w:rPr>
          <w:w w:val="100"/>
        </w:rPr>
        <w:t>e</w:t>
      </w:r>
      <w:r>
        <w:rPr/>
        <w:t> </w:t>
      </w:r>
      <w:r>
        <w:rPr>
          <w:spacing w:val="-9"/>
        </w:rPr>
        <w:t> </w:t>
      </w:r>
      <w:r>
        <w:rPr>
          <w:spacing w:val="-1"/>
          <w:w w:val="44"/>
        </w:rPr>
        <w:t>―</w:t>
      </w:r>
      <w:r>
        <w:rPr>
          <w:b/>
          <w:w w:val="99"/>
        </w:rPr>
        <w:t>só</w:t>
      </w:r>
      <w:r>
        <w:rPr>
          <w:b/>
        </w:rPr>
        <w:t> </w:t>
      </w:r>
      <w:r>
        <w:rPr>
          <w:b/>
          <w:spacing w:val="-5"/>
        </w:rPr>
        <w:t> </w:t>
      </w:r>
      <w:r>
        <w:rPr>
          <w:b/>
        </w:rPr>
        <w:t>a </w:t>
      </w:r>
      <w:r>
        <w:rPr>
          <w:b/>
          <w:spacing w:val="-8"/>
        </w:rPr>
        <w:t> </w:t>
      </w:r>
      <w:r>
        <w:rPr>
          <w:b/>
          <w:w w:val="99"/>
        </w:rPr>
        <w:t>p</w:t>
      </w:r>
      <w:r>
        <w:rPr>
          <w:b/>
        </w:rPr>
        <w:t>a</w:t>
      </w:r>
      <w:r>
        <w:rPr>
          <w:b/>
          <w:spacing w:val="-1"/>
        </w:rPr>
        <w:t>r</w:t>
      </w:r>
      <w:r>
        <w:rPr>
          <w:b/>
        </w:rPr>
        <w:t>ti</w:t>
      </w:r>
      <w:r>
        <w:rPr>
          <w:b/>
          <w:spacing w:val="-2"/>
        </w:rPr>
        <w:t>c</w:t>
      </w:r>
      <w:r>
        <w:rPr>
          <w:b/>
          <w:w w:val="99"/>
        </w:rPr>
        <w:t>i</w:t>
      </w:r>
      <w:r>
        <w:rPr>
          <w:b/>
          <w:spacing w:val="1"/>
          <w:w w:val="99"/>
        </w:rPr>
        <w:t>p</w:t>
      </w:r>
      <w:r>
        <w:rPr>
          <w:b/>
        </w:rPr>
        <w:t>a</w:t>
      </w:r>
      <w:r>
        <w:rPr>
          <w:b/>
          <w:spacing w:val="-1"/>
        </w:rPr>
        <w:t>ç</w:t>
      </w:r>
      <w:r>
        <w:rPr>
          <w:b/>
        </w:rPr>
        <w:t>ão </w:t>
      </w:r>
      <w:r>
        <w:rPr>
          <w:b/>
          <w:spacing w:val="-8"/>
        </w:rPr>
        <w:t> </w:t>
      </w:r>
      <w:r>
        <w:rPr>
          <w:b/>
          <w:w w:val="99"/>
        </w:rPr>
        <w:t>d</w:t>
      </w:r>
      <w:r>
        <w:rPr>
          <w:b/>
        </w:rPr>
        <w:t>a </w:t>
      </w:r>
      <w:r>
        <w:rPr>
          <w:b/>
          <w:spacing w:val="-8"/>
        </w:rPr>
        <w:t> </w:t>
      </w:r>
      <w:r>
        <w:rPr>
          <w:b/>
        </w:rPr>
        <w:t>soci</w:t>
      </w:r>
      <w:r>
        <w:rPr>
          <w:b/>
          <w:spacing w:val="-2"/>
        </w:rPr>
        <w:t>e</w:t>
      </w:r>
      <w:r>
        <w:rPr>
          <w:b/>
          <w:w w:val="99"/>
        </w:rPr>
        <w:t>d</w:t>
      </w:r>
      <w:r>
        <w:rPr>
          <w:b/>
          <w:w w:val="99"/>
        </w:rPr>
        <w:t>ad</w:t>
      </w:r>
      <w:r>
        <w:rPr>
          <w:b/>
        </w:rPr>
        <w:t>e </w:t>
      </w:r>
      <w:r>
        <w:rPr>
          <w:b/>
          <w:spacing w:val="-9"/>
        </w:rPr>
        <w:t> </w:t>
      </w:r>
      <w:r>
        <w:rPr>
          <w:b/>
          <w:spacing w:val="-1"/>
        </w:rPr>
        <w:t>c</w:t>
      </w:r>
      <w:r>
        <w:rPr>
          <w:b/>
        </w:rPr>
        <w:t>ivil </w:t>
      </w:r>
      <w:r>
        <w:rPr>
          <w:b/>
          <w:spacing w:val="-4"/>
        </w:rPr>
        <w:t> </w:t>
      </w:r>
      <w:r>
        <w:rPr/>
        <w:t>(Cons</w:t>
      </w:r>
      <w:r>
        <w:rPr>
          <w:spacing w:val="-1"/>
        </w:rPr>
        <w:t>e</w:t>
      </w:r>
      <w:r>
        <w:rPr/>
        <w:t>lho </w:t>
      </w:r>
      <w:r>
        <w:rPr>
          <w:spacing w:val="-7"/>
        </w:rPr>
        <w:t> </w:t>
      </w:r>
      <w:r>
        <w:rPr/>
        <w:t>Muni</w:t>
      </w:r>
      <w:r>
        <w:rPr>
          <w:spacing w:val="-1"/>
        </w:rPr>
        <w:t>c</w:t>
      </w:r>
      <w:r>
        <w:rPr/>
        <w:t>ipal </w:t>
      </w:r>
      <w:r>
        <w:rPr>
          <w:spacing w:val="-8"/>
        </w:rPr>
        <w:t> </w:t>
      </w:r>
      <w:r>
        <w:rPr/>
        <w:t>de Educação, associações, sindicatos, Câmara Municipal, diretores das escolas, professores e alunos, entre outros) é que </w:t>
      </w:r>
      <w:r>
        <w:rPr>
          <w:b/>
        </w:rPr>
        <w:t>garantirá a efetivação </w:t>
      </w:r>
      <w:r>
        <w:rPr/>
        <w:t>das diretrizes e ações planejadas‖. (Grifos</w:t>
      </w:r>
      <w:r>
        <w:rPr>
          <w:spacing w:val="-4"/>
        </w:rPr>
        <w:t> </w:t>
      </w:r>
      <w:r>
        <w:rPr/>
        <w:t>nossos).</w:t>
      </w:r>
    </w:p>
    <w:p>
      <w:pPr>
        <w:pStyle w:val="BodyText"/>
        <w:spacing w:line="360" w:lineRule="auto" w:before="3"/>
        <w:ind w:left="102" w:right="115" w:firstLine="851"/>
        <w:jc w:val="both"/>
      </w:pPr>
      <w:r>
        <w:rPr/>
        <w:t>De modo geral, podemos inferir que o Documento se assenta conceitualmente no campo do planejamento transformador/comprometido socialmente, pois compreende o PME como sendo um Plano de Estado, e não somente um Plano de Governo, o planejamento conjunto entre governo e sociedade, assim como a importância da avaliação e do acompanhamento no processo de elaboração e implementação do Plano, assim como o sentimento de corresponsabilidade social com o resultado do Plano. No entanto, não descartamos a necessidade de análises de conteúdo para a apreensão de possíveis ressignificações (SHIROMA; CAMPOS; GARCIA, 2005).</w:t>
      </w:r>
    </w:p>
    <w:p>
      <w:pPr>
        <w:pStyle w:val="BodyText"/>
        <w:rPr>
          <w:sz w:val="26"/>
        </w:rPr>
      </w:pPr>
    </w:p>
    <w:p>
      <w:pPr>
        <w:pStyle w:val="BodyText"/>
        <w:rPr>
          <w:sz w:val="26"/>
        </w:rPr>
      </w:pPr>
    </w:p>
    <w:p>
      <w:pPr>
        <w:pStyle w:val="ListParagraph"/>
        <w:numPr>
          <w:ilvl w:val="0"/>
          <w:numId w:val="17"/>
        </w:numPr>
        <w:tabs>
          <w:tab w:pos="438" w:val="left" w:leader="none"/>
        </w:tabs>
        <w:spacing w:line="360" w:lineRule="auto" w:before="202" w:after="0"/>
        <w:ind w:left="102" w:right="124" w:firstLine="0"/>
        <w:jc w:val="both"/>
        <w:rPr>
          <w:sz w:val="24"/>
        </w:rPr>
      </w:pPr>
      <w:r>
        <w:rPr>
          <w:sz w:val="24"/>
        </w:rPr>
        <w:t>Subsídios para o planejamento da Rede Escolar com base na experiência em Minicenso</w:t>
      </w:r>
      <w:r>
        <w:rPr>
          <w:spacing w:val="-5"/>
          <w:sz w:val="24"/>
        </w:rPr>
        <w:t> </w:t>
      </w:r>
      <w:r>
        <w:rPr>
          <w:sz w:val="24"/>
        </w:rPr>
        <w:t>Educacional</w:t>
      </w:r>
    </w:p>
    <w:p>
      <w:pPr>
        <w:spacing w:after="0" w:line="360" w:lineRule="auto"/>
        <w:jc w:val="both"/>
        <w:rPr>
          <w:sz w:val="24"/>
        </w:rPr>
        <w:sectPr>
          <w:pgSz w:w="11910" w:h="16840"/>
          <w:pgMar w:header="749" w:footer="0" w:top="960" w:bottom="280" w:left="1600" w:right="158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ind w:left="3053"/>
        <w:rPr>
          <w:sz w:val="20"/>
        </w:rPr>
      </w:pPr>
      <w:r>
        <w:rPr>
          <w:sz w:val="20"/>
        </w:rPr>
        <w:drawing>
          <wp:inline distT="0" distB="0" distL="0" distR="0">
            <wp:extent cx="2064195" cy="2062924"/>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40" cstate="print"/>
                    <a:stretch>
                      <a:fillRect/>
                    </a:stretch>
                  </pic:blipFill>
                  <pic:spPr>
                    <a:xfrm>
                      <a:off x="0" y="0"/>
                      <a:ext cx="2064195" cy="2062924"/>
                    </a:xfrm>
                    <a:prstGeom prst="rect">
                      <a:avLst/>
                    </a:prstGeom>
                  </pic:spPr>
                </pic:pic>
              </a:graphicData>
            </a:graphic>
          </wp:inline>
        </w:drawing>
      </w:r>
      <w:r>
        <w:rPr>
          <w:sz w:val="20"/>
        </w:rPr>
      </w:r>
    </w:p>
    <w:p>
      <w:pPr>
        <w:pStyle w:val="BodyText"/>
        <w:rPr>
          <w:sz w:val="20"/>
        </w:rPr>
      </w:pPr>
    </w:p>
    <w:p>
      <w:pPr>
        <w:pStyle w:val="BodyText"/>
        <w:spacing w:line="360" w:lineRule="auto" w:before="223"/>
        <w:ind w:left="102" w:right="118" w:firstLine="851"/>
        <w:jc w:val="both"/>
      </w:pPr>
      <w:r>
        <w:rPr/>
        <w:t>Também, em 2005, é disponibilizado aos Municípios por meio da CAFISE/DASE/MEC o documento Subsídios para o planejamento da Rede Escolar  com base na experiência em Minicenso Educacional (BRASIL, 2005b), do mesmo autor Clodoaldo José de Almeida Souza. Como descrito no </w:t>
      </w:r>
      <w:r>
        <w:rPr>
          <w:i/>
        </w:rPr>
        <w:t>Sumário</w:t>
      </w:r>
      <w:r>
        <w:rPr/>
        <w:t>, o Documento está organizado em quatro seções acrescidas de Referências, Glossário, Siglas e</w:t>
      </w:r>
      <w:r>
        <w:rPr>
          <w:spacing w:val="-14"/>
        </w:rPr>
        <w:t> </w:t>
      </w:r>
      <w:r>
        <w:rPr/>
        <w:t>Anexos.</w:t>
      </w:r>
    </w:p>
    <w:p>
      <w:pPr>
        <w:pStyle w:val="BodyText"/>
        <w:spacing w:line="360" w:lineRule="auto" w:before="3"/>
        <w:ind w:left="102" w:right="119" w:firstLine="851"/>
        <w:jc w:val="both"/>
      </w:pPr>
      <w:r>
        <w:rPr/>
        <w:t>Com </w:t>
      </w:r>
      <w:r>
        <w:rPr>
          <w:i/>
        </w:rPr>
        <w:t>Apresentação </w:t>
      </w:r>
      <w:r>
        <w:rPr/>
        <w:t>(p. 6) assinada, também, por Francisco das Chagas </w:t>
      </w:r>
      <w:r>
        <w:rPr>
          <w:spacing w:val="-2"/>
          <w:w w:val="99"/>
        </w:rPr>
        <w:t>F</w:t>
      </w:r>
      <w:r>
        <w:rPr>
          <w:spacing w:val="-1"/>
        </w:rPr>
        <w:t>e</w:t>
      </w:r>
      <w:r>
        <w:rPr/>
        <w:t>r</w:t>
      </w:r>
      <w:r>
        <w:rPr>
          <w:spacing w:val="1"/>
        </w:rPr>
        <w:t>n</w:t>
      </w:r>
      <w:r>
        <w:rPr>
          <w:spacing w:val="-1"/>
        </w:rPr>
        <w:t>a</w:t>
      </w:r>
      <w:r>
        <w:rPr/>
        <w:t>nd</w:t>
      </w:r>
      <w:r>
        <w:rPr>
          <w:spacing w:val="-1"/>
        </w:rPr>
        <w:t>e</w:t>
      </w:r>
      <w:r>
        <w:rPr>
          <w:w w:val="99"/>
        </w:rPr>
        <w:t>s,</w:t>
      </w:r>
      <w:r>
        <w:rPr/>
        <w:t> </w:t>
      </w:r>
      <w:r>
        <w:rPr>
          <w:spacing w:val="-27"/>
        </w:rPr>
        <w:t> </w:t>
      </w:r>
      <w:r>
        <w:rPr>
          <w:w w:val="99"/>
        </w:rPr>
        <w:t>s</w:t>
      </w:r>
      <w:r>
        <w:rPr>
          <w:spacing w:val="-1"/>
          <w:w w:val="99"/>
        </w:rPr>
        <w:t>e</w:t>
      </w:r>
      <w:r>
        <w:rPr/>
        <w:t>u </w:t>
      </w:r>
      <w:r>
        <w:rPr>
          <w:spacing w:val="-27"/>
        </w:rPr>
        <w:t> </w:t>
      </w:r>
      <w:r>
        <w:rPr/>
        <w:t>objetivo </w:t>
      </w:r>
      <w:r>
        <w:rPr>
          <w:spacing w:val="-26"/>
        </w:rPr>
        <w:t> </w:t>
      </w:r>
      <w:r>
        <w:rPr>
          <w:spacing w:val="-1"/>
        </w:rPr>
        <w:t>e</w:t>
      </w:r>
      <w:r>
        <w:rPr>
          <w:spacing w:val="2"/>
        </w:rPr>
        <w:t>x</w:t>
      </w:r>
      <w:r>
        <w:rPr/>
        <w:t>pli</w:t>
      </w:r>
      <w:r>
        <w:rPr>
          <w:spacing w:val="-1"/>
        </w:rPr>
        <w:t>c</w:t>
      </w:r>
      <w:r>
        <w:rPr/>
        <w:t>it</w:t>
      </w:r>
      <w:r>
        <w:rPr>
          <w:spacing w:val="-1"/>
        </w:rPr>
        <w:t>a</w:t>
      </w:r>
      <w:r>
        <w:rPr/>
        <w:t>do </w:t>
      </w:r>
      <w:r>
        <w:rPr>
          <w:spacing w:val="-27"/>
        </w:rPr>
        <w:t> </w:t>
      </w:r>
      <w:r>
        <w:rPr>
          <w:spacing w:val="-1"/>
        </w:rPr>
        <w:t>c</w:t>
      </w:r>
      <w:r>
        <w:rPr/>
        <w:t>onsi</w:t>
      </w:r>
      <w:r>
        <w:rPr>
          <w:w w:val="99"/>
        </w:rPr>
        <w:t>ste</w:t>
      </w:r>
      <w:r>
        <w:rPr/>
        <w:t> </w:t>
      </w:r>
      <w:r>
        <w:rPr>
          <w:spacing w:val="-27"/>
        </w:rPr>
        <w:t> </w:t>
      </w:r>
      <w:r>
        <w:rPr>
          <w:spacing w:val="-1"/>
        </w:rPr>
        <w:t>e</w:t>
      </w:r>
      <w:r>
        <w:rPr/>
        <w:t>m </w:t>
      </w:r>
      <w:r>
        <w:rPr>
          <w:spacing w:val="-29"/>
        </w:rPr>
        <w:t> </w:t>
      </w:r>
      <w:r>
        <w:rPr/>
        <w:t>o</w:t>
      </w:r>
      <w:r>
        <w:rPr>
          <w:spacing w:val="-1"/>
        </w:rPr>
        <w:t>r</w:t>
      </w:r>
      <w:r>
        <w:rPr/>
        <w:t>ient</w:t>
      </w:r>
      <w:r>
        <w:rPr>
          <w:spacing w:val="-1"/>
        </w:rPr>
        <w:t>a</w:t>
      </w:r>
      <w:r>
        <w:rPr/>
        <w:t>r </w:t>
      </w:r>
      <w:r>
        <w:rPr>
          <w:spacing w:val="-28"/>
        </w:rPr>
        <w:t> </w:t>
      </w:r>
      <w:r>
        <w:rPr>
          <w:w w:val="99"/>
        </w:rPr>
        <w:t>os</w:t>
      </w:r>
      <w:r>
        <w:rPr/>
        <w:t> </w:t>
      </w:r>
      <w:r>
        <w:rPr>
          <w:spacing w:val="-27"/>
        </w:rPr>
        <w:t> </w:t>
      </w:r>
      <w:r>
        <w:rPr/>
        <w:t>Muni</w:t>
      </w:r>
      <w:r>
        <w:rPr>
          <w:spacing w:val="-1"/>
        </w:rPr>
        <w:t>c</w:t>
      </w:r>
      <w:r>
        <w:rPr/>
        <w:t>ípi</w:t>
      </w:r>
      <w:r>
        <w:rPr>
          <w:spacing w:val="4"/>
        </w:rPr>
        <w:t>o</w:t>
      </w:r>
      <w:r>
        <w:rPr>
          <w:w w:val="99"/>
        </w:rPr>
        <w:t>s</w:t>
      </w:r>
      <w:r>
        <w:rPr/>
        <w:t> </w:t>
      </w:r>
      <w:r>
        <w:rPr>
          <w:spacing w:val="-27"/>
        </w:rPr>
        <w:t> </w:t>
      </w:r>
      <w:r>
        <w:rPr>
          <w:spacing w:val="-3"/>
        </w:rPr>
        <w:t>q</w:t>
      </w:r>
      <w:r>
        <w:rPr>
          <w:w w:val="100"/>
        </w:rPr>
        <w:t>ue</w:t>
      </w:r>
      <w:r>
        <w:rPr/>
        <w:t> </w:t>
      </w:r>
      <w:r>
        <w:rPr>
          <w:spacing w:val="-28"/>
        </w:rPr>
        <w:t> </w:t>
      </w:r>
      <w:r>
        <w:rPr>
          <w:spacing w:val="-1"/>
          <w:w w:val="44"/>
        </w:rPr>
        <w:t>―</w:t>
      </w:r>
      <w:r>
        <w:rPr>
          <w:w w:val="100"/>
        </w:rPr>
        <w:t>opta</w:t>
      </w:r>
      <w:r>
        <w:rPr>
          <w:spacing w:val="-2"/>
          <w:w w:val="100"/>
        </w:rPr>
        <w:t>r</w:t>
      </w:r>
      <w:r>
        <w:rPr>
          <w:spacing w:val="-1"/>
          <w:w w:val="100"/>
        </w:rPr>
        <w:t>e</w:t>
      </w:r>
      <w:r>
        <w:rPr>
          <w:w w:val="100"/>
        </w:rPr>
        <w:t>m </w:t>
      </w:r>
      <w:r>
        <w:rPr/>
        <w:t>por essa metodologia de diagnóstico da realidade educacional [como instrumento para a elaboração do</w:t>
      </w:r>
      <w:r>
        <w:rPr>
          <w:spacing w:val="-4"/>
        </w:rPr>
        <w:t> </w:t>
      </w:r>
      <w:r>
        <w:rPr/>
        <w:t>PME].</w:t>
      </w:r>
    </w:p>
    <w:p>
      <w:pPr>
        <w:pStyle w:val="BodyText"/>
        <w:spacing w:line="360" w:lineRule="auto" w:before="4"/>
        <w:ind w:left="102" w:right="118" w:firstLine="851"/>
        <w:jc w:val="both"/>
      </w:pPr>
      <w:r>
        <w:rPr/>
        <w:t>O Minicenso é conceituado no documento como um instrumento para um diagnóstico eficaz da realidade educacional municipal:</w:t>
      </w:r>
    </w:p>
    <w:p>
      <w:pPr>
        <w:pStyle w:val="BodyText"/>
        <w:spacing w:before="2"/>
      </w:pPr>
    </w:p>
    <w:p>
      <w:pPr>
        <w:spacing w:before="1"/>
        <w:ind w:left="2370" w:right="124" w:firstLine="0"/>
        <w:jc w:val="both"/>
        <w:rPr>
          <w:sz w:val="20"/>
        </w:rPr>
      </w:pPr>
      <w:r>
        <w:rPr>
          <w:sz w:val="20"/>
        </w:rPr>
        <w:t>Um levantamento censitário por meio do qual se identifica de forma personalizada a real situação da população do Município com relação ao seu direito à escolarização identificando as demandas, e se planeja o atendimento em relação às necessidades futuras da sociedade.</w:t>
      </w:r>
    </w:p>
    <w:p>
      <w:pPr>
        <w:spacing w:line="228" w:lineRule="exact" w:before="0"/>
        <w:ind w:left="2370" w:right="0" w:firstLine="0"/>
        <w:jc w:val="both"/>
        <w:rPr>
          <w:sz w:val="20"/>
        </w:rPr>
      </w:pPr>
      <w:r>
        <w:rPr>
          <w:sz w:val="20"/>
        </w:rPr>
        <w:t>[...]</w:t>
      </w:r>
    </w:p>
    <w:p>
      <w:pPr>
        <w:spacing w:before="0"/>
        <w:ind w:left="2370" w:right="126" w:firstLine="0"/>
        <w:jc w:val="both"/>
        <w:rPr>
          <w:sz w:val="20"/>
        </w:rPr>
      </w:pPr>
      <w:r>
        <w:rPr>
          <w:sz w:val="20"/>
        </w:rPr>
        <w:t>é uma ferramenta de diagnóstico extremamente eficaz para o planejamento municipal das ações educacionais. (BRASIL, 2005b, p. 11).</w:t>
      </w:r>
    </w:p>
    <w:p>
      <w:pPr>
        <w:pStyle w:val="BodyText"/>
        <w:spacing w:before="1"/>
      </w:pPr>
    </w:p>
    <w:p>
      <w:pPr>
        <w:pStyle w:val="BodyText"/>
        <w:spacing w:line="360" w:lineRule="auto"/>
        <w:ind w:left="102" w:right="117" w:firstLine="851"/>
        <w:jc w:val="both"/>
      </w:pPr>
      <w:r>
        <w:rPr/>
        <w:t>Ao conceituá-lo, o documento reitera o exposto na LDB nº 9.394/1996 (BRASIL, 1996, art.5°, § 1°, </w:t>
      </w:r>
      <w:r>
        <w:rPr>
          <w:spacing w:val="-3"/>
        </w:rPr>
        <w:t>I) </w:t>
      </w:r>
      <w:r>
        <w:rPr/>
        <w:t>acerca do censo educacional como atribuição dos Muni</w:t>
      </w:r>
      <w:r>
        <w:rPr>
          <w:spacing w:val="-1"/>
          <w:w w:val="100"/>
        </w:rPr>
        <w:t>c</w:t>
      </w:r>
      <w:r>
        <w:rPr>
          <w:w w:val="100"/>
        </w:rPr>
        <w:t>ípi</w:t>
      </w:r>
      <w:r>
        <w:rPr>
          <w:w w:val="99"/>
        </w:rPr>
        <w:t>os,</w:t>
      </w:r>
      <w:r>
        <w:rPr/>
        <w:t> </w:t>
      </w:r>
      <w:r>
        <w:rPr>
          <w:spacing w:val="-24"/>
        </w:rPr>
        <w:t> </w:t>
      </w:r>
      <w:r>
        <w:rPr/>
        <w:t>s</w:t>
      </w:r>
      <w:r>
        <w:rPr>
          <w:spacing w:val="-1"/>
        </w:rPr>
        <w:t>e</w:t>
      </w:r>
      <w:r>
        <w:rPr/>
        <w:t>ndo </w:t>
      </w:r>
      <w:r>
        <w:rPr>
          <w:spacing w:val="-25"/>
        </w:rPr>
        <w:t> </w:t>
      </w:r>
      <w:r>
        <w:rPr>
          <w:w w:val="100"/>
        </w:rPr>
        <w:t>a</w:t>
      </w:r>
      <w:r>
        <w:rPr/>
        <w:t> </w:t>
      </w:r>
      <w:r>
        <w:rPr>
          <w:spacing w:val="-24"/>
        </w:rPr>
        <w:t> </w:t>
      </w:r>
      <w:r>
        <w:rPr>
          <w:spacing w:val="-1"/>
          <w:w w:val="100"/>
        </w:rPr>
        <w:t>a</w:t>
      </w:r>
      <w:r>
        <w:rPr>
          <w:spacing w:val="1"/>
          <w:w w:val="100"/>
        </w:rPr>
        <w:t>çã</w:t>
      </w:r>
      <w:r>
        <w:rPr/>
        <w:t>o </w:t>
      </w:r>
      <w:r>
        <w:rPr>
          <w:spacing w:val="-25"/>
        </w:rPr>
        <w:t> </w:t>
      </w:r>
      <w:r>
        <w:rPr>
          <w:w w:val="100"/>
        </w:rPr>
        <w:t>de</w:t>
      </w:r>
      <w:r>
        <w:rPr/>
        <w:t> </w:t>
      </w:r>
      <w:r>
        <w:rPr>
          <w:spacing w:val="-23"/>
        </w:rPr>
        <w:t> </w:t>
      </w:r>
      <w:r>
        <w:rPr>
          <w:spacing w:val="-1"/>
          <w:w w:val="44"/>
        </w:rPr>
        <w:t>―</w:t>
      </w:r>
      <w:r>
        <w:rPr>
          <w:w w:val="100"/>
        </w:rPr>
        <w:t>re</w:t>
      </w:r>
      <w:r>
        <w:rPr>
          <w:spacing w:val="-1"/>
          <w:w w:val="100"/>
        </w:rPr>
        <w:t>ce</w:t>
      </w:r>
      <w:r>
        <w:rPr>
          <w:w w:val="99"/>
        </w:rPr>
        <w:t>ns</w:t>
      </w:r>
      <w:r>
        <w:rPr>
          <w:spacing w:val="1"/>
          <w:w w:val="99"/>
        </w:rPr>
        <w:t>e</w:t>
      </w:r>
      <w:r>
        <w:rPr>
          <w:spacing w:val="-1"/>
          <w:w w:val="100"/>
        </w:rPr>
        <w:t>a</w:t>
      </w:r>
      <w:r>
        <w:rPr>
          <w:w w:val="99"/>
        </w:rPr>
        <w:t>r </w:t>
      </w:r>
      <w:r>
        <w:rPr>
          <w:spacing w:val="-23"/>
          <w:w w:val="99"/>
        </w:rPr>
        <w:t> </w:t>
      </w:r>
      <w:r>
        <w:rPr>
          <w:w w:val="100"/>
        </w:rPr>
        <w:t>a</w:t>
      </w:r>
      <w:r>
        <w:rPr/>
        <w:t> </w:t>
      </w:r>
      <w:r>
        <w:rPr>
          <w:spacing w:val="-26"/>
        </w:rPr>
        <w:t> </w:t>
      </w:r>
      <w:r>
        <w:rPr/>
        <w:t>popu</w:t>
      </w:r>
      <w:r>
        <w:rPr>
          <w:spacing w:val="2"/>
        </w:rPr>
        <w:t>l</w:t>
      </w:r>
      <w:r>
        <w:rPr>
          <w:spacing w:val="-1"/>
          <w:w w:val="100"/>
        </w:rPr>
        <w:t>açã</w:t>
      </w:r>
      <w:r>
        <w:rPr/>
        <w:t>o </w:t>
      </w:r>
      <w:r>
        <w:rPr>
          <w:spacing w:val="-23"/>
        </w:rPr>
        <w:t> </w:t>
      </w:r>
      <w:r>
        <w:rPr>
          <w:spacing w:val="-1"/>
          <w:w w:val="100"/>
        </w:rPr>
        <w:t>e</w:t>
      </w:r>
      <w:r>
        <w:rPr>
          <w:w w:val="100"/>
        </w:rPr>
        <w:t>m</w:t>
      </w:r>
      <w:r>
        <w:rPr/>
        <w:t> </w:t>
      </w:r>
      <w:r>
        <w:rPr>
          <w:spacing w:val="-24"/>
        </w:rPr>
        <w:t> </w:t>
      </w:r>
      <w:r>
        <w:rPr>
          <w:w w:val="100"/>
        </w:rPr>
        <w:t>ida</w:t>
      </w:r>
      <w:r>
        <w:rPr>
          <w:spacing w:val="1"/>
          <w:w w:val="100"/>
        </w:rPr>
        <w:t>d</w:t>
      </w:r>
      <w:r>
        <w:rPr>
          <w:w w:val="100"/>
        </w:rPr>
        <w:t>e</w:t>
      </w:r>
      <w:r>
        <w:rPr/>
        <w:t> </w:t>
      </w:r>
      <w:r>
        <w:rPr>
          <w:spacing w:val="-23"/>
        </w:rPr>
        <w:t> </w:t>
      </w:r>
      <w:r>
        <w:rPr>
          <w:spacing w:val="-1"/>
          <w:w w:val="100"/>
        </w:rPr>
        <w:t>e</w:t>
      </w:r>
      <w:r>
        <w:rPr>
          <w:w w:val="99"/>
        </w:rPr>
        <w:t>s</w:t>
      </w:r>
      <w:r>
        <w:rPr>
          <w:spacing w:val="-1"/>
          <w:w w:val="99"/>
        </w:rPr>
        <w:t>c</w:t>
      </w:r>
      <w:r>
        <w:rPr>
          <w:w w:val="100"/>
        </w:rPr>
        <w:t>olar</w:t>
      </w:r>
      <w:r>
        <w:rPr/>
        <w:t> </w:t>
      </w:r>
      <w:r>
        <w:rPr>
          <w:spacing w:val="-24"/>
        </w:rPr>
        <w:t> </w:t>
      </w:r>
      <w:r>
        <w:rPr>
          <w:spacing w:val="2"/>
        </w:rPr>
        <w:t>p</w:t>
      </w:r>
      <w:r>
        <w:rPr>
          <w:spacing w:val="-1"/>
          <w:w w:val="100"/>
        </w:rPr>
        <w:t>a</w:t>
      </w:r>
      <w:r>
        <w:rPr>
          <w:w w:val="100"/>
        </w:rPr>
        <w:t>ra</w:t>
      </w:r>
      <w:r>
        <w:rPr/>
        <w:t> </w:t>
      </w:r>
      <w:r>
        <w:rPr>
          <w:spacing w:val="-24"/>
        </w:rPr>
        <w:t> </w:t>
      </w:r>
      <w:r>
        <w:rPr/>
        <w:t>o </w:t>
      </w:r>
      <w:r>
        <w:rPr>
          <w:spacing w:val="-25"/>
        </w:rPr>
        <w:t> </w:t>
      </w:r>
      <w:r>
        <w:rPr>
          <w:spacing w:val="-1"/>
          <w:w w:val="100"/>
        </w:rPr>
        <w:t>e</w:t>
      </w:r>
      <w:r>
        <w:rPr/>
        <w:t>nsino fundamental, e os jovens e adultos que a ele não tiveram</w:t>
      </w:r>
      <w:r>
        <w:rPr>
          <w:spacing w:val="31"/>
        </w:rPr>
        <w:t> </w:t>
      </w:r>
      <w:r>
        <w:rPr/>
        <w:t>acesso.‖</w:t>
      </w:r>
    </w:p>
    <w:p>
      <w:pPr>
        <w:pStyle w:val="BodyText"/>
        <w:spacing w:line="360" w:lineRule="auto" w:before="6"/>
        <w:ind w:left="102" w:right="120" w:firstLine="851"/>
        <w:jc w:val="both"/>
      </w:pPr>
      <w:r>
        <w:rPr/>
        <w:t>Neste sentido, como posto no Documento, tanto a comunidade quanto os dirigentes municipais usufruirão com a realização do Minicenso, sendo o início de um</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2" w:lineRule="auto" w:before="210"/>
        <w:ind w:left="102"/>
      </w:pPr>
      <w:r>
        <w:rPr/>
        <w:t>processo de mobilização social e, também, uma poderosa ferramenta de planejamento (BRASIL, 2005b).</w:t>
      </w:r>
    </w:p>
    <w:p>
      <w:pPr>
        <w:pStyle w:val="BodyText"/>
        <w:spacing w:line="360" w:lineRule="auto"/>
        <w:ind w:left="102" w:right="116" w:firstLine="851"/>
        <w:jc w:val="both"/>
      </w:pPr>
      <w:r>
        <w:rPr/>
        <w:t>Em relação aos </w:t>
      </w:r>
      <w:r>
        <w:rPr>
          <w:i/>
        </w:rPr>
        <w:t>Procedimentos </w:t>
      </w:r>
      <w:r>
        <w:rPr/>
        <w:t>(p. 13-18) o documento pontua alguns aspectos que precisam ser considerados pelos gestores municipais para que, de forma efetiva, a realização do Minicenso possa alcançar os objetivos propostos sendo: Decisão Política; Mobilização dos Recursos; Planejamento, dando ênfase à Divulgação, Mobilização, Seleção e Treinamento dos Recenseadores; Coleta de Dados e Processamento dos Dados.</w:t>
      </w:r>
    </w:p>
    <w:p>
      <w:pPr>
        <w:pStyle w:val="BodyText"/>
        <w:spacing w:line="360" w:lineRule="auto" w:before="3"/>
        <w:ind w:left="102" w:right="113" w:firstLine="851"/>
        <w:jc w:val="both"/>
      </w:pPr>
      <w:r>
        <w:rPr/>
        <w:t>No que diz respeito à </w:t>
      </w:r>
      <w:r>
        <w:rPr>
          <w:i/>
        </w:rPr>
        <w:t>Operacionalização </w:t>
      </w:r>
      <w:r>
        <w:rPr/>
        <w:t>do Minicenso (p.19-23), em uma seção específica, o documento pontua um elemento de democracia:</w:t>
      </w:r>
    </w:p>
    <w:p>
      <w:pPr>
        <w:pStyle w:val="BodyText"/>
        <w:spacing w:before="4"/>
        <w:rPr>
          <w:sz w:val="36"/>
        </w:rPr>
      </w:pPr>
    </w:p>
    <w:p>
      <w:pPr>
        <w:spacing w:before="0"/>
        <w:ind w:left="2370" w:right="114" w:firstLine="0"/>
        <w:jc w:val="both"/>
        <w:rPr>
          <w:sz w:val="20"/>
        </w:rPr>
      </w:pPr>
      <w:r>
        <w:rPr>
          <w:sz w:val="20"/>
        </w:rPr>
        <w:t>sua implementação requer uma </w:t>
      </w:r>
      <w:r>
        <w:rPr>
          <w:b/>
          <w:sz w:val="20"/>
        </w:rPr>
        <w:t>discussão dos seus objetivos </w:t>
      </w:r>
      <w:r>
        <w:rPr>
          <w:sz w:val="20"/>
        </w:rPr>
        <w:t>junto com representantes de diversas instituições, órgãos e representações da sociedade, na perspectiva de </w:t>
      </w:r>
      <w:r>
        <w:rPr>
          <w:b/>
          <w:sz w:val="20"/>
        </w:rPr>
        <w:t>construir um entendimento comum </w:t>
      </w:r>
      <w:r>
        <w:rPr>
          <w:sz w:val="20"/>
        </w:rPr>
        <w:t>sobre a importância dessa atividade para o </w:t>
      </w:r>
      <w:r>
        <w:rPr>
          <w:b/>
          <w:sz w:val="20"/>
        </w:rPr>
        <w:t>planejamento </w:t>
      </w:r>
      <w:r>
        <w:rPr>
          <w:sz w:val="20"/>
        </w:rPr>
        <w:t>das políticas públicas e como um instrumento de conhecimento da realidade </w:t>
      </w:r>
      <w:r>
        <w:rPr>
          <w:b/>
          <w:sz w:val="20"/>
        </w:rPr>
        <w:t>a ser apropriado pelos grupos sociais</w:t>
      </w:r>
      <w:r>
        <w:rPr>
          <w:sz w:val="20"/>
        </w:rPr>
        <w:t>. (BRASIL, 2005b, p. 19). Grifos nossos).</w:t>
      </w:r>
    </w:p>
    <w:p>
      <w:pPr>
        <w:pStyle w:val="BodyText"/>
        <w:spacing w:before="1"/>
      </w:pPr>
    </w:p>
    <w:p>
      <w:pPr>
        <w:pStyle w:val="BodyText"/>
        <w:spacing w:line="360" w:lineRule="auto"/>
        <w:ind w:left="102" w:right="119" w:firstLine="851"/>
        <w:jc w:val="both"/>
      </w:pPr>
      <w:r>
        <w:rPr>
          <w:w w:val="99"/>
        </w:rPr>
        <w:t>Ao</w:t>
      </w:r>
      <w:r>
        <w:rPr/>
        <w:t>  tecer  a</w:t>
      </w:r>
      <w:r>
        <w:rPr>
          <w:w w:val="99"/>
        </w:rPr>
        <w:t>s</w:t>
      </w:r>
      <w:r>
        <w:rPr/>
        <w:t>  </w:t>
      </w:r>
      <w:r>
        <w:rPr>
          <w:i/>
        </w:rPr>
        <w:t>Conside</w:t>
      </w:r>
      <w:r>
        <w:rPr>
          <w:i/>
          <w:w w:val="99"/>
        </w:rPr>
        <w:t>ra</w:t>
      </w:r>
      <w:r>
        <w:rPr>
          <w:i/>
        </w:rPr>
        <w:t>çõe</w:t>
      </w:r>
      <w:r>
        <w:rPr>
          <w:i/>
          <w:w w:val="99"/>
        </w:rPr>
        <w:t>s</w:t>
      </w:r>
      <w:r>
        <w:rPr>
          <w:i/>
        </w:rPr>
        <w:t>  </w:t>
      </w:r>
      <w:r>
        <w:rPr/>
        <w:t>(p.  24),  </w:t>
      </w:r>
      <w:r>
        <w:rPr>
          <w:w w:val="100"/>
        </w:rPr>
        <w:t>e</w:t>
      </w:r>
      <w:r>
        <w:rPr/>
        <w:t>x</w:t>
      </w:r>
      <w:r>
        <w:rPr>
          <w:w w:val="100"/>
        </w:rPr>
        <w:t>plic</w:t>
      </w:r>
      <w:r>
        <w:rPr>
          <w:w w:val="100"/>
        </w:rPr>
        <w:t>it</w:t>
      </w:r>
      <w:r>
        <w:rPr>
          <w:w w:val="100"/>
        </w:rPr>
        <w:t>a</w:t>
      </w:r>
      <w:r>
        <w:rPr/>
        <w:t>  </w:t>
      </w:r>
      <w:r>
        <w:rPr>
          <w:w w:val="100"/>
        </w:rPr>
        <w:t>que  </w:t>
      </w:r>
      <w:r>
        <w:rPr>
          <w:w w:val="44"/>
        </w:rPr>
        <w:t>―</w:t>
      </w:r>
      <w:r>
        <w:rPr/>
        <w:t>o  </w:t>
      </w:r>
      <w:r>
        <w:rPr>
          <w:w w:val="100"/>
        </w:rPr>
        <w:t>ê</w:t>
      </w:r>
      <w:r>
        <w:rPr/>
        <w:t>x</w:t>
      </w:r>
      <w:r>
        <w:rPr>
          <w:w w:val="100"/>
        </w:rPr>
        <w:t>it</w:t>
      </w:r>
      <w:r>
        <w:rPr/>
        <w:t>o  do  </w:t>
      </w:r>
      <w:r>
        <w:rPr>
          <w:w w:val="100"/>
        </w:rPr>
        <w:t>minice</w:t>
      </w:r>
      <w:r>
        <w:rPr>
          <w:w w:val="99"/>
        </w:rPr>
        <w:t>nso </w:t>
      </w:r>
      <w:r>
        <w:rPr/>
        <w:t>educacional está relacionado com a definição dos procedimentos metodológicos adotados para a sua concepção‖.</w:t>
      </w:r>
    </w:p>
    <w:p>
      <w:pPr>
        <w:pStyle w:val="BodyText"/>
        <w:spacing w:line="360" w:lineRule="auto" w:before="3"/>
        <w:ind w:left="102" w:right="113" w:firstLine="851"/>
        <w:jc w:val="both"/>
      </w:pPr>
      <w:r>
        <w:rPr/>
        <w:t>Acerca desses procedimentos metodológicos, o texto registra intencionalidades em relação aos princípios democráticos e participativos, envolvendo vários atores sociais, com resultados diagnosticados assumidos, consolidados e sistematizados de forma transparente.</w:t>
      </w:r>
    </w:p>
    <w:p>
      <w:pPr>
        <w:pStyle w:val="BodyText"/>
        <w:spacing w:line="360" w:lineRule="auto" w:before="3"/>
        <w:ind w:left="102" w:right="119" w:firstLine="851"/>
        <w:jc w:val="both"/>
      </w:pPr>
      <w:r>
        <w:rPr/>
        <w:t>Finalmente, o documento ressalta a importância do Minicenso, também, para  os diversos interesses do governo, beneficiando não apenas a educação, mas todo o Muni</w:t>
      </w:r>
      <w:r>
        <w:rPr>
          <w:spacing w:val="-1"/>
          <w:w w:val="100"/>
        </w:rPr>
        <w:t>c</w:t>
      </w:r>
      <w:r>
        <w:rPr>
          <w:w w:val="100"/>
        </w:rPr>
        <w:t>ípi</w:t>
      </w:r>
      <w:r>
        <w:rPr/>
        <w:t>o </w:t>
      </w:r>
      <w:r>
        <w:rPr>
          <w:spacing w:val="-27"/>
        </w:rPr>
        <w:t> </w:t>
      </w:r>
      <w:r>
        <w:rPr>
          <w:w w:val="100"/>
        </w:rPr>
        <w:t>e</w:t>
      </w:r>
      <w:r>
        <w:rPr/>
        <w:t> </w:t>
      </w:r>
      <w:r>
        <w:rPr>
          <w:spacing w:val="-28"/>
        </w:rPr>
        <w:t> </w:t>
      </w:r>
      <w:r>
        <w:rPr>
          <w:spacing w:val="-1"/>
          <w:w w:val="100"/>
        </w:rPr>
        <w:t>ac</w:t>
      </w:r>
      <w:r>
        <w:rPr>
          <w:w w:val="100"/>
        </w:rPr>
        <w:t>r</w:t>
      </w:r>
      <w:r>
        <w:rPr>
          <w:spacing w:val="-2"/>
          <w:w w:val="100"/>
        </w:rPr>
        <w:t>e</w:t>
      </w:r>
      <w:r>
        <w:rPr>
          <w:spacing w:val="2"/>
          <w:w w:val="99"/>
        </w:rPr>
        <w:t>s</w:t>
      </w:r>
      <w:r>
        <w:rPr>
          <w:spacing w:val="-1"/>
          <w:w w:val="100"/>
        </w:rPr>
        <w:t>ce</w:t>
      </w:r>
      <w:r>
        <w:rPr>
          <w:w w:val="100"/>
        </w:rPr>
        <w:t>nta</w:t>
      </w:r>
      <w:r>
        <w:rPr/>
        <w:t> </w:t>
      </w:r>
      <w:r>
        <w:rPr>
          <w:spacing w:val="-25"/>
        </w:rPr>
        <w:t> </w:t>
      </w:r>
      <w:r>
        <w:rPr>
          <w:w w:val="100"/>
        </w:rPr>
        <w:t>que </w:t>
      </w:r>
      <w:r>
        <w:rPr>
          <w:spacing w:val="-28"/>
          <w:w w:val="100"/>
        </w:rPr>
        <w:t> </w:t>
      </w:r>
      <w:r>
        <w:rPr>
          <w:spacing w:val="-1"/>
          <w:w w:val="44"/>
        </w:rPr>
        <w:t>―</w:t>
      </w:r>
      <w:r>
        <w:rPr>
          <w:w w:val="99"/>
        </w:rPr>
        <w:t>os</w:t>
      </w:r>
      <w:r>
        <w:rPr/>
        <w:t> </w:t>
      </w:r>
      <w:r>
        <w:rPr>
          <w:spacing w:val="-27"/>
        </w:rPr>
        <w:t> </w:t>
      </w:r>
      <w:r>
        <w:rPr/>
        <w:t>p</w:t>
      </w:r>
      <w:r>
        <w:rPr>
          <w:spacing w:val="-1"/>
        </w:rPr>
        <w:t>r</w:t>
      </w:r>
      <w:r>
        <w:rPr>
          <w:w w:val="100"/>
        </w:rPr>
        <w:t>incip</w:t>
      </w:r>
      <w:r>
        <w:rPr>
          <w:spacing w:val="-1"/>
          <w:w w:val="100"/>
        </w:rPr>
        <w:t>a</w:t>
      </w:r>
      <w:r>
        <w:rPr>
          <w:w w:val="100"/>
        </w:rPr>
        <w:t>is </w:t>
      </w:r>
      <w:r>
        <w:rPr>
          <w:spacing w:val="-26"/>
          <w:w w:val="100"/>
        </w:rPr>
        <w:t> </w:t>
      </w:r>
      <w:r>
        <w:rPr>
          <w:w w:val="100"/>
        </w:rPr>
        <w:t>b</w:t>
      </w:r>
      <w:r>
        <w:rPr>
          <w:spacing w:val="-1"/>
          <w:w w:val="100"/>
        </w:rPr>
        <w:t>e</w:t>
      </w:r>
      <w:r>
        <w:rPr>
          <w:spacing w:val="2"/>
        </w:rPr>
        <w:t>n</w:t>
      </w:r>
      <w:r>
        <w:rPr>
          <w:spacing w:val="-1"/>
          <w:w w:val="100"/>
        </w:rPr>
        <w:t>e</w:t>
      </w:r>
      <w:r>
        <w:rPr>
          <w:spacing w:val="1"/>
          <w:w w:val="99"/>
        </w:rPr>
        <w:t>f</w:t>
      </w:r>
      <w:r>
        <w:rPr>
          <w:w w:val="100"/>
        </w:rPr>
        <w:t>ici</w:t>
      </w:r>
      <w:r>
        <w:rPr>
          <w:spacing w:val="-1"/>
          <w:w w:val="100"/>
        </w:rPr>
        <w:t>á</w:t>
      </w:r>
      <w:r>
        <w:rPr/>
        <w:t>rios </w:t>
      </w:r>
      <w:r>
        <w:rPr>
          <w:spacing w:val="-27"/>
        </w:rPr>
        <w:t> </w:t>
      </w:r>
      <w:r>
        <w:rPr/>
        <w:t>s</w:t>
      </w:r>
      <w:r>
        <w:rPr>
          <w:spacing w:val="-1"/>
        </w:rPr>
        <w:t>ã</w:t>
      </w:r>
      <w:r>
        <w:rPr/>
        <w:t>o </w:t>
      </w:r>
      <w:r>
        <w:rPr>
          <w:spacing w:val="-27"/>
        </w:rPr>
        <w:t> </w:t>
      </w:r>
      <w:r>
        <w:rPr>
          <w:spacing w:val="3"/>
          <w:w w:val="100"/>
        </w:rPr>
        <w:t>e</w:t>
      </w:r>
      <w:r>
        <w:rPr>
          <w:spacing w:val="1"/>
          <w:w w:val="99"/>
        </w:rPr>
        <w:t>f</w:t>
      </w:r>
      <w:r>
        <w:rPr>
          <w:spacing w:val="-1"/>
          <w:w w:val="99"/>
        </w:rPr>
        <w:t>e</w:t>
      </w:r>
      <w:r>
        <w:rPr>
          <w:w w:val="99"/>
        </w:rPr>
        <w:t>tiv</w:t>
      </w:r>
      <w:r>
        <w:rPr>
          <w:spacing w:val="-1"/>
          <w:w w:val="99"/>
        </w:rPr>
        <w:t>a</w:t>
      </w:r>
      <w:r>
        <w:rPr>
          <w:w w:val="99"/>
        </w:rPr>
        <w:t>mente </w:t>
      </w:r>
      <w:r>
        <w:rPr>
          <w:spacing w:val="-26"/>
          <w:w w:val="99"/>
        </w:rPr>
        <w:t> </w:t>
      </w:r>
      <w:r>
        <w:rPr>
          <w:w w:val="99"/>
        </w:rPr>
        <w:t>os</w:t>
      </w:r>
      <w:r>
        <w:rPr/>
        <w:t> </w:t>
      </w:r>
      <w:r>
        <w:rPr>
          <w:spacing w:val="-27"/>
        </w:rPr>
        <w:t> </w:t>
      </w:r>
      <w:r>
        <w:rPr>
          <w:spacing w:val="-1"/>
        </w:rPr>
        <w:t>c</w:t>
      </w:r>
      <w:r>
        <w:rPr/>
        <w:t>idad</w:t>
      </w:r>
      <w:r>
        <w:rPr>
          <w:spacing w:val="-2"/>
        </w:rPr>
        <w:t>ã</w:t>
      </w:r>
      <w:r>
        <w:rPr>
          <w:w w:val="99"/>
        </w:rPr>
        <w:t>os </w:t>
      </w:r>
      <w:r>
        <w:rPr/>
        <w:t>residentes no território municipal que podem ter no minicenso educacional um verdadeiro instrumento de conhecimento útil para subsidiar as lutas sociais que visam melhorar a qualidade da educação e da vida da</w:t>
      </w:r>
      <w:r>
        <w:rPr>
          <w:spacing w:val="31"/>
        </w:rPr>
        <w:t> </w:t>
      </w:r>
      <w:r>
        <w:rPr/>
        <w:t>população‖.</w:t>
      </w:r>
    </w:p>
    <w:p>
      <w:pPr>
        <w:pStyle w:val="BodyText"/>
        <w:spacing w:line="360" w:lineRule="auto" w:before="4"/>
        <w:ind w:left="102" w:right="119" w:firstLine="851"/>
        <w:jc w:val="both"/>
      </w:pPr>
      <w:r>
        <w:rPr/>
        <w:t>Do estudo deste documento, podemos inferir que o texto possui uma coerência conceitual com o planejamento na perspectiva transformadora/comprometimento social. O Minicenso se volta à organicidade do planejamento (DOURADO, 2010) com ações de intervenção na realidade (SOUZA; DUARTE, 2014), de construção e articulação (PUPPIM, 2006), com objetivos de transformar a realidade em comum acordo (GANDIN,</w:t>
      </w:r>
      <w:r>
        <w:rPr>
          <w:spacing w:val="-7"/>
        </w:rPr>
        <w:t> </w:t>
      </w:r>
      <w:r>
        <w:rPr/>
        <w:t>2007).</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0" w:lineRule="auto" w:before="210"/>
        <w:ind w:left="102" w:right="118" w:firstLine="851"/>
        <w:jc w:val="both"/>
      </w:pPr>
      <w:r>
        <w:rPr>
          <w:w w:val="100"/>
        </w:rPr>
        <w:t>Como</w:t>
      </w:r>
      <w:r>
        <w:rPr>
          <w:spacing w:val="21"/>
          <w:w w:val="100"/>
        </w:rPr>
        <w:t> </w:t>
      </w:r>
      <w:r>
        <w:rPr>
          <w:w w:val="100"/>
        </w:rPr>
        <w:t>o</w:t>
      </w:r>
      <w:r>
        <w:rPr>
          <w:spacing w:val="21"/>
          <w:w w:val="100"/>
        </w:rPr>
        <w:t> </w:t>
      </w:r>
      <w:r>
        <w:rPr>
          <w:w w:val="100"/>
        </w:rPr>
        <w:t>p</w:t>
      </w:r>
      <w:r>
        <w:rPr>
          <w:spacing w:val="-1"/>
          <w:w w:val="100"/>
        </w:rPr>
        <w:t>r</w:t>
      </w:r>
      <w:r>
        <w:rPr>
          <w:w w:val="100"/>
        </w:rPr>
        <w:t>óprio</w:t>
      </w:r>
      <w:r>
        <w:rPr>
          <w:spacing w:val="21"/>
          <w:w w:val="100"/>
        </w:rPr>
        <w:t> </w:t>
      </w:r>
      <w:r>
        <w:rPr>
          <w:w w:val="100"/>
        </w:rPr>
        <w:t>do</w:t>
      </w:r>
      <w:r>
        <w:rPr>
          <w:spacing w:val="-1"/>
          <w:w w:val="100"/>
        </w:rPr>
        <w:t>c</w:t>
      </w:r>
      <w:r>
        <w:rPr>
          <w:w w:val="100"/>
        </w:rPr>
        <w:t>umento</w:t>
      </w:r>
      <w:r>
        <w:rPr>
          <w:spacing w:val="21"/>
        </w:rPr>
        <w:t> </w:t>
      </w:r>
      <w:r>
        <w:rPr>
          <w:w w:val="100"/>
        </w:rPr>
        <w:t>pontua,</w:t>
      </w:r>
      <w:r>
        <w:rPr>
          <w:spacing w:val="20"/>
        </w:rPr>
        <w:t> </w:t>
      </w:r>
      <w:r>
        <w:rPr/>
        <w:t>o</w:t>
      </w:r>
      <w:r>
        <w:rPr>
          <w:spacing w:val="21"/>
        </w:rPr>
        <w:t> </w:t>
      </w:r>
      <w:r>
        <w:rPr/>
        <w:t>Mi</w:t>
      </w:r>
      <w:r>
        <w:rPr>
          <w:w w:val="100"/>
        </w:rPr>
        <w:t>nic</w:t>
      </w:r>
      <w:r>
        <w:rPr>
          <w:spacing w:val="-2"/>
          <w:w w:val="100"/>
        </w:rPr>
        <w:t>e</w:t>
      </w:r>
      <w:r>
        <w:rPr>
          <w:w w:val="99"/>
        </w:rPr>
        <w:t>nso</w:t>
      </w:r>
      <w:r>
        <w:rPr>
          <w:spacing w:val="19"/>
        </w:rPr>
        <w:t> </w:t>
      </w:r>
      <w:r>
        <w:rPr/>
        <w:t>s</w:t>
      </w:r>
      <w:r>
        <w:rPr>
          <w:spacing w:val="-1"/>
        </w:rPr>
        <w:t>e</w:t>
      </w:r>
      <w:r>
        <w:rPr>
          <w:w w:val="100"/>
        </w:rPr>
        <w:t>rve</w:t>
      </w:r>
      <w:r>
        <w:rPr>
          <w:spacing w:val="19"/>
        </w:rPr>
        <w:t> </w:t>
      </w:r>
      <w:r>
        <w:rPr>
          <w:spacing w:val="-1"/>
          <w:w w:val="44"/>
        </w:rPr>
        <w:t>―</w:t>
      </w:r>
      <w:r>
        <w:rPr>
          <w:spacing w:val="-1"/>
          <w:w w:val="100"/>
        </w:rPr>
        <w:t>c</w:t>
      </w:r>
      <w:r>
        <w:rPr>
          <w:w w:val="100"/>
        </w:rPr>
        <w:t>omo</w:t>
      </w:r>
      <w:r>
        <w:rPr>
          <w:spacing w:val="21"/>
          <w:w w:val="100"/>
        </w:rPr>
        <w:t> </w:t>
      </w:r>
      <w:r>
        <w:rPr>
          <w:w w:val="100"/>
        </w:rPr>
        <w:t>ref</w:t>
      </w:r>
      <w:r>
        <w:rPr>
          <w:spacing w:val="-2"/>
          <w:w w:val="100"/>
        </w:rPr>
        <w:t>e</w:t>
      </w:r>
      <w:r>
        <w:rPr>
          <w:spacing w:val="1"/>
          <w:w w:val="99"/>
        </w:rPr>
        <w:t>r</w:t>
      </w:r>
      <w:r>
        <w:rPr>
          <w:spacing w:val="-1"/>
          <w:w w:val="100"/>
        </w:rPr>
        <w:t>ê</w:t>
      </w:r>
      <w:r>
        <w:rPr>
          <w:w w:val="100"/>
        </w:rPr>
        <w:t>n</w:t>
      </w:r>
      <w:r>
        <w:rPr>
          <w:spacing w:val="-1"/>
          <w:w w:val="100"/>
        </w:rPr>
        <w:t>c</w:t>
      </w:r>
      <w:r>
        <w:rPr>
          <w:w w:val="100"/>
        </w:rPr>
        <w:t>ia</w:t>
      </w:r>
      <w:r>
        <w:rPr>
          <w:spacing w:val="23"/>
        </w:rPr>
        <w:t> </w:t>
      </w:r>
      <w:r>
        <w:rPr>
          <w:w w:val="100"/>
        </w:rPr>
        <w:t>p</w:t>
      </w:r>
      <w:r>
        <w:rPr>
          <w:spacing w:val="-1"/>
          <w:w w:val="100"/>
        </w:rPr>
        <w:t>a</w:t>
      </w:r>
      <w:r>
        <w:rPr>
          <w:w w:val="100"/>
        </w:rPr>
        <w:t>ra </w:t>
      </w:r>
      <w:r>
        <w:rPr/>
        <w:t>avaliar e acompanhar a execução das ações planejadas [no PME], demonstrando os </w:t>
      </w:r>
      <w:r>
        <w:rPr>
          <w:w w:val="99"/>
        </w:rPr>
        <w:t>possí</w:t>
      </w:r>
      <w:r>
        <w:rPr>
          <w:w w:val="100"/>
        </w:rPr>
        <w:t>v</w:t>
      </w:r>
      <w:r>
        <w:rPr>
          <w:spacing w:val="-1"/>
          <w:w w:val="100"/>
        </w:rPr>
        <w:t>e</w:t>
      </w:r>
      <w:r>
        <w:rPr>
          <w:w w:val="100"/>
        </w:rPr>
        <w:t>is</w:t>
      </w:r>
      <w:r>
        <w:rPr>
          <w:spacing w:val="22"/>
          <w:w w:val="100"/>
        </w:rPr>
        <w:t> </w:t>
      </w:r>
      <w:r>
        <w:rPr>
          <w:spacing w:val="-1"/>
          <w:w w:val="100"/>
        </w:rPr>
        <w:t>a</w:t>
      </w:r>
      <w:r>
        <w:rPr>
          <w:w w:val="100"/>
        </w:rPr>
        <w:t>v</w:t>
      </w:r>
      <w:r>
        <w:rPr>
          <w:spacing w:val="-1"/>
          <w:w w:val="100"/>
        </w:rPr>
        <w:t>a</w:t>
      </w:r>
      <w:r>
        <w:rPr>
          <w:w w:val="100"/>
        </w:rPr>
        <w:t>n</w:t>
      </w:r>
      <w:r>
        <w:rPr>
          <w:spacing w:val="-1"/>
          <w:w w:val="100"/>
        </w:rPr>
        <w:t>ç</w:t>
      </w:r>
      <w:r>
        <w:rPr>
          <w:w w:val="99"/>
        </w:rPr>
        <w:t>os</w:t>
      </w:r>
      <w:r>
        <w:rPr>
          <w:spacing w:val="21"/>
        </w:rPr>
        <w:t> </w:t>
      </w:r>
      <w:r>
        <w:rPr/>
        <w:t>ou</w:t>
      </w:r>
      <w:r>
        <w:rPr>
          <w:spacing w:val="21"/>
        </w:rPr>
        <w:t> </w:t>
      </w:r>
      <w:r>
        <w:rPr>
          <w:w w:val="100"/>
        </w:rPr>
        <w:t>r</w:t>
      </w:r>
      <w:r>
        <w:rPr>
          <w:spacing w:val="-2"/>
          <w:w w:val="100"/>
        </w:rPr>
        <w:t>e</w:t>
      </w:r>
      <w:r>
        <w:rPr>
          <w:w w:val="100"/>
        </w:rPr>
        <w:t>tro</w:t>
      </w:r>
      <w:r>
        <w:rPr>
          <w:spacing w:val="-2"/>
          <w:w w:val="100"/>
        </w:rPr>
        <w:t>c</w:t>
      </w:r>
      <w:r>
        <w:rPr>
          <w:spacing w:val="-1"/>
          <w:w w:val="100"/>
        </w:rPr>
        <w:t>e</w:t>
      </w:r>
      <w:r>
        <w:rPr>
          <w:w w:val="107"/>
        </w:rPr>
        <w:t>ssos‖,</w:t>
      </w:r>
      <w:r>
        <w:rPr>
          <w:spacing w:val="21"/>
        </w:rPr>
        <w:t> </w:t>
      </w:r>
      <w:r>
        <w:rPr>
          <w:spacing w:val="-1"/>
          <w:w w:val="100"/>
        </w:rPr>
        <w:t>e</w:t>
      </w:r>
      <w:r>
        <w:rPr/>
        <w:t>,</w:t>
      </w:r>
      <w:r>
        <w:rPr>
          <w:spacing w:val="21"/>
        </w:rPr>
        <w:t> </w:t>
      </w:r>
      <w:r>
        <w:rPr>
          <w:w w:val="100"/>
        </w:rPr>
        <w:t>n</w:t>
      </w:r>
      <w:r>
        <w:rPr>
          <w:spacing w:val="-1"/>
          <w:w w:val="100"/>
        </w:rPr>
        <w:t>e</w:t>
      </w:r>
      <w:r>
        <w:rPr>
          <w:w w:val="100"/>
        </w:rPr>
        <w:t>ste</w:t>
      </w:r>
      <w:r>
        <w:rPr>
          <w:spacing w:val="21"/>
        </w:rPr>
        <w:t> </w:t>
      </w:r>
      <w:r>
        <w:rPr/>
        <w:t>s</w:t>
      </w:r>
      <w:r>
        <w:rPr>
          <w:spacing w:val="-1"/>
        </w:rPr>
        <w:t>e</w:t>
      </w:r>
      <w:r>
        <w:rPr>
          <w:w w:val="100"/>
        </w:rPr>
        <w:t>nti</w:t>
      </w:r>
      <w:r>
        <w:rPr>
          <w:spacing w:val="2"/>
        </w:rPr>
        <w:t>d</w:t>
      </w:r>
      <w:r>
        <w:rPr/>
        <w:t>o,</w:t>
      </w:r>
      <w:r>
        <w:rPr>
          <w:spacing w:val="21"/>
        </w:rPr>
        <w:t> </w:t>
      </w:r>
      <w:r>
        <w:rPr>
          <w:spacing w:val="-1"/>
          <w:w w:val="44"/>
        </w:rPr>
        <w:t>―</w:t>
      </w:r>
      <w:r>
        <w:rPr/>
        <w:t>o</w:t>
      </w:r>
      <w:r>
        <w:rPr>
          <w:spacing w:val="21"/>
        </w:rPr>
        <w:t> </w:t>
      </w:r>
      <w:r>
        <w:rPr>
          <w:w w:val="100"/>
        </w:rPr>
        <w:t>plan</w:t>
      </w:r>
      <w:r>
        <w:rPr>
          <w:spacing w:val="-2"/>
          <w:w w:val="100"/>
        </w:rPr>
        <w:t>e</w:t>
      </w:r>
      <w:r>
        <w:rPr>
          <w:w w:val="100"/>
        </w:rPr>
        <w:t>jam</w:t>
      </w:r>
      <w:r>
        <w:rPr>
          <w:spacing w:val="-1"/>
          <w:w w:val="100"/>
        </w:rPr>
        <w:t>e</w:t>
      </w:r>
      <w:r>
        <w:rPr>
          <w:w w:val="100"/>
        </w:rPr>
        <w:t>nto</w:t>
      </w:r>
      <w:r>
        <w:rPr>
          <w:spacing w:val="21"/>
        </w:rPr>
        <w:t> </w:t>
      </w:r>
      <w:r>
        <w:rPr>
          <w:w w:val="100"/>
        </w:rPr>
        <w:t>é</w:t>
      </w:r>
      <w:r>
        <w:rPr>
          <w:spacing w:val="20"/>
        </w:rPr>
        <w:t> </w:t>
      </w:r>
      <w:r>
        <w:rPr>
          <w:w w:val="100"/>
        </w:rPr>
        <w:t>um</w:t>
      </w:r>
      <w:r>
        <w:rPr>
          <w:spacing w:val="21"/>
        </w:rPr>
        <w:t> </w:t>
      </w:r>
      <w:r>
        <w:rPr/>
        <w:t>p</w:t>
      </w:r>
      <w:r>
        <w:rPr>
          <w:spacing w:val="-1"/>
        </w:rPr>
        <w:t>r</w:t>
      </w:r>
      <w:r>
        <w:rPr>
          <w:w w:val="100"/>
        </w:rPr>
        <w:t>o</w:t>
      </w:r>
      <w:r>
        <w:rPr>
          <w:spacing w:val="-1"/>
          <w:w w:val="100"/>
        </w:rPr>
        <w:t>c</w:t>
      </w:r>
      <w:r>
        <w:rPr>
          <w:spacing w:val="-1"/>
          <w:w w:val="100"/>
        </w:rPr>
        <w:t>e</w:t>
      </w:r>
      <w:r>
        <w:rPr>
          <w:w w:val="99"/>
        </w:rPr>
        <w:t>sso</w:t>
      </w:r>
      <w:r>
        <w:rPr>
          <w:spacing w:val="21"/>
        </w:rPr>
        <w:t> </w:t>
      </w:r>
      <w:r>
        <w:rPr>
          <w:w w:val="100"/>
        </w:rPr>
        <w:t>de </w:t>
      </w:r>
      <w:r>
        <w:rPr/>
        <w:t>crescimento humano (realizado como ato de reflexão), e, não apenas, mas, também, </w:t>
      </w:r>
      <w:r>
        <w:rPr>
          <w:w w:val="100"/>
        </w:rPr>
        <w:t>uma</w:t>
      </w:r>
      <w:r>
        <w:rPr>
          <w:spacing w:val="11"/>
        </w:rPr>
        <w:t> </w:t>
      </w:r>
      <w:r>
        <w:rPr>
          <w:spacing w:val="-1"/>
          <w:w w:val="44"/>
        </w:rPr>
        <w:t>―</w:t>
      </w:r>
      <w:r>
        <w:rPr>
          <w:w w:val="100"/>
        </w:rPr>
        <w:t>té</w:t>
      </w:r>
      <w:r>
        <w:rPr>
          <w:spacing w:val="-2"/>
          <w:w w:val="100"/>
        </w:rPr>
        <w:t>c</w:t>
      </w:r>
      <w:r>
        <w:rPr>
          <w:w w:val="100"/>
        </w:rPr>
        <w:t>ni</w:t>
      </w:r>
      <w:r>
        <w:rPr>
          <w:spacing w:val="1"/>
          <w:w w:val="100"/>
        </w:rPr>
        <w:t>c</w:t>
      </w:r>
      <w:r>
        <w:rPr>
          <w:w w:val="100"/>
        </w:rPr>
        <w:t>a</w:t>
      </w:r>
      <w:r>
        <w:rPr>
          <w:spacing w:val="10"/>
        </w:rPr>
        <w:t> </w:t>
      </w:r>
      <w:r>
        <w:rPr>
          <w:w w:val="100"/>
        </w:rPr>
        <w:t>p</w:t>
      </w:r>
      <w:r>
        <w:rPr>
          <w:spacing w:val="-1"/>
          <w:w w:val="100"/>
        </w:rPr>
        <w:t>a</w:t>
      </w:r>
      <w:r>
        <w:rPr>
          <w:spacing w:val="1"/>
          <w:w w:val="99"/>
        </w:rPr>
        <w:t>r</w:t>
      </w:r>
      <w:r>
        <w:rPr>
          <w:w w:val="100"/>
        </w:rPr>
        <w:t>a</w:t>
      </w:r>
      <w:r>
        <w:rPr>
          <w:spacing w:val="10"/>
        </w:rPr>
        <w:t> </w:t>
      </w:r>
      <w:r>
        <w:rPr>
          <w:spacing w:val="-1"/>
          <w:w w:val="100"/>
        </w:rPr>
        <w:t>a</w:t>
      </w:r>
      <w:r>
        <w:rPr>
          <w:w w:val="100"/>
        </w:rPr>
        <w:t>p</w:t>
      </w:r>
      <w:r>
        <w:rPr>
          <w:spacing w:val="-1"/>
          <w:w w:val="100"/>
        </w:rPr>
        <w:t>e</w:t>
      </w:r>
      <w:r>
        <w:rPr>
          <w:spacing w:val="1"/>
          <w:w w:val="99"/>
        </w:rPr>
        <w:t>r</w:t>
      </w:r>
      <w:r>
        <w:rPr>
          <w:w w:val="100"/>
        </w:rPr>
        <w:t>feiço</w:t>
      </w:r>
      <w:r>
        <w:rPr>
          <w:spacing w:val="-2"/>
          <w:w w:val="100"/>
        </w:rPr>
        <w:t>a</w:t>
      </w:r>
      <w:r>
        <w:rPr>
          <w:w w:val="99"/>
        </w:rPr>
        <w:t>r</w:t>
      </w:r>
      <w:r>
        <w:rPr>
          <w:spacing w:val="11"/>
          <w:w w:val="99"/>
        </w:rPr>
        <w:t> </w:t>
      </w:r>
      <w:r>
        <w:rPr>
          <w:spacing w:val="-1"/>
          <w:w w:val="100"/>
        </w:rPr>
        <w:t>a</w:t>
      </w:r>
      <w:r>
        <w:rPr>
          <w:w w:val="99"/>
        </w:rPr>
        <w:t>s</w:t>
      </w:r>
      <w:r>
        <w:rPr>
          <w:spacing w:val="12"/>
        </w:rPr>
        <w:t> </w:t>
      </w:r>
      <w:r>
        <w:rPr>
          <w:spacing w:val="1"/>
          <w:w w:val="100"/>
        </w:rPr>
        <w:t>a</w:t>
      </w:r>
      <w:r>
        <w:rPr>
          <w:spacing w:val="-1"/>
          <w:w w:val="100"/>
        </w:rPr>
        <w:t>ç</w:t>
      </w:r>
      <w:r>
        <w:rPr>
          <w:w w:val="100"/>
        </w:rPr>
        <w:t>õ</w:t>
      </w:r>
      <w:r>
        <w:rPr>
          <w:spacing w:val="-1"/>
          <w:w w:val="100"/>
        </w:rPr>
        <w:t>e</w:t>
      </w:r>
      <w:r>
        <w:rPr>
          <w:w w:val="124"/>
        </w:rPr>
        <w:t>s‖</w:t>
      </w:r>
      <w:r>
        <w:rPr>
          <w:spacing w:val="13"/>
        </w:rPr>
        <w:t> </w:t>
      </w:r>
      <w:r>
        <w:rPr>
          <w:spacing w:val="1"/>
        </w:rPr>
        <w:t>(</w:t>
      </w:r>
      <w:r>
        <w:rPr>
          <w:spacing w:val="-3"/>
          <w:w w:val="100"/>
        </w:rPr>
        <w:t>L</w:t>
      </w:r>
      <w:r>
        <w:rPr>
          <w:w w:val="99"/>
        </w:rPr>
        <w:t>A</w:t>
      </w:r>
      <w:r>
        <w:rPr>
          <w:spacing w:val="-1"/>
          <w:w w:val="99"/>
        </w:rPr>
        <w:t>G</w:t>
      </w:r>
      <w:r>
        <w:rPr>
          <w:w w:val="99"/>
        </w:rPr>
        <w:t>A</w:t>
      </w:r>
      <w:r>
        <w:rPr>
          <w:spacing w:val="2"/>
          <w:w w:val="99"/>
        </w:rPr>
        <w:t>R</w:t>
      </w:r>
      <w:r>
        <w:rPr/>
        <w:t>ES,</w:t>
      </w:r>
      <w:r>
        <w:rPr>
          <w:spacing w:val="12"/>
        </w:rPr>
        <w:t> </w:t>
      </w:r>
      <w:r>
        <w:rPr/>
        <w:t>200</w:t>
      </w:r>
      <w:r>
        <w:rPr>
          <w:spacing w:val="4"/>
        </w:rPr>
        <w:t>8</w:t>
      </w:r>
      <w:r>
        <w:rPr/>
        <w:t>,</w:t>
      </w:r>
      <w:r>
        <w:rPr>
          <w:spacing w:val="11"/>
        </w:rPr>
        <w:t> </w:t>
      </w:r>
      <w:r>
        <w:rPr/>
        <w:t>p.</w:t>
      </w:r>
      <w:r>
        <w:rPr>
          <w:spacing w:val="11"/>
        </w:rPr>
        <w:t> </w:t>
      </w:r>
      <w:r>
        <w:rPr/>
        <w:t>154),</w:t>
      </w:r>
      <w:r>
        <w:rPr>
          <w:spacing w:val="11"/>
        </w:rPr>
        <w:t> </w:t>
      </w:r>
      <w:r>
        <w:rPr/>
        <w:t>p</w:t>
      </w:r>
      <w:r>
        <w:rPr>
          <w:spacing w:val="-1"/>
        </w:rPr>
        <w:t>r</w:t>
      </w:r>
      <w:r>
        <w:rPr/>
        <w:t>opor</w:t>
      </w:r>
      <w:r>
        <w:rPr>
          <w:spacing w:val="-2"/>
        </w:rPr>
        <w:t>c</w:t>
      </w:r>
      <w:r>
        <w:rPr/>
        <w:t>ionado</w:t>
      </w:r>
      <w:r>
        <w:rPr>
          <w:spacing w:val="11"/>
        </w:rPr>
        <w:t> </w:t>
      </w:r>
      <w:r>
        <w:rPr/>
        <w:t>por meio do acompanhamento e da</w:t>
      </w:r>
      <w:r>
        <w:rPr>
          <w:spacing w:val="-8"/>
        </w:rPr>
        <w:t> </w:t>
      </w:r>
      <w:r>
        <w:rPr/>
        <w:t>avaliação.</w:t>
      </w:r>
    </w:p>
    <w:p>
      <w:pPr>
        <w:pStyle w:val="BodyText"/>
        <w:spacing w:line="360" w:lineRule="auto" w:before="3"/>
        <w:ind w:left="102" w:right="116" w:firstLine="851"/>
        <w:jc w:val="both"/>
      </w:pPr>
      <w:r>
        <w:rPr/>
        <w:t>Neste Documento, não identificamos, em princípio, a presença da concepção conservadora/alienadora. Contudo, não desconsideramos a necessidade de análises posteriores com a lente da ressignificação teórico-conceitual (SHIROMA; CAMPOS; GARCIA, 2005).</w:t>
      </w:r>
    </w:p>
    <w:p>
      <w:pPr>
        <w:pStyle w:val="BodyText"/>
        <w:rPr>
          <w:sz w:val="26"/>
        </w:rPr>
      </w:pPr>
    </w:p>
    <w:p>
      <w:pPr>
        <w:pStyle w:val="BodyText"/>
        <w:rPr>
          <w:sz w:val="26"/>
        </w:rPr>
      </w:pPr>
    </w:p>
    <w:p>
      <w:pPr>
        <w:pStyle w:val="ListParagraph"/>
        <w:numPr>
          <w:ilvl w:val="0"/>
          <w:numId w:val="17"/>
        </w:numPr>
        <w:tabs>
          <w:tab w:pos="348" w:val="left" w:leader="none"/>
        </w:tabs>
        <w:spacing w:line="240" w:lineRule="auto" w:before="165" w:after="0"/>
        <w:ind w:left="347" w:right="0" w:hanging="245"/>
        <w:jc w:val="left"/>
        <w:rPr>
          <w:sz w:val="24"/>
        </w:rPr>
      </w:pPr>
      <w:r>
        <w:rPr>
          <w:sz w:val="24"/>
        </w:rPr>
        <w:t>Subsídio para o Planejamento de Conferência Municipal de</w:t>
      </w:r>
      <w:r>
        <w:rPr>
          <w:spacing w:val="-14"/>
          <w:sz w:val="24"/>
        </w:rPr>
        <w:t> </w:t>
      </w:r>
      <w:r>
        <w:rPr>
          <w:sz w:val="24"/>
        </w:rPr>
        <w:t>Educação</w:t>
      </w:r>
    </w:p>
    <w:p>
      <w:pPr>
        <w:pStyle w:val="BodyText"/>
        <w:spacing w:before="6"/>
        <w:rPr>
          <w:sz w:val="26"/>
        </w:rPr>
      </w:pPr>
      <w:r>
        <w:rPr/>
        <w:drawing>
          <wp:anchor distT="0" distB="0" distL="0" distR="0" allowOverlap="1" layoutInCell="1" locked="0" behindDoc="0" simplePos="0" relativeHeight="1456">
            <wp:simplePos x="0" y="0"/>
            <wp:positionH relativeFrom="page">
              <wp:posOffset>2762250</wp:posOffset>
            </wp:positionH>
            <wp:positionV relativeFrom="paragraph">
              <wp:posOffset>218743</wp:posOffset>
            </wp:positionV>
            <wp:extent cx="2312289" cy="2312289"/>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41" cstate="print"/>
                    <a:stretch>
                      <a:fillRect/>
                    </a:stretch>
                  </pic:blipFill>
                  <pic:spPr>
                    <a:xfrm>
                      <a:off x="0" y="0"/>
                      <a:ext cx="2312289" cy="2312289"/>
                    </a:xfrm>
                    <a:prstGeom prst="rect">
                      <a:avLst/>
                    </a:prstGeom>
                  </pic:spPr>
                </pic:pic>
              </a:graphicData>
            </a:graphic>
          </wp:anchor>
        </w:drawing>
      </w:r>
    </w:p>
    <w:p>
      <w:pPr>
        <w:pStyle w:val="BodyText"/>
        <w:rPr>
          <w:sz w:val="23"/>
        </w:rPr>
      </w:pPr>
    </w:p>
    <w:p>
      <w:pPr>
        <w:pStyle w:val="BodyText"/>
        <w:spacing w:line="360" w:lineRule="auto"/>
        <w:ind w:left="102" w:right="115" w:firstLine="851"/>
        <w:jc w:val="both"/>
      </w:pPr>
      <w:r>
        <w:rPr/>
        <w:t>Outro instrumento de planejamento, elaborado por meio da CAFISE/DASE/MEC, é o documento ‗Subsídio para o Planejamento de Conferência Municipal de Educação‘ construído juntamente com os outros dois anteriores (BRASIL, 2005c), organizado em treze seções, antecipadas por uma Apresentação e seguidas pelos Anexos.</w:t>
      </w:r>
    </w:p>
    <w:p>
      <w:pPr>
        <w:pStyle w:val="BodyText"/>
        <w:spacing w:line="360" w:lineRule="auto" w:before="3"/>
        <w:ind w:left="102" w:right="114" w:firstLine="851"/>
        <w:jc w:val="both"/>
      </w:pPr>
      <w:r>
        <w:rPr>
          <w:w w:val="99"/>
        </w:rPr>
        <w:t>O</w:t>
      </w:r>
      <w:r>
        <w:rPr/>
        <w:t> objetivo do documento, de</w:t>
      </w:r>
      <w:r>
        <w:rPr>
          <w:w w:val="99"/>
        </w:rPr>
        <w:t>sc</w:t>
      </w:r>
      <w:r>
        <w:rPr>
          <w:w w:val="99"/>
        </w:rPr>
        <w:t>rito na </w:t>
      </w:r>
      <w:r>
        <w:rPr>
          <w:i/>
          <w:w w:val="99"/>
        </w:rPr>
        <w:t>Apre</w:t>
      </w:r>
      <w:r>
        <w:rPr>
          <w:i/>
          <w:w w:val="99"/>
        </w:rPr>
        <w:t>se</w:t>
      </w:r>
      <w:r>
        <w:rPr>
          <w:i/>
        </w:rPr>
        <w:t>ntação </w:t>
      </w:r>
      <w:r>
        <w:rPr/>
        <w:t>(p.7), </w:t>
      </w:r>
      <w:r>
        <w:rPr>
          <w:w w:val="100"/>
        </w:rPr>
        <w:t>é</w:t>
      </w:r>
      <w:r>
        <w:rPr/>
        <w:t> r</w:t>
      </w:r>
      <w:r>
        <w:rPr>
          <w:w w:val="100"/>
        </w:rPr>
        <w:t>etra</w:t>
      </w:r>
      <w:r>
        <w:rPr>
          <w:w w:val="100"/>
        </w:rPr>
        <w:t>ta</w:t>
      </w:r>
      <w:r>
        <w:rPr>
          <w:w w:val="99"/>
        </w:rPr>
        <w:t>r </w:t>
      </w:r>
      <w:r>
        <w:rPr>
          <w:w w:val="44"/>
        </w:rPr>
        <w:t>―</w:t>
      </w:r>
      <w:r>
        <w:rPr/>
        <w:t>d</w:t>
      </w:r>
      <w:r>
        <w:rPr>
          <w:w w:val="100"/>
        </w:rPr>
        <w:t>e</w:t>
      </w:r>
      <w:r>
        <w:rPr/>
        <w:t> for</w:t>
      </w:r>
      <w:r>
        <w:rPr>
          <w:w w:val="100"/>
        </w:rPr>
        <w:t>ma </w:t>
      </w:r>
      <w:r>
        <w:rPr/>
        <w:t>organizada e sintética o processo participativo do instrumento denominado Conferência nos termos de sua conceituação, objetivos e metodologia operacional‖. Ainda, justifica que sua produção surge no contexto do Programa Nacional de Conselheiros Municipais de Educação (Pró-Conselho), como decorrência de demandas para a implantação do princípio da gestão democrática da educação.</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0" w:lineRule="auto" w:before="210"/>
        <w:ind w:left="102" w:right="118" w:firstLine="851"/>
        <w:jc w:val="both"/>
      </w:pPr>
      <w:r>
        <w:rPr/>
        <w:t>A </w:t>
      </w:r>
      <w:r>
        <w:rPr>
          <w:i/>
        </w:rPr>
        <w:t>Introdução </w:t>
      </w:r>
      <w:r>
        <w:rPr/>
        <w:t>(9-10) traz um breve histórico da realização de Conferências no Brasil, fazendo memória desde a Conferência Interestadual de Ensino Primário, realizada em novembro de 1921, perpassando o período de realização da 1ª Conferência Nacional de Educação, Cultura e Desportos que teve como tema ‗os desafios para o século XXI‘, e finalizando com as conferências realizadas em 2004 e 2005 sendo, respectivamente, a 2ª Conferência Nacional, por uma Educação do Campo, e a 4ª Conferência Nacional de Educação e</w:t>
      </w:r>
      <w:r>
        <w:rPr>
          <w:spacing w:val="-11"/>
        </w:rPr>
        <w:t> </w:t>
      </w:r>
      <w:r>
        <w:rPr/>
        <w:t>Cultura.</w:t>
      </w:r>
    </w:p>
    <w:p>
      <w:pPr>
        <w:pStyle w:val="BodyText"/>
        <w:spacing w:line="360" w:lineRule="auto" w:before="5"/>
        <w:ind w:left="102" w:right="118" w:firstLine="851"/>
        <w:jc w:val="both"/>
      </w:pPr>
      <w:r>
        <w:rPr/>
        <w:t>Na sequência, na seção </w:t>
      </w:r>
      <w:r>
        <w:rPr>
          <w:i/>
        </w:rPr>
        <w:t>Definição </w:t>
      </w:r>
      <w:r>
        <w:rPr/>
        <w:t>(p.11)</w:t>
      </w:r>
      <w:r>
        <w:rPr>
          <w:i/>
        </w:rPr>
        <w:t>, </w:t>
      </w:r>
      <w:r>
        <w:rPr/>
        <w:t>o texto explicita a sua concepção acerca  de  uma  Conf</w:t>
      </w:r>
      <w:r>
        <w:rPr>
          <w:w w:val="100"/>
        </w:rPr>
        <w:t>e</w:t>
      </w:r>
      <w:r>
        <w:rPr>
          <w:w w:val="99"/>
        </w:rPr>
        <w:t>r</w:t>
      </w:r>
      <w:r>
        <w:rPr>
          <w:w w:val="100"/>
        </w:rPr>
        <w:t>ê</w:t>
      </w:r>
      <w:r>
        <w:rPr>
          <w:w w:val="100"/>
        </w:rPr>
        <w:t>nc</w:t>
      </w:r>
      <w:r>
        <w:rPr>
          <w:w w:val="100"/>
        </w:rPr>
        <w:t>ia</w:t>
      </w:r>
      <w:r>
        <w:rPr/>
        <w:t>  Muni</w:t>
      </w:r>
      <w:r>
        <w:rPr>
          <w:w w:val="100"/>
        </w:rPr>
        <w:t>cipal</w:t>
      </w:r>
      <w:r>
        <w:rPr/>
        <w:t>  </w:t>
      </w:r>
      <w:r>
        <w:rPr>
          <w:w w:val="100"/>
        </w:rPr>
        <w:t>de</w:t>
      </w:r>
      <w:r>
        <w:rPr/>
        <w:t>  Edu</w:t>
      </w:r>
      <w:r>
        <w:rPr>
          <w:w w:val="100"/>
        </w:rPr>
        <w:t>caçã</w:t>
      </w:r>
      <w:r>
        <w:rPr/>
        <w:t>o,  </w:t>
      </w:r>
      <w:r>
        <w:rPr>
          <w:w w:val="100"/>
        </w:rPr>
        <w:t>c</w:t>
      </w:r>
      <w:r>
        <w:rPr>
          <w:w w:val="100"/>
        </w:rPr>
        <w:t>omo  sendo  um  </w:t>
      </w:r>
      <w:r>
        <w:rPr>
          <w:w w:val="44"/>
        </w:rPr>
        <w:t>―</w:t>
      </w:r>
      <w:r>
        <w:rPr>
          <w:w w:val="100"/>
        </w:rPr>
        <w:t>instrumento </w:t>
      </w:r>
      <w:r>
        <w:rPr/>
        <w:t>democrático de participação popular na definição, e no acompanhamento da política educacional no âmbito do Município‖.</w:t>
      </w:r>
    </w:p>
    <w:p>
      <w:pPr>
        <w:pStyle w:val="BodyText"/>
        <w:spacing w:line="360" w:lineRule="auto" w:before="5"/>
        <w:ind w:left="102" w:right="118" w:firstLine="851"/>
        <w:jc w:val="both"/>
      </w:pPr>
      <w:r>
        <w:rPr/>
        <w:t>Traz a compreensão de Conferência como algo inovador em seu sentido processual pois,</w:t>
      </w:r>
    </w:p>
    <w:p>
      <w:pPr>
        <w:pStyle w:val="BodyText"/>
        <w:spacing w:before="4"/>
      </w:pPr>
    </w:p>
    <w:p>
      <w:pPr>
        <w:spacing w:line="240" w:lineRule="auto" w:before="0"/>
        <w:ind w:left="2370" w:right="116" w:firstLine="0"/>
        <w:jc w:val="both"/>
        <w:rPr>
          <w:sz w:val="20"/>
        </w:rPr>
      </w:pPr>
      <w:r>
        <w:rPr>
          <w:sz w:val="20"/>
        </w:rPr>
        <w:t>coloca a educação como centro de debate, </w:t>
      </w:r>
      <w:r>
        <w:rPr>
          <w:b/>
          <w:sz w:val="20"/>
        </w:rPr>
        <w:t>oportunizando a todas as camadas da população participarem, opinarem e deliberarem</w:t>
      </w:r>
      <w:r>
        <w:rPr>
          <w:sz w:val="20"/>
        </w:rPr>
        <w:t>. No âmbito do sistema de ensino, transforma as escolas em verdadeiros fóruns para </w:t>
      </w:r>
      <w:r>
        <w:rPr>
          <w:b/>
          <w:sz w:val="20"/>
        </w:rPr>
        <w:t>discutir o ensino e a educação no amplo entrelace das questões quotidianas</w:t>
      </w:r>
      <w:r>
        <w:rPr>
          <w:sz w:val="20"/>
        </w:rPr>
        <w:t>. (BRASIL, 2005c, p. 11). (Grifos nossos).</w:t>
      </w:r>
    </w:p>
    <w:p>
      <w:pPr>
        <w:pStyle w:val="BodyText"/>
        <w:rPr>
          <w:sz w:val="22"/>
        </w:rPr>
      </w:pPr>
    </w:p>
    <w:p>
      <w:pPr>
        <w:pStyle w:val="BodyText"/>
        <w:spacing w:line="360" w:lineRule="auto" w:before="160"/>
        <w:ind w:left="102" w:right="123" w:firstLine="851"/>
        <w:jc w:val="both"/>
      </w:pPr>
      <w:r>
        <w:rPr/>
        <w:t>Afirma a Conferência como uma necessidade e indica diversos objetivos para a sua realização:</w:t>
      </w:r>
    </w:p>
    <w:p>
      <w:pPr>
        <w:pStyle w:val="BodyText"/>
        <w:spacing w:before="3"/>
        <w:rPr>
          <w:sz w:val="36"/>
        </w:rPr>
      </w:pPr>
    </w:p>
    <w:p>
      <w:pPr>
        <w:pStyle w:val="ListParagraph"/>
        <w:numPr>
          <w:ilvl w:val="0"/>
          <w:numId w:val="18"/>
        </w:numPr>
        <w:tabs>
          <w:tab w:pos="2486" w:val="left" w:leader="none"/>
        </w:tabs>
        <w:spacing w:line="240" w:lineRule="auto" w:before="0" w:after="0"/>
        <w:ind w:left="2370" w:right="0" w:firstLine="0"/>
        <w:jc w:val="both"/>
        <w:rPr>
          <w:sz w:val="20"/>
        </w:rPr>
      </w:pPr>
      <w:r>
        <w:rPr>
          <w:sz w:val="20"/>
        </w:rPr>
        <w:t>Realizar um diagnóstico da situação educacional do</w:t>
      </w:r>
      <w:r>
        <w:rPr>
          <w:spacing w:val="-18"/>
          <w:sz w:val="20"/>
        </w:rPr>
        <w:t> </w:t>
      </w:r>
      <w:r>
        <w:rPr>
          <w:sz w:val="20"/>
        </w:rPr>
        <w:t>Município;</w:t>
      </w:r>
    </w:p>
    <w:p>
      <w:pPr>
        <w:pStyle w:val="ListParagraph"/>
        <w:numPr>
          <w:ilvl w:val="0"/>
          <w:numId w:val="18"/>
        </w:numPr>
        <w:tabs>
          <w:tab w:pos="2513" w:val="left" w:leader="none"/>
        </w:tabs>
        <w:spacing w:line="240" w:lineRule="auto" w:before="0" w:after="0"/>
        <w:ind w:left="2370" w:right="119" w:firstLine="0"/>
        <w:jc w:val="both"/>
        <w:rPr>
          <w:sz w:val="20"/>
        </w:rPr>
      </w:pPr>
      <w:r>
        <w:rPr>
          <w:b/>
          <w:sz w:val="20"/>
        </w:rPr>
        <w:t>Conhecer e discutir as propostas pedagógicas </w:t>
      </w:r>
      <w:r>
        <w:rPr>
          <w:sz w:val="20"/>
        </w:rPr>
        <w:t>em desenvolvimento nas escolas;</w:t>
      </w:r>
    </w:p>
    <w:p>
      <w:pPr>
        <w:pStyle w:val="ListParagraph"/>
        <w:numPr>
          <w:ilvl w:val="0"/>
          <w:numId w:val="18"/>
        </w:numPr>
        <w:tabs>
          <w:tab w:pos="2486" w:val="left" w:leader="none"/>
        </w:tabs>
        <w:spacing w:line="240" w:lineRule="auto" w:before="0" w:after="0"/>
        <w:ind w:left="2485" w:right="0" w:hanging="115"/>
        <w:jc w:val="both"/>
        <w:rPr>
          <w:sz w:val="20"/>
        </w:rPr>
      </w:pPr>
      <w:r>
        <w:rPr>
          <w:b/>
          <w:sz w:val="20"/>
        </w:rPr>
        <w:t>Discutir e eleger prioridades </w:t>
      </w:r>
      <w:r>
        <w:rPr>
          <w:sz w:val="20"/>
        </w:rPr>
        <w:t>para a educação do</w:t>
      </w:r>
      <w:r>
        <w:rPr>
          <w:spacing w:val="-14"/>
          <w:sz w:val="20"/>
        </w:rPr>
        <w:t> </w:t>
      </w:r>
      <w:r>
        <w:rPr>
          <w:sz w:val="20"/>
        </w:rPr>
        <w:t>Município;</w:t>
      </w:r>
    </w:p>
    <w:p>
      <w:pPr>
        <w:pStyle w:val="ListParagraph"/>
        <w:numPr>
          <w:ilvl w:val="0"/>
          <w:numId w:val="18"/>
        </w:numPr>
        <w:tabs>
          <w:tab w:pos="2486" w:val="left" w:leader="none"/>
        </w:tabs>
        <w:spacing w:line="240" w:lineRule="auto" w:before="0" w:after="0"/>
        <w:ind w:left="2485" w:right="0" w:hanging="115"/>
        <w:jc w:val="both"/>
        <w:rPr>
          <w:sz w:val="20"/>
        </w:rPr>
      </w:pPr>
      <w:r>
        <w:rPr>
          <w:b/>
          <w:sz w:val="20"/>
        </w:rPr>
        <w:t>Definir diretrizes, objetivos e metas para a educação do</w:t>
      </w:r>
      <w:r>
        <w:rPr>
          <w:b/>
          <w:spacing w:val="-10"/>
          <w:sz w:val="20"/>
        </w:rPr>
        <w:t> </w:t>
      </w:r>
      <w:r>
        <w:rPr>
          <w:b/>
          <w:sz w:val="20"/>
        </w:rPr>
        <w:t>Município</w:t>
      </w:r>
      <w:r>
        <w:rPr>
          <w:sz w:val="20"/>
        </w:rPr>
        <w:t>;</w:t>
      </w:r>
    </w:p>
    <w:p>
      <w:pPr>
        <w:pStyle w:val="ListParagraph"/>
        <w:numPr>
          <w:ilvl w:val="0"/>
          <w:numId w:val="18"/>
        </w:numPr>
        <w:tabs>
          <w:tab w:pos="2582" w:val="left" w:leader="none"/>
        </w:tabs>
        <w:spacing w:line="240" w:lineRule="auto" w:before="0" w:after="0"/>
        <w:ind w:left="2370" w:right="120" w:firstLine="0"/>
        <w:jc w:val="both"/>
        <w:rPr>
          <w:sz w:val="20"/>
        </w:rPr>
      </w:pPr>
      <w:r>
        <w:rPr>
          <w:b/>
          <w:sz w:val="20"/>
        </w:rPr>
        <w:t>Avaliar a implementação </w:t>
      </w:r>
      <w:r>
        <w:rPr>
          <w:sz w:val="20"/>
        </w:rPr>
        <w:t>das diretrizes e metas educacionais no Município;</w:t>
      </w:r>
    </w:p>
    <w:p>
      <w:pPr>
        <w:pStyle w:val="ListParagraph"/>
        <w:numPr>
          <w:ilvl w:val="0"/>
          <w:numId w:val="18"/>
        </w:numPr>
        <w:tabs>
          <w:tab w:pos="2513" w:val="left" w:leader="none"/>
        </w:tabs>
        <w:spacing w:line="240" w:lineRule="auto" w:before="0" w:after="0"/>
        <w:ind w:left="2370" w:right="119" w:firstLine="0"/>
        <w:jc w:val="both"/>
        <w:rPr>
          <w:sz w:val="20"/>
        </w:rPr>
      </w:pPr>
      <w:r>
        <w:rPr>
          <w:b/>
          <w:sz w:val="20"/>
        </w:rPr>
        <w:t>Discutir e propor diretrizes, metas e ações </w:t>
      </w:r>
      <w:r>
        <w:rPr>
          <w:sz w:val="20"/>
        </w:rPr>
        <w:t>para a elaboração do Plano Municipal de Educação –</w:t>
      </w:r>
      <w:r>
        <w:rPr>
          <w:spacing w:val="-5"/>
          <w:sz w:val="20"/>
        </w:rPr>
        <w:t> </w:t>
      </w:r>
      <w:r>
        <w:rPr>
          <w:sz w:val="20"/>
        </w:rPr>
        <w:t>PME;</w:t>
      </w:r>
    </w:p>
    <w:p>
      <w:pPr>
        <w:pStyle w:val="ListParagraph"/>
        <w:numPr>
          <w:ilvl w:val="0"/>
          <w:numId w:val="18"/>
        </w:numPr>
        <w:tabs>
          <w:tab w:pos="2515" w:val="left" w:leader="none"/>
        </w:tabs>
        <w:spacing w:line="240" w:lineRule="auto" w:before="0" w:after="0"/>
        <w:ind w:left="2370" w:right="119" w:firstLine="0"/>
        <w:jc w:val="both"/>
        <w:rPr>
          <w:sz w:val="20"/>
        </w:rPr>
      </w:pPr>
      <w:r>
        <w:rPr>
          <w:b/>
          <w:sz w:val="20"/>
        </w:rPr>
        <w:t>Discutir </w:t>
      </w:r>
      <w:r>
        <w:rPr>
          <w:sz w:val="20"/>
        </w:rPr>
        <w:t>diretrizes para a </w:t>
      </w:r>
      <w:r>
        <w:rPr>
          <w:b/>
          <w:sz w:val="20"/>
        </w:rPr>
        <w:t>revisão e atualização </w:t>
      </w:r>
      <w:r>
        <w:rPr>
          <w:sz w:val="20"/>
        </w:rPr>
        <w:t>do </w:t>
      </w:r>
      <w:r>
        <w:rPr>
          <w:b/>
          <w:sz w:val="20"/>
        </w:rPr>
        <w:t>Plano Municipal de Educação</w:t>
      </w:r>
      <w:r>
        <w:rPr>
          <w:sz w:val="20"/>
        </w:rPr>
        <w:t>. (BRASIL, 2005c, p. 12). (Grifos</w:t>
      </w:r>
      <w:r>
        <w:rPr>
          <w:spacing w:val="-21"/>
          <w:sz w:val="20"/>
        </w:rPr>
        <w:t> </w:t>
      </w:r>
      <w:r>
        <w:rPr>
          <w:sz w:val="20"/>
        </w:rPr>
        <w:t>nossos).</w:t>
      </w:r>
    </w:p>
    <w:p>
      <w:pPr>
        <w:pStyle w:val="BodyText"/>
        <w:rPr>
          <w:sz w:val="22"/>
        </w:rPr>
      </w:pPr>
    </w:p>
    <w:p>
      <w:pPr>
        <w:pStyle w:val="BodyText"/>
        <w:spacing w:line="360" w:lineRule="auto" w:before="160"/>
        <w:ind w:left="102" w:right="120" w:firstLine="851"/>
        <w:jc w:val="both"/>
      </w:pPr>
      <w:r>
        <w:rPr/>
        <w:t>O Documento não define um período específico para a realização da Conferência, mas sim, reitera que seja flexível, apresentando orientações e sugestões quanto a preparação destes eventos: no início, a realização por ato do poder executivo e, posteriormente, seguido por três etapas – a primeira, voltada para divulgação, mobilização social e planejamento acerca do material logístico para todo o processo; a segunda, referindo-se a elaboração de estudos preliminares e planejamento das</w:t>
      </w:r>
      <w:r>
        <w:rPr>
          <w:spacing w:val="55"/>
        </w:rPr>
        <w:t> </w:t>
      </w:r>
      <w:r>
        <w:rPr/>
        <w:t>reuniões</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0" w:lineRule="auto" w:before="210"/>
        <w:ind w:left="102" w:right="121"/>
        <w:jc w:val="both"/>
      </w:pPr>
      <w:r>
        <w:rPr/>
        <w:t>preparatórias; e a terceira etapa, compreendendo a metodologia operacional, na qual s</w:t>
      </w:r>
      <w:r>
        <w:rPr>
          <w:spacing w:val="-1"/>
        </w:rPr>
        <w:t>e</w:t>
      </w:r>
      <w:r>
        <w:rPr>
          <w:w w:val="100"/>
        </w:rPr>
        <w:t>r</w:t>
      </w:r>
      <w:r>
        <w:rPr>
          <w:spacing w:val="-2"/>
          <w:w w:val="100"/>
        </w:rPr>
        <w:t>ã</w:t>
      </w:r>
      <w:r>
        <w:rPr/>
        <w:t>o  </w:t>
      </w:r>
      <w:r>
        <w:rPr>
          <w:spacing w:val="-10"/>
        </w:rPr>
        <w:t> </w:t>
      </w:r>
      <w:r>
        <w:rPr>
          <w:w w:val="100"/>
        </w:rPr>
        <w:t>d</w:t>
      </w:r>
      <w:r>
        <w:rPr>
          <w:spacing w:val="1"/>
          <w:w w:val="100"/>
        </w:rPr>
        <w:t>e</w:t>
      </w:r>
      <w:r>
        <w:rPr>
          <w:w w:val="100"/>
        </w:rPr>
        <w:t>finid</w:t>
      </w:r>
      <w:r>
        <w:rPr>
          <w:spacing w:val="-1"/>
          <w:w w:val="100"/>
        </w:rPr>
        <w:t>a</w:t>
      </w:r>
      <w:r>
        <w:rPr>
          <w:w w:val="99"/>
        </w:rPr>
        <w:t>s</w:t>
      </w:r>
      <w:r>
        <w:rPr/>
        <w:t>  </w:t>
      </w:r>
      <w:r>
        <w:rPr>
          <w:spacing w:val="-10"/>
        </w:rPr>
        <w:t> </w:t>
      </w:r>
      <w:r>
        <w:rPr>
          <w:spacing w:val="-1"/>
          <w:w w:val="44"/>
        </w:rPr>
        <w:t>―</w:t>
      </w:r>
      <w:r>
        <w:rPr>
          <w:spacing w:val="-1"/>
          <w:w w:val="100"/>
        </w:rPr>
        <w:t>e</w:t>
      </w:r>
      <w:r>
        <w:rPr>
          <w:w w:val="100"/>
        </w:rPr>
        <w:t>stru</w:t>
      </w:r>
      <w:r>
        <w:rPr>
          <w:spacing w:val="2"/>
          <w:w w:val="100"/>
        </w:rPr>
        <w:t>t</w:t>
      </w:r>
      <w:r>
        <w:rPr>
          <w:w w:val="100"/>
        </w:rPr>
        <w:t>u</w:t>
      </w:r>
      <w:r>
        <w:rPr>
          <w:spacing w:val="-1"/>
          <w:w w:val="100"/>
        </w:rPr>
        <w:t>r</w:t>
      </w:r>
      <w:r>
        <w:rPr>
          <w:spacing w:val="-1"/>
          <w:w w:val="100"/>
        </w:rPr>
        <w:t>a</w:t>
      </w:r>
      <w:r>
        <w:rPr/>
        <w:t>,  </w:t>
      </w:r>
      <w:r>
        <w:rPr>
          <w:spacing w:val="-10"/>
        </w:rPr>
        <w:t> </w:t>
      </w:r>
      <w:r>
        <w:rPr/>
        <w:t>o  </w:t>
      </w:r>
      <w:r>
        <w:rPr>
          <w:spacing w:val="-10"/>
        </w:rPr>
        <w:t> </w:t>
      </w:r>
      <w:r>
        <w:rPr>
          <w:w w:val="100"/>
        </w:rPr>
        <w:t>re</w:t>
      </w:r>
      <w:r>
        <w:rPr>
          <w:spacing w:val="-3"/>
        </w:rPr>
        <w:t>g</w:t>
      </w:r>
      <w:r>
        <w:rPr>
          <w:w w:val="100"/>
        </w:rPr>
        <w:t>im</w:t>
      </w:r>
      <w:r>
        <w:rPr>
          <w:spacing w:val="-1"/>
          <w:w w:val="100"/>
        </w:rPr>
        <w:t>e</w:t>
      </w:r>
      <w:r>
        <w:rPr>
          <w:w w:val="100"/>
        </w:rPr>
        <w:t>nto,</w:t>
      </w:r>
      <w:r>
        <w:rPr/>
        <w:t>  </w:t>
      </w:r>
      <w:r>
        <w:rPr>
          <w:spacing w:val="-7"/>
        </w:rPr>
        <w:t> </w:t>
      </w:r>
      <w:r>
        <w:rPr>
          <w:w w:val="100"/>
        </w:rPr>
        <w:t>a</w:t>
      </w:r>
      <w:r>
        <w:rPr/>
        <w:t>  </w:t>
      </w:r>
      <w:r>
        <w:rPr>
          <w:spacing w:val="-11"/>
        </w:rPr>
        <w:t> </w:t>
      </w:r>
      <w:r>
        <w:rPr>
          <w:spacing w:val="1"/>
          <w:w w:val="100"/>
        </w:rPr>
        <w:t>a</w:t>
      </w:r>
      <w:r>
        <w:rPr>
          <w:spacing w:val="-3"/>
        </w:rPr>
        <w:t>g</w:t>
      </w:r>
      <w:r>
        <w:rPr>
          <w:spacing w:val="-1"/>
          <w:w w:val="100"/>
        </w:rPr>
        <w:t>e</w:t>
      </w:r>
      <w:r>
        <w:rPr/>
        <w:t>n</w:t>
      </w:r>
      <w:r>
        <w:rPr>
          <w:spacing w:val="2"/>
        </w:rPr>
        <w:t>d</w:t>
      </w:r>
      <w:r>
        <w:rPr>
          <w:w w:val="100"/>
        </w:rPr>
        <w:t>a</w:t>
      </w:r>
      <w:r>
        <w:rPr/>
        <w:t>  </w:t>
      </w:r>
      <w:r>
        <w:rPr>
          <w:spacing w:val="-11"/>
        </w:rPr>
        <w:t> </w:t>
      </w:r>
      <w:r>
        <w:rPr>
          <w:w w:val="100"/>
        </w:rPr>
        <w:t>de</w:t>
      </w:r>
      <w:r>
        <w:rPr/>
        <w:t>  </w:t>
      </w:r>
      <w:r>
        <w:rPr>
          <w:spacing w:val="-11"/>
        </w:rPr>
        <w:t> </w:t>
      </w:r>
      <w:r>
        <w:rPr>
          <w:w w:val="100"/>
        </w:rPr>
        <w:t>t</w:t>
      </w:r>
      <w:r>
        <w:rPr>
          <w:spacing w:val="1"/>
          <w:w w:val="100"/>
        </w:rPr>
        <w:t>r</w:t>
      </w:r>
      <w:r>
        <w:rPr>
          <w:spacing w:val="-1"/>
          <w:w w:val="100"/>
        </w:rPr>
        <w:t>a</w:t>
      </w:r>
      <w:r>
        <w:rPr>
          <w:w w:val="100"/>
        </w:rPr>
        <w:t>b</w:t>
      </w:r>
      <w:r>
        <w:rPr>
          <w:spacing w:val="-1"/>
          <w:w w:val="100"/>
        </w:rPr>
        <w:t>a</w:t>
      </w:r>
      <w:r>
        <w:rPr>
          <w:w w:val="100"/>
        </w:rPr>
        <w:t>lho,</w:t>
      </w:r>
      <w:r>
        <w:rPr/>
        <w:t>  </w:t>
      </w:r>
      <w:r>
        <w:rPr>
          <w:spacing w:val="-10"/>
        </w:rPr>
        <w:t> </w:t>
      </w:r>
      <w:r>
        <w:rPr>
          <w:w w:val="100"/>
        </w:rPr>
        <w:t>a</w:t>
      </w:r>
      <w:r>
        <w:rPr/>
        <w:t>  </w:t>
      </w:r>
      <w:r>
        <w:rPr>
          <w:spacing w:val="-9"/>
        </w:rPr>
        <w:t> </w:t>
      </w:r>
      <w:r>
        <w:rPr>
          <w:w w:val="100"/>
        </w:rPr>
        <w:t>d</w:t>
      </w:r>
      <w:r>
        <w:rPr>
          <w:spacing w:val="-1"/>
          <w:w w:val="100"/>
        </w:rPr>
        <w:t>e</w:t>
      </w:r>
      <w:r>
        <w:rPr>
          <w:w w:val="100"/>
        </w:rPr>
        <w:t>fini</w:t>
      </w:r>
      <w:r>
        <w:rPr>
          <w:spacing w:val="-1"/>
          <w:w w:val="100"/>
        </w:rPr>
        <w:t>çã</w:t>
      </w:r>
      <w:r>
        <w:rPr/>
        <w:t>o  </w:t>
      </w:r>
      <w:r>
        <w:rPr>
          <w:spacing w:val="-10"/>
        </w:rPr>
        <w:t> </w:t>
      </w:r>
      <w:r>
        <w:rPr>
          <w:spacing w:val="2"/>
        </w:rPr>
        <w:t>d</w:t>
      </w:r>
      <w:r>
        <w:rPr>
          <w:w w:val="100"/>
        </w:rPr>
        <w:t>a </w:t>
      </w:r>
      <w:r>
        <w:rPr/>
        <w:t>infraestrutura necessária para a realização do evento‖, bem como quando serão escolhidos os delegados(as) e suplentes  (p.</w:t>
      </w:r>
      <w:r>
        <w:rPr>
          <w:spacing w:val="-7"/>
        </w:rPr>
        <w:t> </w:t>
      </w:r>
      <w:r>
        <w:rPr/>
        <w:t>17).</w:t>
      </w:r>
    </w:p>
    <w:p>
      <w:pPr>
        <w:pStyle w:val="BodyText"/>
        <w:spacing w:line="360" w:lineRule="auto" w:before="3"/>
        <w:ind w:left="102" w:right="119" w:firstLine="851"/>
        <w:jc w:val="both"/>
      </w:pPr>
      <w:r>
        <w:rPr/>
        <w:t>Na sequência, o documento descreve aspectos voltados para a realização da Conferência, sugerindo como estrutura: Solenidade de Abertura, Discussão em grupo das propostas resultantes das reuniões preparatórias, Socialização dos trabalhos, palestras e painéis, deliberações e encerramento da conferência.</w:t>
      </w:r>
    </w:p>
    <w:p>
      <w:pPr>
        <w:pStyle w:val="BodyText"/>
        <w:spacing w:line="360" w:lineRule="auto" w:before="3"/>
        <w:ind w:left="102" w:right="118" w:firstLine="851"/>
        <w:jc w:val="both"/>
      </w:pPr>
      <w:r>
        <w:rPr/>
        <w:t>Importante destacarmos que o documento orienta, também, a realização de uma Conferência no interior da escola e, para tanto, expõe também um passo-a-passo.</w:t>
      </w:r>
    </w:p>
    <w:p>
      <w:pPr>
        <w:pStyle w:val="BodyText"/>
        <w:spacing w:line="360" w:lineRule="auto" w:before="3"/>
        <w:ind w:left="102" w:right="117" w:firstLine="851"/>
        <w:jc w:val="both"/>
      </w:pPr>
      <w:r>
        <w:rPr/>
        <w:t>Descreve a estrutura organizacional e as respectivas atribuições para a realização da Conferência, indicando a necessidade de um ato do Prefeito ou do Secretário(a) de Educação, definindo tal estrutura, assim como um documento contendo </w:t>
      </w:r>
      <w:r>
        <w:rPr>
          <w:w w:val="100"/>
        </w:rPr>
        <w:t>um</w:t>
      </w:r>
      <w:r>
        <w:rPr/>
        <w:t> </w:t>
      </w:r>
      <w:r>
        <w:rPr>
          <w:spacing w:val="-22"/>
        </w:rPr>
        <w:t> </w:t>
      </w:r>
      <w:r>
        <w:rPr>
          <w:spacing w:val="-1"/>
          <w:w w:val="44"/>
        </w:rPr>
        <w:t>―</w:t>
      </w:r>
      <w:r>
        <w:rPr>
          <w:spacing w:val="-1"/>
          <w:w w:val="100"/>
        </w:rPr>
        <w:t>c</w:t>
      </w:r>
      <w:r>
        <w:rPr>
          <w:w w:val="100"/>
        </w:rPr>
        <w:t>onjunt</w:t>
      </w:r>
      <w:r>
        <w:rPr/>
        <w:t>o </w:t>
      </w:r>
      <w:r>
        <w:rPr>
          <w:spacing w:val="-22"/>
        </w:rPr>
        <w:t> </w:t>
      </w:r>
      <w:r>
        <w:rPr>
          <w:w w:val="100"/>
        </w:rPr>
        <w:t>de</w:t>
      </w:r>
      <w:r>
        <w:rPr/>
        <w:t> </w:t>
      </w:r>
      <w:r>
        <w:rPr>
          <w:spacing w:val="-23"/>
        </w:rPr>
        <w:t> </w:t>
      </w:r>
      <w:r>
        <w:rPr>
          <w:w w:val="100"/>
        </w:rPr>
        <w:t>norm</w:t>
      </w:r>
      <w:r>
        <w:rPr>
          <w:spacing w:val="-2"/>
          <w:w w:val="100"/>
        </w:rPr>
        <w:t>a</w:t>
      </w:r>
      <w:r>
        <w:rPr>
          <w:w w:val="99"/>
        </w:rPr>
        <w:t>s</w:t>
      </w:r>
      <w:r>
        <w:rPr/>
        <w:t> </w:t>
      </w:r>
      <w:r>
        <w:rPr>
          <w:spacing w:val="-22"/>
        </w:rPr>
        <w:t> </w:t>
      </w:r>
      <w:r>
        <w:rPr>
          <w:w w:val="100"/>
        </w:rPr>
        <w:t>e</w:t>
      </w:r>
      <w:r>
        <w:rPr/>
        <w:t> </w:t>
      </w:r>
      <w:r>
        <w:rPr>
          <w:spacing w:val="-23"/>
        </w:rPr>
        <w:t> </w:t>
      </w:r>
      <w:r>
        <w:rPr/>
        <w:t>p</w:t>
      </w:r>
      <w:r>
        <w:rPr>
          <w:spacing w:val="-1"/>
        </w:rPr>
        <w:t>r</w:t>
      </w:r>
      <w:r>
        <w:rPr>
          <w:w w:val="100"/>
        </w:rPr>
        <w:t>o</w:t>
      </w:r>
      <w:r>
        <w:rPr>
          <w:spacing w:val="-1"/>
          <w:w w:val="100"/>
        </w:rPr>
        <w:t>c</w:t>
      </w:r>
      <w:r>
        <w:rPr>
          <w:spacing w:val="-1"/>
          <w:w w:val="100"/>
        </w:rPr>
        <w:t>e</w:t>
      </w:r>
      <w:r>
        <w:rPr>
          <w:w w:val="100"/>
        </w:rPr>
        <w:t>dim</w:t>
      </w:r>
      <w:r>
        <w:rPr>
          <w:spacing w:val="-1"/>
          <w:w w:val="100"/>
        </w:rPr>
        <w:t>e</w:t>
      </w:r>
      <w:r>
        <w:rPr/>
        <w:t>ntos </w:t>
      </w:r>
      <w:r>
        <w:rPr>
          <w:spacing w:val="-22"/>
        </w:rPr>
        <w:t> </w:t>
      </w:r>
      <w:r>
        <w:rPr/>
        <w:t>p</w:t>
      </w:r>
      <w:r>
        <w:rPr>
          <w:spacing w:val="-1"/>
        </w:rPr>
        <w:t>r</w:t>
      </w:r>
      <w:r>
        <w:rPr>
          <w:spacing w:val="-1"/>
          <w:w w:val="100"/>
        </w:rPr>
        <w:t>á</w:t>
      </w:r>
      <w:r>
        <w:rPr>
          <w:w w:val="100"/>
        </w:rPr>
        <w:t>ti</w:t>
      </w:r>
      <w:r>
        <w:rPr>
          <w:spacing w:val="-1"/>
          <w:w w:val="100"/>
        </w:rPr>
        <w:t>c</w:t>
      </w:r>
      <w:r>
        <w:rPr>
          <w:w w:val="113"/>
        </w:rPr>
        <w:t>os‖</w:t>
      </w:r>
      <w:r>
        <w:rPr/>
        <w:t> </w:t>
      </w:r>
      <w:r>
        <w:rPr>
          <w:spacing w:val="-23"/>
        </w:rPr>
        <w:t> </w:t>
      </w:r>
      <w:r>
        <w:rPr/>
        <w:t>(p. </w:t>
      </w:r>
      <w:r>
        <w:rPr>
          <w:spacing w:val="-23"/>
        </w:rPr>
        <w:t> </w:t>
      </w:r>
      <w:r>
        <w:rPr/>
        <w:t>32) </w:t>
      </w:r>
      <w:r>
        <w:rPr>
          <w:spacing w:val="-19"/>
        </w:rPr>
        <w:t> </w:t>
      </w:r>
      <w:r>
        <w:rPr/>
        <w:t>p</w:t>
      </w:r>
      <w:r>
        <w:rPr>
          <w:spacing w:val="-1"/>
        </w:rPr>
        <w:t>a</w:t>
      </w:r>
      <w:r>
        <w:rPr/>
        <w:t>ra </w:t>
      </w:r>
      <w:r>
        <w:rPr>
          <w:spacing w:val="-24"/>
        </w:rPr>
        <w:t> </w:t>
      </w:r>
      <w:r>
        <w:rPr/>
        <w:t>nort</w:t>
      </w:r>
      <w:r>
        <w:rPr>
          <w:spacing w:val="-2"/>
        </w:rPr>
        <w:t>e</w:t>
      </w:r>
      <w:r>
        <w:rPr>
          <w:spacing w:val="-1"/>
        </w:rPr>
        <w:t>a</w:t>
      </w:r>
      <w:r>
        <w:rPr/>
        <w:t>r </w:t>
      </w:r>
      <w:r>
        <w:rPr>
          <w:spacing w:val="-21"/>
        </w:rPr>
        <w:t> </w:t>
      </w:r>
      <w:r>
        <w:rPr>
          <w:w w:val="99"/>
        </w:rPr>
        <w:t>os</w:t>
      </w:r>
      <w:r>
        <w:rPr/>
        <w:t> </w:t>
      </w:r>
      <w:r>
        <w:rPr>
          <w:spacing w:val="-22"/>
        </w:rPr>
        <w:t> </w:t>
      </w:r>
      <w:r>
        <w:rPr/>
        <w:t>tr</w:t>
      </w:r>
      <w:r>
        <w:rPr>
          <w:spacing w:val="-2"/>
        </w:rPr>
        <w:t>a</w:t>
      </w:r>
      <w:r>
        <w:rPr/>
        <w:t>b</w:t>
      </w:r>
      <w:r>
        <w:rPr>
          <w:spacing w:val="-1"/>
        </w:rPr>
        <w:t>a</w:t>
      </w:r>
      <w:r>
        <w:rPr/>
        <w:t>lhos realizados na Conferência, ou seja, o Regimento Interno da</w:t>
      </w:r>
      <w:r>
        <w:rPr>
          <w:spacing w:val="-15"/>
        </w:rPr>
        <w:t> </w:t>
      </w:r>
      <w:r>
        <w:rPr/>
        <w:t>Conferência.</w:t>
      </w:r>
    </w:p>
    <w:p>
      <w:pPr>
        <w:pStyle w:val="BodyText"/>
        <w:spacing w:line="360" w:lineRule="auto" w:before="5"/>
        <w:ind w:left="102" w:right="119" w:firstLine="851"/>
        <w:jc w:val="both"/>
      </w:pPr>
      <w:r>
        <w:rPr/>
        <w:t>Antes da conclusão, o documento conceitua o momento das Deliberações como s</w:t>
      </w:r>
      <w:r>
        <w:rPr>
          <w:spacing w:val="-1"/>
        </w:rPr>
        <w:t>e</w:t>
      </w:r>
      <w:r>
        <w:rPr/>
        <w:t>ndo </w:t>
      </w:r>
      <w:r>
        <w:rPr>
          <w:spacing w:val="11"/>
        </w:rPr>
        <w:t> </w:t>
      </w:r>
      <w:r>
        <w:rPr>
          <w:spacing w:val="-1"/>
          <w:w w:val="44"/>
        </w:rPr>
        <w:t>―</w:t>
      </w:r>
      <w:r>
        <w:rPr/>
        <w:t>o </w:t>
      </w:r>
      <w:r>
        <w:rPr>
          <w:spacing w:val="11"/>
        </w:rPr>
        <w:t> </w:t>
      </w:r>
      <w:r>
        <w:rPr>
          <w:spacing w:val="-1"/>
          <w:w w:val="100"/>
        </w:rPr>
        <w:t>á</w:t>
      </w:r>
      <w:r>
        <w:rPr>
          <w:w w:val="100"/>
        </w:rPr>
        <w:t>pice</w:t>
      </w:r>
      <w:r>
        <w:rPr/>
        <w:t> </w:t>
      </w:r>
      <w:r>
        <w:rPr>
          <w:spacing w:val="10"/>
        </w:rPr>
        <w:t> </w:t>
      </w:r>
      <w:r>
        <w:rPr>
          <w:w w:val="100"/>
        </w:rPr>
        <w:t>da</w:t>
      </w:r>
      <w:r>
        <w:rPr/>
        <w:t> </w:t>
      </w:r>
      <w:r>
        <w:rPr>
          <w:spacing w:val="13"/>
        </w:rPr>
        <w:t> </w:t>
      </w:r>
      <w:r>
        <w:rPr>
          <w:spacing w:val="-1"/>
          <w:w w:val="100"/>
        </w:rPr>
        <w:t>c</w:t>
      </w:r>
      <w:r>
        <w:rPr/>
        <w:t>o</w:t>
      </w:r>
      <w:r>
        <w:rPr>
          <w:spacing w:val="2"/>
        </w:rPr>
        <w:t>n</w:t>
      </w:r>
      <w:r>
        <w:rPr>
          <w:w w:val="100"/>
        </w:rPr>
        <w:t>f</w:t>
      </w:r>
      <w:r>
        <w:rPr>
          <w:spacing w:val="-2"/>
          <w:w w:val="100"/>
        </w:rPr>
        <w:t>e</w:t>
      </w:r>
      <w:r>
        <w:rPr>
          <w:w w:val="100"/>
        </w:rPr>
        <w:t>r</w:t>
      </w:r>
      <w:r>
        <w:rPr>
          <w:spacing w:val="-2"/>
          <w:w w:val="100"/>
        </w:rPr>
        <w:t>ê</w:t>
      </w:r>
      <w:r>
        <w:rPr>
          <w:spacing w:val="2"/>
        </w:rPr>
        <w:t>n</w:t>
      </w:r>
      <w:r>
        <w:rPr>
          <w:spacing w:val="-1"/>
          <w:w w:val="100"/>
        </w:rPr>
        <w:t>c</w:t>
      </w:r>
      <w:r>
        <w:rPr>
          <w:w w:val="100"/>
        </w:rPr>
        <w:t>ia</w:t>
      </w:r>
      <w:r>
        <w:rPr/>
        <w:t> </w:t>
      </w:r>
      <w:r>
        <w:rPr>
          <w:spacing w:val="11"/>
        </w:rPr>
        <w:t> </w:t>
      </w:r>
      <w:r>
        <w:rPr>
          <w:spacing w:val="-1"/>
          <w:w w:val="100"/>
        </w:rPr>
        <w:t>e</w:t>
      </w:r>
      <w:r>
        <w:rPr/>
        <w:t>nq</w:t>
      </w:r>
      <w:r>
        <w:rPr>
          <w:spacing w:val="2"/>
        </w:rPr>
        <w:t>u</w:t>
      </w:r>
      <w:r>
        <w:rPr>
          <w:spacing w:val="-1"/>
          <w:w w:val="100"/>
        </w:rPr>
        <w:t>a</w:t>
      </w:r>
      <w:r>
        <w:rPr>
          <w:w w:val="100"/>
        </w:rPr>
        <w:t>nto</w:t>
      </w:r>
      <w:r>
        <w:rPr/>
        <w:t> </w:t>
      </w:r>
      <w:r>
        <w:rPr>
          <w:spacing w:val="12"/>
        </w:rPr>
        <w:t> </w:t>
      </w:r>
      <w:r>
        <w:rPr>
          <w:w w:val="100"/>
        </w:rPr>
        <w:t>mom</w:t>
      </w:r>
      <w:r>
        <w:rPr>
          <w:spacing w:val="-1"/>
          <w:w w:val="100"/>
        </w:rPr>
        <w:t>e</w:t>
      </w:r>
      <w:r>
        <w:rPr>
          <w:w w:val="100"/>
        </w:rPr>
        <w:t>nto</w:t>
      </w:r>
      <w:r>
        <w:rPr/>
        <w:t> </w:t>
      </w:r>
      <w:r>
        <w:rPr>
          <w:spacing w:val="12"/>
        </w:rPr>
        <w:t> </w:t>
      </w:r>
      <w:r>
        <w:rPr>
          <w:w w:val="100"/>
        </w:rPr>
        <w:t>da</w:t>
      </w:r>
      <w:r>
        <w:rPr/>
        <w:t> </w:t>
      </w:r>
      <w:r>
        <w:rPr>
          <w:spacing w:val="10"/>
        </w:rPr>
        <w:t> </w:t>
      </w:r>
      <w:r>
        <w:rPr>
          <w:spacing w:val="-1"/>
          <w:w w:val="100"/>
        </w:rPr>
        <w:t>a</w:t>
      </w:r>
      <w:r>
        <w:rPr>
          <w:w w:val="99"/>
        </w:rPr>
        <w:t>p</w:t>
      </w:r>
      <w:r>
        <w:rPr>
          <w:spacing w:val="-1"/>
          <w:w w:val="99"/>
        </w:rPr>
        <w:t>r</w:t>
      </w:r>
      <w:r>
        <w:rPr>
          <w:spacing w:val="-1"/>
          <w:w w:val="100"/>
        </w:rPr>
        <w:t>e</w:t>
      </w:r>
      <w:r>
        <w:rPr>
          <w:spacing w:val="2"/>
          <w:w w:val="99"/>
        </w:rPr>
        <w:t>s</w:t>
      </w:r>
      <w:r>
        <w:rPr>
          <w:spacing w:val="-1"/>
          <w:w w:val="100"/>
        </w:rPr>
        <w:t>e</w:t>
      </w:r>
      <w:r>
        <w:rPr>
          <w:w w:val="100"/>
        </w:rPr>
        <w:t>nta</w:t>
      </w:r>
      <w:r>
        <w:rPr>
          <w:spacing w:val="-2"/>
          <w:w w:val="100"/>
        </w:rPr>
        <w:t>ç</w:t>
      </w:r>
      <w:r>
        <w:rPr>
          <w:spacing w:val="1"/>
          <w:w w:val="100"/>
        </w:rPr>
        <w:t>ã</w:t>
      </w:r>
      <w:r>
        <w:rPr/>
        <w:t>o </w:t>
      </w:r>
      <w:r>
        <w:rPr>
          <w:spacing w:val="11"/>
        </w:rPr>
        <w:t> </w:t>
      </w:r>
      <w:r>
        <w:rPr>
          <w:w w:val="100"/>
        </w:rPr>
        <w:t>d</w:t>
      </w:r>
      <w:r>
        <w:rPr>
          <w:spacing w:val="-1"/>
          <w:w w:val="100"/>
        </w:rPr>
        <w:t>a</w:t>
      </w:r>
      <w:r>
        <w:rPr>
          <w:w w:val="99"/>
        </w:rPr>
        <w:t>s</w:t>
      </w:r>
      <w:r>
        <w:rPr/>
        <w:t> </w:t>
      </w:r>
      <w:r>
        <w:rPr>
          <w:spacing w:val="12"/>
        </w:rPr>
        <w:t> </w:t>
      </w:r>
      <w:r>
        <w:rPr/>
        <w:t>p</w:t>
      </w:r>
      <w:r>
        <w:rPr>
          <w:spacing w:val="-1"/>
        </w:rPr>
        <w:t>r</w:t>
      </w:r>
      <w:r>
        <w:rPr/>
        <w:t>opost</w:t>
      </w:r>
      <w:r>
        <w:rPr>
          <w:spacing w:val="-1"/>
          <w:w w:val="100"/>
        </w:rPr>
        <w:t>a</w:t>
      </w:r>
      <w:r>
        <w:rPr>
          <w:w w:val="99"/>
        </w:rPr>
        <w:t>s, </w:t>
      </w:r>
      <w:r>
        <w:rPr/>
        <w:t>discussão e formulação de resoluções, que são postas em debates para posterior exercício democrático da escolha e votação pelos delegados, dando assim, legitimidade, visibilidade e consolidando a vontade da maioria pelo voto.‖ (BRASIL, 2005c, p.</w:t>
      </w:r>
      <w:r>
        <w:rPr>
          <w:spacing w:val="26"/>
        </w:rPr>
        <w:t> </w:t>
      </w:r>
      <w:r>
        <w:rPr/>
        <w:t>32).</w:t>
      </w:r>
    </w:p>
    <w:p>
      <w:pPr>
        <w:pStyle w:val="BodyText"/>
        <w:spacing w:line="360" w:lineRule="auto" w:before="3"/>
        <w:ind w:left="102" w:right="117" w:firstLine="851"/>
        <w:jc w:val="both"/>
      </w:pPr>
      <w:r>
        <w:rPr/>
        <w:t>Por fim, o documento (BRASIL, 2005c, p. 33) reitera que a clareza da concepção da Conferência é definidora do processo:</w:t>
      </w:r>
    </w:p>
    <w:p>
      <w:pPr>
        <w:pStyle w:val="BodyText"/>
        <w:spacing w:before="2"/>
      </w:pPr>
    </w:p>
    <w:p>
      <w:pPr>
        <w:spacing w:before="0"/>
        <w:ind w:left="2370" w:right="120" w:firstLine="0"/>
        <w:jc w:val="both"/>
        <w:rPr>
          <w:sz w:val="20"/>
        </w:rPr>
      </w:pPr>
      <w:r>
        <w:rPr>
          <w:sz w:val="20"/>
        </w:rPr>
        <w:t>o êxito de uma conferência municipal está relacionado com a definição dos procedimentos metodológicos adotados desde as concepções. Quando a decisão política recai em princípios democráticos participativos, com o envolvimento de vários atores sociais e em estreita participação com a gestão política-administrativa, tem-se observado que os resultados são assumidos, consolidados de forma transparente.</w:t>
      </w:r>
    </w:p>
    <w:p>
      <w:pPr>
        <w:pStyle w:val="BodyText"/>
        <w:rPr>
          <w:sz w:val="22"/>
        </w:rPr>
      </w:pPr>
    </w:p>
    <w:p>
      <w:pPr>
        <w:pStyle w:val="BodyText"/>
        <w:spacing w:line="360" w:lineRule="auto" w:before="163"/>
        <w:ind w:left="102" w:right="116" w:firstLine="851"/>
        <w:jc w:val="both"/>
      </w:pPr>
      <w:r>
        <w:rPr/>
        <w:t>No Documento Subsídio para o Planejamento de Conferência Municipal de Educação (BRASIL, 20025c,), parece ser marcante a presença da concepção transformadora/comprometida socialmente, uma vez que a Conferência torna-se instrumento central no processo de planejamento, defendida como garantidora da </w:t>
      </w:r>
      <w:r>
        <w:rPr>
          <w:w w:val="100"/>
        </w:rPr>
        <w:t>p</w:t>
      </w:r>
      <w:r>
        <w:rPr>
          <w:spacing w:val="-1"/>
          <w:w w:val="100"/>
        </w:rPr>
        <w:t>a</w:t>
      </w:r>
      <w:r>
        <w:rPr>
          <w:w w:val="100"/>
        </w:rPr>
        <w:t>rticip</w:t>
      </w:r>
      <w:r>
        <w:rPr>
          <w:spacing w:val="-2"/>
          <w:w w:val="100"/>
        </w:rPr>
        <w:t>a</w:t>
      </w:r>
      <w:r>
        <w:rPr>
          <w:spacing w:val="1"/>
          <w:w w:val="100"/>
        </w:rPr>
        <w:t>ç</w:t>
      </w:r>
      <w:r>
        <w:rPr>
          <w:spacing w:val="-1"/>
          <w:w w:val="100"/>
        </w:rPr>
        <w:t>ã</w:t>
      </w:r>
      <w:r>
        <w:rPr/>
        <w:t>o </w:t>
      </w:r>
      <w:r>
        <w:rPr>
          <w:spacing w:val="-15"/>
        </w:rPr>
        <w:t> </w:t>
      </w:r>
      <w:r>
        <w:rPr>
          <w:w w:val="100"/>
        </w:rPr>
        <w:t>de</w:t>
      </w:r>
      <w:r>
        <w:rPr/>
        <w:t> </w:t>
      </w:r>
      <w:r>
        <w:rPr>
          <w:spacing w:val="-16"/>
        </w:rPr>
        <w:t> </w:t>
      </w:r>
      <w:r>
        <w:rPr>
          <w:spacing w:val="-1"/>
          <w:w w:val="44"/>
        </w:rPr>
        <w:t>―</w:t>
      </w:r>
      <w:r>
        <w:rPr>
          <w:w w:val="100"/>
        </w:rPr>
        <w:t>todas </w:t>
      </w:r>
      <w:r>
        <w:rPr>
          <w:spacing w:val="-15"/>
          <w:w w:val="100"/>
        </w:rPr>
        <w:t> </w:t>
      </w:r>
      <w:r>
        <w:rPr>
          <w:spacing w:val="1"/>
          <w:w w:val="100"/>
        </w:rPr>
        <w:t>a</w:t>
      </w:r>
      <w:r>
        <w:rPr>
          <w:w w:val="99"/>
        </w:rPr>
        <w:t>s</w:t>
      </w:r>
      <w:r>
        <w:rPr/>
        <w:t> </w:t>
      </w:r>
      <w:r>
        <w:rPr>
          <w:spacing w:val="-15"/>
        </w:rPr>
        <w:t> </w:t>
      </w:r>
      <w:r>
        <w:rPr>
          <w:spacing w:val="-1"/>
          <w:w w:val="100"/>
        </w:rPr>
        <w:t>ca</w:t>
      </w:r>
      <w:r>
        <w:rPr>
          <w:w w:val="100"/>
        </w:rPr>
        <w:t>mad</w:t>
      </w:r>
      <w:r>
        <w:rPr>
          <w:spacing w:val="-2"/>
          <w:w w:val="100"/>
        </w:rPr>
        <w:t>a</w:t>
      </w:r>
      <w:r>
        <w:rPr>
          <w:w w:val="99"/>
        </w:rPr>
        <w:t>s</w:t>
      </w:r>
      <w:r>
        <w:rPr/>
        <w:t> </w:t>
      </w:r>
      <w:r>
        <w:rPr>
          <w:spacing w:val="-15"/>
        </w:rPr>
        <w:t> </w:t>
      </w:r>
      <w:r>
        <w:rPr>
          <w:w w:val="100"/>
        </w:rPr>
        <w:t>da</w:t>
      </w:r>
      <w:r>
        <w:rPr/>
        <w:t> </w:t>
      </w:r>
      <w:r>
        <w:rPr>
          <w:spacing w:val="-16"/>
        </w:rPr>
        <w:t> </w:t>
      </w:r>
      <w:r>
        <w:rPr>
          <w:w w:val="100"/>
        </w:rPr>
        <w:t>popula</w:t>
      </w:r>
      <w:r>
        <w:rPr>
          <w:spacing w:val="-2"/>
          <w:w w:val="100"/>
        </w:rPr>
        <w:t>ç</w:t>
      </w:r>
      <w:r>
        <w:rPr>
          <w:spacing w:val="-1"/>
          <w:w w:val="100"/>
        </w:rPr>
        <w:t>ã</w:t>
      </w:r>
      <w:r>
        <w:rPr>
          <w:spacing w:val="2"/>
        </w:rPr>
        <w:t>o</w:t>
      </w:r>
      <w:r>
        <w:rPr>
          <w:w w:val="158"/>
        </w:rPr>
        <w:t>‖</w:t>
      </w:r>
      <w:r>
        <w:rPr/>
        <w:t> </w:t>
      </w:r>
      <w:r>
        <w:rPr>
          <w:spacing w:val="-16"/>
        </w:rPr>
        <w:t> </w:t>
      </w:r>
      <w:r>
        <w:rPr/>
        <w:t>(</w:t>
      </w:r>
      <w:r>
        <w:rPr>
          <w:spacing w:val="-3"/>
        </w:rPr>
        <w:t>B</w:t>
      </w:r>
      <w:r>
        <w:rPr/>
        <w:t>R</w:t>
      </w:r>
      <w:r>
        <w:rPr>
          <w:w w:val="99"/>
        </w:rPr>
        <w:t>A</w:t>
      </w:r>
      <w:r>
        <w:rPr>
          <w:spacing w:val="2"/>
          <w:w w:val="99"/>
        </w:rPr>
        <w:t>S</w:t>
      </w:r>
      <w:r>
        <w:rPr>
          <w:w w:val="100"/>
        </w:rPr>
        <w:t>I</w:t>
      </w:r>
      <w:r>
        <w:rPr>
          <w:spacing w:val="-4"/>
          <w:w w:val="100"/>
        </w:rPr>
        <w:t>L</w:t>
      </w:r>
      <w:r>
        <w:rPr/>
        <w:t>, </w:t>
      </w:r>
      <w:r>
        <w:rPr>
          <w:spacing w:val="-15"/>
        </w:rPr>
        <w:t> </w:t>
      </w:r>
      <w:r>
        <w:rPr/>
        <w:t>2005</w:t>
      </w:r>
      <w:r>
        <w:rPr>
          <w:spacing w:val="-1"/>
        </w:rPr>
        <w:t>c</w:t>
      </w:r>
      <w:r>
        <w:rPr/>
        <w:t>, </w:t>
      </w:r>
      <w:r>
        <w:rPr>
          <w:spacing w:val="-15"/>
        </w:rPr>
        <w:t> </w:t>
      </w:r>
      <w:r>
        <w:rPr/>
        <w:t>p. </w:t>
      </w:r>
      <w:r>
        <w:rPr>
          <w:spacing w:val="-15"/>
        </w:rPr>
        <w:t> </w:t>
      </w:r>
      <w:r>
        <w:rPr/>
        <w:t>11), </w:t>
      </w:r>
      <w:r>
        <w:rPr>
          <w:spacing w:val="-16"/>
        </w:rPr>
        <w:t> </w:t>
      </w:r>
      <w:r>
        <w:rPr>
          <w:spacing w:val="-1"/>
          <w:w w:val="100"/>
        </w:rPr>
        <w:t>a</w:t>
      </w:r>
      <w:r>
        <w:rPr>
          <w:w w:val="100"/>
        </w:rPr>
        <w:t>lém</w:t>
      </w:r>
      <w:r>
        <w:rPr/>
        <w:t> </w:t>
      </w:r>
      <w:r>
        <w:rPr>
          <w:spacing w:val="-15"/>
        </w:rPr>
        <w:t> </w:t>
      </w:r>
      <w:r>
        <w:rPr>
          <w:w w:val="100"/>
        </w:rPr>
        <w:t>de pontuada</w:t>
      </w:r>
      <w:r>
        <w:rPr/>
        <w:t> </w:t>
      </w:r>
      <w:r>
        <w:rPr>
          <w:spacing w:val="-14"/>
        </w:rPr>
        <w:t> </w:t>
      </w:r>
      <w:r>
        <w:rPr>
          <w:spacing w:val="-1"/>
          <w:w w:val="100"/>
        </w:rPr>
        <w:t>c</w:t>
      </w:r>
      <w:r>
        <w:rPr>
          <w:w w:val="100"/>
        </w:rPr>
        <w:t>omo </w:t>
      </w:r>
      <w:r>
        <w:rPr>
          <w:spacing w:val="-12"/>
          <w:w w:val="100"/>
        </w:rPr>
        <w:t> </w:t>
      </w:r>
      <w:r>
        <w:rPr>
          <w:w w:val="100"/>
        </w:rPr>
        <w:t>p</w:t>
      </w:r>
      <w:r>
        <w:rPr>
          <w:spacing w:val="-1"/>
          <w:w w:val="100"/>
        </w:rPr>
        <w:t>r</w:t>
      </w:r>
      <w:r>
        <w:rPr>
          <w:spacing w:val="2"/>
          <w:w w:val="100"/>
        </w:rPr>
        <w:t>o</w:t>
      </w:r>
      <w:r>
        <w:rPr>
          <w:spacing w:val="-1"/>
          <w:w w:val="100"/>
        </w:rPr>
        <w:t>ce</w:t>
      </w:r>
      <w:r>
        <w:rPr>
          <w:w w:val="99"/>
        </w:rPr>
        <w:t>s</w:t>
      </w:r>
      <w:r>
        <w:rPr>
          <w:spacing w:val="2"/>
          <w:w w:val="99"/>
        </w:rPr>
        <w:t>s</w:t>
      </w:r>
      <w:r>
        <w:rPr/>
        <w:t>o </w:t>
      </w:r>
      <w:r>
        <w:rPr>
          <w:spacing w:val="-13"/>
        </w:rPr>
        <w:t> </w:t>
      </w:r>
      <w:r>
        <w:rPr>
          <w:w w:val="100"/>
        </w:rPr>
        <w:t>que </w:t>
      </w:r>
      <w:r>
        <w:rPr>
          <w:spacing w:val="-14"/>
          <w:w w:val="100"/>
        </w:rPr>
        <w:t> </w:t>
      </w:r>
      <w:r>
        <w:rPr>
          <w:w w:val="100"/>
        </w:rPr>
        <w:t>busca </w:t>
      </w:r>
      <w:r>
        <w:rPr>
          <w:spacing w:val="-12"/>
          <w:w w:val="100"/>
        </w:rPr>
        <w:t> </w:t>
      </w:r>
      <w:r>
        <w:rPr>
          <w:spacing w:val="-1"/>
          <w:w w:val="44"/>
        </w:rPr>
        <w:t>―</w:t>
      </w:r>
      <w:r>
        <w:rPr>
          <w:spacing w:val="-1"/>
          <w:w w:val="100"/>
        </w:rPr>
        <w:t>c</w:t>
      </w:r>
      <w:r>
        <w:rPr>
          <w:w w:val="100"/>
        </w:rPr>
        <w:t>onh</w:t>
      </w:r>
      <w:r>
        <w:rPr>
          <w:spacing w:val="1"/>
          <w:w w:val="100"/>
        </w:rPr>
        <w:t>e</w:t>
      </w:r>
      <w:r>
        <w:rPr>
          <w:spacing w:val="-1"/>
          <w:w w:val="100"/>
        </w:rPr>
        <w:t>c</w:t>
      </w:r>
      <w:r>
        <w:rPr>
          <w:spacing w:val="1"/>
          <w:w w:val="100"/>
        </w:rPr>
        <w:t>e</w:t>
      </w:r>
      <w:r>
        <w:rPr>
          <w:w w:val="99"/>
        </w:rPr>
        <w:t>r </w:t>
      </w:r>
      <w:r>
        <w:rPr>
          <w:spacing w:val="-11"/>
          <w:w w:val="99"/>
        </w:rPr>
        <w:t> </w:t>
      </w:r>
      <w:r>
        <w:rPr>
          <w:w w:val="100"/>
        </w:rPr>
        <w:t>e</w:t>
      </w:r>
      <w:r>
        <w:rPr/>
        <w:t> </w:t>
      </w:r>
      <w:r>
        <w:rPr>
          <w:spacing w:val="-14"/>
        </w:rPr>
        <w:t> </w:t>
      </w:r>
      <w:r>
        <w:rPr>
          <w:w w:val="100"/>
        </w:rPr>
        <w:t>discuti</w:t>
      </w:r>
      <w:r>
        <w:rPr>
          <w:w w:val="99"/>
        </w:rPr>
        <w:t>r </w:t>
      </w:r>
      <w:r>
        <w:rPr>
          <w:spacing w:val="-13"/>
          <w:w w:val="99"/>
        </w:rPr>
        <w:t> </w:t>
      </w:r>
      <w:r>
        <w:rPr>
          <w:spacing w:val="-1"/>
          <w:w w:val="100"/>
        </w:rPr>
        <w:t>a</w:t>
      </w:r>
      <w:r>
        <w:rPr>
          <w:w w:val="99"/>
        </w:rPr>
        <w:t>s</w:t>
      </w:r>
      <w:r>
        <w:rPr/>
        <w:t> </w:t>
      </w:r>
      <w:r>
        <w:rPr>
          <w:spacing w:val="-12"/>
        </w:rPr>
        <w:t> </w:t>
      </w:r>
      <w:r>
        <w:rPr/>
        <w:t>p</w:t>
      </w:r>
      <w:r>
        <w:rPr>
          <w:spacing w:val="-1"/>
        </w:rPr>
        <w:t>r</w:t>
      </w:r>
      <w:r>
        <w:rPr/>
        <w:t>opost</w:t>
      </w:r>
      <w:r>
        <w:rPr>
          <w:spacing w:val="-1"/>
          <w:w w:val="100"/>
        </w:rPr>
        <w:t>a</w:t>
      </w:r>
      <w:r>
        <w:rPr>
          <w:w w:val="99"/>
        </w:rPr>
        <w:t>s</w:t>
      </w:r>
      <w:r>
        <w:rPr/>
        <w:t> </w:t>
      </w:r>
      <w:r>
        <w:rPr>
          <w:spacing w:val="-10"/>
        </w:rPr>
        <w:t> </w:t>
      </w:r>
      <w:r>
        <w:rPr>
          <w:w w:val="100"/>
        </w:rPr>
        <w:t>p</w:t>
      </w:r>
      <w:r>
        <w:rPr>
          <w:spacing w:val="-1"/>
          <w:w w:val="100"/>
        </w:rPr>
        <w:t>e</w:t>
      </w:r>
      <w:r>
        <w:rPr>
          <w:w w:val="100"/>
        </w:rPr>
        <w:t>d</w:t>
      </w:r>
      <w:r>
        <w:rPr>
          <w:spacing w:val="1"/>
          <w:w w:val="100"/>
        </w:rPr>
        <w:t>a</w:t>
      </w:r>
      <w:r>
        <w:rPr>
          <w:spacing w:val="-3"/>
        </w:rPr>
        <w:t>g</w:t>
      </w:r>
      <w:r>
        <w:rPr>
          <w:spacing w:val="2"/>
        </w:rPr>
        <w:t>ó</w:t>
      </w:r>
      <w:r>
        <w:rPr>
          <w:spacing w:val="-3"/>
        </w:rPr>
        <w:t>g</w:t>
      </w:r>
      <w:r>
        <w:rPr>
          <w:w w:val="100"/>
        </w:rPr>
        <w:t>ic</w:t>
      </w:r>
      <w:r>
        <w:rPr>
          <w:spacing w:val="-2"/>
          <w:w w:val="100"/>
        </w:rPr>
        <w:t>a</w:t>
      </w:r>
      <w:r>
        <w:rPr>
          <w:spacing w:val="2"/>
          <w:w w:val="99"/>
        </w:rPr>
        <w:t>s</w:t>
      </w:r>
      <w:r>
        <w:rPr>
          <w:spacing w:val="-1"/>
          <w:w w:val="158"/>
        </w:rPr>
        <w:t>‖</w:t>
      </w:r>
      <w:r>
        <w:rPr>
          <w:w w:val="100"/>
        </w:rPr>
        <w:t>;</w:t>
      </w:r>
    </w:p>
    <w:p>
      <w:pPr>
        <w:pStyle w:val="BodyText"/>
        <w:spacing w:before="3"/>
        <w:ind w:left="102"/>
        <w:jc w:val="both"/>
      </w:pPr>
      <w:r>
        <w:rPr>
          <w:spacing w:val="-1"/>
          <w:w w:val="44"/>
        </w:rPr>
        <w:t>―</w:t>
      </w:r>
      <w:r>
        <w:rPr>
          <w:w w:val="99"/>
        </w:rPr>
        <w:t>Disc</w:t>
      </w:r>
      <w:r>
        <w:rPr>
          <w:spacing w:val="-1"/>
          <w:w w:val="99"/>
        </w:rPr>
        <w:t>u</w:t>
      </w:r>
      <w:r>
        <w:rPr>
          <w:w w:val="100"/>
        </w:rPr>
        <w:t>ti</w:t>
      </w:r>
      <w:r>
        <w:rPr>
          <w:w w:val="99"/>
        </w:rPr>
        <w:t>r </w:t>
      </w:r>
      <w:r>
        <w:rPr>
          <w:w w:val="100"/>
        </w:rPr>
        <w:t>e</w:t>
      </w:r>
      <w:r>
        <w:rPr/>
        <w:t> </w:t>
      </w:r>
      <w:r>
        <w:rPr>
          <w:spacing w:val="-1"/>
          <w:w w:val="100"/>
        </w:rPr>
        <w:t>e</w:t>
      </w:r>
      <w:r>
        <w:rPr>
          <w:w w:val="100"/>
        </w:rPr>
        <w:t>l</w:t>
      </w:r>
      <w:r>
        <w:rPr>
          <w:spacing w:val="1"/>
          <w:w w:val="100"/>
        </w:rPr>
        <w:t>e</w:t>
      </w:r>
      <w:r>
        <w:rPr>
          <w:w w:val="100"/>
        </w:rPr>
        <w:t>g</w:t>
      </w:r>
      <w:r>
        <w:rPr>
          <w:spacing w:val="-1"/>
          <w:w w:val="100"/>
        </w:rPr>
        <w:t>e</w:t>
      </w:r>
      <w:r>
        <w:rPr>
          <w:w w:val="99"/>
        </w:rPr>
        <w:t>r p</w:t>
      </w:r>
      <w:r>
        <w:rPr>
          <w:spacing w:val="-2"/>
          <w:w w:val="99"/>
        </w:rPr>
        <w:t>r</w:t>
      </w:r>
      <w:r>
        <w:rPr>
          <w:w w:val="100"/>
        </w:rPr>
        <w:t>i</w:t>
      </w:r>
      <w:r>
        <w:rPr>
          <w:spacing w:val="2"/>
          <w:w w:val="100"/>
        </w:rPr>
        <w:t>o</w:t>
      </w:r>
      <w:r>
        <w:rPr>
          <w:w w:val="100"/>
        </w:rPr>
        <w:t>rid</w:t>
      </w:r>
      <w:r>
        <w:rPr>
          <w:spacing w:val="-2"/>
          <w:w w:val="100"/>
        </w:rPr>
        <w:t>a</w:t>
      </w:r>
      <w:r>
        <w:rPr>
          <w:w w:val="100"/>
        </w:rPr>
        <w:t>d</w:t>
      </w:r>
      <w:r>
        <w:rPr>
          <w:spacing w:val="-1"/>
          <w:w w:val="100"/>
        </w:rPr>
        <w:t>e</w:t>
      </w:r>
      <w:r>
        <w:rPr>
          <w:w w:val="124"/>
        </w:rPr>
        <w:t>s</w:t>
      </w:r>
      <w:r>
        <w:rPr>
          <w:spacing w:val="-1"/>
          <w:w w:val="124"/>
        </w:rPr>
        <w:t>‖</w:t>
      </w:r>
      <w:r>
        <w:rPr>
          <w:w w:val="100"/>
        </w:rPr>
        <w:t>;</w:t>
      </w:r>
      <w:r>
        <w:rPr>
          <w:spacing w:val="2"/>
        </w:rPr>
        <w:t> </w:t>
      </w:r>
      <w:r>
        <w:rPr>
          <w:spacing w:val="-1"/>
          <w:w w:val="44"/>
        </w:rPr>
        <w:t>―</w:t>
      </w:r>
      <w:r>
        <w:rPr>
          <w:w w:val="99"/>
        </w:rPr>
        <w:t>D</w:t>
      </w:r>
      <w:r>
        <w:rPr>
          <w:spacing w:val="-2"/>
          <w:w w:val="99"/>
        </w:rPr>
        <w:t>e</w:t>
      </w:r>
      <w:r>
        <w:rPr>
          <w:w w:val="100"/>
        </w:rPr>
        <w:t>finir</w:t>
      </w:r>
      <w:r>
        <w:rPr>
          <w:spacing w:val="1"/>
        </w:rPr>
        <w:t> </w:t>
      </w:r>
      <w:r>
        <w:rPr>
          <w:w w:val="100"/>
        </w:rPr>
        <w:t>dir</w:t>
      </w:r>
      <w:r>
        <w:rPr>
          <w:spacing w:val="-2"/>
          <w:w w:val="100"/>
        </w:rPr>
        <w:t>e</w:t>
      </w:r>
      <w:r>
        <w:rPr>
          <w:w w:val="100"/>
        </w:rPr>
        <w:t>tri</w:t>
      </w:r>
      <w:r>
        <w:rPr>
          <w:spacing w:val="1"/>
          <w:w w:val="100"/>
        </w:rPr>
        <w:t>z</w:t>
      </w:r>
      <w:r>
        <w:rPr>
          <w:spacing w:val="-1"/>
          <w:w w:val="100"/>
        </w:rPr>
        <w:t>e</w:t>
      </w:r>
      <w:r>
        <w:rPr>
          <w:spacing w:val="4"/>
          <w:w w:val="99"/>
        </w:rPr>
        <w:t>s</w:t>
      </w:r>
      <w:r>
        <w:rPr/>
        <w:t>, objetivos e</w:t>
      </w:r>
      <w:r>
        <w:rPr>
          <w:spacing w:val="-1"/>
        </w:rPr>
        <w:t> </w:t>
      </w:r>
      <w:r>
        <w:rPr/>
        <w:t>met</w:t>
      </w:r>
      <w:r>
        <w:rPr>
          <w:spacing w:val="-1"/>
        </w:rPr>
        <w:t>a</w:t>
      </w:r>
      <w:r>
        <w:rPr>
          <w:w w:val="99"/>
        </w:rPr>
        <w:t>s</w:t>
      </w:r>
      <w:r>
        <w:rPr>
          <w:spacing w:val="2"/>
        </w:rPr>
        <w:t> </w:t>
      </w:r>
      <w:r>
        <w:rPr/>
        <w:t>p</w:t>
      </w:r>
      <w:r>
        <w:rPr>
          <w:spacing w:val="-1"/>
        </w:rPr>
        <w:t>a</w:t>
      </w:r>
      <w:r>
        <w:rPr>
          <w:spacing w:val="1"/>
        </w:rPr>
        <w:t>r</w:t>
      </w:r>
      <w:r>
        <w:rPr/>
        <w:t>a</w:t>
      </w:r>
      <w:r>
        <w:rPr>
          <w:spacing w:val="-1"/>
        </w:rPr>
        <w:t> </w:t>
      </w:r>
      <w:r>
        <w:rPr/>
        <w:t>a</w:t>
      </w:r>
      <w:r>
        <w:rPr>
          <w:spacing w:val="1"/>
        </w:rPr>
        <w:t> </w:t>
      </w:r>
      <w:r>
        <w:rPr>
          <w:spacing w:val="-1"/>
        </w:rPr>
        <w:t>e</w:t>
      </w:r>
      <w:r>
        <w:rPr/>
        <w:t>du</w:t>
      </w:r>
      <w:r>
        <w:rPr>
          <w:spacing w:val="-1"/>
        </w:rPr>
        <w:t>c</w:t>
      </w:r>
      <w:r>
        <w:rPr>
          <w:spacing w:val="1"/>
        </w:rPr>
        <w:t>a</w:t>
      </w:r>
      <w:r>
        <w:rPr>
          <w:spacing w:val="-1"/>
        </w:rPr>
        <w:t>çã</w:t>
      </w:r>
      <w:r>
        <w:rPr/>
        <w:t>o</w:t>
      </w:r>
      <w:r>
        <w:rPr>
          <w:spacing w:val="2"/>
        </w:rPr>
        <w:t> </w:t>
      </w:r>
      <w:r>
        <w:rPr/>
        <w:t>do</w:t>
      </w:r>
    </w:p>
    <w:p>
      <w:pPr>
        <w:spacing w:after="0"/>
        <w:jc w:val="both"/>
        <w:sectPr>
          <w:pgSz w:w="11910" w:h="16840"/>
          <w:pgMar w:header="749" w:footer="0" w:top="960" w:bottom="280" w:left="1600" w:right="1580"/>
        </w:sectPr>
      </w:pPr>
    </w:p>
    <w:p>
      <w:pPr>
        <w:pStyle w:val="BodyText"/>
        <w:rPr>
          <w:sz w:val="20"/>
        </w:rPr>
      </w:pPr>
    </w:p>
    <w:p>
      <w:pPr>
        <w:pStyle w:val="BodyText"/>
        <w:spacing w:line="362" w:lineRule="auto" w:before="210"/>
        <w:ind w:left="102"/>
      </w:pPr>
      <w:r>
        <w:rPr/>
        <w:t>Muni</w:t>
      </w:r>
      <w:r>
        <w:rPr>
          <w:w w:val="100"/>
        </w:rPr>
        <w:t>cípi</w:t>
      </w:r>
      <w:r>
        <w:rPr>
          <w:w w:val="120"/>
        </w:rPr>
        <w:t>o‖</w:t>
      </w:r>
      <w:r>
        <w:rPr>
          <w:w w:val="100"/>
        </w:rPr>
        <w:t>;</w:t>
      </w:r>
      <w:r>
        <w:rPr/>
        <w:t> </w:t>
      </w:r>
      <w:r>
        <w:rPr>
          <w:w w:val="44"/>
        </w:rPr>
        <w:t>―</w:t>
      </w:r>
      <w:r>
        <w:rPr>
          <w:w w:val="99"/>
        </w:rPr>
        <w:t>Ava</w:t>
      </w:r>
      <w:r>
        <w:rPr>
          <w:w w:val="100"/>
        </w:rPr>
        <w:t>li</w:t>
      </w:r>
      <w:r>
        <w:rPr>
          <w:w w:val="100"/>
        </w:rPr>
        <w:t>a</w:t>
      </w:r>
      <w:r>
        <w:rPr>
          <w:w w:val="99"/>
        </w:rPr>
        <w:t>r </w:t>
      </w:r>
      <w:r>
        <w:rPr>
          <w:w w:val="100"/>
        </w:rPr>
        <w:t>a</w:t>
      </w:r>
      <w:r>
        <w:rPr/>
        <w:t> </w:t>
      </w:r>
      <w:r>
        <w:rPr>
          <w:w w:val="100"/>
        </w:rPr>
        <w:t>implementaçã</w:t>
      </w:r>
      <w:r>
        <w:rPr/>
        <w:t>o [do </w:t>
      </w:r>
      <w:r>
        <w:rPr>
          <w:w w:val="99"/>
        </w:rPr>
        <w:t>P</w:t>
      </w:r>
      <w:r>
        <w:rPr>
          <w:w w:val="107"/>
        </w:rPr>
        <w:t>ME]‖</w:t>
      </w:r>
      <w:r>
        <w:rPr/>
        <w:t> </w:t>
      </w:r>
      <w:r>
        <w:rPr>
          <w:w w:val="100"/>
        </w:rPr>
        <w:t>e</w:t>
      </w:r>
      <w:r>
        <w:rPr>
          <w:w w:val="100"/>
        </w:rPr>
        <w:t>;</w:t>
      </w:r>
      <w:r>
        <w:rPr/>
        <w:t> </w:t>
      </w:r>
      <w:r>
        <w:rPr>
          <w:w w:val="100"/>
        </w:rPr>
        <w:t>a</w:t>
      </w:r>
      <w:r>
        <w:rPr/>
        <w:t> </w:t>
      </w:r>
      <w:r>
        <w:rPr>
          <w:w w:val="44"/>
        </w:rPr>
        <w:t>―</w:t>
      </w:r>
      <w:r>
        <w:rPr>
          <w:w w:val="100"/>
        </w:rPr>
        <w:t>re</w:t>
      </w:r>
      <w:r>
        <w:rPr>
          <w:w w:val="100"/>
        </w:rPr>
        <w:t>visão </w:t>
      </w:r>
      <w:r>
        <w:rPr>
          <w:w w:val="100"/>
        </w:rPr>
        <w:t>e</w:t>
      </w:r>
      <w:r>
        <w:rPr/>
        <w:t> </w:t>
      </w:r>
      <w:r>
        <w:rPr>
          <w:w w:val="100"/>
        </w:rPr>
        <w:t>atualizaçã</w:t>
      </w:r>
      <w:r>
        <w:rPr/>
        <w:t>o do </w:t>
      </w:r>
      <w:r>
        <w:rPr>
          <w:w w:val="99"/>
        </w:rPr>
        <w:t>P</w:t>
      </w:r>
      <w:r>
        <w:rPr>
          <w:w w:val="100"/>
        </w:rPr>
        <w:t>lano </w:t>
      </w:r>
      <w:r>
        <w:rPr/>
        <w:t>Municipal de Educação‖.</w:t>
      </w:r>
    </w:p>
    <w:p>
      <w:pPr>
        <w:pStyle w:val="BodyText"/>
        <w:spacing w:line="360" w:lineRule="auto"/>
        <w:ind w:left="102" w:right="117" w:firstLine="851"/>
        <w:jc w:val="both"/>
      </w:pPr>
      <w:r>
        <w:rPr/>
        <w:t>Entretanto, ainda paira uma dúvida na interpretação de sua intencionalidade, qu</w:t>
      </w:r>
      <w:r>
        <w:rPr>
          <w:spacing w:val="-1"/>
        </w:rPr>
        <w:t>a</w:t>
      </w:r>
      <w:r>
        <w:rPr/>
        <w:t>ndo  o  </w:t>
      </w:r>
      <w:r>
        <w:rPr>
          <w:w w:val="99"/>
        </w:rPr>
        <w:t>Do</w:t>
      </w:r>
      <w:r>
        <w:rPr>
          <w:spacing w:val="-2"/>
          <w:w w:val="99"/>
        </w:rPr>
        <w:t>c</w:t>
      </w:r>
      <w:r>
        <w:rPr/>
        <w:t>umento </w:t>
      </w:r>
      <w:r>
        <w:rPr>
          <w:spacing w:val="-1"/>
        </w:rPr>
        <w:t> a</w:t>
      </w:r>
      <w:r>
        <w:rPr/>
        <w:t>fi</w:t>
      </w:r>
      <w:r>
        <w:rPr>
          <w:spacing w:val="-1"/>
        </w:rPr>
        <w:t>r</w:t>
      </w:r>
      <w:r>
        <w:rPr/>
        <w:t>ma  que  a  Conf</w:t>
      </w:r>
      <w:r>
        <w:rPr>
          <w:spacing w:val="-2"/>
        </w:rPr>
        <w:t>e</w:t>
      </w:r>
      <w:r>
        <w:rPr>
          <w:w w:val="100"/>
        </w:rPr>
        <w:t>r</w:t>
      </w:r>
      <w:r>
        <w:rPr>
          <w:spacing w:val="-2"/>
          <w:w w:val="100"/>
        </w:rPr>
        <w:t>ê</w:t>
      </w:r>
      <w:r>
        <w:rPr>
          <w:spacing w:val="2"/>
        </w:rPr>
        <w:t>n</w:t>
      </w:r>
      <w:r>
        <w:rPr>
          <w:spacing w:val="-1"/>
          <w:w w:val="100"/>
        </w:rPr>
        <w:t>c</w:t>
      </w:r>
      <w:r>
        <w:rPr>
          <w:w w:val="100"/>
        </w:rPr>
        <w:t>ia</w:t>
      </w:r>
      <w:r>
        <w:rPr/>
        <w:t>  </w:t>
      </w:r>
      <w:r>
        <w:rPr>
          <w:w w:val="44"/>
        </w:rPr>
        <w:t>―</w:t>
      </w:r>
      <w:r>
        <w:rPr>
          <w:w w:val="99"/>
        </w:rPr>
        <w:t>No</w:t>
      </w:r>
      <w:r>
        <w:rPr/>
        <w:t>  </w:t>
      </w:r>
      <w:r>
        <w:rPr>
          <w:w w:val="100"/>
        </w:rPr>
        <w:t>â</w:t>
      </w:r>
      <w:r>
        <w:rPr>
          <w:w w:val="100"/>
        </w:rPr>
        <w:t>mbito</w:t>
      </w:r>
      <w:r>
        <w:rPr/>
        <w:t>  do  </w:t>
      </w:r>
      <w:r>
        <w:rPr>
          <w:w w:val="99"/>
        </w:rPr>
        <w:t>si</w:t>
      </w:r>
      <w:r>
        <w:rPr>
          <w:spacing w:val="-2"/>
          <w:w w:val="99"/>
        </w:rPr>
        <w:t>s</w:t>
      </w:r>
      <w:r>
        <w:rPr>
          <w:w w:val="100"/>
        </w:rPr>
        <w:t>tema</w:t>
      </w:r>
      <w:r>
        <w:rPr/>
        <w:t>  </w:t>
      </w:r>
      <w:r>
        <w:rPr>
          <w:w w:val="100"/>
        </w:rPr>
        <w:t>de</w:t>
      </w:r>
      <w:r>
        <w:rPr/>
        <w:t>  </w:t>
      </w:r>
      <w:r>
        <w:rPr>
          <w:spacing w:val="-1"/>
          <w:w w:val="100"/>
        </w:rPr>
        <w:t>e</w:t>
      </w:r>
      <w:r>
        <w:rPr/>
        <w:t>nsino transforma as escolas em verdadeiros fóruns para discutir o ensino e a educação no amplo entrelace </w:t>
      </w:r>
      <w:r>
        <w:rPr>
          <w:b/>
        </w:rPr>
        <w:t>das questões quotidianas</w:t>
      </w:r>
      <w:r>
        <w:rPr/>
        <w:t>‖ (BRASIL, 2005c, p. 11). (Grifos nossos) Isto é, esta assertiva permite inferir que as Conferências não sejam compreendidas neste Documento, também, como espaços de aperfeiçoamento e de conhecimento da população, desse modo, limitando o seu conceito? Assim, novamente, poderíamos indagar se seria uma simples confusão teórico-conceitual do Caderno, o que não acreditamos (SHIROMA; CAMPOS; GARCIA, 2005).</w:t>
      </w:r>
    </w:p>
    <w:p>
      <w:pPr>
        <w:pStyle w:val="BodyText"/>
        <w:rPr>
          <w:sz w:val="26"/>
        </w:rPr>
      </w:pPr>
    </w:p>
    <w:p>
      <w:pPr>
        <w:pStyle w:val="BodyText"/>
        <w:rPr>
          <w:sz w:val="26"/>
        </w:rPr>
      </w:pPr>
    </w:p>
    <w:p>
      <w:pPr>
        <w:pStyle w:val="BodyText"/>
        <w:spacing w:before="10"/>
        <w:rPr>
          <w:sz w:val="20"/>
        </w:rPr>
      </w:pPr>
    </w:p>
    <w:p>
      <w:pPr>
        <w:pStyle w:val="Heading2"/>
        <w:numPr>
          <w:ilvl w:val="2"/>
          <w:numId w:val="19"/>
        </w:numPr>
        <w:tabs>
          <w:tab w:pos="643" w:val="left" w:leader="none"/>
        </w:tabs>
        <w:spacing w:line="240" w:lineRule="auto" w:before="0" w:after="0"/>
        <w:ind w:left="642" w:right="0" w:hanging="540"/>
        <w:jc w:val="left"/>
        <w:rPr>
          <w:i/>
        </w:rPr>
      </w:pPr>
      <w:bookmarkStart w:name="_TOC_250016" w:id="1"/>
      <w:r>
        <w:rPr>
          <w:i/>
        </w:rPr>
        <w:t>Contexto de elaboração, aprovação e implementação do PNE</w:t>
      </w:r>
      <w:r>
        <w:rPr>
          <w:i/>
          <w:spacing w:val="-9"/>
        </w:rPr>
        <w:t> </w:t>
      </w:r>
      <w:bookmarkEnd w:id="1"/>
      <w:r>
        <w:rPr>
          <w:i/>
        </w:rPr>
        <w:t>2014-2024</w:t>
      </w:r>
    </w:p>
    <w:p>
      <w:pPr>
        <w:pStyle w:val="BodyText"/>
        <w:rPr>
          <w:b/>
          <w:i/>
          <w:sz w:val="26"/>
        </w:rPr>
      </w:pPr>
    </w:p>
    <w:p>
      <w:pPr>
        <w:pStyle w:val="BodyText"/>
        <w:spacing w:before="6"/>
        <w:rPr>
          <w:b/>
          <w:i/>
          <w:sz w:val="21"/>
        </w:rPr>
      </w:pPr>
    </w:p>
    <w:p>
      <w:pPr>
        <w:pStyle w:val="BodyText"/>
        <w:spacing w:line="360" w:lineRule="auto"/>
        <w:ind w:left="102" w:right="117" w:firstLine="851"/>
        <w:jc w:val="both"/>
      </w:pPr>
      <w:r>
        <w:rPr/>
        <w:t>No contexto da realização das duas Conferências Nacionais de Educação (Conae) do século XXI, 2010 (BRASIL, 2010) e 2014 (BRASIL, 2014b), os PMEs são situados como elementos para a consecução das diretrizes e metas do PNE, sendo espaços de definição de políticas de Estado.</w:t>
      </w:r>
    </w:p>
    <w:p>
      <w:pPr>
        <w:pStyle w:val="BodyText"/>
        <w:spacing w:line="360" w:lineRule="auto" w:before="6"/>
        <w:ind w:left="102" w:right="116" w:firstLine="851"/>
        <w:jc w:val="both"/>
      </w:pPr>
      <w:r>
        <w:rPr/>
        <w:t>Tomando a Conae 2010 como espaço de estudos, discussões e disputas, assim como considerando que suas deliberações pautaram as bases para o PNE 2014-2024, a proposta do Governo Federal, apresentada em dezembro de 2010, ao Congresso </w:t>
      </w:r>
      <w:r>
        <w:rPr>
          <w:w w:val="99"/>
        </w:rPr>
        <w:t>N</w:t>
      </w:r>
      <w:r>
        <w:rPr>
          <w:spacing w:val="-2"/>
          <w:w w:val="99"/>
        </w:rPr>
        <w:t>a</w:t>
      </w:r>
      <w:r>
        <w:rPr>
          <w:spacing w:val="-1"/>
          <w:w w:val="100"/>
        </w:rPr>
        <w:t>c</w:t>
      </w:r>
      <w:r>
        <w:rPr>
          <w:w w:val="100"/>
        </w:rPr>
        <w:t>ional,</w:t>
      </w:r>
      <w:r>
        <w:rPr/>
        <w:t> </w:t>
      </w:r>
      <w:r>
        <w:rPr>
          <w:spacing w:val="-22"/>
        </w:rPr>
        <w:t> </w:t>
      </w:r>
      <w:r>
        <w:rPr/>
        <w:t>s</w:t>
      </w:r>
      <w:r>
        <w:rPr>
          <w:spacing w:val="1"/>
        </w:rPr>
        <w:t>e</w:t>
      </w:r>
      <w:r>
        <w:rPr>
          <w:spacing w:val="-3"/>
        </w:rPr>
        <w:t>g</w:t>
      </w:r>
      <w:r>
        <w:rPr/>
        <w:t>undo </w:t>
      </w:r>
      <w:r>
        <w:rPr>
          <w:spacing w:val="-22"/>
        </w:rPr>
        <w:t> </w:t>
      </w:r>
      <w:r>
        <w:rPr>
          <w:w w:val="100"/>
        </w:rPr>
        <w:t>a</w:t>
      </w:r>
      <w:r>
        <w:rPr/>
        <w:t> </w:t>
      </w:r>
      <w:r>
        <w:rPr>
          <w:spacing w:val="-23"/>
        </w:rPr>
        <w:t> </w:t>
      </w:r>
      <w:r>
        <w:rPr>
          <w:w w:val="99"/>
        </w:rPr>
        <w:t>A</w:t>
      </w:r>
      <w:r>
        <w:rPr>
          <w:spacing w:val="1"/>
          <w:w w:val="99"/>
        </w:rPr>
        <w:t>n</w:t>
      </w:r>
      <w:r>
        <w:rPr>
          <w:w w:val="100"/>
        </w:rPr>
        <w:t>p</w:t>
      </w:r>
      <w:r>
        <w:rPr>
          <w:spacing w:val="-1"/>
          <w:w w:val="100"/>
        </w:rPr>
        <w:t>e</w:t>
      </w:r>
      <w:r>
        <w:rPr/>
        <w:t>d </w:t>
      </w:r>
      <w:r>
        <w:rPr>
          <w:spacing w:val="-22"/>
        </w:rPr>
        <w:t> </w:t>
      </w:r>
      <w:r>
        <w:rPr/>
        <w:t>(201</w:t>
      </w:r>
      <w:r>
        <w:rPr>
          <w:spacing w:val="-1"/>
        </w:rPr>
        <w:t>1</w:t>
      </w:r>
      <w:r>
        <w:rPr/>
        <w:t>, </w:t>
      </w:r>
      <w:r>
        <w:rPr>
          <w:spacing w:val="-22"/>
        </w:rPr>
        <w:t> </w:t>
      </w:r>
      <w:r>
        <w:rPr/>
        <w:t>p, </w:t>
      </w:r>
      <w:r>
        <w:rPr>
          <w:spacing w:val="-22"/>
        </w:rPr>
        <w:t> </w:t>
      </w:r>
      <w:r>
        <w:rPr/>
        <w:t>484), </w:t>
      </w:r>
      <w:r>
        <w:rPr>
          <w:spacing w:val="-23"/>
        </w:rPr>
        <w:t> </w:t>
      </w:r>
      <w:r>
        <w:rPr>
          <w:spacing w:val="-1"/>
          <w:w w:val="44"/>
        </w:rPr>
        <w:t>―</w:t>
      </w:r>
      <w:r>
        <w:rPr>
          <w:w w:val="100"/>
        </w:rPr>
        <w:t>n</w:t>
      </w:r>
      <w:r>
        <w:rPr>
          <w:spacing w:val="-1"/>
          <w:w w:val="100"/>
        </w:rPr>
        <w:t>ã</w:t>
      </w:r>
      <w:r>
        <w:rPr/>
        <w:t>o </w:t>
      </w:r>
      <w:r>
        <w:rPr>
          <w:spacing w:val="-22"/>
        </w:rPr>
        <w:t> </w:t>
      </w:r>
      <w:r>
        <w:rPr>
          <w:w w:val="100"/>
        </w:rPr>
        <w:t>r</w:t>
      </w:r>
      <w:r>
        <w:rPr>
          <w:spacing w:val="-2"/>
          <w:w w:val="100"/>
        </w:rPr>
        <w:t>e</w:t>
      </w:r>
      <w:r>
        <w:rPr>
          <w:w w:val="100"/>
        </w:rPr>
        <w:t>fl</w:t>
      </w:r>
      <w:r>
        <w:rPr>
          <w:spacing w:val="-2"/>
          <w:w w:val="100"/>
        </w:rPr>
        <w:t>e</w:t>
      </w:r>
      <w:r>
        <w:rPr>
          <w:w w:val="100"/>
        </w:rPr>
        <w:t>ti</w:t>
      </w:r>
      <w:r>
        <w:rPr/>
        <w:t>u </w:t>
      </w:r>
      <w:r>
        <w:rPr>
          <w:spacing w:val="-22"/>
        </w:rPr>
        <w:t> </w:t>
      </w:r>
      <w:r>
        <w:rPr/>
        <w:t>o </w:t>
      </w:r>
      <w:r>
        <w:rPr>
          <w:spacing w:val="-22"/>
        </w:rPr>
        <w:t> </w:t>
      </w:r>
      <w:r>
        <w:rPr>
          <w:spacing w:val="-1"/>
          <w:w w:val="100"/>
        </w:rPr>
        <w:t>c</w:t>
      </w:r>
      <w:r>
        <w:rPr>
          <w:w w:val="100"/>
        </w:rPr>
        <w:t>onjunt</w:t>
      </w:r>
      <w:r>
        <w:rPr/>
        <w:t>o </w:t>
      </w:r>
      <w:r>
        <w:rPr>
          <w:spacing w:val="-22"/>
        </w:rPr>
        <w:t> </w:t>
      </w:r>
      <w:r>
        <w:rPr>
          <w:w w:val="100"/>
        </w:rPr>
        <w:t>d</w:t>
      </w:r>
      <w:r>
        <w:rPr>
          <w:spacing w:val="-1"/>
          <w:w w:val="100"/>
        </w:rPr>
        <w:t>a</w:t>
      </w:r>
      <w:r>
        <w:rPr>
          <w:w w:val="99"/>
        </w:rPr>
        <w:t>s</w:t>
      </w:r>
      <w:r>
        <w:rPr/>
        <w:t> </w:t>
      </w:r>
      <w:r>
        <w:rPr>
          <w:spacing w:val="-22"/>
        </w:rPr>
        <w:t> </w:t>
      </w:r>
      <w:r>
        <w:rPr>
          <w:w w:val="100"/>
        </w:rPr>
        <w:t>d</w:t>
      </w:r>
      <w:r>
        <w:rPr>
          <w:spacing w:val="-1"/>
          <w:w w:val="100"/>
        </w:rPr>
        <w:t>e</w:t>
      </w:r>
      <w:r>
        <w:rPr>
          <w:spacing w:val="-1"/>
          <w:w w:val="100"/>
        </w:rPr>
        <w:t>c</w:t>
      </w:r>
      <w:r>
        <w:rPr/>
        <w:t>isões </w:t>
      </w:r>
      <w:r>
        <w:rPr>
          <w:spacing w:val="-22"/>
        </w:rPr>
        <w:t> </w:t>
      </w:r>
      <w:r>
        <w:rPr>
          <w:w w:val="100"/>
        </w:rPr>
        <w:t>da </w:t>
      </w:r>
      <w:r>
        <w:rPr/>
        <w:t>CONAE. Os avanços contidos no documento final da CONAE, resultado dos debates e disputas internas ocorridos no espaço democrático de discussão que esta possibilitou, não foram, em sua maioria, contemplados no PL n. 8.035/2010 [...].‖ Nesse sentido, </w:t>
      </w:r>
      <w:r>
        <w:rPr>
          <w:spacing w:val="-1"/>
          <w:w w:val="100"/>
        </w:rPr>
        <w:t>c</w:t>
      </w:r>
      <w:r>
        <w:rPr>
          <w:w w:val="100"/>
        </w:rPr>
        <w:t>ompl</w:t>
      </w:r>
      <w:r>
        <w:rPr>
          <w:spacing w:val="-1"/>
          <w:w w:val="100"/>
        </w:rPr>
        <w:t>e</w:t>
      </w:r>
      <w:r>
        <w:rPr>
          <w:w w:val="100"/>
        </w:rPr>
        <w:t>ta</w:t>
      </w:r>
      <w:r>
        <w:rPr>
          <w:spacing w:val="18"/>
        </w:rPr>
        <w:t> </w:t>
      </w:r>
      <w:r>
        <w:rPr>
          <w:w w:val="99"/>
        </w:rPr>
        <w:t>S</w:t>
      </w:r>
      <w:r>
        <w:rPr>
          <w:w w:val="100"/>
        </w:rPr>
        <w:t>il</w:t>
      </w:r>
      <w:r>
        <w:rPr>
          <w:w w:val="100"/>
        </w:rPr>
        <w:t>va</w:t>
      </w:r>
      <w:r>
        <w:rPr>
          <w:spacing w:val="18"/>
        </w:rPr>
        <w:t> </w:t>
      </w:r>
      <w:r>
        <w:rPr/>
        <w:t>(201</w:t>
      </w:r>
      <w:r>
        <w:rPr>
          <w:spacing w:val="-1"/>
        </w:rPr>
        <w:t>5</w:t>
      </w:r>
      <w:r>
        <w:rPr/>
        <w:t>,</w:t>
      </w:r>
      <w:r>
        <w:rPr>
          <w:spacing w:val="18"/>
        </w:rPr>
        <w:t> </w:t>
      </w:r>
      <w:r>
        <w:rPr/>
        <w:t>p.</w:t>
      </w:r>
      <w:r>
        <w:rPr>
          <w:spacing w:val="18"/>
        </w:rPr>
        <w:t> </w:t>
      </w:r>
      <w:r>
        <w:rPr/>
        <w:t>3</w:t>
      </w:r>
      <w:r>
        <w:rPr>
          <w:spacing w:val="-1"/>
        </w:rPr>
        <w:t>)</w:t>
      </w:r>
      <w:r>
        <w:rPr>
          <w:w w:val="100"/>
        </w:rPr>
        <w:t>:</w:t>
      </w:r>
      <w:r>
        <w:rPr>
          <w:spacing w:val="19"/>
        </w:rPr>
        <w:t> </w:t>
      </w:r>
      <w:r>
        <w:rPr>
          <w:spacing w:val="-1"/>
          <w:w w:val="44"/>
        </w:rPr>
        <w:t>―</w:t>
      </w:r>
      <w:r>
        <w:rPr/>
        <w:t>o</w:t>
      </w:r>
      <w:r>
        <w:rPr>
          <w:spacing w:val="18"/>
        </w:rPr>
        <w:t> </w:t>
      </w:r>
      <w:r>
        <w:rPr>
          <w:w w:val="100"/>
        </w:rPr>
        <w:t>te</w:t>
      </w:r>
      <w:r>
        <w:rPr>
          <w:spacing w:val="1"/>
          <w:w w:val="100"/>
        </w:rPr>
        <w:t>x</w:t>
      </w:r>
      <w:r>
        <w:rPr>
          <w:w w:val="100"/>
        </w:rPr>
        <w:t>to</w:t>
      </w:r>
      <w:r>
        <w:rPr>
          <w:spacing w:val="19"/>
        </w:rPr>
        <w:t> </w:t>
      </w:r>
      <w:r>
        <w:rPr/>
        <w:t>do</w:t>
      </w:r>
      <w:r>
        <w:rPr>
          <w:spacing w:val="18"/>
        </w:rPr>
        <w:t> </w:t>
      </w:r>
      <w:r>
        <w:rPr>
          <w:w w:val="99"/>
        </w:rPr>
        <w:t>P</w:t>
      </w:r>
      <w:r>
        <w:rPr>
          <w:w w:val="100"/>
        </w:rPr>
        <w:t>od</w:t>
      </w:r>
      <w:r>
        <w:rPr>
          <w:spacing w:val="-1"/>
          <w:w w:val="100"/>
        </w:rPr>
        <w:t>e</w:t>
      </w:r>
      <w:r>
        <w:rPr>
          <w:w w:val="99"/>
        </w:rPr>
        <w:t>r</w:t>
      </w:r>
      <w:r>
        <w:rPr>
          <w:spacing w:val="18"/>
          <w:w w:val="99"/>
        </w:rPr>
        <w:t> </w:t>
      </w:r>
      <w:r>
        <w:rPr>
          <w:spacing w:val="-3"/>
          <w:w w:val="100"/>
        </w:rPr>
        <w:t>E</w:t>
      </w:r>
      <w:r>
        <w:rPr>
          <w:spacing w:val="2"/>
        </w:rPr>
        <w:t>x</w:t>
      </w:r>
      <w:r>
        <w:rPr>
          <w:spacing w:val="3"/>
          <w:w w:val="100"/>
        </w:rPr>
        <w:t>e</w:t>
      </w:r>
      <w:r>
        <w:rPr>
          <w:spacing w:val="-1"/>
        </w:rPr>
        <w:t>c</w:t>
      </w:r>
      <w:r>
        <w:rPr/>
        <w:t>utivo</w:t>
      </w:r>
      <w:r>
        <w:rPr>
          <w:spacing w:val="18"/>
        </w:rPr>
        <w:t> </w:t>
      </w:r>
      <w:r>
        <w:rPr>
          <w:w w:val="99"/>
        </w:rPr>
        <w:t>se</w:t>
      </w:r>
      <w:r>
        <w:rPr>
          <w:spacing w:val="18"/>
        </w:rPr>
        <w:t> </w:t>
      </w:r>
      <w:r>
        <w:rPr>
          <w:spacing w:val="-1"/>
        </w:rPr>
        <w:t>c</w:t>
      </w:r>
      <w:r>
        <w:rPr/>
        <w:t>omprom</w:t>
      </w:r>
      <w:r>
        <w:rPr>
          <w:spacing w:val="-1"/>
        </w:rPr>
        <w:t>e</w:t>
      </w:r>
      <w:r>
        <w:rPr/>
        <w:t>teu</w:t>
      </w:r>
      <w:r>
        <w:rPr>
          <w:spacing w:val="18"/>
        </w:rPr>
        <w:t> </w:t>
      </w:r>
      <w:r>
        <w:rPr/>
        <w:t>menos</w:t>
      </w:r>
      <w:r>
        <w:rPr>
          <w:spacing w:val="18"/>
        </w:rPr>
        <w:t> </w:t>
      </w:r>
      <w:r>
        <w:rPr>
          <w:spacing w:val="-1"/>
        </w:rPr>
        <w:t>c</w:t>
      </w:r>
      <w:r>
        <w:rPr/>
        <w:t>om investimentos públicos ainda na tramitação pelo governo federal.‖ Fato que demarca a disputa de intencionalidades no planejamento da educação nacional, ora com elementos democráticos, ora</w:t>
      </w:r>
      <w:r>
        <w:rPr>
          <w:spacing w:val="-8"/>
        </w:rPr>
        <w:t> </w:t>
      </w:r>
      <w:r>
        <w:rPr/>
        <w:t>conservadores.</w:t>
      </w:r>
    </w:p>
    <w:p>
      <w:pPr>
        <w:pStyle w:val="BodyText"/>
        <w:spacing w:line="360" w:lineRule="auto" w:before="5"/>
        <w:ind w:left="102" w:right="117" w:firstLine="851"/>
        <w:jc w:val="both"/>
      </w:pPr>
      <w:r>
        <w:rPr/>
        <w:t>O Documento Base para a Conae de 2014 (BRASIL, 2014b) faz menção aos planos decenais de educação dos entes federados como elementos para a organicidade das políticas, reiterando a necessidade de sua elaboração, bem como de sua implementação, acompanhamento e avaliação. Nesse processo, ainda, a democracia é</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2" w:lineRule="auto" w:before="210"/>
        <w:ind w:left="102"/>
      </w:pPr>
      <w:r>
        <w:rPr/>
        <w:t>defendida como princípio da gestão, com o necessário auxílio técnico e financeiro da União aos demais entes federados.</w:t>
      </w:r>
    </w:p>
    <w:p>
      <w:pPr>
        <w:pStyle w:val="BodyText"/>
        <w:rPr>
          <w:sz w:val="26"/>
        </w:rPr>
      </w:pPr>
    </w:p>
    <w:p>
      <w:pPr>
        <w:pStyle w:val="BodyText"/>
        <w:rPr>
          <w:sz w:val="26"/>
        </w:rPr>
      </w:pPr>
    </w:p>
    <w:p>
      <w:pPr>
        <w:pStyle w:val="ListParagraph"/>
        <w:numPr>
          <w:ilvl w:val="3"/>
          <w:numId w:val="19"/>
        </w:numPr>
        <w:tabs>
          <w:tab w:pos="870" w:val="left" w:leader="none"/>
        </w:tabs>
        <w:spacing w:line="360" w:lineRule="auto" w:before="230" w:after="0"/>
        <w:ind w:left="102" w:right="118" w:firstLine="0"/>
        <w:jc w:val="left"/>
        <w:rPr>
          <w:i/>
          <w:sz w:val="24"/>
        </w:rPr>
      </w:pPr>
      <w:r>
        <w:rPr>
          <w:i/>
          <w:sz w:val="24"/>
        </w:rPr>
        <w:t>Plano Nacional de Educação 2014-2024: intencionalidades no ordenamento </w:t>
      </w:r>
      <w:r>
        <w:rPr>
          <w:i/>
          <w:sz w:val="24"/>
        </w:rPr>
        <w:t>legal para a elaboração dos planos municipais de</w:t>
      </w:r>
      <w:r>
        <w:rPr>
          <w:i/>
          <w:spacing w:val="-9"/>
          <w:sz w:val="24"/>
        </w:rPr>
        <w:t> </w:t>
      </w:r>
      <w:r>
        <w:rPr>
          <w:i/>
          <w:sz w:val="24"/>
        </w:rPr>
        <w:t>educação</w:t>
      </w:r>
    </w:p>
    <w:p>
      <w:pPr>
        <w:pStyle w:val="BodyText"/>
        <w:rPr>
          <w:i/>
          <w:sz w:val="20"/>
        </w:rPr>
      </w:pPr>
    </w:p>
    <w:p>
      <w:pPr>
        <w:pStyle w:val="BodyText"/>
        <w:spacing w:before="5"/>
        <w:rPr>
          <w:i/>
          <w:sz w:val="13"/>
        </w:rPr>
      </w:pPr>
      <w:r>
        <w:rPr/>
        <w:drawing>
          <wp:anchor distT="0" distB="0" distL="0" distR="0" allowOverlap="1" layoutInCell="1" locked="0" behindDoc="0" simplePos="0" relativeHeight="1480">
            <wp:simplePos x="0" y="0"/>
            <wp:positionH relativeFrom="page">
              <wp:posOffset>2604135</wp:posOffset>
            </wp:positionH>
            <wp:positionV relativeFrom="paragraph">
              <wp:posOffset>123092</wp:posOffset>
            </wp:positionV>
            <wp:extent cx="2377454" cy="2656331"/>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42" cstate="print"/>
                    <a:stretch>
                      <a:fillRect/>
                    </a:stretch>
                  </pic:blipFill>
                  <pic:spPr>
                    <a:xfrm>
                      <a:off x="0" y="0"/>
                      <a:ext cx="2377454" cy="2656331"/>
                    </a:xfrm>
                    <a:prstGeom prst="rect">
                      <a:avLst/>
                    </a:prstGeom>
                  </pic:spPr>
                </pic:pic>
              </a:graphicData>
            </a:graphic>
          </wp:anchor>
        </w:drawing>
      </w:r>
    </w:p>
    <w:p>
      <w:pPr>
        <w:pStyle w:val="BodyText"/>
        <w:rPr>
          <w:i/>
          <w:sz w:val="26"/>
        </w:rPr>
      </w:pPr>
    </w:p>
    <w:p>
      <w:pPr>
        <w:pStyle w:val="BodyText"/>
        <w:spacing w:line="360" w:lineRule="auto" w:before="176"/>
        <w:ind w:left="102" w:right="121" w:firstLine="851"/>
        <w:jc w:val="both"/>
      </w:pPr>
      <w:r>
        <w:rPr/>
        <w:t>O segundo PNE, elaborado após a promulgação da Constituição Federal de 1988 (BRASIL, 1988) e que se encontra em vigor, é aprovado por meio da Lei nº 13.005, de 25 de junho de 2014 (BRASIL, 2014a).</w:t>
      </w:r>
    </w:p>
    <w:p>
      <w:pPr>
        <w:pStyle w:val="BodyText"/>
        <w:spacing w:line="360" w:lineRule="auto" w:before="3"/>
        <w:ind w:left="102" w:right="116" w:firstLine="851"/>
        <w:jc w:val="both"/>
      </w:pPr>
      <w:r>
        <w:rPr/>
        <w:t>No que diz respeito ao seu formato, o PNE 2014-2024, segundo Dourado (201</w:t>
      </w:r>
      <w:r>
        <w:rPr>
          <w:spacing w:val="-1"/>
        </w:rPr>
        <w:t>1</w:t>
      </w:r>
      <w:r>
        <w:rPr/>
        <w:t>,  </w:t>
      </w:r>
      <w:r>
        <w:rPr>
          <w:spacing w:val="-22"/>
        </w:rPr>
        <w:t> </w:t>
      </w:r>
      <w:r>
        <w:rPr/>
        <w:t>p.  </w:t>
      </w:r>
      <w:r>
        <w:rPr>
          <w:spacing w:val="-22"/>
        </w:rPr>
        <w:t> </w:t>
      </w:r>
      <w:r>
        <w:rPr/>
        <w:t>4</w:t>
      </w:r>
      <w:r>
        <w:rPr>
          <w:spacing w:val="2"/>
        </w:rPr>
        <w:t>2</w:t>
      </w:r>
      <w:r>
        <w:rPr>
          <w:spacing w:val="-1"/>
        </w:rPr>
        <w:t>-</w:t>
      </w:r>
      <w:r>
        <w:rPr/>
        <w:t>3)  </w:t>
      </w:r>
      <w:r>
        <w:rPr>
          <w:spacing w:val="-21"/>
        </w:rPr>
        <w:t> </w:t>
      </w:r>
      <w:r>
        <w:rPr>
          <w:spacing w:val="-1"/>
          <w:w w:val="44"/>
        </w:rPr>
        <w:t>―</w:t>
      </w:r>
      <w:r>
        <w:rPr>
          <w:w w:val="100"/>
        </w:rPr>
        <w:t>tr</w:t>
      </w:r>
      <w:r>
        <w:rPr>
          <w:spacing w:val="-2"/>
          <w:w w:val="100"/>
        </w:rPr>
        <w:t>a</w:t>
      </w:r>
      <w:r>
        <w:rPr>
          <w:w w:val="100"/>
        </w:rPr>
        <w:t>t</w:t>
      </w:r>
      <w:r>
        <w:rPr>
          <w:spacing w:val="2"/>
          <w:w w:val="100"/>
        </w:rPr>
        <w:t>a</w:t>
      </w:r>
      <w:r>
        <w:rPr>
          <w:spacing w:val="1"/>
          <w:w w:val="99"/>
        </w:rPr>
        <w:t>-</w:t>
      </w:r>
      <w:r>
        <w:rPr>
          <w:w w:val="99"/>
        </w:rPr>
        <w:t>se</w:t>
      </w:r>
      <w:r>
        <w:rPr/>
        <w:t>  </w:t>
      </w:r>
      <w:r>
        <w:rPr>
          <w:spacing w:val="-23"/>
        </w:rPr>
        <w:t> </w:t>
      </w:r>
      <w:r>
        <w:rPr/>
        <w:t>de  </w:t>
      </w:r>
      <w:r>
        <w:rPr>
          <w:spacing w:val="-21"/>
        </w:rPr>
        <w:t> </w:t>
      </w:r>
      <w:r>
        <w:rPr/>
        <w:t>uma  </w:t>
      </w:r>
      <w:r>
        <w:rPr>
          <w:spacing w:val="-23"/>
        </w:rPr>
        <w:t> </w:t>
      </w:r>
      <w:r>
        <w:rPr>
          <w:spacing w:val="2"/>
        </w:rPr>
        <w:t>p</w:t>
      </w:r>
      <w:r>
        <w:rPr/>
        <w:t>roposta  </w:t>
      </w:r>
      <w:r>
        <w:rPr>
          <w:spacing w:val="-23"/>
        </w:rPr>
        <w:t> </w:t>
      </w:r>
      <w:r>
        <w:rPr>
          <w:spacing w:val="2"/>
        </w:rPr>
        <w:t>d</w:t>
      </w:r>
      <w:r>
        <w:rPr/>
        <w:t>e  </w:t>
      </w:r>
      <w:r>
        <w:rPr>
          <w:spacing w:val="-23"/>
        </w:rPr>
        <w:t> </w:t>
      </w:r>
      <w:r>
        <w:rPr/>
        <w:t>plano  </w:t>
      </w:r>
      <w:r>
        <w:rPr>
          <w:spacing w:val="-21"/>
        </w:rPr>
        <w:t> </w:t>
      </w:r>
      <w:r>
        <w:rPr>
          <w:spacing w:val="-1"/>
        </w:rPr>
        <w:t>e</w:t>
      </w:r>
      <w:r>
        <w:rPr/>
        <w:t>n</w:t>
      </w:r>
      <w:r>
        <w:rPr>
          <w:spacing w:val="2"/>
        </w:rPr>
        <w:t>x</w:t>
      </w:r>
      <w:r>
        <w:rPr/>
        <w:t>uta  </w:t>
      </w:r>
      <w:r>
        <w:rPr>
          <w:spacing w:val="-23"/>
        </w:rPr>
        <w:t> </w:t>
      </w:r>
      <w:r>
        <w:rPr>
          <w:spacing w:val="1"/>
        </w:rPr>
        <w:t>[</w:t>
      </w:r>
      <w:r>
        <w:rPr/>
        <w:t>...]  </w:t>
      </w:r>
      <w:r>
        <w:rPr>
          <w:spacing w:val="-21"/>
        </w:rPr>
        <w:t> </w:t>
      </w:r>
      <w:r>
        <w:rPr>
          <w:spacing w:val="-1"/>
        </w:rPr>
        <w:t>c</w:t>
      </w:r>
      <w:r>
        <w:rPr/>
        <w:t>om  </w:t>
      </w:r>
      <w:r>
        <w:rPr>
          <w:spacing w:val="-22"/>
        </w:rPr>
        <w:t> </w:t>
      </w:r>
      <w:r>
        <w:rPr>
          <w:spacing w:val="-1"/>
        </w:rPr>
        <w:t>e</w:t>
      </w:r>
      <w:r>
        <w:rPr/>
        <w:t>strutura diferenciada [do PNE 2001-2010, pois], sem a apresentação de temáticas, e/ou subtemáticas e/ou diagnóstico‖, ou seja, apresenta apenas a Lei e um Anexo, que compreende 170 [no Projeto de Lei, e 245 na Lei] estratégias distribuídas em um conjunto de 20</w:t>
      </w:r>
      <w:r>
        <w:rPr>
          <w:spacing w:val="-4"/>
        </w:rPr>
        <w:t> </w:t>
      </w:r>
      <w:r>
        <w:rPr/>
        <w:t>metas.</w:t>
      </w:r>
    </w:p>
    <w:p>
      <w:pPr>
        <w:pStyle w:val="BodyText"/>
        <w:spacing w:line="362" w:lineRule="auto" w:before="3"/>
        <w:ind w:left="102" w:right="119" w:firstLine="851"/>
        <w:jc w:val="both"/>
      </w:pPr>
      <w:r>
        <w:rPr/>
        <w:t>No que tange às intencionalidades voltadas para os Municípios elaborarem seus PMEs, o PNE 2014-2014 (BRASIL, 2014a) apresenta alguns registros:</w:t>
      </w:r>
    </w:p>
    <w:p>
      <w:pPr>
        <w:pStyle w:val="BodyText"/>
        <w:spacing w:before="1"/>
        <w:rPr>
          <w:sz w:val="36"/>
        </w:rPr>
      </w:pPr>
    </w:p>
    <w:p>
      <w:pPr>
        <w:spacing w:before="0"/>
        <w:ind w:left="2370" w:right="118" w:firstLine="0"/>
        <w:jc w:val="both"/>
        <w:rPr>
          <w:sz w:val="20"/>
        </w:rPr>
      </w:pPr>
      <w:r>
        <w:rPr>
          <w:sz w:val="20"/>
        </w:rPr>
        <w:t>Art. 8º. Os Estados, o Distrito Federal e os </w:t>
      </w:r>
      <w:r>
        <w:rPr>
          <w:b/>
          <w:sz w:val="20"/>
        </w:rPr>
        <w:t>Municípios deverão elaborar seus correspondentes planos de educação</w:t>
      </w:r>
      <w:r>
        <w:rPr>
          <w:sz w:val="20"/>
        </w:rPr>
        <w:t>, ou adequar os planos já aprovados em Lei, em consonância com as diretrizes, metas e estratégias previstas neste PNE, </w:t>
      </w:r>
      <w:r>
        <w:rPr>
          <w:b/>
          <w:sz w:val="20"/>
        </w:rPr>
        <w:t>no prazo de 1 </w:t>
      </w:r>
      <w:r>
        <w:rPr>
          <w:sz w:val="20"/>
        </w:rPr>
        <w:t>(um) ano contado da publicação desta Lei.</w:t>
      </w:r>
    </w:p>
    <w:p>
      <w:pPr>
        <w:spacing w:before="0"/>
        <w:ind w:left="2370" w:right="0" w:firstLine="0"/>
        <w:jc w:val="both"/>
        <w:rPr>
          <w:sz w:val="20"/>
        </w:rPr>
      </w:pPr>
      <w:r>
        <w:rPr>
          <w:sz w:val="20"/>
        </w:rPr>
        <w:t>[...]</w:t>
      </w:r>
    </w:p>
    <w:p>
      <w:pPr>
        <w:spacing w:after="0"/>
        <w:jc w:val="both"/>
        <w:rPr>
          <w:sz w:val="20"/>
        </w:rPr>
        <w:sectPr>
          <w:pgSz w:w="11910" w:h="16840"/>
          <w:pgMar w:header="749" w:footer="0" w:top="960" w:bottom="280" w:left="1600" w:right="1580"/>
        </w:sectPr>
      </w:pPr>
    </w:p>
    <w:p>
      <w:pPr>
        <w:pStyle w:val="BodyText"/>
        <w:rPr>
          <w:sz w:val="20"/>
        </w:rPr>
      </w:pPr>
    </w:p>
    <w:p>
      <w:pPr>
        <w:pStyle w:val="BodyText"/>
        <w:spacing w:before="2"/>
        <w:rPr>
          <w:sz w:val="18"/>
        </w:rPr>
      </w:pPr>
    </w:p>
    <w:p>
      <w:pPr>
        <w:spacing w:before="0"/>
        <w:ind w:left="2370" w:right="119" w:firstLine="0"/>
        <w:jc w:val="both"/>
        <w:rPr>
          <w:sz w:val="20"/>
        </w:rPr>
      </w:pPr>
      <w:r>
        <w:rPr>
          <w:sz w:val="20"/>
        </w:rPr>
        <w:t>§ 2o Os processos de elaboração e adequação dos planos de educação dos Estados, do Distrito Federal e dos Municípios, de que trata o caput deste artigo, </w:t>
      </w:r>
      <w:r>
        <w:rPr>
          <w:b/>
          <w:sz w:val="20"/>
        </w:rPr>
        <w:t>serão realizados com ampla participação de representantes da comunidade educacional e da sociedade civil. </w:t>
      </w:r>
      <w:r>
        <w:rPr>
          <w:sz w:val="20"/>
        </w:rPr>
        <w:t>(Grifos nossos).</w:t>
      </w:r>
    </w:p>
    <w:p>
      <w:pPr>
        <w:pStyle w:val="BodyText"/>
        <w:rPr>
          <w:sz w:val="22"/>
        </w:rPr>
      </w:pPr>
    </w:p>
    <w:p>
      <w:pPr>
        <w:pStyle w:val="BodyText"/>
        <w:spacing w:line="360" w:lineRule="auto" w:before="160"/>
        <w:ind w:left="102" w:right="122" w:firstLine="851"/>
        <w:jc w:val="both"/>
      </w:pPr>
      <w:r>
        <w:rPr/>
        <w:t>Os destaques principais estão no prazo para a elaboração ou adequação destes Planos, estabelecido por seu art. 8º, assim como na indicação do planejamento participativo. Mas há outras significativas intenções pontuadas no texto do PNE, dentre elas, pontuamos as que se referem à gestão democrática e ao financiamento da  educação.</w:t>
      </w:r>
    </w:p>
    <w:p>
      <w:pPr>
        <w:pStyle w:val="BodyText"/>
        <w:spacing w:line="360" w:lineRule="auto" w:before="5"/>
        <w:ind w:left="102" w:right="122" w:firstLine="851"/>
        <w:jc w:val="both"/>
      </w:pPr>
      <w:r>
        <w:rPr/>
        <w:t>No art. 9º, o Plano faz novamente menção ao SME e define prazo para a efetivação legal da gestão democrática em cada localidade:</w:t>
      </w:r>
    </w:p>
    <w:p>
      <w:pPr>
        <w:pStyle w:val="BodyText"/>
        <w:spacing w:before="3"/>
        <w:rPr>
          <w:sz w:val="36"/>
        </w:rPr>
      </w:pPr>
    </w:p>
    <w:p>
      <w:pPr>
        <w:spacing w:before="1"/>
        <w:ind w:left="2370" w:right="114" w:firstLine="0"/>
        <w:jc w:val="both"/>
        <w:rPr>
          <w:sz w:val="20"/>
        </w:rPr>
      </w:pPr>
      <w:r>
        <w:rPr>
          <w:sz w:val="20"/>
        </w:rPr>
        <w:t>Os Estados, o Distrito Federal e os Municípios </w:t>
      </w:r>
      <w:r>
        <w:rPr>
          <w:b/>
          <w:sz w:val="20"/>
        </w:rPr>
        <w:t>deverão </w:t>
      </w:r>
      <w:r>
        <w:rPr>
          <w:sz w:val="20"/>
        </w:rPr>
        <w:t>aprovar l</w:t>
      </w:r>
      <w:r>
        <w:rPr>
          <w:b/>
          <w:sz w:val="20"/>
        </w:rPr>
        <w:t>eis específicas para seus sistemas de ensino</w:t>
      </w:r>
      <w:r>
        <w:rPr>
          <w:sz w:val="20"/>
        </w:rPr>
        <w:t>, disciplinando a </w:t>
      </w:r>
      <w:r>
        <w:rPr>
          <w:b/>
          <w:sz w:val="20"/>
        </w:rPr>
        <w:t>gestão democrática da educação pública </w:t>
      </w:r>
      <w:r>
        <w:rPr>
          <w:sz w:val="20"/>
        </w:rPr>
        <w:t>nos respectivos âmbitos de atuação, </w:t>
      </w:r>
      <w:r>
        <w:rPr>
          <w:b/>
          <w:sz w:val="20"/>
        </w:rPr>
        <w:t>no prazo de 2 (dois) </w:t>
      </w:r>
      <w:r>
        <w:rPr>
          <w:sz w:val="20"/>
        </w:rPr>
        <w:t>anos contado da publicação desta Lei, adequando, quando for o caso, a legislação local já adotada com essa finalidade. (Grifos nossos).</w:t>
      </w:r>
    </w:p>
    <w:p>
      <w:pPr>
        <w:pStyle w:val="BodyText"/>
        <w:rPr>
          <w:sz w:val="22"/>
        </w:rPr>
      </w:pPr>
    </w:p>
    <w:p>
      <w:pPr>
        <w:pStyle w:val="BodyText"/>
        <w:spacing w:line="360" w:lineRule="auto" w:before="163"/>
        <w:ind w:left="102" w:right="121" w:firstLine="851"/>
        <w:jc w:val="both"/>
      </w:pPr>
      <w:r>
        <w:rPr/>
        <w:t>Acerca do financiamento, é salutar o disposto no art. 10, ao garantir que os planos orçamentários de todos os entes federados, o que inclui os Municípios, deverão ser elaborados à luz do PME (BRASIL, 2014a).</w:t>
      </w:r>
    </w:p>
    <w:p>
      <w:pPr>
        <w:pStyle w:val="BodyText"/>
        <w:spacing w:line="360" w:lineRule="auto" w:before="3"/>
        <w:ind w:left="102" w:right="120" w:firstLine="851"/>
        <w:jc w:val="both"/>
      </w:pPr>
      <w:r>
        <w:rPr/>
        <w:t>A </w:t>
      </w:r>
      <w:r>
        <w:rPr>
          <w:i/>
        </w:rPr>
        <w:t>Meta 19 </w:t>
      </w:r>
      <w:r>
        <w:rPr/>
        <w:t>do PNE apresenta uma associação de gestão democrática a critérios técnicos de mérito e desempenho, diferentemente do exposto no art. 9º, que condiciona  a gestão democrática da educação pública no âmbito de atuação</w:t>
      </w:r>
      <w:r>
        <w:rPr>
          <w:spacing w:val="-12"/>
        </w:rPr>
        <w:t> </w:t>
      </w:r>
      <w:r>
        <w:rPr/>
        <w:t>municipal.</w:t>
      </w:r>
    </w:p>
    <w:p>
      <w:pPr>
        <w:pStyle w:val="BodyText"/>
        <w:spacing w:before="3"/>
        <w:rPr>
          <w:sz w:val="36"/>
        </w:rPr>
      </w:pPr>
    </w:p>
    <w:p>
      <w:pPr>
        <w:spacing w:before="1"/>
        <w:ind w:left="2370" w:right="119" w:firstLine="0"/>
        <w:jc w:val="both"/>
        <w:rPr>
          <w:sz w:val="20"/>
        </w:rPr>
      </w:pPr>
      <w:r>
        <w:rPr>
          <w:sz w:val="20"/>
        </w:rPr>
        <w:t>Meta 19: assegurar condições, no prazo de 2 (dois) anos, para a efetivação da gestão democrática da educação, </w:t>
      </w:r>
      <w:r>
        <w:rPr>
          <w:b/>
          <w:sz w:val="20"/>
        </w:rPr>
        <w:t>associada a critérios técnicos de mérito e desempenho </w:t>
      </w:r>
      <w:r>
        <w:rPr>
          <w:sz w:val="20"/>
        </w:rPr>
        <w:t>e à </w:t>
      </w:r>
      <w:r>
        <w:rPr>
          <w:b/>
          <w:sz w:val="20"/>
        </w:rPr>
        <w:t>consulta pública à comunidade escolar</w:t>
      </w:r>
      <w:r>
        <w:rPr>
          <w:sz w:val="20"/>
        </w:rPr>
        <w:t>, no âmbito das escolas públicas, prevendo recursos e apoio técnico da União para tanto. (Grifos nossos).</w:t>
      </w:r>
    </w:p>
    <w:p>
      <w:pPr>
        <w:pStyle w:val="BodyText"/>
        <w:rPr>
          <w:sz w:val="22"/>
        </w:rPr>
      </w:pPr>
    </w:p>
    <w:p>
      <w:pPr>
        <w:pStyle w:val="BodyText"/>
        <w:spacing w:line="360" w:lineRule="auto" w:before="163"/>
        <w:ind w:left="102" w:right="117" w:firstLine="851"/>
        <w:jc w:val="both"/>
      </w:pPr>
      <w:r>
        <w:rPr/>
        <w:t>Na sequência, a </w:t>
      </w:r>
      <w:r>
        <w:rPr>
          <w:i/>
        </w:rPr>
        <w:t>Meta 19 </w:t>
      </w:r>
      <w:r>
        <w:rPr/>
        <w:t>novamente reforça e associa critérios de mérito e desempenho do profissional aspirante a cargo de diretor, induzindo como reforçador, o quesito ‗repasse de transferências‘, como segue:</w:t>
      </w:r>
    </w:p>
    <w:p>
      <w:pPr>
        <w:pStyle w:val="BodyText"/>
        <w:spacing w:before="2"/>
      </w:pPr>
    </w:p>
    <w:p>
      <w:pPr>
        <w:spacing w:before="0"/>
        <w:ind w:left="2370" w:right="115" w:firstLine="0"/>
        <w:jc w:val="both"/>
        <w:rPr>
          <w:sz w:val="20"/>
        </w:rPr>
      </w:pPr>
      <w:r>
        <w:rPr>
          <w:sz w:val="20"/>
        </w:rPr>
        <w:t>19.1) </w:t>
      </w:r>
      <w:r>
        <w:rPr>
          <w:b/>
          <w:sz w:val="20"/>
        </w:rPr>
        <w:t>priorizar o repasse </w:t>
      </w:r>
      <w:r>
        <w:rPr>
          <w:sz w:val="20"/>
        </w:rPr>
        <w:t>de transferências voluntárias da União na área da educação </w:t>
      </w:r>
      <w:r>
        <w:rPr>
          <w:b/>
          <w:sz w:val="20"/>
        </w:rPr>
        <w:t>para os entes federados que tenham aprovado legislação específica que regulamente a matéria na área de sua abrangência</w:t>
      </w:r>
      <w:r>
        <w:rPr>
          <w:sz w:val="20"/>
        </w:rPr>
        <w:t>, respeitando-se a legislação nacional, e que considere, conjuntamente, para a nomeação dos diretores e diretoras de escola, </w:t>
      </w:r>
      <w:r>
        <w:rPr>
          <w:b/>
          <w:sz w:val="20"/>
        </w:rPr>
        <w:t>critérios técnicos de mérito e desempenho, bem como a participação da comunidade escolar</w:t>
      </w:r>
      <w:r>
        <w:rPr>
          <w:sz w:val="20"/>
        </w:rPr>
        <w:t>; (Grifos nossos).</w:t>
      </w:r>
    </w:p>
    <w:p>
      <w:pPr>
        <w:spacing w:after="0"/>
        <w:jc w:val="both"/>
        <w:rPr>
          <w:sz w:val="20"/>
        </w:rPr>
        <w:sectPr>
          <w:headerReference w:type="default" r:id="rId43"/>
          <w:pgSz w:w="11910" w:h="16840"/>
          <w:pgMar w:header="749" w:footer="0" w:top="960" w:bottom="280" w:left="1600" w:right="1580"/>
        </w:sectPr>
      </w:pPr>
    </w:p>
    <w:p>
      <w:pPr>
        <w:pStyle w:val="BodyText"/>
        <w:rPr>
          <w:sz w:val="20"/>
        </w:rPr>
      </w:pPr>
    </w:p>
    <w:p>
      <w:pPr>
        <w:pStyle w:val="BodyText"/>
        <w:rPr>
          <w:sz w:val="20"/>
        </w:rPr>
      </w:pPr>
    </w:p>
    <w:p>
      <w:pPr>
        <w:pStyle w:val="BodyText"/>
        <w:spacing w:before="7"/>
        <w:rPr>
          <w:sz w:val="26"/>
        </w:rPr>
      </w:pPr>
    </w:p>
    <w:p>
      <w:pPr>
        <w:pStyle w:val="BodyText"/>
        <w:spacing w:line="352" w:lineRule="auto" w:before="90"/>
        <w:ind w:left="102" w:right="117" w:firstLine="851"/>
        <w:jc w:val="both"/>
      </w:pPr>
      <w:r>
        <w:rPr/>
        <w:pict>
          <v:line style="position:absolute;mso-position-horizontal-relative:page;mso-position-vertical-relative:paragraph;z-index:-364528" from="423.549988pt,94.003105pt" to="427.509988pt,94.003105pt" stroked="true" strokeweight=".36pt" strokecolor="#000000">
            <v:stroke dashstyle="solid"/>
            <w10:wrap type="none"/>
          </v:line>
        </w:pict>
      </w:r>
      <w:r>
        <w:rPr/>
        <w:t>Finalmente, na </w:t>
      </w:r>
      <w:r>
        <w:rPr>
          <w:i/>
        </w:rPr>
        <w:t>Meta 20</w:t>
      </w:r>
      <w:r>
        <w:rPr/>
        <w:t>, o Plano define os prazos para a ampliação do financiamento da educação pensado como percentual do Produto Interno Bruto (PIB), </w:t>
      </w:r>
      <w:r>
        <w:rPr>
          <w:w w:val="99"/>
        </w:rPr>
        <w:t>sa</w:t>
      </w:r>
      <w:r>
        <w:rPr>
          <w:w w:val="100"/>
        </w:rPr>
        <w:t>indo  </w:t>
      </w:r>
      <w:r>
        <w:rPr>
          <w:w w:val="99"/>
        </w:rPr>
        <w:t>dos</w:t>
      </w:r>
      <w:r>
        <w:rPr/>
        <w:t>  </w:t>
      </w:r>
      <w:r>
        <w:rPr>
          <w:w w:val="100"/>
        </w:rPr>
        <w:t>a</w:t>
      </w:r>
      <w:r>
        <w:rPr>
          <w:w w:val="100"/>
        </w:rPr>
        <w:t>tu</w:t>
      </w:r>
      <w:r>
        <w:rPr>
          <w:w w:val="100"/>
        </w:rPr>
        <w:t>a</w:t>
      </w:r>
      <w:r>
        <w:rPr>
          <w:w w:val="100"/>
        </w:rPr>
        <w:t>is  5%  </w:t>
      </w:r>
      <w:r>
        <w:rPr>
          <w:w w:val="100"/>
        </w:rPr>
        <w:t>e</w:t>
      </w:r>
      <w:r>
        <w:rPr/>
        <w:t>  </w:t>
      </w:r>
      <w:r>
        <w:rPr>
          <w:w w:val="100"/>
        </w:rPr>
        <w:t>a</w:t>
      </w:r>
      <w:r>
        <w:rPr>
          <w:w w:val="100"/>
        </w:rPr>
        <w:t>ti</w:t>
      </w:r>
      <w:r>
        <w:rPr/>
        <w:t>ngindo,  </w:t>
      </w:r>
      <w:r>
        <w:rPr>
          <w:w w:val="100"/>
        </w:rPr>
        <w:t>a</w:t>
      </w:r>
      <w:r>
        <w:rPr/>
        <w:t>o  </w:t>
      </w:r>
      <w:r>
        <w:rPr>
          <w:w w:val="100"/>
        </w:rPr>
        <w:t>fina</w:t>
      </w:r>
      <w:r>
        <w:rPr>
          <w:w w:val="100"/>
        </w:rPr>
        <w:t>l</w:t>
      </w:r>
      <w:r>
        <w:rPr/>
        <w:t>  do  </w:t>
      </w:r>
      <w:r>
        <w:rPr>
          <w:w w:val="99"/>
        </w:rPr>
        <w:t>P</w:t>
      </w:r>
      <w:r>
        <w:rPr>
          <w:w w:val="99"/>
        </w:rPr>
        <w:t>NE,  10%,  </w:t>
      </w:r>
      <w:r>
        <w:rPr>
          <w:w w:val="100"/>
        </w:rPr>
        <w:t>indi</w:t>
      </w:r>
      <w:r>
        <w:rPr>
          <w:w w:val="100"/>
        </w:rPr>
        <w:t>ca</w:t>
      </w:r>
      <w:r>
        <w:rPr/>
        <w:t>nd</w:t>
      </w:r>
      <w:r>
        <w:rPr>
          <w:w w:val="100"/>
        </w:rPr>
        <w:t>o:</w:t>
      </w:r>
      <w:r>
        <w:rPr/>
        <w:t>  </w:t>
      </w:r>
      <w:r>
        <w:rPr>
          <w:w w:val="44"/>
        </w:rPr>
        <w:t>―</w:t>
      </w:r>
      <w:r>
        <w:rPr>
          <w:w w:val="100"/>
        </w:rPr>
        <w:t>a</w:t>
      </w:r>
      <w:r>
        <w:rPr>
          <w:w w:val="100"/>
        </w:rPr>
        <w:t>mpliar</w:t>
      </w:r>
      <w:r>
        <w:rPr/>
        <w:t>  o investimento público em educação pública de forma a atingir, no mínimo, o patamar de 7% (sete por cento) do Produto Interno Bruto – PIB do País no 5</w:t>
      </w:r>
      <w:r>
        <w:rPr>
          <w:position w:val="11"/>
          <w:sz w:val="16"/>
        </w:rPr>
        <w:t>o </w:t>
      </w:r>
      <w:r>
        <w:rPr/>
        <w:t>(quinto) ano de vigência desta Lei e, no mínimo, o equivalente a 10% (dez por cento) do PIB ao final do</w:t>
      </w:r>
    </w:p>
    <w:p>
      <w:pPr>
        <w:pStyle w:val="BodyText"/>
        <w:spacing w:before="14"/>
        <w:ind w:left="102"/>
      </w:pPr>
      <w:r>
        <w:rPr>
          <w:w w:val="105"/>
        </w:rPr>
        <w:t>decênio‖.</w:t>
      </w:r>
    </w:p>
    <w:p>
      <w:pPr>
        <w:pStyle w:val="BodyText"/>
        <w:spacing w:line="360" w:lineRule="auto" w:before="137"/>
        <w:ind w:left="102" w:right="116" w:firstLine="851"/>
        <w:jc w:val="both"/>
      </w:pPr>
      <w:r>
        <w:rPr/>
        <w:t>O PNE é um Plano idealizado no encaminhamento final da Conferência Nacional da Educação Básica (Coneb), realizada em abril de 2008, em Brasília – DF (BRASIL, 2008, p. 105), na qual se propôs a realização de Conferências no âmbito dos entes federados, com vistas a um processo democrático de planejamento:</w:t>
      </w:r>
    </w:p>
    <w:p>
      <w:pPr>
        <w:pStyle w:val="BodyText"/>
        <w:spacing w:before="3"/>
      </w:pPr>
    </w:p>
    <w:p>
      <w:pPr>
        <w:spacing w:before="0"/>
        <w:ind w:left="2370" w:right="116" w:firstLine="0"/>
        <w:jc w:val="both"/>
        <w:rPr>
          <w:sz w:val="20"/>
        </w:rPr>
      </w:pPr>
      <w:r>
        <w:rPr>
          <w:sz w:val="20"/>
        </w:rPr>
        <w:t>Para garantir e consolidar este movimento faz-se necessário </w:t>
      </w:r>
      <w:r>
        <w:rPr>
          <w:b/>
          <w:sz w:val="20"/>
        </w:rPr>
        <w:t>envolver os diferentes segmentos sociais </w:t>
      </w:r>
      <w:r>
        <w:rPr>
          <w:sz w:val="20"/>
        </w:rPr>
        <w:t>com a realização de uma </w:t>
      </w:r>
      <w:r>
        <w:rPr>
          <w:b/>
          <w:sz w:val="20"/>
        </w:rPr>
        <w:t>Conferência Nacional de Educação</w:t>
      </w:r>
      <w:r>
        <w:rPr>
          <w:sz w:val="20"/>
        </w:rPr>
        <w:t>, em Brasília, </w:t>
      </w:r>
      <w:r>
        <w:rPr>
          <w:b/>
          <w:sz w:val="20"/>
        </w:rPr>
        <w:t>precedida de Conferências  Municipais e Estaduais, </w:t>
      </w:r>
      <w:r>
        <w:rPr>
          <w:sz w:val="20"/>
        </w:rPr>
        <w:t>de acordo com o seguinte</w:t>
      </w:r>
      <w:r>
        <w:rPr>
          <w:spacing w:val="-21"/>
          <w:sz w:val="20"/>
        </w:rPr>
        <w:t> </w:t>
      </w:r>
      <w:r>
        <w:rPr>
          <w:sz w:val="20"/>
        </w:rPr>
        <w:t>cronograma:</w:t>
      </w:r>
    </w:p>
    <w:p>
      <w:pPr>
        <w:pStyle w:val="ListParagraph"/>
        <w:numPr>
          <w:ilvl w:val="0"/>
          <w:numId w:val="20"/>
        </w:numPr>
        <w:tabs>
          <w:tab w:pos="2546" w:val="left" w:leader="none"/>
        </w:tabs>
        <w:spacing w:line="240" w:lineRule="auto" w:before="0" w:after="0"/>
        <w:ind w:left="2370" w:right="126" w:firstLine="0"/>
        <w:jc w:val="both"/>
        <w:rPr>
          <w:sz w:val="20"/>
        </w:rPr>
      </w:pPr>
      <w:r>
        <w:rPr>
          <w:sz w:val="20"/>
        </w:rPr>
        <w:t>Conferências Municipais de Educação a serem realizadas no primeiro semestre de</w:t>
      </w:r>
      <w:r>
        <w:rPr>
          <w:spacing w:val="-3"/>
          <w:sz w:val="20"/>
        </w:rPr>
        <w:t> </w:t>
      </w:r>
      <w:r>
        <w:rPr>
          <w:sz w:val="20"/>
        </w:rPr>
        <w:t>2009;</w:t>
      </w:r>
    </w:p>
    <w:p>
      <w:pPr>
        <w:pStyle w:val="ListParagraph"/>
        <w:numPr>
          <w:ilvl w:val="0"/>
          <w:numId w:val="20"/>
        </w:numPr>
        <w:tabs>
          <w:tab w:pos="2565" w:val="left" w:leader="none"/>
        </w:tabs>
        <w:spacing w:line="240" w:lineRule="auto" w:before="0" w:after="0"/>
        <w:ind w:left="2370" w:right="125" w:firstLine="0"/>
        <w:jc w:val="both"/>
        <w:rPr>
          <w:sz w:val="20"/>
        </w:rPr>
      </w:pPr>
      <w:r>
        <w:rPr>
          <w:sz w:val="20"/>
        </w:rPr>
        <w:t>Conferências Estaduais de Educação a serem realizadas no segundo semestre de</w:t>
      </w:r>
      <w:r>
        <w:rPr>
          <w:spacing w:val="-3"/>
          <w:sz w:val="20"/>
        </w:rPr>
        <w:t> </w:t>
      </w:r>
      <w:r>
        <w:rPr>
          <w:sz w:val="20"/>
        </w:rPr>
        <w:t>2009;</w:t>
      </w:r>
    </w:p>
    <w:p>
      <w:pPr>
        <w:pStyle w:val="ListParagraph"/>
        <w:numPr>
          <w:ilvl w:val="0"/>
          <w:numId w:val="20"/>
        </w:numPr>
        <w:tabs>
          <w:tab w:pos="2592" w:val="left" w:leader="none"/>
        </w:tabs>
        <w:spacing w:line="240" w:lineRule="auto" w:before="0" w:after="0"/>
        <w:ind w:left="2370" w:right="119" w:firstLine="0"/>
        <w:jc w:val="both"/>
        <w:rPr>
          <w:sz w:val="20"/>
        </w:rPr>
      </w:pPr>
      <w:r>
        <w:rPr>
          <w:sz w:val="20"/>
        </w:rPr>
        <w:t>Conferência Nacional de Educação, contemplando todos os níveis educacionais, a ser realizada no primeiro semestre de 2010. (Grifos</w:t>
      </w:r>
      <w:r>
        <w:rPr>
          <w:spacing w:val="-27"/>
          <w:sz w:val="20"/>
        </w:rPr>
        <w:t> </w:t>
      </w:r>
      <w:r>
        <w:rPr>
          <w:sz w:val="20"/>
        </w:rPr>
        <w:t>nossos).</w:t>
      </w:r>
    </w:p>
    <w:p>
      <w:pPr>
        <w:pStyle w:val="BodyText"/>
        <w:rPr>
          <w:sz w:val="22"/>
        </w:rPr>
      </w:pPr>
    </w:p>
    <w:p>
      <w:pPr>
        <w:pStyle w:val="BodyText"/>
        <w:spacing w:line="360" w:lineRule="auto" w:before="161"/>
        <w:ind w:left="102" w:right="120" w:firstLine="851"/>
        <w:jc w:val="both"/>
      </w:pPr>
      <w:r>
        <w:rPr/>
        <w:t>Em sintonia, e motivado pela Coneb, ainda em 2008, é constituída a Comissão Organizadora da Conae, por meio da Portaria Normativa do MEC nº 10, de 3 de setembro de 2008 (BRASIL, 2008), evidenciando a decisão política de submeter a elaboração do PME ao debate social:</w:t>
      </w:r>
    </w:p>
    <w:p>
      <w:pPr>
        <w:pStyle w:val="BodyText"/>
        <w:spacing w:before="5"/>
      </w:pPr>
    </w:p>
    <w:p>
      <w:pPr>
        <w:spacing w:before="0"/>
        <w:ind w:left="2370" w:right="116" w:firstLine="0"/>
        <w:jc w:val="both"/>
        <w:rPr>
          <w:sz w:val="20"/>
        </w:rPr>
      </w:pPr>
      <w:r>
        <w:rPr>
          <w:sz w:val="20"/>
        </w:rPr>
        <w:t>O Documento Final resultou de um rico processo de construção coletiva, desencadeado pela </w:t>
      </w:r>
      <w:r>
        <w:rPr>
          <w:b/>
          <w:sz w:val="20"/>
        </w:rPr>
        <w:t>decisão política de submeter ao debate social </w:t>
      </w:r>
      <w:r>
        <w:rPr>
          <w:sz w:val="20"/>
        </w:rPr>
        <w:t>as ideias e proposições em torno da construção do Sistema Nacional de Educação, que assegurasse a articulação entre os entes federados e os setores da sociedade civil. (BRASIL/CONAE, 2010, p. 7) (Grifos nossos).</w:t>
      </w:r>
    </w:p>
    <w:p>
      <w:pPr>
        <w:spacing w:before="0"/>
        <w:ind w:left="2370" w:right="0" w:firstLine="0"/>
        <w:jc w:val="both"/>
        <w:rPr>
          <w:sz w:val="20"/>
        </w:rPr>
      </w:pPr>
      <w:r>
        <w:rPr>
          <w:sz w:val="20"/>
        </w:rPr>
        <w:t>[...]</w:t>
      </w:r>
    </w:p>
    <w:p>
      <w:pPr>
        <w:spacing w:before="0"/>
        <w:ind w:left="2370" w:right="115" w:firstLine="0"/>
        <w:jc w:val="both"/>
        <w:rPr>
          <w:sz w:val="20"/>
        </w:rPr>
      </w:pPr>
      <w:r>
        <w:rPr>
          <w:sz w:val="20"/>
        </w:rPr>
        <w:t>A Conae mobilizou cerca de </w:t>
      </w:r>
      <w:r>
        <w:rPr>
          <w:b/>
          <w:sz w:val="20"/>
        </w:rPr>
        <w:t>3,5 milhões de brasileiros e brasileiras</w:t>
      </w:r>
      <w:r>
        <w:rPr>
          <w:sz w:val="20"/>
        </w:rPr>
        <w:t>, contando com a participação de 450 mil delegados e delegadas nas etapas municipal, intermunicipal, estadual e nacional, envolvendo, em torno de 2% da população do País. </w:t>
      </w:r>
      <w:r>
        <w:rPr>
          <w:b/>
          <w:sz w:val="20"/>
        </w:rPr>
        <w:t>Essas vozes se fizeram representadas </w:t>
      </w:r>
      <w:r>
        <w:rPr>
          <w:sz w:val="20"/>
        </w:rPr>
        <w:t>por  meio dos/as delegados/as eleitos/as em seus Estados, presentes na etapa nacional. (BRASIL/CONAE, 2010, p. 8) (Grifos nossos)</w:t>
      </w:r>
    </w:p>
    <w:p>
      <w:pPr>
        <w:pStyle w:val="BodyText"/>
        <w:rPr>
          <w:sz w:val="22"/>
        </w:rPr>
      </w:pPr>
    </w:p>
    <w:p>
      <w:pPr>
        <w:pStyle w:val="BodyText"/>
        <w:spacing w:line="360" w:lineRule="auto" w:before="161"/>
        <w:ind w:left="102" w:right="112" w:firstLine="851"/>
        <w:jc w:val="both"/>
      </w:pPr>
      <w:r>
        <w:rPr/>
        <w:t>Do exposto, é possível pontuar um aspecto que torna o PNE 2014-2024 diferente do PNE anterior, qual seja, a decisão política pela participação da sociedade</w:t>
      </w:r>
    </w:p>
    <w:p>
      <w:pPr>
        <w:spacing w:after="0" w:line="360" w:lineRule="auto"/>
        <w:jc w:val="both"/>
        <w:sectPr>
          <w:headerReference w:type="default" r:id="rId44"/>
          <w:pgSz w:w="11910" w:h="16840"/>
          <w:pgMar w:header="749" w:footer="0" w:top="960" w:bottom="280" w:left="1600" w:right="1580"/>
          <w:pgNumType w:start="81"/>
        </w:sectPr>
      </w:pPr>
    </w:p>
    <w:p>
      <w:pPr>
        <w:pStyle w:val="BodyText"/>
        <w:rPr>
          <w:sz w:val="20"/>
        </w:rPr>
      </w:pPr>
    </w:p>
    <w:p>
      <w:pPr>
        <w:pStyle w:val="BodyText"/>
        <w:spacing w:line="360" w:lineRule="auto" w:before="210"/>
        <w:ind w:left="102" w:right="116"/>
        <w:jc w:val="both"/>
      </w:pPr>
      <w:r>
        <w:rPr/>
        <w:t>em Conferências para o planejamento da Educação, constituindo-se em espaços </w:t>
      </w:r>
      <w:r>
        <w:rPr>
          <w:w w:val="100"/>
        </w:rPr>
        <w:t>d</w:t>
      </w:r>
      <w:r>
        <w:rPr>
          <w:spacing w:val="-1"/>
          <w:w w:val="100"/>
        </w:rPr>
        <w:t>e</w:t>
      </w:r>
      <w:r>
        <w:rPr>
          <w:w w:val="100"/>
        </w:rPr>
        <w:t>moc</w:t>
      </w:r>
      <w:r>
        <w:rPr>
          <w:spacing w:val="-2"/>
          <w:w w:val="100"/>
        </w:rPr>
        <w:t>r</w:t>
      </w:r>
      <w:r>
        <w:rPr>
          <w:spacing w:val="-1"/>
          <w:w w:val="100"/>
        </w:rPr>
        <w:t>á</w:t>
      </w:r>
      <w:r>
        <w:rPr>
          <w:w w:val="100"/>
        </w:rPr>
        <w:t>ti</w:t>
      </w:r>
      <w:r>
        <w:rPr>
          <w:spacing w:val="-1"/>
          <w:w w:val="100"/>
        </w:rPr>
        <w:t>c</w:t>
      </w:r>
      <w:r>
        <w:rPr>
          <w:w w:val="99"/>
        </w:rPr>
        <w:t>os</w:t>
      </w:r>
      <w:r>
        <w:rPr/>
        <w:t>  </w:t>
      </w:r>
      <w:r>
        <w:rPr>
          <w:spacing w:val="-8"/>
        </w:rPr>
        <w:t> </w:t>
      </w:r>
      <w:r>
        <w:rPr>
          <w:spacing w:val="2"/>
        </w:rPr>
        <w:t>d</w:t>
      </w:r>
      <w:r>
        <w:rPr>
          <w:w w:val="100"/>
        </w:rPr>
        <w:t>e</w:t>
      </w:r>
      <w:r>
        <w:rPr/>
        <w:t>  </w:t>
      </w:r>
      <w:r>
        <w:rPr>
          <w:spacing w:val="-9"/>
        </w:rPr>
        <w:t> </w:t>
      </w:r>
      <w:r>
        <w:rPr/>
        <w:t>discu</w:t>
      </w:r>
      <w:r>
        <w:rPr>
          <w:spacing w:val="2"/>
        </w:rPr>
        <w:t>s</w:t>
      </w:r>
      <w:r>
        <w:rPr/>
        <w:t>sões  </w:t>
      </w:r>
      <w:r>
        <w:rPr>
          <w:spacing w:val="-8"/>
        </w:rPr>
        <w:t> </w:t>
      </w:r>
      <w:r>
        <w:rPr>
          <w:w w:val="100"/>
        </w:rPr>
        <w:t>e</w:t>
      </w:r>
      <w:r>
        <w:rPr/>
        <w:t>  </w:t>
      </w:r>
      <w:r>
        <w:rPr>
          <w:spacing w:val="-9"/>
        </w:rPr>
        <w:t> </w:t>
      </w:r>
      <w:r>
        <w:rPr/>
        <w:t>p</w:t>
      </w:r>
      <w:r>
        <w:rPr>
          <w:spacing w:val="-1"/>
        </w:rPr>
        <w:t>r</w:t>
      </w:r>
      <w:r>
        <w:rPr/>
        <w:t>o</w:t>
      </w:r>
      <w:r>
        <w:rPr>
          <w:spacing w:val="2"/>
        </w:rPr>
        <w:t>p</w:t>
      </w:r>
      <w:r>
        <w:rPr>
          <w:w w:val="100"/>
        </w:rPr>
        <w:t>osiçõ</w:t>
      </w:r>
      <w:r>
        <w:rPr>
          <w:spacing w:val="-2"/>
          <w:w w:val="100"/>
        </w:rPr>
        <w:t>e</w:t>
      </w:r>
      <w:r>
        <w:rPr>
          <w:w w:val="99"/>
        </w:rPr>
        <w:t>s</w:t>
      </w:r>
      <w:r>
        <w:rPr/>
        <w:t>  </w:t>
      </w:r>
      <w:r>
        <w:rPr>
          <w:spacing w:val="-8"/>
        </w:rPr>
        <w:t> </w:t>
      </w:r>
      <w:r>
        <w:rPr/>
        <w:t>q</w:t>
      </w:r>
      <w:r>
        <w:rPr>
          <w:spacing w:val="2"/>
        </w:rPr>
        <w:t>u</w:t>
      </w:r>
      <w:r>
        <w:rPr>
          <w:w w:val="100"/>
        </w:rPr>
        <w:t>e</w:t>
      </w:r>
      <w:r>
        <w:rPr/>
        <w:t>  </w:t>
      </w:r>
      <w:r>
        <w:rPr>
          <w:spacing w:val="-9"/>
        </w:rPr>
        <w:t> </w:t>
      </w:r>
      <w:r>
        <w:rPr>
          <w:spacing w:val="-1"/>
          <w:w w:val="100"/>
        </w:rPr>
        <w:t>a</w:t>
      </w:r>
      <w:r>
        <w:rPr>
          <w:w w:val="100"/>
        </w:rPr>
        <w:t>pont</w:t>
      </w:r>
      <w:r>
        <w:rPr>
          <w:spacing w:val="1"/>
          <w:w w:val="100"/>
        </w:rPr>
        <w:t>a</w:t>
      </w:r>
      <w:r>
        <w:rPr>
          <w:w w:val="100"/>
        </w:rPr>
        <w:t>r</w:t>
      </w:r>
      <w:r>
        <w:rPr>
          <w:spacing w:val="-2"/>
          <w:w w:val="100"/>
        </w:rPr>
        <w:t>a</w:t>
      </w:r>
      <w:r>
        <w:rPr>
          <w:w w:val="100"/>
        </w:rPr>
        <w:t>m</w:t>
      </w:r>
      <w:r>
        <w:rPr/>
        <w:t>  </w:t>
      </w:r>
      <w:r>
        <w:rPr>
          <w:spacing w:val="-7"/>
        </w:rPr>
        <w:t> </w:t>
      </w:r>
      <w:r>
        <w:rPr>
          <w:spacing w:val="-1"/>
          <w:w w:val="44"/>
        </w:rPr>
        <w:t>―</w:t>
      </w:r>
      <w:r>
        <w:rPr>
          <w:spacing w:val="2"/>
        </w:rPr>
        <w:t>p</w:t>
      </w:r>
      <w:r>
        <w:rPr>
          <w:spacing w:val="-1"/>
          <w:w w:val="100"/>
        </w:rPr>
        <w:t>e</w:t>
      </w:r>
      <w:r>
        <w:rPr>
          <w:w w:val="99"/>
        </w:rPr>
        <w:t>rspe</w:t>
      </w:r>
      <w:r>
        <w:rPr>
          <w:spacing w:val="-1"/>
          <w:w w:val="100"/>
        </w:rPr>
        <w:t>c</w:t>
      </w:r>
      <w:r>
        <w:rPr>
          <w:w w:val="100"/>
        </w:rPr>
        <w:t>ti</w:t>
      </w:r>
      <w:r>
        <w:rPr>
          <w:w w:val="100"/>
        </w:rPr>
        <w:t>v</w:t>
      </w:r>
      <w:r>
        <w:rPr>
          <w:spacing w:val="-1"/>
          <w:w w:val="100"/>
        </w:rPr>
        <w:t>a</w:t>
      </w:r>
      <w:r>
        <w:rPr>
          <w:w w:val="99"/>
        </w:rPr>
        <w:t>s</w:t>
      </w:r>
      <w:r>
        <w:rPr/>
        <w:t>  </w:t>
      </w:r>
      <w:r>
        <w:rPr>
          <w:spacing w:val="-8"/>
        </w:rPr>
        <w:t> </w:t>
      </w:r>
      <w:r>
        <w:rPr>
          <w:w w:val="100"/>
        </w:rPr>
        <w:t>p</w:t>
      </w:r>
      <w:r>
        <w:rPr>
          <w:spacing w:val="-1"/>
          <w:w w:val="100"/>
        </w:rPr>
        <w:t>a</w:t>
      </w:r>
      <w:r>
        <w:rPr>
          <w:spacing w:val="1"/>
          <w:w w:val="99"/>
        </w:rPr>
        <w:t>r</w:t>
      </w:r>
      <w:r>
        <w:rPr>
          <w:w w:val="100"/>
        </w:rPr>
        <w:t>a</w:t>
      </w:r>
      <w:r>
        <w:rPr/>
        <w:t>  </w:t>
      </w:r>
      <w:r>
        <w:rPr>
          <w:spacing w:val="-6"/>
        </w:rPr>
        <w:t> </w:t>
      </w:r>
      <w:r>
        <w:rPr>
          <w:w w:val="100"/>
        </w:rPr>
        <w:t>a </w:t>
      </w:r>
      <w:r>
        <w:rPr/>
        <w:t>organização da educação nacional e para a formulação do Plano Nacional  de  Educação.‖ (BRASIL/CONAE, 2010, p.</w:t>
      </w:r>
      <w:r>
        <w:rPr>
          <w:spacing w:val="30"/>
        </w:rPr>
        <w:t> </w:t>
      </w:r>
      <w:r>
        <w:rPr/>
        <w:t>9).</w:t>
      </w:r>
    </w:p>
    <w:p>
      <w:pPr>
        <w:pStyle w:val="BodyText"/>
        <w:spacing w:line="360" w:lineRule="auto" w:before="3"/>
        <w:ind w:left="102" w:right="119" w:firstLine="851"/>
        <w:jc w:val="both"/>
      </w:pPr>
      <w:r>
        <w:rPr/>
        <w:t>Nesse sentido, em comparação com o PNE anterior, pontuamos como avanço a explicitação do Plano 2014-2024 com relação à necessidade de que todos os Municípios elaborem seus respectivos Planos, de forma democrática e, ainda, com prazo estipulado (BRASIL, 2014a). Nas palavras de Dourado (2011, p. 41), entende ser uma definição</w:t>
      </w:r>
    </w:p>
    <w:p>
      <w:pPr>
        <w:pStyle w:val="BodyText"/>
        <w:spacing w:line="360" w:lineRule="auto" w:before="3"/>
        <w:ind w:left="102" w:right="123"/>
        <w:jc w:val="both"/>
      </w:pPr>
      <w:r>
        <w:rPr>
          <w:spacing w:val="-1"/>
          <w:w w:val="44"/>
        </w:rPr>
        <w:t>―</w:t>
      </w:r>
      <w:r>
        <w:rPr>
          <w:w w:val="100"/>
        </w:rPr>
        <w:t>r</w:t>
      </w:r>
      <w:r>
        <w:rPr>
          <w:spacing w:val="-2"/>
          <w:w w:val="100"/>
        </w:rPr>
        <w:t>e</w:t>
      </w:r>
      <w:r>
        <w:rPr>
          <w:w w:val="100"/>
        </w:rPr>
        <w:t>le</w:t>
      </w:r>
      <w:r>
        <w:rPr>
          <w:spacing w:val="1"/>
          <w:w w:val="100"/>
        </w:rPr>
        <w:t>v</w:t>
      </w:r>
      <w:r>
        <w:rPr>
          <w:spacing w:val="-1"/>
          <w:w w:val="100"/>
        </w:rPr>
        <w:t>a</w:t>
      </w:r>
      <w:r>
        <w:rPr>
          <w:w w:val="100"/>
        </w:rPr>
        <w:t>nte</w:t>
      </w:r>
      <w:r>
        <w:rPr/>
        <w:t> </w:t>
      </w:r>
      <w:r>
        <w:rPr>
          <w:spacing w:val="-4"/>
        </w:rPr>
        <w:t> </w:t>
      </w:r>
      <w:r>
        <w:rPr>
          <w:w w:val="100"/>
        </w:rPr>
        <w:t>e</w:t>
      </w:r>
      <w:r>
        <w:rPr/>
        <w:t> </w:t>
      </w:r>
      <w:r>
        <w:rPr>
          <w:spacing w:val="-2"/>
        </w:rPr>
        <w:t> </w:t>
      </w:r>
      <w:r>
        <w:rPr>
          <w:spacing w:val="-1"/>
          <w:w w:val="100"/>
        </w:rPr>
        <w:t>e</w:t>
      </w:r>
      <w:r>
        <w:rPr>
          <w:w w:val="99"/>
        </w:rPr>
        <w:t>sp</w:t>
      </w:r>
      <w:r>
        <w:rPr>
          <w:spacing w:val="1"/>
          <w:w w:val="99"/>
        </w:rPr>
        <w:t>e</w:t>
      </w:r>
      <w:r>
        <w:rPr>
          <w:w w:val="100"/>
        </w:rPr>
        <w:t>r</w:t>
      </w:r>
      <w:r>
        <w:rPr>
          <w:spacing w:val="-1"/>
          <w:w w:val="100"/>
        </w:rPr>
        <w:t>a</w:t>
      </w:r>
      <w:r>
        <w:rPr>
          <w:spacing w:val="-1"/>
          <w:w w:val="99"/>
        </w:rPr>
        <w:t>-</w:t>
      </w:r>
      <w:r>
        <w:rPr>
          <w:spacing w:val="2"/>
          <w:w w:val="99"/>
        </w:rPr>
        <w:t>s</w:t>
      </w:r>
      <w:r>
        <w:rPr/>
        <w:t>e </w:t>
      </w:r>
      <w:r>
        <w:rPr>
          <w:spacing w:val="-2"/>
        </w:rPr>
        <w:t> </w:t>
      </w:r>
      <w:r>
        <w:rPr/>
        <w:t>que </w:t>
      </w:r>
      <w:r>
        <w:rPr>
          <w:spacing w:val="-4"/>
        </w:rPr>
        <w:t> </w:t>
      </w:r>
      <w:r>
        <w:rPr>
          <w:spacing w:val="-1"/>
        </w:rPr>
        <w:t>aç</w:t>
      </w:r>
      <w:r>
        <w:rPr>
          <w:spacing w:val="2"/>
        </w:rPr>
        <w:t>õ</w:t>
      </w:r>
      <w:r>
        <w:rPr>
          <w:spacing w:val="-1"/>
        </w:rPr>
        <w:t>e</w:t>
      </w:r>
      <w:r>
        <w:rPr>
          <w:w w:val="99"/>
        </w:rPr>
        <w:t>s</w:t>
      </w:r>
      <w:r>
        <w:rPr/>
        <w:t> </w:t>
      </w:r>
      <w:r>
        <w:rPr>
          <w:spacing w:val="-3"/>
        </w:rPr>
        <w:t> </w:t>
      </w:r>
      <w:r>
        <w:rPr/>
        <w:t>e </w:t>
      </w:r>
      <w:r>
        <w:rPr>
          <w:spacing w:val="-4"/>
        </w:rPr>
        <w:t> </w:t>
      </w:r>
      <w:r>
        <w:rPr/>
        <w:t>políti</w:t>
      </w:r>
      <w:r>
        <w:rPr>
          <w:spacing w:val="-1"/>
        </w:rPr>
        <w:t>ca</w:t>
      </w:r>
      <w:r>
        <w:rPr>
          <w:w w:val="99"/>
        </w:rPr>
        <w:t>s</w:t>
      </w:r>
      <w:r>
        <w:rPr/>
        <w:t> </w:t>
      </w:r>
      <w:r>
        <w:rPr>
          <w:spacing w:val="-3"/>
        </w:rPr>
        <w:t> </w:t>
      </w:r>
      <w:r>
        <w:rPr>
          <w:spacing w:val="2"/>
          <w:w w:val="99"/>
        </w:rPr>
        <w:t>s</w:t>
      </w:r>
      <w:r>
        <w:rPr>
          <w:spacing w:val="-1"/>
        </w:rPr>
        <w:t>e</w:t>
      </w:r>
      <w:r>
        <w:rPr/>
        <w:t>jam </w:t>
      </w:r>
      <w:r>
        <w:rPr>
          <w:spacing w:val="-3"/>
        </w:rPr>
        <w:t> </w:t>
      </w:r>
      <w:r>
        <w:rPr>
          <w:spacing w:val="-1"/>
        </w:rPr>
        <w:t>e</w:t>
      </w:r>
      <w:r>
        <w:rPr>
          <w:spacing w:val="1"/>
        </w:rPr>
        <w:t>f</w:t>
      </w:r>
      <w:r>
        <w:rPr>
          <w:spacing w:val="-1"/>
        </w:rPr>
        <w:t>e</w:t>
      </w:r>
      <w:r>
        <w:rPr/>
        <w:t>tiv</w:t>
      </w:r>
      <w:r>
        <w:rPr>
          <w:spacing w:val="-1"/>
        </w:rPr>
        <w:t>a</w:t>
      </w:r>
      <w:r>
        <w:rPr/>
        <w:t>d</w:t>
      </w:r>
      <w:r>
        <w:rPr>
          <w:spacing w:val="-1"/>
        </w:rPr>
        <w:t>a</w:t>
      </w:r>
      <w:r>
        <w:rPr>
          <w:w w:val="99"/>
        </w:rPr>
        <w:t>s</w:t>
      </w:r>
      <w:r>
        <w:rPr/>
        <w:t> </w:t>
      </w:r>
      <w:r>
        <w:rPr>
          <w:spacing w:val="-3"/>
        </w:rPr>
        <w:t> </w:t>
      </w:r>
      <w:r>
        <w:rPr/>
        <w:t>p</w:t>
      </w:r>
      <w:r>
        <w:rPr>
          <w:spacing w:val="1"/>
        </w:rPr>
        <w:t>a</w:t>
      </w:r>
      <w:r>
        <w:rPr/>
        <w:t>ra </w:t>
      </w:r>
      <w:r>
        <w:rPr>
          <w:spacing w:val="-2"/>
        </w:rPr>
        <w:t> </w:t>
      </w:r>
      <w:r>
        <w:rPr/>
        <w:t>fa</w:t>
      </w:r>
      <w:r>
        <w:rPr>
          <w:spacing w:val="1"/>
        </w:rPr>
        <w:t>z</w:t>
      </w:r>
      <w:r>
        <w:rPr>
          <w:spacing w:val="-1"/>
        </w:rPr>
        <w:t>e</w:t>
      </w:r>
      <w:r>
        <w:rPr/>
        <w:t>r </w:t>
      </w:r>
      <w:r>
        <w:rPr>
          <w:spacing w:val="-4"/>
        </w:rPr>
        <w:t> </w:t>
      </w:r>
      <w:r>
        <w:rPr/>
        <w:t>v</w:t>
      </w:r>
      <w:r>
        <w:rPr>
          <w:spacing w:val="-1"/>
        </w:rPr>
        <w:t>a</w:t>
      </w:r>
      <w:r>
        <w:rPr/>
        <w:t>ler </w:t>
      </w:r>
      <w:r>
        <w:rPr>
          <w:spacing w:val="-2"/>
        </w:rPr>
        <w:t> </w:t>
      </w:r>
      <w:r>
        <w:rPr>
          <w:spacing w:val="-1"/>
        </w:rPr>
        <w:t>e</w:t>
      </w:r>
      <w:r>
        <w:rPr>
          <w:w w:val="99"/>
        </w:rPr>
        <w:t>sse </w:t>
      </w:r>
      <w:r>
        <w:rPr/>
        <w:t>princípio</w:t>
      </w:r>
      <w:r>
        <w:rPr>
          <w:spacing w:val="35"/>
        </w:rPr>
        <w:t> </w:t>
      </w:r>
      <w:r>
        <w:rPr/>
        <w:t>nacional‖.</w:t>
      </w:r>
    </w:p>
    <w:p>
      <w:pPr>
        <w:pStyle w:val="BodyText"/>
        <w:spacing w:line="360" w:lineRule="auto" w:before="3"/>
        <w:ind w:left="102" w:right="115" w:firstLine="851"/>
        <w:jc w:val="both"/>
      </w:pPr>
      <w:r>
        <w:rPr/>
        <w:t>Outro elemento presente no PNE 2014-2024 que o caracteriza como </w:t>
      </w:r>
      <w:r>
        <w:rPr>
          <w:b/>
        </w:rPr>
        <w:t>uma concepção política e social de planejamento</w:t>
      </w:r>
      <w:r>
        <w:rPr/>
        <w:t>, é a previsão do acompanhamento e da execução tanto do PNE quanto dos PEEs e PMEs. Isto é, além de contemplar em seu processo um amplo debate e a participação social, prevê, também, a constituição de Fóruns Permanentes de Educação que acompanhem sua implementação, como disposto </w:t>
      </w:r>
      <w:r>
        <w:rPr>
          <w:w w:val="100"/>
        </w:rPr>
        <w:t>na</w:t>
      </w:r>
      <w:r>
        <w:rPr/>
        <w:t> </w:t>
      </w:r>
      <w:r>
        <w:rPr>
          <w:spacing w:val="10"/>
        </w:rPr>
        <w:t> </w:t>
      </w:r>
      <w:r>
        <w:rPr>
          <w:spacing w:val="-1"/>
          <w:w w:val="100"/>
        </w:rPr>
        <w:t>e</w:t>
      </w:r>
      <w:r>
        <w:rPr>
          <w:w w:val="100"/>
        </w:rPr>
        <w:t>str</w:t>
      </w:r>
      <w:r>
        <w:rPr>
          <w:spacing w:val="-1"/>
          <w:w w:val="100"/>
        </w:rPr>
        <w:t>a</w:t>
      </w:r>
      <w:r>
        <w:rPr>
          <w:w w:val="100"/>
        </w:rPr>
        <w:t>t</w:t>
      </w:r>
      <w:r>
        <w:rPr>
          <w:spacing w:val="1"/>
          <w:w w:val="100"/>
        </w:rPr>
        <w:t>é</w:t>
      </w:r>
      <w:r>
        <w:rPr>
          <w:spacing w:val="-3"/>
        </w:rPr>
        <w:t>g</w:t>
      </w:r>
      <w:r>
        <w:rPr>
          <w:w w:val="100"/>
        </w:rPr>
        <w:t>ia</w:t>
      </w:r>
      <w:r>
        <w:rPr/>
        <w:t> </w:t>
      </w:r>
      <w:r>
        <w:rPr>
          <w:spacing w:val="11"/>
        </w:rPr>
        <w:t> </w:t>
      </w:r>
      <w:r>
        <w:rPr>
          <w:w w:val="100"/>
        </w:rPr>
        <w:t>n</w:t>
      </w:r>
      <w:r>
        <w:rPr>
          <w:spacing w:val="-1"/>
          <w:w w:val="100"/>
        </w:rPr>
        <w:t>a</w:t>
      </w:r>
      <w:r>
        <w:rPr>
          <w:spacing w:val="-1"/>
          <w:w w:val="100"/>
        </w:rPr>
        <w:t>c</w:t>
      </w:r>
      <w:r>
        <w:rPr>
          <w:w w:val="100"/>
        </w:rPr>
        <w:t>io</w:t>
      </w:r>
      <w:r>
        <w:rPr>
          <w:spacing w:val="2"/>
          <w:w w:val="100"/>
        </w:rPr>
        <w:t>n</w:t>
      </w:r>
      <w:r>
        <w:rPr>
          <w:spacing w:val="-1"/>
          <w:w w:val="100"/>
        </w:rPr>
        <w:t>a</w:t>
      </w:r>
      <w:r>
        <w:rPr>
          <w:w w:val="100"/>
        </w:rPr>
        <w:t>l</w:t>
      </w:r>
      <w:r>
        <w:rPr/>
        <w:t> </w:t>
      </w:r>
      <w:r>
        <w:rPr>
          <w:spacing w:val="12"/>
        </w:rPr>
        <w:t> </w:t>
      </w:r>
      <w:r>
        <w:rPr/>
        <w:t>19.3 </w:t>
      </w:r>
      <w:r>
        <w:rPr>
          <w:spacing w:val="11"/>
        </w:rPr>
        <w:t> </w:t>
      </w:r>
      <w:r>
        <w:rPr/>
        <w:t>(</w:t>
      </w:r>
      <w:r>
        <w:rPr>
          <w:spacing w:val="-3"/>
        </w:rPr>
        <w:t>B</w:t>
      </w:r>
      <w:r>
        <w:rPr/>
        <w:t>R</w:t>
      </w:r>
      <w:r>
        <w:rPr>
          <w:w w:val="99"/>
        </w:rPr>
        <w:t>A</w:t>
      </w:r>
      <w:r>
        <w:rPr>
          <w:spacing w:val="2"/>
          <w:w w:val="99"/>
        </w:rPr>
        <w:t>S</w:t>
      </w:r>
      <w:r>
        <w:rPr>
          <w:w w:val="100"/>
        </w:rPr>
        <w:t>I</w:t>
      </w:r>
      <w:r>
        <w:rPr>
          <w:spacing w:val="-4"/>
          <w:w w:val="100"/>
        </w:rPr>
        <w:t>L</w:t>
      </w:r>
      <w:r>
        <w:rPr/>
        <w:t>, </w:t>
      </w:r>
      <w:r>
        <w:rPr>
          <w:spacing w:val="11"/>
        </w:rPr>
        <w:t> </w:t>
      </w:r>
      <w:r>
        <w:rPr/>
        <w:t>2014ª, </w:t>
      </w:r>
      <w:r>
        <w:rPr>
          <w:spacing w:val="9"/>
        </w:rPr>
        <w:t> </w:t>
      </w:r>
      <w:r>
        <w:rPr>
          <w:w w:val="100"/>
        </w:rPr>
        <w:t>Meta</w:t>
      </w:r>
      <w:r>
        <w:rPr/>
        <w:t> </w:t>
      </w:r>
      <w:r>
        <w:rPr>
          <w:spacing w:val="10"/>
        </w:rPr>
        <w:t> </w:t>
      </w:r>
      <w:r>
        <w:rPr/>
        <w:t>19): </w:t>
      </w:r>
      <w:r>
        <w:rPr>
          <w:spacing w:val="11"/>
        </w:rPr>
        <w:t> </w:t>
      </w:r>
      <w:r>
        <w:rPr>
          <w:spacing w:val="-1"/>
          <w:w w:val="44"/>
        </w:rPr>
        <w:t>―</w:t>
      </w:r>
      <w:r>
        <w:rPr>
          <w:w w:val="100"/>
        </w:rPr>
        <w:t>inc</w:t>
      </w:r>
      <w:r>
        <w:rPr>
          <w:spacing w:val="-2"/>
          <w:w w:val="100"/>
        </w:rPr>
        <w:t>e</w:t>
      </w:r>
      <w:r>
        <w:rPr>
          <w:w w:val="100"/>
        </w:rPr>
        <w:t>nti</w:t>
      </w:r>
      <w:r>
        <w:rPr>
          <w:w w:val="100"/>
        </w:rPr>
        <w:t>v</w:t>
      </w:r>
      <w:r>
        <w:rPr>
          <w:spacing w:val="-1"/>
          <w:w w:val="100"/>
        </w:rPr>
        <w:t>a</w:t>
      </w:r>
      <w:r>
        <w:rPr>
          <w:w w:val="99"/>
        </w:rPr>
        <w:t>r </w:t>
      </w:r>
      <w:r>
        <w:rPr>
          <w:spacing w:val="13"/>
          <w:w w:val="99"/>
        </w:rPr>
        <w:t> </w:t>
      </w:r>
      <w:r>
        <w:rPr>
          <w:w w:val="99"/>
        </w:rPr>
        <w:t>os</w:t>
      </w:r>
      <w:r>
        <w:rPr/>
        <w:t> </w:t>
      </w:r>
      <w:r>
        <w:rPr>
          <w:spacing w:val="12"/>
        </w:rPr>
        <w:t> </w:t>
      </w:r>
      <w:r>
        <w:rPr/>
        <w:t>Estados, </w:t>
      </w:r>
      <w:r>
        <w:rPr>
          <w:spacing w:val="11"/>
        </w:rPr>
        <w:t> </w:t>
      </w:r>
      <w:r>
        <w:rPr/>
        <w:t>o Distrito Federal e os Municípios a constituírem Fóruns Permanentes de Educação, com  o intuito de coordenar as conferências municipais, estaduais e distrital bem  como efetuar o acompanhamento da execução deste PNE e dos seus planos de</w:t>
      </w:r>
      <w:r>
        <w:rPr>
          <w:spacing w:val="31"/>
        </w:rPr>
        <w:t> </w:t>
      </w:r>
      <w:r>
        <w:rPr/>
        <w:t>educação.‖</w:t>
      </w:r>
    </w:p>
    <w:p>
      <w:pPr>
        <w:pStyle w:val="BodyText"/>
        <w:spacing w:line="360" w:lineRule="auto" w:before="6"/>
        <w:ind w:left="102" w:right="120" w:firstLine="851"/>
        <w:jc w:val="both"/>
      </w:pPr>
      <w:r>
        <w:rPr/>
        <w:t>Outra particularidade em termos de avanço encontra-se no art. 10 da Lei do </w:t>
      </w:r>
      <w:r>
        <w:rPr>
          <w:w w:val="99"/>
        </w:rPr>
        <w:t>P</w:t>
      </w:r>
      <w:r>
        <w:rPr>
          <w:w w:val="99"/>
        </w:rPr>
        <w:t>NE</w:t>
      </w:r>
      <w:r>
        <w:rPr/>
        <w:t> (BR</w:t>
      </w:r>
      <w:r>
        <w:rPr>
          <w:w w:val="99"/>
        </w:rPr>
        <w:t>S</w:t>
      </w:r>
      <w:r>
        <w:rPr>
          <w:w w:val="99"/>
        </w:rPr>
        <w:t>IL, 2014a), em </w:t>
      </w:r>
      <w:r>
        <w:rPr>
          <w:w w:val="99"/>
        </w:rPr>
        <w:t>se</w:t>
      </w:r>
      <w:r>
        <w:rPr/>
        <w:t> tratando do </w:t>
      </w:r>
      <w:r>
        <w:rPr>
          <w:w w:val="100"/>
        </w:rPr>
        <w:t>financ</w:t>
      </w:r>
      <w:r>
        <w:rPr>
          <w:w w:val="100"/>
        </w:rPr>
        <w:t>i</w:t>
      </w:r>
      <w:r>
        <w:rPr>
          <w:w w:val="100"/>
        </w:rPr>
        <w:t>a</w:t>
      </w:r>
      <w:r>
        <w:rPr>
          <w:w w:val="100"/>
        </w:rPr>
        <w:t>mento</w:t>
      </w:r>
      <w:r>
        <w:rPr/>
        <w:t> </w:t>
      </w:r>
      <w:r>
        <w:rPr>
          <w:w w:val="100"/>
        </w:rPr>
        <w:t>da</w:t>
      </w:r>
      <w:r>
        <w:rPr/>
        <w:t> </w:t>
      </w:r>
      <w:r>
        <w:rPr>
          <w:w w:val="100"/>
        </w:rPr>
        <w:t>e</w:t>
      </w:r>
      <w:r>
        <w:rPr/>
        <w:t>du</w:t>
      </w:r>
      <w:r>
        <w:rPr>
          <w:w w:val="100"/>
        </w:rPr>
        <w:t>caçã</w:t>
      </w:r>
      <w:r>
        <w:rPr/>
        <w:t>o, qu</w:t>
      </w:r>
      <w:r>
        <w:rPr>
          <w:w w:val="100"/>
        </w:rPr>
        <w:t>e</w:t>
      </w:r>
      <w:r>
        <w:rPr/>
        <w:t> </w:t>
      </w:r>
      <w:r>
        <w:rPr>
          <w:w w:val="44"/>
        </w:rPr>
        <w:t>―</w:t>
      </w:r>
      <w:r>
        <w:rPr>
          <w:w w:val="100"/>
        </w:rPr>
        <w:t>rompe</w:t>
      </w:r>
      <w:r>
        <w:rPr/>
        <w:t> </w:t>
      </w:r>
      <w:r>
        <w:rPr>
          <w:w w:val="100"/>
        </w:rPr>
        <w:t>c</w:t>
      </w:r>
      <w:r>
        <w:rPr>
          <w:w w:val="100"/>
        </w:rPr>
        <w:t>om </w:t>
      </w:r>
      <w:r>
        <w:rPr/>
        <w:t>um dos limites do PNE 2001-2010 ao prever a formulação articulada entre o plano plurianual, as diretrizes orçamentárias e os orçamentos anuais da União‖ (DOURADO, 2011, p. 42).</w:t>
      </w:r>
    </w:p>
    <w:p>
      <w:pPr>
        <w:pStyle w:val="BodyText"/>
        <w:spacing w:line="360" w:lineRule="auto" w:before="4"/>
        <w:ind w:left="102" w:right="115" w:firstLine="851"/>
        <w:jc w:val="both"/>
      </w:pPr>
      <w:r>
        <w:rPr/>
        <w:t>Neste sentido, por força da Lei, o PNE torna os Planos educacionais, tanto o próprio Plano Nacional quanto os Municipais e Estaduais, indicadores primeiros para as </w:t>
      </w:r>
      <w:r>
        <w:rPr>
          <w:w w:val="100"/>
        </w:rPr>
        <w:t>Le</w:t>
      </w:r>
      <w:r>
        <w:rPr>
          <w:w w:val="100"/>
        </w:rPr>
        <w:t>is  qu</w:t>
      </w:r>
      <w:r>
        <w:rPr>
          <w:w w:val="100"/>
        </w:rPr>
        <w:t>e</w:t>
      </w:r>
      <w:r>
        <w:rPr/>
        <w:t>  </w:t>
      </w:r>
      <w:r>
        <w:rPr>
          <w:w w:val="100"/>
        </w:rPr>
        <w:t>regem</w:t>
      </w:r>
      <w:r>
        <w:rPr/>
        <w:t>  o  or</w:t>
      </w:r>
      <w:r>
        <w:rPr>
          <w:w w:val="100"/>
        </w:rPr>
        <w:t>ça</w:t>
      </w:r>
      <w:r>
        <w:rPr>
          <w:w w:val="100"/>
        </w:rPr>
        <w:t>mento</w:t>
      </w:r>
      <w:r>
        <w:rPr/>
        <w:t>  </w:t>
      </w:r>
      <w:r>
        <w:rPr>
          <w:w w:val="100"/>
        </w:rPr>
        <w:t>e</w:t>
      </w:r>
      <w:r>
        <w:rPr>
          <w:w w:val="100"/>
        </w:rPr>
        <w:t>m</w:t>
      </w:r>
      <w:r>
        <w:rPr/>
        <w:t>  </w:t>
      </w:r>
      <w:r>
        <w:rPr>
          <w:w w:val="100"/>
        </w:rPr>
        <w:t>ca</w:t>
      </w:r>
      <w:r>
        <w:rPr/>
        <w:t>d</w:t>
      </w:r>
      <w:r>
        <w:rPr>
          <w:w w:val="100"/>
        </w:rPr>
        <w:t>a</w:t>
      </w:r>
      <w:r>
        <w:rPr/>
        <w:t>  </w:t>
      </w:r>
      <w:r>
        <w:rPr>
          <w:w w:val="100"/>
        </w:rPr>
        <w:t>e</w:t>
      </w:r>
      <w:r>
        <w:rPr>
          <w:w w:val="99"/>
        </w:rPr>
        <w:t>s</w:t>
      </w:r>
      <w:r>
        <w:rPr>
          <w:w w:val="100"/>
        </w:rPr>
        <w:t>fe</w:t>
      </w:r>
      <w:r>
        <w:rPr>
          <w:w w:val="99"/>
        </w:rPr>
        <w:t>r</w:t>
      </w:r>
      <w:r>
        <w:rPr>
          <w:w w:val="100"/>
        </w:rPr>
        <w:t>a</w:t>
      </w:r>
      <w:r>
        <w:rPr>
          <w:w w:val="100"/>
        </w:rPr>
        <w:t>:</w:t>
      </w:r>
      <w:r>
        <w:rPr/>
        <w:t>  </w:t>
      </w:r>
      <w:r>
        <w:rPr>
          <w:w w:val="44"/>
        </w:rPr>
        <w:t>―</w:t>
      </w:r>
      <w:r>
        <w:rPr>
          <w:w w:val="99"/>
        </w:rPr>
        <w:t>O</w:t>
      </w:r>
      <w:r>
        <w:rPr/>
        <w:t>  </w:t>
      </w:r>
      <w:r>
        <w:rPr>
          <w:w w:val="100"/>
        </w:rPr>
        <w:t>plano</w:t>
      </w:r>
      <w:r>
        <w:rPr/>
        <w:t>  </w:t>
      </w:r>
      <w:r>
        <w:rPr>
          <w:w w:val="100"/>
        </w:rPr>
        <w:t>pluria</w:t>
      </w:r>
      <w:r>
        <w:rPr/>
        <w:t>nu</w:t>
      </w:r>
      <w:r>
        <w:rPr>
          <w:w w:val="100"/>
        </w:rPr>
        <w:t>al,</w:t>
      </w:r>
      <w:r>
        <w:rPr/>
        <w:t>  </w:t>
      </w:r>
      <w:r>
        <w:rPr>
          <w:w w:val="100"/>
        </w:rPr>
        <w:t>a</w:t>
      </w:r>
      <w:r>
        <w:rPr>
          <w:w w:val="99"/>
        </w:rPr>
        <w:t>s</w:t>
      </w:r>
      <w:r>
        <w:rPr/>
        <w:t>  </w:t>
      </w:r>
      <w:r>
        <w:rPr>
          <w:w w:val="100"/>
        </w:rPr>
        <w:t>dire</w:t>
      </w:r>
      <w:r>
        <w:rPr>
          <w:w w:val="100"/>
        </w:rPr>
        <w:t>trize</w:t>
      </w:r>
      <w:r>
        <w:rPr>
          <w:w w:val="99"/>
        </w:rPr>
        <w:t>s </w:t>
      </w:r>
      <w:r>
        <w:rPr/>
        <w:t>orçamentárias e os orçamentos anuais da União, dos Estados, do Distrito Federal e dos Municípios serão formulados </w:t>
      </w:r>
      <w:r>
        <w:rPr>
          <w:b/>
        </w:rPr>
        <w:t>de maneira a assegurar a consignação de dotações orçamentárias </w:t>
      </w:r>
      <w:r>
        <w:rPr/>
        <w:t>compatíveis com as diretrizes, metas e estratégias deste PNE e com os respectivos planos de educação, </w:t>
      </w:r>
      <w:r>
        <w:rPr>
          <w:b/>
        </w:rPr>
        <w:t>a fim de viabilizar sua plena execução</w:t>
      </w:r>
      <w:r>
        <w:rPr/>
        <w:t>.‖</w:t>
      </w:r>
    </w:p>
    <w:p>
      <w:pPr>
        <w:pStyle w:val="BodyText"/>
        <w:spacing w:line="360" w:lineRule="auto" w:before="4"/>
        <w:ind w:left="102" w:right="118" w:firstLine="851"/>
        <w:jc w:val="both"/>
      </w:pPr>
      <w:r>
        <w:rPr/>
        <w:t>Contudo, a despeito dos avanços mencionados, pontuamos elementos da intencionalidade conservadora/alienadora, em especial, no processo de elaboração e aprovação do PNE 2014-2024 quais sejam, amarrando nos recursos previstos, aqueles</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0" w:lineRule="auto" w:before="210"/>
        <w:ind w:left="102" w:right="119"/>
        <w:jc w:val="both"/>
      </w:pPr>
      <w:r>
        <w:rPr>
          <w:spacing w:val="-1"/>
          <w:w w:val="44"/>
        </w:rPr>
        <w:t>―</w:t>
      </w:r>
      <w:r>
        <w:rPr>
          <w:spacing w:val="-1"/>
          <w:w w:val="100"/>
        </w:rPr>
        <w:t>a</w:t>
      </w:r>
      <w:r>
        <w:rPr>
          <w:w w:val="100"/>
        </w:rPr>
        <w:t>pli</w:t>
      </w:r>
      <w:r>
        <w:rPr>
          <w:spacing w:val="-1"/>
          <w:w w:val="100"/>
        </w:rPr>
        <w:t>ca</w:t>
      </w:r>
      <w:r>
        <w:rPr>
          <w:w w:val="99"/>
        </w:rPr>
        <w:t>dos</w:t>
      </w:r>
      <w:r>
        <w:rPr>
          <w:spacing w:val="7"/>
        </w:rPr>
        <w:t> </w:t>
      </w:r>
      <w:r>
        <w:rPr>
          <w:w w:val="99"/>
        </w:rPr>
        <w:t>nos</w:t>
      </w:r>
      <w:r>
        <w:rPr>
          <w:spacing w:val="7"/>
        </w:rPr>
        <w:t> </w:t>
      </w:r>
      <w:r>
        <w:rPr/>
        <w:t>p</w:t>
      </w:r>
      <w:r>
        <w:rPr>
          <w:spacing w:val="-1"/>
        </w:rPr>
        <w:t>r</w:t>
      </w:r>
      <w:r>
        <w:rPr/>
        <w:t>ogr</w:t>
      </w:r>
      <w:r>
        <w:rPr>
          <w:spacing w:val="-2"/>
        </w:rPr>
        <w:t>a</w:t>
      </w:r>
      <w:r>
        <w:rPr/>
        <w:t>m</w:t>
      </w:r>
      <w:r>
        <w:rPr>
          <w:spacing w:val="1"/>
        </w:rPr>
        <w:t>a</w:t>
      </w:r>
      <w:r>
        <w:rPr>
          <w:w w:val="99"/>
        </w:rPr>
        <w:t>s</w:t>
      </w:r>
      <w:r>
        <w:rPr>
          <w:spacing w:val="7"/>
        </w:rPr>
        <w:t> </w:t>
      </w:r>
      <w:r>
        <w:rPr/>
        <w:t>de</w:t>
      </w:r>
      <w:r>
        <w:rPr>
          <w:spacing w:val="6"/>
        </w:rPr>
        <w:t> </w:t>
      </w:r>
      <w:r>
        <w:rPr>
          <w:spacing w:val="-1"/>
        </w:rPr>
        <w:t>e</w:t>
      </w:r>
      <w:r>
        <w:rPr>
          <w:spacing w:val="2"/>
        </w:rPr>
        <w:t>x</w:t>
      </w:r>
      <w:r>
        <w:rPr/>
        <w:t>p</w:t>
      </w:r>
      <w:r>
        <w:rPr>
          <w:spacing w:val="-1"/>
        </w:rPr>
        <w:t>a</w:t>
      </w:r>
      <w:r>
        <w:rPr/>
        <w:t>nsão</w:t>
      </w:r>
      <w:r>
        <w:rPr>
          <w:spacing w:val="6"/>
        </w:rPr>
        <w:t> </w:t>
      </w:r>
      <w:r>
        <w:rPr/>
        <w:t>da</w:t>
      </w:r>
      <w:r>
        <w:rPr>
          <w:spacing w:val="6"/>
        </w:rPr>
        <w:t> </w:t>
      </w:r>
      <w:r>
        <w:rPr>
          <w:spacing w:val="-1"/>
        </w:rPr>
        <w:t>e</w:t>
      </w:r>
      <w:r>
        <w:rPr/>
        <w:t>du</w:t>
      </w:r>
      <w:r>
        <w:rPr>
          <w:spacing w:val="-1"/>
        </w:rPr>
        <w:t>ca</w:t>
      </w:r>
      <w:r>
        <w:rPr>
          <w:spacing w:val="1"/>
        </w:rPr>
        <w:t>ç</w:t>
      </w:r>
      <w:r>
        <w:rPr>
          <w:spacing w:val="-1"/>
        </w:rPr>
        <w:t>ã</w:t>
      </w:r>
      <w:r>
        <w:rPr/>
        <w:t>o</w:t>
      </w:r>
      <w:r>
        <w:rPr>
          <w:spacing w:val="6"/>
        </w:rPr>
        <w:t> </w:t>
      </w:r>
      <w:r>
        <w:rPr/>
        <w:t>p</w:t>
      </w:r>
      <w:r>
        <w:rPr>
          <w:spacing w:val="-1"/>
        </w:rPr>
        <w:t>r</w:t>
      </w:r>
      <w:r>
        <w:rPr/>
        <w:t>o</w:t>
      </w:r>
      <w:r>
        <w:rPr>
          <w:spacing w:val="-1"/>
        </w:rPr>
        <w:t>f</w:t>
      </w:r>
      <w:r>
        <w:rPr>
          <w:w w:val="99"/>
        </w:rPr>
        <w:t>iss</w:t>
      </w:r>
      <w:r>
        <w:rPr/>
        <w:t>ional</w:t>
      </w:r>
      <w:r>
        <w:rPr>
          <w:spacing w:val="6"/>
        </w:rPr>
        <w:t> </w:t>
      </w:r>
      <w:r>
        <w:rPr/>
        <w:t>e</w:t>
      </w:r>
      <w:r>
        <w:rPr>
          <w:spacing w:val="6"/>
        </w:rPr>
        <w:t> </w:t>
      </w:r>
      <w:r>
        <w:rPr/>
        <w:t>supe</w:t>
      </w:r>
      <w:r>
        <w:rPr>
          <w:spacing w:val="-2"/>
        </w:rPr>
        <w:t>r</w:t>
      </w:r>
      <w:r>
        <w:rPr/>
        <w:t>ior,</w:t>
      </w:r>
      <w:r>
        <w:rPr>
          <w:spacing w:val="6"/>
        </w:rPr>
        <w:t> </w:t>
      </w:r>
      <w:r>
        <w:rPr/>
        <w:t>inclusive</w:t>
      </w:r>
      <w:r>
        <w:rPr>
          <w:spacing w:val="6"/>
        </w:rPr>
        <w:t> </w:t>
      </w:r>
      <w:r>
        <w:rPr/>
        <w:t>na forma de incentivo e isenção fiscal, as bolsas de estudos concedidas no Brasil e no exterior, os subsídios concedidos em programas de financiamento estudantil e o financiamento de creches, pré-escolas e de educação especial […]‖ (BRASIL, 2014a)  Tal pontuação compreende a dinâmica democrática como ambiente de disputa de poder </w:t>
      </w:r>
      <w:r>
        <w:rPr>
          <w:w w:val="100"/>
        </w:rPr>
        <w:t>e</w:t>
      </w:r>
      <w:r>
        <w:rPr>
          <w:spacing w:val="6"/>
        </w:rPr>
        <w:t> </w:t>
      </w:r>
      <w:r>
        <w:rPr>
          <w:w w:val="100"/>
        </w:rPr>
        <w:t>re</w:t>
      </w:r>
      <w:r>
        <w:rPr>
          <w:w w:val="99"/>
        </w:rPr>
        <w:t>fo</w:t>
      </w:r>
      <w:r>
        <w:rPr>
          <w:spacing w:val="-2"/>
          <w:w w:val="99"/>
        </w:rPr>
        <w:t>r</w:t>
      </w:r>
      <w:r>
        <w:rPr>
          <w:spacing w:val="1"/>
          <w:w w:val="100"/>
        </w:rPr>
        <w:t>ç</w:t>
      </w:r>
      <w:r>
        <w:rPr>
          <w:w w:val="100"/>
        </w:rPr>
        <w:t>a</w:t>
      </w:r>
      <w:r>
        <w:rPr>
          <w:spacing w:val="6"/>
        </w:rPr>
        <w:t> </w:t>
      </w:r>
      <w:r>
        <w:rPr/>
        <w:t>o</w:t>
      </w:r>
      <w:r>
        <w:rPr>
          <w:spacing w:val="6"/>
        </w:rPr>
        <w:t> </w:t>
      </w:r>
      <w:r>
        <w:rPr>
          <w:w w:val="100"/>
        </w:rPr>
        <w:t>que</w:t>
      </w:r>
      <w:r>
        <w:rPr>
          <w:spacing w:val="8"/>
          <w:w w:val="100"/>
        </w:rPr>
        <w:t> </w:t>
      </w:r>
      <w:r>
        <w:rPr>
          <w:w w:val="99"/>
        </w:rPr>
        <w:t>p</w:t>
      </w:r>
      <w:r>
        <w:rPr>
          <w:spacing w:val="-1"/>
          <w:w w:val="99"/>
        </w:rPr>
        <w:t>r</w:t>
      </w:r>
      <w:r>
        <w:rPr>
          <w:w w:val="99"/>
        </w:rPr>
        <w:t>opõe</w:t>
      </w:r>
      <w:r>
        <w:rPr>
          <w:spacing w:val="8"/>
          <w:w w:val="99"/>
        </w:rPr>
        <w:t> </w:t>
      </w:r>
      <w:r>
        <w:rPr>
          <w:spacing w:val="1"/>
          <w:w w:val="99"/>
        </w:rPr>
        <w:t>G</w:t>
      </w:r>
      <w:r>
        <w:rPr>
          <w:spacing w:val="-1"/>
          <w:w w:val="100"/>
        </w:rPr>
        <w:t>e</w:t>
      </w:r>
      <w:r>
        <w:rPr>
          <w:w w:val="100"/>
        </w:rPr>
        <w:t>nti</w:t>
      </w:r>
      <w:r>
        <w:rPr>
          <w:w w:val="100"/>
        </w:rPr>
        <w:t>li</w:t>
      </w:r>
      <w:r>
        <w:rPr>
          <w:spacing w:val="7"/>
        </w:rPr>
        <w:t> </w:t>
      </w:r>
      <w:r>
        <w:rPr/>
        <w:t>(199</w:t>
      </w:r>
      <w:r>
        <w:rPr>
          <w:spacing w:val="-1"/>
        </w:rPr>
        <w:t>6</w:t>
      </w:r>
      <w:r>
        <w:rPr/>
        <w:t>,</w:t>
      </w:r>
      <w:r>
        <w:rPr>
          <w:spacing w:val="6"/>
        </w:rPr>
        <w:t> </w:t>
      </w:r>
      <w:r>
        <w:rPr/>
        <w:t>p.</w:t>
      </w:r>
      <w:r>
        <w:rPr>
          <w:spacing w:val="6"/>
        </w:rPr>
        <w:t> </w:t>
      </w:r>
      <w:r>
        <w:rPr/>
        <w:t>42)</w:t>
      </w:r>
      <w:r>
        <w:rPr>
          <w:spacing w:val="6"/>
        </w:rPr>
        <w:t> </w:t>
      </w:r>
      <w:r>
        <w:rPr>
          <w:spacing w:val="1"/>
          <w:w w:val="100"/>
        </w:rPr>
        <w:t>a</w:t>
      </w:r>
      <w:r>
        <w:rPr>
          <w:spacing w:val="-1"/>
          <w:w w:val="100"/>
        </w:rPr>
        <w:t>ce</w:t>
      </w:r>
      <w:r>
        <w:rPr>
          <w:spacing w:val="1"/>
          <w:w w:val="99"/>
        </w:rPr>
        <w:t>r</w:t>
      </w:r>
      <w:r>
        <w:rPr>
          <w:spacing w:val="1"/>
          <w:w w:val="100"/>
        </w:rPr>
        <w:t>c</w:t>
      </w:r>
      <w:r>
        <w:rPr>
          <w:w w:val="100"/>
        </w:rPr>
        <w:t>a</w:t>
      </w:r>
      <w:r>
        <w:rPr>
          <w:spacing w:val="6"/>
        </w:rPr>
        <w:t> </w:t>
      </w:r>
      <w:r>
        <w:rPr>
          <w:w w:val="100"/>
        </w:rPr>
        <w:t>da</w:t>
      </w:r>
      <w:r>
        <w:rPr>
          <w:spacing w:val="6"/>
        </w:rPr>
        <w:t> </w:t>
      </w:r>
      <w:r>
        <w:rPr>
          <w:spacing w:val="2"/>
        </w:rPr>
        <w:t>n</w:t>
      </w:r>
      <w:r>
        <w:rPr>
          <w:spacing w:val="-1"/>
          <w:w w:val="100"/>
        </w:rPr>
        <w:t>ece</w:t>
      </w:r>
      <w:r>
        <w:rPr>
          <w:w w:val="99"/>
        </w:rPr>
        <w:t>ssi</w:t>
      </w:r>
      <w:r>
        <w:rPr>
          <w:w w:val="100"/>
        </w:rPr>
        <w:t>d</w:t>
      </w:r>
      <w:r>
        <w:rPr>
          <w:spacing w:val="-1"/>
          <w:w w:val="100"/>
        </w:rPr>
        <w:t>a</w:t>
      </w:r>
      <w:r>
        <w:rPr>
          <w:spacing w:val="2"/>
        </w:rPr>
        <w:t>d</w:t>
      </w:r>
      <w:r>
        <w:rPr>
          <w:w w:val="100"/>
        </w:rPr>
        <w:t>e</w:t>
      </w:r>
      <w:r>
        <w:rPr>
          <w:spacing w:val="6"/>
        </w:rPr>
        <w:t> </w:t>
      </w:r>
      <w:r>
        <w:rPr>
          <w:spacing w:val="-1"/>
          <w:w w:val="44"/>
        </w:rPr>
        <w:t>―</w:t>
      </w:r>
      <w:r>
        <w:rPr>
          <w:spacing w:val="2"/>
        </w:rPr>
        <w:t>d</w:t>
      </w:r>
      <w:r>
        <w:rPr>
          <w:w w:val="100"/>
        </w:rPr>
        <w:t>e</w:t>
      </w:r>
      <w:r>
        <w:rPr>
          <w:spacing w:val="6"/>
        </w:rPr>
        <w:t> </w:t>
      </w:r>
      <w:r>
        <w:rPr/>
        <w:t>se</w:t>
      </w:r>
      <w:r>
        <w:rPr>
          <w:spacing w:val="8"/>
        </w:rPr>
        <w:t> </w:t>
      </w:r>
      <w:r>
        <w:rPr>
          <w:spacing w:val="-1"/>
          <w:w w:val="100"/>
        </w:rPr>
        <w:t>c</w:t>
      </w:r>
      <w:r>
        <w:rPr/>
        <w:t>onst</w:t>
      </w:r>
      <w:r>
        <w:rPr>
          <w:w w:val="100"/>
        </w:rPr>
        <w:t>ruir</w:t>
      </w:r>
      <w:r>
        <w:rPr>
          <w:spacing w:val="6"/>
          <w:w w:val="100"/>
        </w:rPr>
        <w:t> </w:t>
      </w:r>
      <w:r>
        <w:rPr>
          <w:w w:val="100"/>
        </w:rPr>
        <w:t>uma </w:t>
      </w:r>
      <w:r>
        <w:rPr/>
        <w:t>nova hegemonia que dê sustentação material e cultural a uma sociedade plenamente democrática e igualitária‖. Isto é, as lutas acampadas na garantia de uma educação  plena, precisam se acentuar, demarcando mais poder e força, pois, às atuais, é possível inferir que ainda não têm conseguido romper com as forças</w:t>
      </w:r>
      <w:r>
        <w:rPr>
          <w:spacing w:val="-16"/>
        </w:rPr>
        <w:t> </w:t>
      </w:r>
      <w:r>
        <w:rPr/>
        <w:t>conservadoras/alienadoras.</w:t>
      </w:r>
    </w:p>
    <w:p>
      <w:pPr>
        <w:pStyle w:val="BodyText"/>
        <w:spacing w:line="360" w:lineRule="auto" w:before="3"/>
        <w:ind w:left="102" w:right="118" w:firstLine="851"/>
        <w:jc w:val="both"/>
      </w:pPr>
      <w:r>
        <w:rPr/>
        <w:t>Desta feita, destacamos que a participação social nas deliberações, em especial, das questões da educação, carecem de forças que forjem o respeito as decisões tomadas democraticamente, de forma a construirmos uma cultura de planejamento da educação em uma perspectiva transformadora/comprometida socialmente. Tendo, portanto, a democracia como valor e como processo.</w:t>
      </w:r>
    </w:p>
    <w:p>
      <w:pPr>
        <w:pStyle w:val="BodyText"/>
        <w:spacing w:line="360" w:lineRule="auto" w:before="5"/>
        <w:ind w:left="102" w:right="115" w:firstLine="851"/>
        <w:jc w:val="both"/>
      </w:pPr>
      <w:r>
        <w:rPr/>
        <w:t>A democracia se expressa como </w:t>
      </w:r>
      <w:r>
        <w:rPr>
          <w:i/>
        </w:rPr>
        <w:t>valor </w:t>
      </w:r>
      <w:r>
        <w:rPr/>
        <w:t>e como </w:t>
      </w:r>
      <w:r>
        <w:rPr>
          <w:i/>
        </w:rPr>
        <w:t>processo. </w:t>
      </w:r>
      <w:r>
        <w:rPr/>
        <w:t>Ou seja, de um lado, afirma ideais, intenções e desejos – aquilo que se quer – de outro, requer formas de manifestação que a concretizem – aquilo que se pratica. Uma sociedade não é democrática pela simples afirmação de valores, mas, também e, sobretudo, pela construção e prática cotidiana dos mesmos, ou seja, pelos processos que os instauram e reafirmam. (VIEIRA, 2002, p. 31).</w:t>
      </w:r>
    </w:p>
    <w:p>
      <w:pPr>
        <w:pStyle w:val="BodyText"/>
        <w:rPr>
          <w:sz w:val="26"/>
        </w:rPr>
      </w:pPr>
    </w:p>
    <w:p>
      <w:pPr>
        <w:pStyle w:val="BodyText"/>
        <w:rPr>
          <w:sz w:val="26"/>
        </w:rPr>
      </w:pPr>
    </w:p>
    <w:p>
      <w:pPr>
        <w:pStyle w:val="BodyText"/>
        <w:rPr>
          <w:sz w:val="26"/>
        </w:rPr>
      </w:pPr>
    </w:p>
    <w:p>
      <w:pPr>
        <w:pStyle w:val="BodyText"/>
        <w:spacing w:before="4"/>
      </w:pPr>
    </w:p>
    <w:p>
      <w:pPr>
        <w:pStyle w:val="ListParagraph"/>
        <w:numPr>
          <w:ilvl w:val="3"/>
          <w:numId w:val="19"/>
        </w:numPr>
        <w:tabs>
          <w:tab w:pos="846" w:val="left" w:leader="none"/>
        </w:tabs>
        <w:spacing w:line="360" w:lineRule="auto" w:before="0" w:after="0"/>
        <w:ind w:left="102" w:right="123" w:firstLine="0"/>
        <w:jc w:val="both"/>
        <w:rPr>
          <w:i/>
          <w:sz w:val="24"/>
        </w:rPr>
      </w:pPr>
      <w:r>
        <w:rPr>
          <w:i/>
          <w:sz w:val="24"/>
        </w:rPr>
        <w:t>Ministério da Educação: documentos norteadores e subsidiários à elaboração </w:t>
      </w:r>
      <w:r>
        <w:rPr>
          <w:i/>
          <w:sz w:val="24"/>
        </w:rPr>
        <w:t>dos planos municipais de educação – Cadernos Planejando a Próxima</w:t>
      </w:r>
      <w:r>
        <w:rPr>
          <w:i/>
          <w:spacing w:val="-6"/>
          <w:sz w:val="24"/>
        </w:rPr>
        <w:t> </w:t>
      </w:r>
      <w:r>
        <w:rPr>
          <w:i/>
          <w:sz w:val="24"/>
        </w:rPr>
        <w:t>Década</w:t>
      </w:r>
    </w:p>
    <w:p>
      <w:pPr>
        <w:pStyle w:val="BodyText"/>
        <w:spacing w:before="5"/>
        <w:rPr>
          <w:i/>
          <w:sz w:val="36"/>
        </w:rPr>
      </w:pPr>
    </w:p>
    <w:p>
      <w:pPr>
        <w:spacing w:line="360" w:lineRule="auto" w:before="0"/>
        <w:ind w:left="102" w:right="114" w:firstLine="851"/>
        <w:jc w:val="both"/>
        <w:rPr>
          <w:sz w:val="24"/>
        </w:rPr>
      </w:pPr>
      <w:r>
        <w:rPr>
          <w:sz w:val="24"/>
        </w:rPr>
        <w:t>Diferentemente dos documentos elaborados no período referente ao contexto  do PNE 2001-2010, os quatro Cadernos Planejando a Próxima Década (</w:t>
      </w:r>
      <w:r>
        <w:rPr>
          <w:i/>
          <w:sz w:val="24"/>
        </w:rPr>
        <w:t>Construindo as </w:t>
      </w:r>
      <w:r>
        <w:rPr>
          <w:i/>
          <w:sz w:val="24"/>
        </w:rPr>
        <w:t>Metas do Seu Município </w:t>
      </w:r>
      <w:r>
        <w:rPr>
          <w:sz w:val="24"/>
        </w:rPr>
        <w:t>(BRASIL, 2014c), </w:t>
      </w:r>
      <w:r>
        <w:rPr>
          <w:i/>
          <w:sz w:val="24"/>
        </w:rPr>
        <w:t>Alinhando os Planos de Educação </w:t>
      </w:r>
      <w:r>
        <w:rPr>
          <w:sz w:val="24"/>
        </w:rPr>
        <w:t>(BRASIL, 2014d), </w:t>
      </w:r>
      <w:r>
        <w:rPr>
          <w:i/>
          <w:sz w:val="24"/>
        </w:rPr>
        <w:t>Conhecendo as 20 Metas do Plano Nacional de Educação  </w:t>
      </w:r>
      <w:r>
        <w:rPr>
          <w:sz w:val="24"/>
        </w:rPr>
        <w:t>(BRASIL, 2014e) e, </w:t>
      </w:r>
      <w:r>
        <w:rPr>
          <w:i/>
          <w:sz w:val="24"/>
        </w:rPr>
        <w:t>Plano Municipal de Educação: Caderno de Orientações </w:t>
      </w:r>
      <w:r>
        <w:rPr>
          <w:sz w:val="24"/>
        </w:rPr>
        <w:t>(BRASIL, 2014f))</w:t>
      </w:r>
      <w:r>
        <w:rPr>
          <w:spacing w:val="22"/>
          <w:sz w:val="24"/>
        </w:rPr>
        <w:t> </w:t>
      </w:r>
      <w:r>
        <w:rPr>
          <w:sz w:val="24"/>
        </w:rPr>
        <w:t>não</w:t>
      </w:r>
      <w:r>
        <w:rPr>
          <w:spacing w:val="24"/>
          <w:sz w:val="24"/>
        </w:rPr>
        <w:t> </w:t>
      </w:r>
      <w:r>
        <w:rPr>
          <w:sz w:val="24"/>
        </w:rPr>
        <w:t>apresentam</w:t>
      </w:r>
      <w:r>
        <w:rPr>
          <w:spacing w:val="26"/>
          <w:sz w:val="24"/>
        </w:rPr>
        <w:t> </w:t>
      </w:r>
      <w:r>
        <w:rPr>
          <w:sz w:val="24"/>
        </w:rPr>
        <w:t>tiragem</w:t>
      </w:r>
      <w:r>
        <w:rPr>
          <w:spacing w:val="24"/>
          <w:sz w:val="24"/>
        </w:rPr>
        <w:t> </w:t>
      </w:r>
      <w:r>
        <w:rPr>
          <w:sz w:val="24"/>
        </w:rPr>
        <w:t>(impressa),</w:t>
      </w:r>
      <w:r>
        <w:rPr>
          <w:spacing w:val="24"/>
          <w:sz w:val="24"/>
        </w:rPr>
        <w:t> </w:t>
      </w:r>
      <w:r>
        <w:rPr>
          <w:sz w:val="24"/>
        </w:rPr>
        <w:t>sendo</w:t>
      </w:r>
      <w:r>
        <w:rPr>
          <w:spacing w:val="24"/>
          <w:sz w:val="24"/>
        </w:rPr>
        <w:t> </w:t>
      </w:r>
      <w:r>
        <w:rPr>
          <w:sz w:val="24"/>
        </w:rPr>
        <w:t>o</w:t>
      </w:r>
      <w:r>
        <w:rPr>
          <w:spacing w:val="24"/>
          <w:sz w:val="24"/>
        </w:rPr>
        <w:t> </w:t>
      </w:r>
      <w:r>
        <w:rPr>
          <w:sz w:val="24"/>
        </w:rPr>
        <w:t>acesso</w:t>
      </w:r>
      <w:r>
        <w:rPr>
          <w:spacing w:val="24"/>
          <w:sz w:val="24"/>
        </w:rPr>
        <w:t> </w:t>
      </w:r>
      <w:r>
        <w:rPr>
          <w:sz w:val="24"/>
        </w:rPr>
        <w:t>a</w:t>
      </w:r>
      <w:r>
        <w:rPr>
          <w:spacing w:val="23"/>
          <w:sz w:val="24"/>
        </w:rPr>
        <w:t> </w:t>
      </w:r>
      <w:r>
        <w:rPr>
          <w:sz w:val="24"/>
        </w:rPr>
        <w:t>eles</w:t>
      </w:r>
      <w:r>
        <w:rPr>
          <w:spacing w:val="23"/>
          <w:sz w:val="24"/>
        </w:rPr>
        <w:t> </w:t>
      </w:r>
      <w:r>
        <w:rPr>
          <w:sz w:val="24"/>
        </w:rPr>
        <w:t>exclusivamente</w:t>
      </w:r>
      <w:r>
        <w:rPr>
          <w:spacing w:val="23"/>
          <w:sz w:val="24"/>
        </w:rPr>
        <w:t> </w:t>
      </w:r>
      <w:r>
        <w:rPr>
          <w:sz w:val="24"/>
        </w:rPr>
        <w:t>por</w:t>
      </w:r>
    </w:p>
    <w:p>
      <w:pPr>
        <w:spacing w:after="0" w:line="360" w:lineRule="auto"/>
        <w:jc w:val="both"/>
        <w:rPr>
          <w:sz w:val="24"/>
        </w:rPr>
        <w:sectPr>
          <w:pgSz w:w="11910" w:h="16840"/>
          <w:pgMar w:header="749" w:footer="0" w:top="960" w:bottom="280" w:left="1600" w:right="1580"/>
        </w:sectPr>
      </w:pPr>
    </w:p>
    <w:p>
      <w:pPr>
        <w:pStyle w:val="BodyText"/>
        <w:spacing w:before="6"/>
        <w:rPr>
          <w:sz w:val="29"/>
        </w:rPr>
      </w:pPr>
    </w:p>
    <w:p>
      <w:pPr>
        <w:spacing w:line="360" w:lineRule="auto" w:before="94"/>
        <w:ind w:left="122" w:right="118" w:firstLine="0"/>
        <w:jc w:val="both"/>
        <w:rPr>
          <w:sz w:val="24"/>
        </w:rPr>
      </w:pPr>
      <w:r>
        <w:rPr>
          <w:sz w:val="24"/>
        </w:rPr>
        <w:t>meio da </w:t>
      </w:r>
      <w:r>
        <w:rPr>
          <w:i/>
          <w:sz w:val="24"/>
        </w:rPr>
        <w:t>internet</w:t>
      </w:r>
      <w:r>
        <w:rPr>
          <w:sz w:val="24"/>
        </w:rPr>
        <w:t>, no portal eletrônico do MEC</w:t>
      </w:r>
      <w:r>
        <w:rPr>
          <w:position w:val="10"/>
          <w:sz w:val="14"/>
        </w:rPr>
        <w:t>15</w:t>
      </w:r>
      <w:r>
        <w:rPr>
          <w:sz w:val="24"/>
        </w:rPr>
        <w:t>. No entanto, ressaltamos que consta no documento </w:t>
      </w:r>
      <w:r>
        <w:rPr>
          <w:i/>
          <w:sz w:val="24"/>
        </w:rPr>
        <w:t>Orientações gerais aos(as) avaliadores(as) educacionais no trabalho de </w:t>
      </w:r>
      <w:r>
        <w:rPr>
          <w:i/>
          <w:sz w:val="24"/>
        </w:rPr>
        <w:t>adequação/elaboração dos planos estaduais, distrital e municipais de educação </w:t>
      </w:r>
      <w:r>
        <w:rPr>
          <w:sz w:val="24"/>
        </w:rPr>
        <w:t>(BRASIL, 2013, p. 2) que a atribuição de produção e distribuição de materiais ficaria a cargo da SASE/MEC:</w:t>
      </w:r>
    </w:p>
    <w:p>
      <w:pPr>
        <w:pStyle w:val="BodyText"/>
        <w:spacing w:before="3"/>
        <w:rPr>
          <w:sz w:val="36"/>
        </w:rPr>
      </w:pPr>
    </w:p>
    <w:p>
      <w:pPr>
        <w:spacing w:before="0"/>
        <w:ind w:left="2390" w:right="1862" w:firstLine="0"/>
        <w:jc w:val="left"/>
        <w:rPr>
          <w:sz w:val="20"/>
        </w:rPr>
      </w:pPr>
      <w:r>
        <w:rPr>
          <w:sz w:val="20"/>
        </w:rPr>
        <w:t>Cabe um conjunto de responsabilidades [à] SASE/MEC [...]</w:t>
      </w:r>
    </w:p>
    <w:p>
      <w:pPr>
        <w:spacing w:before="0"/>
        <w:ind w:left="2390" w:right="122" w:firstLine="0"/>
        <w:jc w:val="both"/>
        <w:rPr>
          <w:sz w:val="20"/>
        </w:rPr>
      </w:pPr>
      <w:r>
        <w:rPr>
          <w:b/>
          <w:sz w:val="20"/>
        </w:rPr>
        <w:t>Produzir e distribuir </w:t>
      </w:r>
      <w:r>
        <w:rPr>
          <w:sz w:val="20"/>
        </w:rPr>
        <w:t>materiais técnicos que subsidiem as capacitações para a adequação/elaboração dos planos estaduais, distrital e municipais de educação, tendo como referência os seguintes</w:t>
      </w:r>
      <w:r>
        <w:rPr>
          <w:spacing w:val="-19"/>
          <w:sz w:val="20"/>
        </w:rPr>
        <w:t> </w:t>
      </w:r>
      <w:r>
        <w:rPr>
          <w:sz w:val="20"/>
        </w:rPr>
        <w:t>documentos:</w:t>
      </w:r>
    </w:p>
    <w:p>
      <w:pPr>
        <w:pStyle w:val="ListParagraph"/>
        <w:numPr>
          <w:ilvl w:val="4"/>
          <w:numId w:val="19"/>
        </w:numPr>
        <w:tabs>
          <w:tab w:pos="2546" w:val="left" w:leader="none"/>
        </w:tabs>
        <w:spacing w:line="240" w:lineRule="auto" w:before="3" w:after="0"/>
        <w:ind w:left="2545" w:right="0" w:hanging="155"/>
        <w:jc w:val="both"/>
        <w:rPr>
          <w:b/>
          <w:sz w:val="20"/>
        </w:rPr>
      </w:pPr>
      <w:r>
        <w:rPr>
          <w:b/>
          <w:sz w:val="20"/>
        </w:rPr>
        <w:t>Alinhando os Planos de</w:t>
      </w:r>
      <w:r>
        <w:rPr>
          <w:b/>
          <w:spacing w:val="-8"/>
          <w:sz w:val="20"/>
        </w:rPr>
        <w:t> </w:t>
      </w:r>
      <w:r>
        <w:rPr>
          <w:b/>
          <w:sz w:val="20"/>
        </w:rPr>
        <w:t>Educação;</w:t>
      </w:r>
    </w:p>
    <w:p>
      <w:pPr>
        <w:pStyle w:val="ListParagraph"/>
        <w:numPr>
          <w:ilvl w:val="4"/>
          <w:numId w:val="19"/>
        </w:numPr>
        <w:tabs>
          <w:tab w:pos="2601" w:val="left" w:leader="none"/>
        </w:tabs>
        <w:spacing w:line="240" w:lineRule="auto" w:before="0" w:after="0"/>
        <w:ind w:left="2600" w:right="0" w:hanging="210"/>
        <w:jc w:val="both"/>
        <w:rPr>
          <w:b/>
          <w:sz w:val="20"/>
        </w:rPr>
      </w:pPr>
      <w:r>
        <w:rPr>
          <w:b/>
          <w:sz w:val="20"/>
        </w:rPr>
        <w:t>Conhecendo as 20 Metas do Plano Nacional de</w:t>
      </w:r>
      <w:r>
        <w:rPr>
          <w:b/>
          <w:spacing w:val="-15"/>
          <w:sz w:val="20"/>
        </w:rPr>
        <w:t> </w:t>
      </w:r>
      <w:r>
        <w:rPr>
          <w:b/>
          <w:sz w:val="20"/>
        </w:rPr>
        <w:t>Educação;</w:t>
      </w:r>
    </w:p>
    <w:p>
      <w:pPr>
        <w:pStyle w:val="ListParagraph"/>
        <w:numPr>
          <w:ilvl w:val="4"/>
          <w:numId w:val="19"/>
        </w:numPr>
        <w:tabs>
          <w:tab w:pos="2657" w:val="left" w:leader="none"/>
        </w:tabs>
        <w:spacing w:line="240" w:lineRule="auto" w:before="0" w:after="0"/>
        <w:ind w:left="2656" w:right="0" w:hanging="266"/>
        <w:jc w:val="both"/>
        <w:rPr>
          <w:b/>
          <w:sz w:val="20"/>
        </w:rPr>
      </w:pPr>
      <w:r>
        <w:rPr>
          <w:b/>
          <w:sz w:val="20"/>
        </w:rPr>
        <w:t>Construindo as Metas do seu</w:t>
      </w:r>
      <w:r>
        <w:rPr>
          <w:b/>
          <w:spacing w:val="-13"/>
          <w:sz w:val="20"/>
        </w:rPr>
        <w:t> </w:t>
      </w:r>
      <w:r>
        <w:rPr>
          <w:b/>
          <w:sz w:val="20"/>
        </w:rPr>
        <w:t>Município.</w:t>
      </w:r>
    </w:p>
    <w:p>
      <w:pPr>
        <w:pStyle w:val="BodyText"/>
        <w:rPr>
          <w:b/>
          <w:sz w:val="22"/>
        </w:rPr>
      </w:pPr>
    </w:p>
    <w:p>
      <w:pPr>
        <w:pStyle w:val="BodyText"/>
        <w:spacing w:line="360" w:lineRule="auto" w:before="156"/>
        <w:ind w:left="122" w:right="116" w:firstLine="851"/>
        <w:jc w:val="both"/>
      </w:pPr>
      <w:r>
        <w:rPr/>
        <w:t>Assim, tendo em vista essa atribuição da SASE/MEC e as explicitações em </w:t>
      </w:r>
      <w:r>
        <w:rPr>
          <w:w w:val="100"/>
        </w:rPr>
        <w:t>ca</w:t>
      </w:r>
      <w:r>
        <w:rPr>
          <w:w w:val="100"/>
        </w:rPr>
        <w:t>da</w:t>
      </w:r>
      <w:r>
        <w:rPr/>
        <w:t> </w:t>
      </w:r>
      <w:r>
        <w:rPr>
          <w:w w:val="100"/>
        </w:rPr>
        <w:t>um</w:t>
      </w:r>
      <w:r>
        <w:rPr/>
        <w:t> </w:t>
      </w:r>
      <w:r>
        <w:rPr>
          <w:w w:val="99"/>
        </w:rPr>
        <w:t>dos</w:t>
      </w:r>
      <w:r>
        <w:rPr/>
        <w:t> C</w:t>
      </w:r>
      <w:r>
        <w:rPr>
          <w:w w:val="100"/>
        </w:rPr>
        <w:t>a</w:t>
      </w:r>
      <w:r>
        <w:rPr>
          <w:w w:val="100"/>
        </w:rPr>
        <w:t>de</w:t>
      </w:r>
      <w:r>
        <w:rPr>
          <w:w w:val="99"/>
        </w:rPr>
        <w:t>rnos, </w:t>
      </w:r>
      <w:r>
        <w:rPr>
          <w:w w:val="100"/>
        </w:rPr>
        <w:t>pe</w:t>
      </w:r>
      <w:r>
        <w:rPr>
          <w:w w:val="100"/>
        </w:rPr>
        <w:t>rmiti</w:t>
      </w:r>
      <w:r>
        <w:rPr/>
        <w:t>ndo </w:t>
      </w:r>
      <w:r>
        <w:rPr>
          <w:w w:val="100"/>
        </w:rPr>
        <w:t>a</w:t>
      </w:r>
      <w:r>
        <w:rPr/>
        <w:t> </w:t>
      </w:r>
      <w:r>
        <w:rPr>
          <w:w w:val="44"/>
        </w:rPr>
        <w:t>―</w:t>
      </w:r>
      <w:r>
        <w:rPr>
          <w:w w:val="100"/>
        </w:rPr>
        <w:t>re</w:t>
      </w:r>
      <w:r>
        <w:rPr/>
        <w:t>produç</w:t>
      </w:r>
      <w:r>
        <w:rPr>
          <w:w w:val="100"/>
        </w:rPr>
        <w:t>ã</w:t>
      </w:r>
      <w:r>
        <w:rPr/>
        <w:t>o </w:t>
      </w:r>
      <w:r>
        <w:rPr>
          <w:w w:val="100"/>
        </w:rPr>
        <w:t>parc</w:t>
      </w:r>
      <w:r>
        <w:rPr>
          <w:w w:val="100"/>
        </w:rPr>
        <w:t>ial</w:t>
      </w:r>
      <w:r>
        <w:rPr/>
        <w:t> ou </w:t>
      </w:r>
      <w:r>
        <w:rPr>
          <w:w w:val="100"/>
        </w:rPr>
        <w:t>tota</w:t>
      </w:r>
      <w:r>
        <w:rPr>
          <w:w w:val="100"/>
        </w:rPr>
        <w:t>l</w:t>
      </w:r>
      <w:r>
        <w:rPr/>
        <w:t> [</w:t>
      </w:r>
      <w:r>
        <w:rPr>
          <w:w w:val="100"/>
        </w:rPr>
        <w:t>da</w:t>
      </w:r>
      <w:r>
        <w:rPr>
          <w:w w:val="99"/>
        </w:rPr>
        <w:t>] </w:t>
      </w:r>
      <w:r>
        <w:rPr>
          <w:w w:val="100"/>
        </w:rPr>
        <w:t>obra, desde que </w:t>
      </w:r>
      <w:r>
        <w:rPr/>
        <w:t>citada a fonte‖ (BRASIL, 2014d, p. 4; BRASIL, 2014e, p. 4; BRASIL, 2014f, p. 4),</w:t>
      </w:r>
    </w:p>
    <w:p>
      <w:pPr>
        <w:pStyle w:val="BodyText"/>
        <w:spacing w:line="360" w:lineRule="auto" w:before="6"/>
        <w:ind w:left="122" w:right="117"/>
        <w:jc w:val="both"/>
      </w:pPr>
      <w:r>
        <w:rPr/>
        <w:t>destacamos que os custos com o acesso a tais documentos, de fundamental importância no processo de elaboração dos Planos dos Estados, do Distrito Federal e dos  Municípios, ficaram a cargo desses entes federados, possivelmente, pensando-se no regime de colaboração (CAVALCANTE, 2015; LAGARES,</w:t>
      </w:r>
      <w:r>
        <w:rPr>
          <w:spacing w:val="-14"/>
        </w:rPr>
        <w:t> </w:t>
      </w:r>
      <w:r>
        <w:rPr/>
        <w:t>2015).</w:t>
      </w:r>
    </w:p>
    <w:p>
      <w:pPr>
        <w:spacing w:line="360" w:lineRule="auto" w:before="6"/>
        <w:ind w:left="122" w:right="111" w:firstLine="851"/>
        <w:jc w:val="both"/>
        <w:rPr>
          <w:sz w:val="24"/>
        </w:rPr>
      </w:pPr>
      <w:r>
        <w:rPr>
          <w:sz w:val="24"/>
        </w:rPr>
        <w:t>Os Cadernos </w:t>
      </w:r>
      <w:r>
        <w:rPr>
          <w:i/>
          <w:sz w:val="24"/>
        </w:rPr>
        <w:t>Conhecendo as 20 Metas do Plano Nacional de Educação </w:t>
      </w:r>
      <w:r>
        <w:rPr>
          <w:sz w:val="24"/>
        </w:rPr>
        <w:t>e </w:t>
      </w:r>
      <w:r>
        <w:rPr>
          <w:i/>
          <w:sz w:val="24"/>
        </w:rPr>
        <w:t>Alinhando os Planos de Educação </w:t>
      </w:r>
      <w:r>
        <w:rPr>
          <w:sz w:val="24"/>
        </w:rPr>
        <w:t>possuem respectivamente 61 (sessenta e uma) e 26 (vinte e seis) páginas. A </w:t>
      </w:r>
      <w:r>
        <w:rPr>
          <w:i/>
          <w:sz w:val="24"/>
        </w:rPr>
        <w:t>Apresentação </w:t>
      </w:r>
      <w:r>
        <w:rPr>
          <w:sz w:val="24"/>
        </w:rPr>
        <w:t>dos dois documentos (BRASIL, 2014e, p. 5; BRASIL,  2014d,  p.  5)  indica  que  a  construção  desses  Cadernos  contou  com       a</w:t>
      </w:r>
    </w:p>
    <w:p>
      <w:pPr>
        <w:pStyle w:val="BodyText"/>
        <w:spacing w:line="360" w:lineRule="auto" w:before="6"/>
        <w:ind w:left="122" w:right="120"/>
        <w:jc w:val="both"/>
      </w:pPr>
      <w:r>
        <w:rPr>
          <w:w w:val="44"/>
        </w:rPr>
        <w:t>―</w:t>
      </w:r>
      <w:r>
        <w:rPr>
          <w:w w:val="100"/>
        </w:rPr>
        <w:t>c</w:t>
      </w:r>
      <w:r>
        <w:rPr>
          <w:w w:val="100"/>
        </w:rPr>
        <w:t>ontribui</w:t>
      </w:r>
      <w:r>
        <w:rPr>
          <w:w w:val="100"/>
        </w:rPr>
        <w:t>çã</w:t>
      </w:r>
      <w:r>
        <w:rPr/>
        <w:t>o</w:t>
      </w:r>
      <w:r>
        <w:rPr>
          <w:w w:val="158"/>
        </w:rPr>
        <w:t>‖</w:t>
      </w:r>
      <w:r>
        <w:rPr/>
        <w:t>  </w:t>
      </w:r>
      <w:r>
        <w:rPr>
          <w:w w:val="100"/>
        </w:rPr>
        <w:t>e</w:t>
      </w:r>
      <w:r>
        <w:rPr/>
        <w:t>  </w:t>
      </w:r>
      <w:r>
        <w:rPr>
          <w:w w:val="44"/>
        </w:rPr>
        <w:t>―</w:t>
      </w:r>
      <w:r>
        <w:rPr/>
        <w:t>p</w:t>
      </w:r>
      <w:r>
        <w:rPr>
          <w:w w:val="100"/>
        </w:rPr>
        <w:t>a</w:t>
      </w:r>
      <w:r>
        <w:rPr>
          <w:w w:val="100"/>
        </w:rPr>
        <w:t>rc</w:t>
      </w:r>
      <w:r>
        <w:rPr>
          <w:w w:val="100"/>
        </w:rPr>
        <w:t>eria</w:t>
      </w:r>
      <w:r>
        <w:rPr>
          <w:w w:val="158"/>
        </w:rPr>
        <w:t>‖</w:t>
      </w:r>
      <w:r>
        <w:rPr/>
        <w:t>  </w:t>
      </w:r>
      <w:r>
        <w:rPr>
          <w:w w:val="100"/>
        </w:rPr>
        <w:t>da</w:t>
      </w:r>
      <w:r>
        <w:rPr/>
        <w:t>  Universida</w:t>
      </w:r>
      <w:r>
        <w:rPr>
          <w:w w:val="100"/>
        </w:rPr>
        <w:t>de</w:t>
      </w:r>
      <w:r>
        <w:rPr/>
        <w:t>  </w:t>
      </w:r>
      <w:r>
        <w:rPr>
          <w:w w:val="99"/>
        </w:rPr>
        <w:t>F</w:t>
      </w:r>
      <w:r>
        <w:rPr>
          <w:w w:val="100"/>
        </w:rPr>
        <w:t>e</w:t>
      </w:r>
      <w:r>
        <w:rPr>
          <w:w w:val="100"/>
        </w:rPr>
        <w:t>dera</w:t>
      </w:r>
      <w:r>
        <w:rPr>
          <w:w w:val="100"/>
        </w:rPr>
        <w:t>l</w:t>
      </w:r>
      <w:r>
        <w:rPr/>
        <w:t>  d</w:t>
      </w:r>
      <w:r>
        <w:rPr>
          <w:w w:val="100"/>
        </w:rPr>
        <w:t>e</w:t>
      </w:r>
      <w:r>
        <w:rPr/>
        <w:t>  </w:t>
      </w:r>
      <w:r>
        <w:rPr>
          <w:w w:val="99"/>
        </w:rPr>
        <w:t>P</w:t>
      </w:r>
      <w:r>
        <w:rPr>
          <w:w w:val="100"/>
        </w:rPr>
        <w:t>e</w:t>
      </w:r>
      <w:r>
        <w:rPr>
          <w:w w:val="100"/>
        </w:rPr>
        <w:t>rnambuco</w:t>
      </w:r>
      <w:r>
        <w:rPr/>
        <w:t>  </w:t>
      </w:r>
      <w:r>
        <w:rPr>
          <w:w w:val="99"/>
        </w:rPr>
        <w:t>(UFP</w:t>
      </w:r>
      <w:r>
        <w:rPr>
          <w:w w:val="100"/>
        </w:rPr>
        <w:t>E)</w:t>
      </w:r>
      <w:r>
        <w:rPr/>
        <w:t>  </w:t>
      </w:r>
      <w:r>
        <w:rPr>
          <w:w w:val="100"/>
        </w:rPr>
        <w:t>e</w:t>
      </w:r>
      <w:r>
        <w:rPr/>
        <w:t>  d</w:t>
      </w:r>
      <w:r>
        <w:rPr>
          <w:w w:val="100"/>
        </w:rPr>
        <w:t>a </w:t>
      </w:r>
      <w:r>
        <w:rPr/>
        <w:t>Associação Nacional de Política e Administração da Educação (Anpae).</w:t>
      </w:r>
    </w:p>
    <w:p>
      <w:pPr>
        <w:pStyle w:val="BodyText"/>
        <w:spacing w:line="360" w:lineRule="auto" w:before="6"/>
        <w:ind w:left="122" w:right="118" w:firstLine="851"/>
        <w:jc w:val="both"/>
      </w:pPr>
      <w:r>
        <w:rPr/>
        <w:t>Ainda, acerca do processo de construção dos documentos, o Caderno </w:t>
      </w:r>
      <w:r>
        <w:rPr>
          <w:i/>
        </w:rPr>
        <w:t>Conhecendo as 20 Metas do Plano Nacional de Educação </w:t>
      </w:r>
      <w:r>
        <w:rPr/>
        <w:t>(BRASIL, 2014e, p. 5) </w:t>
      </w:r>
      <w:r>
        <w:rPr>
          <w:w w:val="99"/>
        </w:rPr>
        <w:t>indi</w:t>
      </w:r>
      <w:r>
        <w:rPr>
          <w:spacing w:val="-1"/>
          <w:w w:val="99"/>
        </w:rPr>
        <w:t>c</w:t>
      </w:r>
      <w:r>
        <w:rPr>
          <w:w w:val="99"/>
        </w:rPr>
        <w:t>a</w:t>
      </w:r>
      <w:r>
        <w:rPr>
          <w:spacing w:val="-1"/>
          <w:w w:val="99"/>
        </w:rPr>
        <w:t> </w:t>
      </w:r>
      <w:r>
        <w:rPr>
          <w:w w:val="99"/>
        </w:rPr>
        <w:t>que</w:t>
      </w:r>
      <w:r>
        <w:rPr>
          <w:spacing w:val="1"/>
          <w:w w:val="99"/>
        </w:rPr>
        <w:t> </w:t>
      </w:r>
      <w:r>
        <w:rPr>
          <w:w w:val="99"/>
        </w:rPr>
        <w:t>a</w:t>
      </w:r>
      <w:r>
        <w:rPr>
          <w:spacing w:val="-1"/>
          <w:w w:val="99"/>
        </w:rPr>
        <w:t> c</w:t>
      </w:r>
      <w:r>
        <w:rPr>
          <w:w w:val="99"/>
        </w:rPr>
        <w:t>ontribui</w:t>
      </w:r>
      <w:r>
        <w:rPr>
          <w:spacing w:val="1"/>
          <w:w w:val="99"/>
        </w:rPr>
        <w:t>ç</w:t>
      </w:r>
      <w:r>
        <w:rPr>
          <w:spacing w:val="-1"/>
          <w:w w:val="99"/>
        </w:rPr>
        <w:t>ã</w:t>
      </w:r>
      <w:r>
        <w:rPr>
          <w:w w:val="99"/>
        </w:rPr>
        <w:t>o</w:t>
      </w:r>
      <w:r>
        <w:rPr>
          <w:spacing w:val="2"/>
          <w:w w:val="99"/>
        </w:rPr>
        <w:t> </w:t>
      </w:r>
      <w:r>
        <w:rPr>
          <w:w w:val="99"/>
        </w:rPr>
        <w:t>tanto</w:t>
      </w:r>
      <w:r>
        <w:rPr>
          <w:spacing w:val="-1"/>
          <w:w w:val="99"/>
        </w:rPr>
        <w:t> </w:t>
      </w:r>
      <w:r>
        <w:rPr>
          <w:w w:val="99"/>
        </w:rPr>
        <w:t>da</w:t>
      </w:r>
      <w:r>
        <w:rPr>
          <w:spacing w:val="-1"/>
          <w:w w:val="99"/>
        </w:rPr>
        <w:t> </w:t>
      </w:r>
      <w:r>
        <w:rPr>
          <w:spacing w:val="1"/>
          <w:w w:val="99"/>
        </w:rPr>
        <w:t>U</w:t>
      </w:r>
      <w:r>
        <w:rPr>
          <w:spacing w:val="-2"/>
          <w:w w:val="99"/>
        </w:rPr>
        <w:t>F</w:t>
      </w:r>
      <w:r>
        <w:rPr>
          <w:w w:val="99"/>
        </w:rPr>
        <w:t>P</w:t>
      </w:r>
      <w:r>
        <w:rPr/>
        <w:t>E qu</w:t>
      </w:r>
      <w:r>
        <w:rPr>
          <w:spacing w:val="-2"/>
        </w:rPr>
        <w:t>a</w:t>
      </w:r>
      <w:r>
        <w:rPr/>
        <w:t>nto </w:t>
      </w:r>
      <w:r>
        <w:rPr>
          <w:spacing w:val="5"/>
        </w:rPr>
        <w:t>d</w:t>
      </w:r>
      <w:r>
        <w:rPr>
          <w:w w:val="100"/>
        </w:rPr>
        <w:t>a</w:t>
      </w:r>
      <w:r>
        <w:rPr>
          <w:spacing w:val="-1"/>
        </w:rPr>
        <w:t> </w:t>
      </w:r>
      <w:r>
        <w:rPr/>
        <w:t>Anpa</w:t>
      </w:r>
      <w:r>
        <w:rPr>
          <w:w w:val="100"/>
        </w:rPr>
        <w:t>e</w:t>
      </w:r>
      <w:r>
        <w:rPr>
          <w:spacing w:val="-1"/>
        </w:rPr>
        <w:t> </w:t>
      </w:r>
      <w:r>
        <w:rPr>
          <w:spacing w:val="-1"/>
          <w:w w:val="44"/>
        </w:rPr>
        <w:t>―</w:t>
      </w:r>
      <w:r>
        <w:rPr>
          <w:w w:val="99"/>
        </w:rPr>
        <w:t>subsi</w:t>
      </w:r>
      <w:r>
        <w:rPr>
          <w:w w:val="100"/>
        </w:rPr>
        <w:t>diar</w:t>
      </w:r>
      <w:r>
        <w:rPr>
          <w:spacing w:val="-1"/>
          <w:w w:val="100"/>
        </w:rPr>
        <w:t>a</w:t>
      </w:r>
      <w:r>
        <w:rPr>
          <w:w w:val="100"/>
        </w:rPr>
        <w:t>m</w:t>
      </w:r>
      <w:r>
        <w:rPr/>
        <w:t> o</w:t>
      </w:r>
      <w:r>
        <w:rPr>
          <w:spacing w:val="2"/>
        </w:rPr>
        <w:t> </w:t>
      </w:r>
      <w:r>
        <w:rPr>
          <w:w w:val="100"/>
        </w:rPr>
        <w:t>d</w:t>
      </w:r>
      <w:r>
        <w:rPr>
          <w:spacing w:val="-1"/>
          <w:w w:val="100"/>
        </w:rPr>
        <w:t>e</w:t>
      </w:r>
      <w:r>
        <w:rPr>
          <w:w w:val="100"/>
        </w:rPr>
        <w:t>b</w:t>
      </w:r>
      <w:r>
        <w:rPr>
          <w:spacing w:val="-1"/>
          <w:w w:val="100"/>
        </w:rPr>
        <w:t>a</w:t>
      </w:r>
      <w:r>
        <w:rPr>
          <w:w w:val="100"/>
        </w:rPr>
        <w:t>te</w:t>
      </w:r>
      <w:r>
        <w:rPr/>
        <w:t> </w:t>
      </w:r>
      <w:r>
        <w:rPr>
          <w:w w:val="100"/>
        </w:rPr>
        <w:t>t</w:t>
      </w:r>
      <w:r>
        <w:rPr>
          <w:spacing w:val="-1"/>
          <w:w w:val="100"/>
        </w:rPr>
        <w:t>e</w:t>
      </w:r>
      <w:r>
        <w:rPr>
          <w:spacing w:val="2"/>
        </w:rPr>
        <w:t>ó</w:t>
      </w:r>
      <w:r>
        <w:rPr>
          <w:w w:val="100"/>
        </w:rPr>
        <w:t>ri</w:t>
      </w:r>
      <w:r>
        <w:rPr>
          <w:spacing w:val="-2"/>
          <w:w w:val="100"/>
        </w:rPr>
        <w:t>c</w:t>
      </w:r>
      <w:r>
        <w:rPr/>
        <w:t>o sobre o tema, agregando inquietações e avanços conceituais e políticos de centenas de pesquisadores comprometidos com a educação pública no Brasil.‖ Também, são </w:t>
      </w:r>
      <w:r>
        <w:rPr>
          <w:w w:val="100"/>
        </w:rPr>
        <w:t>lemb</w:t>
      </w:r>
      <w:r>
        <w:rPr>
          <w:spacing w:val="-1"/>
          <w:w w:val="100"/>
        </w:rPr>
        <w:t>r</w:t>
      </w:r>
      <w:r>
        <w:rPr>
          <w:spacing w:val="-1"/>
          <w:w w:val="100"/>
        </w:rPr>
        <w:t>a</w:t>
      </w:r>
      <w:r>
        <w:rPr>
          <w:w w:val="99"/>
        </w:rPr>
        <w:t>dos</w:t>
      </w:r>
      <w:r>
        <w:rPr/>
        <w:t> </w:t>
      </w:r>
      <w:r>
        <w:rPr>
          <w:spacing w:val="-27"/>
        </w:rPr>
        <w:t> </w:t>
      </w:r>
      <w:r>
        <w:rPr>
          <w:spacing w:val="-1"/>
          <w:w w:val="100"/>
        </w:rPr>
        <w:t>c</w:t>
      </w:r>
      <w:r>
        <w:rPr>
          <w:w w:val="100"/>
        </w:rPr>
        <w:t>omo </w:t>
      </w:r>
      <w:r>
        <w:rPr>
          <w:spacing w:val="-24"/>
          <w:w w:val="100"/>
        </w:rPr>
        <w:t> </w:t>
      </w:r>
      <w:r>
        <w:rPr>
          <w:spacing w:val="-1"/>
          <w:w w:val="44"/>
        </w:rPr>
        <w:t>―</w:t>
      </w:r>
      <w:r>
        <w:rPr>
          <w:spacing w:val="-1"/>
          <w:w w:val="100"/>
        </w:rPr>
        <w:t>c</w:t>
      </w:r>
      <w:r>
        <w:rPr>
          <w:w w:val="100"/>
        </w:rPr>
        <w:t>ola</w:t>
      </w:r>
      <w:r>
        <w:rPr>
          <w:spacing w:val="1"/>
          <w:w w:val="100"/>
        </w:rPr>
        <w:t>b</w:t>
      </w:r>
      <w:r>
        <w:rPr>
          <w:w w:val="99"/>
        </w:rPr>
        <w:t>o</w:t>
      </w:r>
      <w:r>
        <w:rPr>
          <w:spacing w:val="-1"/>
          <w:w w:val="99"/>
        </w:rPr>
        <w:t>r</w:t>
      </w:r>
      <w:r>
        <w:rPr>
          <w:spacing w:val="-1"/>
          <w:w w:val="100"/>
        </w:rPr>
        <w:t>a</w:t>
      </w:r>
      <w:r>
        <w:rPr>
          <w:w w:val="100"/>
        </w:rPr>
        <w:t>dor</w:t>
      </w:r>
      <w:r>
        <w:rPr>
          <w:spacing w:val="-2"/>
          <w:w w:val="100"/>
        </w:rPr>
        <w:t>e</w:t>
      </w:r>
      <w:r>
        <w:rPr>
          <w:spacing w:val="2"/>
          <w:w w:val="99"/>
        </w:rPr>
        <w:t>s</w:t>
      </w:r>
      <w:r>
        <w:rPr>
          <w:spacing w:val="-1"/>
          <w:w w:val="158"/>
        </w:rPr>
        <w:t>‖</w:t>
      </w:r>
      <w:r>
        <w:rPr/>
        <w:t>, </w:t>
      </w:r>
      <w:r>
        <w:rPr>
          <w:spacing w:val="-27"/>
        </w:rPr>
        <w:t> </w:t>
      </w:r>
      <w:r>
        <w:rPr>
          <w:spacing w:val="-1"/>
          <w:w w:val="100"/>
        </w:rPr>
        <w:t>c</w:t>
      </w:r>
      <w:r>
        <w:rPr/>
        <w:t>onsi</w:t>
      </w:r>
      <w:r>
        <w:rPr>
          <w:w w:val="100"/>
        </w:rPr>
        <w:t>d</w:t>
      </w:r>
      <w:r>
        <w:rPr>
          <w:spacing w:val="1"/>
          <w:w w:val="100"/>
        </w:rPr>
        <w:t>e</w:t>
      </w:r>
      <w:r>
        <w:rPr>
          <w:w w:val="100"/>
        </w:rPr>
        <w:t>r</w:t>
      </w:r>
      <w:r>
        <w:rPr>
          <w:spacing w:val="-2"/>
          <w:w w:val="100"/>
        </w:rPr>
        <w:t>a</w:t>
      </w:r>
      <w:r>
        <w:rPr/>
        <w:t>ndo </w:t>
      </w:r>
      <w:r>
        <w:rPr>
          <w:spacing w:val="-25"/>
        </w:rPr>
        <w:t> </w:t>
      </w:r>
      <w:r>
        <w:rPr>
          <w:w w:val="100"/>
        </w:rPr>
        <w:t>a</w:t>
      </w:r>
      <w:r>
        <w:rPr/>
        <w:t> </w:t>
      </w:r>
      <w:r>
        <w:rPr>
          <w:spacing w:val="-28"/>
        </w:rPr>
        <w:t> </w:t>
      </w:r>
      <w:r>
        <w:rPr>
          <w:spacing w:val="1"/>
        </w:rPr>
        <w:t>r</w:t>
      </w:r>
      <w:r>
        <w:rPr>
          <w:spacing w:val="-1"/>
          <w:w w:val="100"/>
        </w:rPr>
        <w:t>ea</w:t>
      </w:r>
      <w:r>
        <w:rPr>
          <w:w w:val="100"/>
        </w:rPr>
        <w:t>li</w:t>
      </w:r>
      <w:r>
        <w:rPr>
          <w:spacing w:val="1"/>
          <w:w w:val="100"/>
        </w:rPr>
        <w:t>z</w:t>
      </w:r>
      <w:r>
        <w:rPr>
          <w:spacing w:val="-1"/>
          <w:w w:val="100"/>
        </w:rPr>
        <w:t>açã</w:t>
      </w:r>
      <w:r>
        <w:rPr/>
        <w:t>o </w:t>
      </w:r>
      <w:r>
        <w:rPr>
          <w:spacing w:val="-23"/>
        </w:rPr>
        <w:t> </w:t>
      </w:r>
      <w:r>
        <w:rPr>
          <w:spacing w:val="2"/>
        </w:rPr>
        <w:t>d</w:t>
      </w:r>
      <w:r>
        <w:rPr/>
        <w:t>e </w:t>
      </w:r>
      <w:r>
        <w:rPr>
          <w:spacing w:val="-26"/>
        </w:rPr>
        <w:t> </w:t>
      </w:r>
      <w:r>
        <w:rPr>
          <w:spacing w:val="-1"/>
        </w:rPr>
        <w:t>a</w:t>
      </w:r>
      <w:r>
        <w:rPr/>
        <w:t>udiênc</w:t>
      </w:r>
      <w:r>
        <w:rPr>
          <w:w w:val="99"/>
        </w:rPr>
        <w:t>ias</w:t>
      </w:r>
      <w:r>
        <w:rPr/>
        <w:t> </w:t>
      </w:r>
      <w:r>
        <w:rPr>
          <w:spacing w:val="-27"/>
        </w:rPr>
        <w:t> </w:t>
      </w:r>
      <w:r>
        <w:rPr/>
        <w:t>públi</w:t>
      </w:r>
      <w:r>
        <w:rPr>
          <w:spacing w:val="-1"/>
        </w:rPr>
        <w:t>ca</w:t>
      </w:r>
      <w:r>
        <w:rPr>
          <w:w w:val="99"/>
        </w:rPr>
        <w:t>s</w:t>
      </w:r>
      <w:r>
        <w:rPr/>
        <w:t> </w:t>
      </w:r>
      <w:r>
        <w:rPr>
          <w:spacing w:val="-24"/>
        </w:rPr>
        <w:t> </w:t>
      </w:r>
      <w:r>
        <w:rPr/>
        <w:t>e encontros regionais, a União dos Conselhos Municipais de Educação (Uncme) e Fórum dos  Conselhos  Estaduais  de  Educação  (FNCE).  E,  por  fim,  o  Caderno  agradece</w:t>
      </w:r>
      <w:r>
        <w:rPr>
          <w:spacing w:val="47"/>
        </w:rPr>
        <w:t> </w:t>
      </w:r>
      <w:r>
        <w:rPr/>
        <w:t>à</w:t>
      </w:r>
    </w:p>
    <w:p>
      <w:pPr>
        <w:pStyle w:val="BodyText"/>
        <w:spacing w:before="2"/>
        <w:rPr>
          <w:sz w:val="17"/>
        </w:rPr>
      </w:pPr>
      <w:r>
        <w:rPr/>
        <w:pict>
          <v:line style="position:absolute;mso-position-horizontal-relative:page;mso-position-vertical-relative:paragraph;z-index:1528;mso-wrap-distance-left:0;mso-wrap-distance-right:0" from="85.103996pt,12.235205pt" to="229.123996pt,12.235205pt" stroked="true" strokeweight=".72003pt" strokecolor="#000000">
            <v:stroke dashstyle="solid"/>
            <w10:wrap type="topAndBottom"/>
          </v:line>
        </w:pict>
      </w:r>
    </w:p>
    <w:p>
      <w:pPr>
        <w:spacing w:before="42"/>
        <w:ind w:left="122" w:right="0" w:firstLine="0"/>
        <w:jc w:val="left"/>
        <w:rPr>
          <w:sz w:val="20"/>
        </w:rPr>
      </w:pPr>
      <w:r>
        <w:rPr>
          <w:position w:val="9"/>
          <w:sz w:val="13"/>
        </w:rPr>
        <w:t>15 </w:t>
      </w:r>
      <w:hyperlink r:id="rId45">
        <w:r>
          <w:rPr>
            <w:sz w:val="20"/>
          </w:rPr>
          <w:t>www.pne.mec.gov.br.</w:t>
        </w:r>
      </w:hyperlink>
    </w:p>
    <w:p>
      <w:pPr>
        <w:spacing w:after="0"/>
        <w:jc w:val="left"/>
        <w:rPr>
          <w:sz w:val="20"/>
        </w:rPr>
        <w:sectPr>
          <w:pgSz w:w="11910" w:h="16840"/>
          <w:pgMar w:header="749" w:footer="0" w:top="960" w:bottom="280" w:left="1580" w:right="1580"/>
        </w:sectPr>
      </w:pPr>
    </w:p>
    <w:p>
      <w:pPr>
        <w:pStyle w:val="BodyText"/>
        <w:rPr>
          <w:sz w:val="20"/>
        </w:rPr>
      </w:pPr>
    </w:p>
    <w:p>
      <w:pPr>
        <w:pStyle w:val="BodyText"/>
        <w:spacing w:line="362" w:lineRule="auto" w:before="210"/>
        <w:ind w:left="102"/>
      </w:pPr>
      <w:r>
        <w:rPr/>
        <w:t>Undime e ao Conselho dos Secretários Estaduais de Educação (Consed) pelo intenso dialogo com MEC.</w:t>
      </w:r>
    </w:p>
    <w:p>
      <w:pPr>
        <w:pStyle w:val="BodyText"/>
        <w:spacing w:line="360" w:lineRule="auto"/>
        <w:ind w:left="102" w:right="116" w:firstLine="851"/>
        <w:jc w:val="both"/>
      </w:pPr>
      <w:r>
        <w:rPr/>
        <w:t>O Caderno </w:t>
      </w:r>
      <w:r>
        <w:rPr>
          <w:i/>
        </w:rPr>
        <w:t>Plano Municipal de Educação: Caderno de Orientações </w:t>
      </w:r>
      <w:r>
        <w:rPr/>
        <w:t>(BRASIL, 2014f, p. 21) possui um total de 22 (vinte e duas) páginas e apresenta, nas suas páginas finais, uma lista de colaboradores que, juntamente com o MEC/SASE, contribuíram </w:t>
      </w:r>
      <w:r>
        <w:rPr>
          <w:w w:val="100"/>
        </w:rPr>
        <w:t>p</w:t>
      </w:r>
      <w:r>
        <w:rPr>
          <w:spacing w:val="-1"/>
          <w:w w:val="100"/>
        </w:rPr>
        <w:t>a</w:t>
      </w:r>
      <w:r>
        <w:rPr>
          <w:w w:val="100"/>
        </w:rPr>
        <w:t>ra</w:t>
      </w:r>
      <w:r>
        <w:rPr/>
        <w:t> </w:t>
      </w:r>
      <w:r>
        <w:rPr>
          <w:spacing w:val="26"/>
        </w:rPr>
        <w:t> </w:t>
      </w:r>
      <w:r>
        <w:rPr>
          <w:w w:val="100"/>
        </w:rPr>
        <w:t>a</w:t>
      </w:r>
      <w:r>
        <w:rPr/>
        <w:t>  </w:t>
      </w:r>
      <w:r>
        <w:rPr>
          <w:spacing w:val="-30"/>
        </w:rPr>
        <w:t> </w:t>
      </w:r>
      <w:r>
        <w:rPr>
          <w:spacing w:val="-1"/>
          <w:w w:val="100"/>
        </w:rPr>
        <w:t>c</w:t>
      </w:r>
      <w:r>
        <w:rPr/>
        <w:t>onst</w:t>
      </w:r>
      <w:r>
        <w:rPr>
          <w:w w:val="100"/>
        </w:rPr>
        <w:t>ruç</w:t>
      </w:r>
      <w:r>
        <w:rPr>
          <w:spacing w:val="-1"/>
          <w:w w:val="100"/>
        </w:rPr>
        <w:t>ã</w:t>
      </w:r>
      <w:r>
        <w:rPr/>
        <w:t>o </w:t>
      </w:r>
      <w:r>
        <w:rPr>
          <w:spacing w:val="28"/>
        </w:rPr>
        <w:t> </w:t>
      </w:r>
      <w:r>
        <w:rPr/>
        <w:t>do </w:t>
      </w:r>
      <w:r>
        <w:rPr>
          <w:spacing w:val="28"/>
        </w:rPr>
        <w:t> </w:t>
      </w:r>
      <w:r>
        <w:rPr>
          <w:w w:val="100"/>
        </w:rPr>
        <w:t>te</w:t>
      </w:r>
      <w:r>
        <w:rPr>
          <w:spacing w:val="1"/>
          <w:w w:val="100"/>
        </w:rPr>
        <w:t>x</w:t>
      </w:r>
      <w:r>
        <w:rPr>
          <w:w w:val="100"/>
        </w:rPr>
        <w:t>to,</w:t>
      </w:r>
      <w:r>
        <w:rPr/>
        <w:t> </w:t>
      </w:r>
      <w:r>
        <w:rPr>
          <w:spacing w:val="29"/>
        </w:rPr>
        <w:t> </w:t>
      </w:r>
      <w:r>
        <w:rPr/>
        <w:t>s</w:t>
      </w:r>
      <w:r>
        <w:rPr>
          <w:spacing w:val="-1"/>
        </w:rPr>
        <w:t>e</w:t>
      </w:r>
      <w:r>
        <w:rPr/>
        <w:t>ndo </w:t>
      </w:r>
      <w:r>
        <w:rPr>
          <w:spacing w:val="28"/>
        </w:rPr>
        <w:t> </w:t>
      </w:r>
      <w:r>
        <w:rPr>
          <w:w w:val="100"/>
        </w:rPr>
        <w:t>tais</w:t>
      </w:r>
      <w:r>
        <w:rPr/>
        <w:t> </w:t>
      </w:r>
      <w:r>
        <w:rPr>
          <w:spacing w:val="28"/>
        </w:rPr>
        <w:t> </w:t>
      </w:r>
      <w:r>
        <w:rPr>
          <w:spacing w:val="-1"/>
          <w:w w:val="100"/>
        </w:rPr>
        <w:t>c</w:t>
      </w:r>
      <w:r>
        <w:rPr>
          <w:w w:val="100"/>
        </w:rPr>
        <w:t>olabo</w:t>
      </w:r>
      <w:r>
        <w:rPr>
          <w:spacing w:val="-2"/>
          <w:w w:val="100"/>
        </w:rPr>
        <w:t>r</w:t>
      </w:r>
      <w:r>
        <w:rPr>
          <w:spacing w:val="-1"/>
          <w:w w:val="100"/>
        </w:rPr>
        <w:t>a</w:t>
      </w:r>
      <w:r>
        <w:rPr>
          <w:w w:val="100"/>
        </w:rPr>
        <w:t>dor</w:t>
      </w:r>
      <w:r>
        <w:rPr>
          <w:spacing w:val="-2"/>
          <w:w w:val="100"/>
        </w:rPr>
        <w:t>e</w:t>
      </w:r>
      <w:r>
        <w:rPr>
          <w:w w:val="99"/>
        </w:rPr>
        <w:t>s</w:t>
      </w:r>
      <w:r>
        <w:rPr/>
        <w:t> </w:t>
      </w:r>
      <w:r>
        <w:rPr>
          <w:spacing w:val="28"/>
        </w:rPr>
        <w:t> </w:t>
      </w:r>
      <w:r>
        <w:rPr>
          <w:w w:val="99"/>
        </w:rPr>
        <w:t>os</w:t>
      </w:r>
      <w:r>
        <w:rPr/>
        <w:t> </w:t>
      </w:r>
      <w:r>
        <w:rPr>
          <w:spacing w:val="28"/>
        </w:rPr>
        <w:t> </w:t>
      </w:r>
      <w:r>
        <w:rPr>
          <w:spacing w:val="1"/>
          <w:w w:val="44"/>
        </w:rPr>
        <w:t>―</w:t>
      </w:r>
      <w:r>
        <w:rPr>
          <w:spacing w:val="-1"/>
          <w:w w:val="100"/>
        </w:rPr>
        <w:t>e</w:t>
      </w:r>
      <w:r>
        <w:rPr>
          <w:w w:val="100"/>
        </w:rPr>
        <w:t>du</w:t>
      </w:r>
      <w:r>
        <w:rPr>
          <w:spacing w:val="1"/>
          <w:w w:val="100"/>
        </w:rPr>
        <w:t>c</w:t>
      </w:r>
      <w:r>
        <w:rPr>
          <w:spacing w:val="-1"/>
          <w:w w:val="100"/>
        </w:rPr>
        <w:t>a</w:t>
      </w:r>
      <w:r>
        <w:rPr>
          <w:w w:val="100"/>
        </w:rPr>
        <w:t>dore</w:t>
      </w:r>
      <w:r>
        <w:rPr>
          <w:w w:val="99"/>
        </w:rPr>
        <w:t>s</w:t>
      </w:r>
      <w:r>
        <w:rPr/>
        <w:t> </w:t>
      </w:r>
      <w:r>
        <w:rPr>
          <w:spacing w:val="28"/>
        </w:rPr>
        <w:t> </w:t>
      </w:r>
      <w:r>
        <w:rPr>
          <w:w w:val="100"/>
        </w:rPr>
        <w:t>e</w:t>
      </w:r>
      <w:r>
        <w:rPr/>
        <w:t> </w:t>
      </w:r>
      <w:r>
        <w:rPr>
          <w:spacing w:val="27"/>
        </w:rPr>
        <w:t> </w:t>
      </w:r>
      <w:r>
        <w:rPr>
          <w:w w:val="100"/>
        </w:rPr>
        <w:t>té</w:t>
      </w:r>
      <w:r>
        <w:rPr>
          <w:spacing w:val="-2"/>
          <w:w w:val="100"/>
        </w:rPr>
        <w:t>c</w:t>
      </w:r>
      <w:r>
        <w:rPr>
          <w:w w:val="100"/>
        </w:rPr>
        <w:t>nicos </w:t>
      </w:r>
      <w:r>
        <w:rPr/>
        <w:t>indicados pelas secretarias de Educação e Seccionais da União dos Dirigentes Municipais de Educação (Undime) de todos os Estados</w:t>
      </w:r>
      <w:r>
        <w:rPr>
          <w:spacing w:val="29"/>
        </w:rPr>
        <w:t> </w:t>
      </w:r>
      <w:r>
        <w:rPr/>
        <w:t>brasileiros.‖</w:t>
      </w:r>
    </w:p>
    <w:p>
      <w:pPr>
        <w:spacing w:line="360" w:lineRule="auto" w:before="3"/>
        <w:ind w:left="102" w:right="118" w:firstLine="851"/>
        <w:jc w:val="both"/>
        <w:rPr>
          <w:sz w:val="24"/>
        </w:rPr>
      </w:pPr>
      <w:r>
        <w:rPr>
          <w:sz w:val="24"/>
        </w:rPr>
        <w:t>O Caderno </w:t>
      </w:r>
      <w:r>
        <w:rPr>
          <w:i/>
          <w:sz w:val="24"/>
        </w:rPr>
        <w:t>Construindo as Metas do seu Município </w:t>
      </w:r>
      <w:r>
        <w:rPr>
          <w:sz w:val="24"/>
        </w:rPr>
        <w:t>(BRASIL, 2014c) possui um total de oito páginas e não explicita os sujeitos responsáveis por sua elaboração,  nem mesmo o</w:t>
      </w:r>
      <w:r>
        <w:rPr>
          <w:spacing w:val="-4"/>
          <w:sz w:val="24"/>
        </w:rPr>
        <w:t> </w:t>
      </w:r>
      <w:r>
        <w:rPr>
          <w:sz w:val="24"/>
        </w:rPr>
        <w:t>MEC/SASE.</w:t>
      </w:r>
    </w:p>
    <w:p>
      <w:pPr>
        <w:pStyle w:val="BodyText"/>
        <w:rPr>
          <w:sz w:val="26"/>
        </w:rPr>
      </w:pPr>
    </w:p>
    <w:p>
      <w:pPr>
        <w:pStyle w:val="BodyText"/>
        <w:rPr>
          <w:sz w:val="26"/>
        </w:rPr>
      </w:pPr>
    </w:p>
    <w:p>
      <w:pPr>
        <w:pStyle w:val="BodyText"/>
        <w:spacing w:before="6"/>
        <w:rPr>
          <w:sz w:val="20"/>
        </w:rPr>
      </w:pPr>
    </w:p>
    <w:p>
      <w:pPr>
        <w:pStyle w:val="ListParagraph"/>
        <w:numPr>
          <w:ilvl w:val="0"/>
          <w:numId w:val="21"/>
        </w:numPr>
        <w:tabs>
          <w:tab w:pos="386" w:val="left" w:leader="none"/>
        </w:tabs>
        <w:spacing w:line="240" w:lineRule="auto" w:before="0" w:after="0"/>
        <w:ind w:left="385" w:right="0" w:hanging="283"/>
        <w:jc w:val="left"/>
        <w:rPr>
          <w:sz w:val="24"/>
        </w:rPr>
      </w:pPr>
      <w:r>
        <w:rPr>
          <w:sz w:val="24"/>
        </w:rPr>
        <w:t>Planejando a Próxima Década: Construindo as Metas do seu</w:t>
      </w:r>
      <w:r>
        <w:rPr>
          <w:spacing w:val="-14"/>
          <w:sz w:val="24"/>
        </w:rPr>
        <w:t> </w:t>
      </w:r>
      <w:r>
        <w:rPr>
          <w:sz w:val="24"/>
        </w:rPr>
        <w:t>Município</w:t>
      </w:r>
    </w:p>
    <w:p>
      <w:pPr>
        <w:pStyle w:val="BodyText"/>
        <w:rPr>
          <w:sz w:val="20"/>
        </w:rPr>
      </w:pPr>
    </w:p>
    <w:p>
      <w:pPr>
        <w:pStyle w:val="BodyText"/>
        <w:spacing w:before="11"/>
        <w:rPr>
          <w:sz w:val="21"/>
        </w:rPr>
      </w:pPr>
      <w:r>
        <w:rPr/>
        <w:drawing>
          <wp:anchor distT="0" distB="0" distL="0" distR="0" allowOverlap="1" layoutInCell="1" locked="0" behindDoc="0" simplePos="0" relativeHeight="1552">
            <wp:simplePos x="0" y="0"/>
            <wp:positionH relativeFrom="page">
              <wp:posOffset>3002153</wp:posOffset>
            </wp:positionH>
            <wp:positionV relativeFrom="paragraph">
              <wp:posOffset>185112</wp:posOffset>
            </wp:positionV>
            <wp:extent cx="1559305" cy="2305050"/>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46" cstate="print"/>
                    <a:stretch>
                      <a:fillRect/>
                    </a:stretch>
                  </pic:blipFill>
                  <pic:spPr>
                    <a:xfrm>
                      <a:off x="0" y="0"/>
                      <a:ext cx="1559305" cy="2305050"/>
                    </a:xfrm>
                    <a:prstGeom prst="rect">
                      <a:avLst/>
                    </a:prstGeom>
                  </pic:spPr>
                </pic:pic>
              </a:graphicData>
            </a:graphic>
          </wp:anchor>
        </w:drawing>
      </w:r>
    </w:p>
    <w:p>
      <w:pPr>
        <w:pStyle w:val="BodyText"/>
        <w:rPr>
          <w:sz w:val="20"/>
        </w:rPr>
      </w:pPr>
    </w:p>
    <w:p>
      <w:pPr>
        <w:pStyle w:val="BodyText"/>
        <w:spacing w:before="3"/>
        <w:rPr>
          <w:sz w:val="17"/>
        </w:rPr>
      </w:pPr>
    </w:p>
    <w:p>
      <w:pPr>
        <w:pStyle w:val="BodyText"/>
        <w:spacing w:line="360" w:lineRule="auto" w:before="90"/>
        <w:ind w:left="102" w:right="119" w:firstLine="851"/>
        <w:jc w:val="both"/>
      </w:pPr>
      <w:r>
        <w:rPr/>
        <w:t>Como consta do Caderno Construindo as Metas do seu Município (BRASIL, </w:t>
      </w:r>
      <w:r>
        <w:rPr>
          <w:w w:val="99"/>
        </w:rPr>
        <w:t>2014c, p. 5), </w:t>
      </w:r>
      <w:r>
        <w:rPr>
          <w:w w:val="99"/>
        </w:rPr>
        <w:t>se</w:t>
      </w:r>
      <w:r>
        <w:rPr/>
        <w:t>u </w:t>
      </w:r>
      <w:r>
        <w:rPr>
          <w:i/>
        </w:rPr>
        <w:t>Objetivo </w:t>
      </w:r>
      <w:r>
        <w:rPr>
          <w:w w:val="100"/>
        </w:rPr>
        <w:t>é</w:t>
      </w:r>
      <w:r>
        <w:rPr/>
        <w:t> </w:t>
      </w:r>
      <w:r>
        <w:rPr>
          <w:w w:val="44"/>
        </w:rPr>
        <w:t>―</w:t>
      </w:r>
      <w:r>
        <w:rPr>
          <w:w w:val="99"/>
        </w:rPr>
        <w:t>of</w:t>
      </w:r>
      <w:r>
        <w:rPr>
          <w:w w:val="100"/>
        </w:rPr>
        <w:t>e</w:t>
      </w:r>
      <w:r>
        <w:rPr>
          <w:w w:val="99"/>
        </w:rPr>
        <w:t>r</w:t>
      </w:r>
      <w:r>
        <w:rPr>
          <w:w w:val="100"/>
        </w:rPr>
        <w:t>ece</w:t>
      </w:r>
      <w:r>
        <w:rPr>
          <w:w w:val="99"/>
        </w:rPr>
        <w:t>r </w:t>
      </w:r>
      <w:r>
        <w:rPr>
          <w:w w:val="100"/>
        </w:rPr>
        <w:t>instrume</w:t>
      </w:r>
      <w:r>
        <w:rPr/>
        <w:t>ntos or</w:t>
      </w:r>
      <w:r>
        <w:rPr>
          <w:w w:val="100"/>
        </w:rPr>
        <w:t>ienta</w:t>
      </w:r>
      <w:r>
        <w:rPr>
          <w:w w:val="100"/>
        </w:rPr>
        <w:t>dore</w:t>
      </w:r>
      <w:r>
        <w:rPr>
          <w:w w:val="99"/>
        </w:rPr>
        <w:t>s</w:t>
      </w:r>
      <w:r>
        <w:rPr/>
        <w:t> </w:t>
      </w:r>
      <w:r>
        <w:rPr>
          <w:w w:val="100"/>
        </w:rPr>
        <w:t>para</w:t>
      </w:r>
      <w:r>
        <w:rPr/>
        <w:t> o </w:t>
      </w:r>
      <w:r>
        <w:rPr>
          <w:w w:val="100"/>
        </w:rPr>
        <w:t>tra</w:t>
      </w:r>
      <w:r>
        <w:rPr>
          <w:w w:val="100"/>
        </w:rPr>
        <w:t>balho</w:t>
      </w:r>
      <w:r>
        <w:rPr/>
        <w:t> </w:t>
      </w:r>
      <w:r>
        <w:rPr>
          <w:w w:val="100"/>
        </w:rPr>
        <w:t>a</w:t>
      </w:r>
      <w:r>
        <w:rPr/>
        <w:t> ser desenvolvido‖, tratando</w:t>
      </w:r>
      <w:r>
        <w:rPr>
          <w:rFonts w:ascii="Cambria Math" w:hAnsi="Cambria Math"/>
        </w:rPr>
        <w:t>‐</w:t>
      </w:r>
      <w:r>
        <w:rPr/>
        <w:t>se, assim, de um texto com sugestões, possivelmente, pensando-se na autonomia dos entes federados (ARAÚJO, 2005) e no regime de colaboração (ARAÚJO, 2005; CAVALCANTE, 2015):</w:t>
      </w:r>
    </w:p>
    <w:p>
      <w:pPr>
        <w:pStyle w:val="BodyText"/>
        <w:spacing w:before="3"/>
        <w:rPr>
          <w:sz w:val="36"/>
        </w:rPr>
      </w:pPr>
    </w:p>
    <w:p>
      <w:pPr>
        <w:spacing w:before="0"/>
        <w:ind w:left="2370" w:right="120" w:firstLine="0"/>
        <w:jc w:val="both"/>
        <w:rPr>
          <w:sz w:val="20"/>
        </w:rPr>
      </w:pPr>
      <w:r>
        <w:rPr>
          <w:sz w:val="20"/>
        </w:rPr>
        <w:t>Trata-se de </w:t>
      </w:r>
      <w:r>
        <w:rPr>
          <w:b/>
          <w:sz w:val="20"/>
        </w:rPr>
        <w:t>um conjunto de sugestões </w:t>
      </w:r>
      <w:r>
        <w:rPr>
          <w:sz w:val="20"/>
        </w:rPr>
        <w:t>que se iniciam com as premissas e as movimentações necessárias para a composição das comissões e a preparação das equipes, as orientações para a elaboração do diagnóstico inicial, as articulações necessárias ao planejamento integrado no território, a construção</w:t>
      </w:r>
    </w:p>
    <w:p>
      <w:pPr>
        <w:spacing w:after="0"/>
        <w:jc w:val="both"/>
        <w:rPr>
          <w:sz w:val="20"/>
        </w:rPr>
        <w:sectPr>
          <w:pgSz w:w="11910" w:h="16840"/>
          <w:pgMar w:header="749" w:footer="0" w:top="960" w:bottom="280" w:left="1600" w:right="1580"/>
        </w:sectPr>
      </w:pPr>
    </w:p>
    <w:p>
      <w:pPr>
        <w:pStyle w:val="BodyText"/>
        <w:rPr>
          <w:sz w:val="20"/>
        </w:rPr>
      </w:pPr>
    </w:p>
    <w:p>
      <w:pPr>
        <w:pStyle w:val="BodyText"/>
        <w:spacing w:before="2"/>
        <w:rPr>
          <w:sz w:val="18"/>
        </w:rPr>
      </w:pPr>
    </w:p>
    <w:p>
      <w:pPr>
        <w:spacing w:before="0"/>
        <w:ind w:left="2370" w:right="129" w:firstLine="0"/>
        <w:jc w:val="both"/>
        <w:rPr>
          <w:sz w:val="20"/>
        </w:rPr>
      </w:pPr>
      <w:r>
        <w:rPr>
          <w:sz w:val="20"/>
        </w:rPr>
        <w:t>das metas e os trâmites para a aprovação do plano na forma de Lei. (Grifos nossos).</w:t>
      </w:r>
    </w:p>
    <w:p>
      <w:pPr>
        <w:pStyle w:val="BodyText"/>
        <w:rPr>
          <w:sz w:val="22"/>
        </w:rPr>
      </w:pPr>
    </w:p>
    <w:p>
      <w:pPr>
        <w:pStyle w:val="BodyText"/>
        <w:spacing w:line="360" w:lineRule="auto" w:before="163"/>
        <w:ind w:left="102" w:right="112" w:firstLine="851"/>
        <w:jc w:val="both"/>
      </w:pPr>
      <w:r>
        <w:rPr/>
        <w:t>O Caderno está subdividido em seis seções, iniciando-se pelo </w:t>
      </w:r>
      <w:r>
        <w:rPr>
          <w:i/>
        </w:rPr>
        <w:t>Objetivo</w:t>
      </w:r>
      <w:r>
        <w:rPr/>
        <w:t>, seguidos pelas </w:t>
      </w:r>
      <w:r>
        <w:rPr>
          <w:i/>
        </w:rPr>
        <w:t>Premissas de Trabalho </w:t>
      </w:r>
      <w:r>
        <w:rPr/>
        <w:t>(BRASIL, 2014c, p. 6)</w:t>
      </w:r>
      <w:r>
        <w:rPr>
          <w:i/>
        </w:rPr>
        <w:t>, </w:t>
      </w:r>
      <w:r>
        <w:rPr/>
        <w:t>explicando, justificando  e reiterando o alinhamento dos Planos dos entes federados com o</w:t>
      </w:r>
      <w:r>
        <w:rPr>
          <w:spacing w:val="-10"/>
        </w:rPr>
        <w:t> </w:t>
      </w:r>
      <w:r>
        <w:rPr/>
        <w:t>PNE:</w:t>
      </w:r>
    </w:p>
    <w:p>
      <w:pPr>
        <w:pStyle w:val="BodyText"/>
        <w:spacing w:before="1"/>
        <w:rPr>
          <w:sz w:val="36"/>
        </w:rPr>
      </w:pPr>
    </w:p>
    <w:p>
      <w:pPr>
        <w:spacing w:before="0"/>
        <w:ind w:left="2370" w:right="114" w:firstLine="0"/>
        <w:jc w:val="both"/>
        <w:rPr>
          <w:sz w:val="20"/>
        </w:rPr>
      </w:pPr>
      <w:r>
        <w:rPr>
          <w:sz w:val="20"/>
        </w:rPr>
        <w:t>Em outras palavras: as metas são nacionais, portanto </w:t>
      </w:r>
      <w:r>
        <w:rPr>
          <w:b/>
          <w:sz w:val="20"/>
        </w:rPr>
        <w:t>todos têm compromissos </w:t>
      </w:r>
      <w:r>
        <w:rPr>
          <w:sz w:val="20"/>
        </w:rPr>
        <w:t>com cada uma delas. Assim, </w:t>
      </w:r>
      <w:r>
        <w:rPr>
          <w:b/>
          <w:sz w:val="20"/>
        </w:rPr>
        <w:t>não há como elaborar planos </w:t>
      </w:r>
      <w:r>
        <w:rPr>
          <w:sz w:val="20"/>
        </w:rPr>
        <w:t>estaduais e municipais </w:t>
      </w:r>
      <w:r>
        <w:rPr>
          <w:b/>
          <w:sz w:val="20"/>
        </w:rPr>
        <w:t>desvinculados do PNE</w:t>
      </w:r>
      <w:r>
        <w:rPr>
          <w:sz w:val="20"/>
        </w:rPr>
        <w:t>. O grande desafio é </w:t>
      </w:r>
      <w:r>
        <w:rPr>
          <w:b/>
          <w:sz w:val="20"/>
        </w:rPr>
        <w:t>construir </w:t>
      </w:r>
      <w:r>
        <w:rPr>
          <w:sz w:val="20"/>
        </w:rPr>
        <w:t>em todo o Brasil </w:t>
      </w:r>
      <w:r>
        <w:rPr>
          <w:b/>
          <w:sz w:val="20"/>
        </w:rPr>
        <w:t>a unidade nacional </w:t>
      </w:r>
      <w:r>
        <w:rPr>
          <w:sz w:val="20"/>
        </w:rPr>
        <w:t>em torno de cada uma das vinte metas, </w:t>
      </w:r>
      <w:r>
        <w:rPr>
          <w:b/>
          <w:sz w:val="20"/>
        </w:rPr>
        <w:t>o que exige </w:t>
      </w:r>
      <w:r>
        <w:rPr>
          <w:sz w:val="20"/>
        </w:rPr>
        <w:t>invariavelmente </w:t>
      </w:r>
      <w:r>
        <w:rPr>
          <w:b/>
          <w:sz w:val="20"/>
        </w:rPr>
        <w:t>o alinhamento dos planos </w:t>
      </w:r>
      <w:r>
        <w:rPr>
          <w:sz w:val="20"/>
        </w:rPr>
        <w:t>de forma articulada  e colaborativa em cada território de</w:t>
      </w:r>
      <w:r>
        <w:rPr>
          <w:spacing w:val="-18"/>
          <w:sz w:val="20"/>
        </w:rPr>
        <w:t> </w:t>
      </w:r>
      <w:r>
        <w:rPr>
          <w:sz w:val="20"/>
        </w:rPr>
        <w:t>planejamento.</w:t>
      </w:r>
    </w:p>
    <w:p>
      <w:pPr>
        <w:spacing w:line="228" w:lineRule="exact" w:before="0"/>
        <w:ind w:left="2370" w:right="0" w:firstLine="0"/>
        <w:jc w:val="both"/>
        <w:rPr>
          <w:sz w:val="20"/>
        </w:rPr>
      </w:pPr>
      <w:r>
        <w:rPr>
          <w:sz w:val="20"/>
        </w:rPr>
        <w:t>[...]</w:t>
      </w:r>
    </w:p>
    <w:p>
      <w:pPr>
        <w:spacing w:before="1"/>
        <w:ind w:left="2370" w:right="113" w:firstLine="0"/>
        <w:jc w:val="both"/>
        <w:rPr>
          <w:sz w:val="20"/>
        </w:rPr>
      </w:pPr>
      <w:r>
        <w:rPr>
          <w:sz w:val="20"/>
        </w:rPr>
        <w:t>O </w:t>
      </w:r>
      <w:r>
        <w:rPr>
          <w:b/>
          <w:sz w:val="20"/>
        </w:rPr>
        <w:t>alinhamento </w:t>
      </w:r>
      <w:r>
        <w:rPr>
          <w:sz w:val="20"/>
        </w:rPr>
        <w:t>ao PNE é, portanto, estratégico, mas </w:t>
      </w:r>
      <w:r>
        <w:rPr>
          <w:b/>
          <w:sz w:val="20"/>
        </w:rPr>
        <w:t>não só no conteúdo</w:t>
      </w:r>
      <w:r>
        <w:rPr>
          <w:sz w:val="20"/>
        </w:rPr>
        <w:t>. </w:t>
      </w:r>
      <w:r>
        <w:rPr>
          <w:b/>
          <w:sz w:val="20"/>
        </w:rPr>
        <w:t>Manter a mesma formatação</w:t>
      </w:r>
      <w:r>
        <w:rPr>
          <w:sz w:val="20"/>
        </w:rPr>
        <w:t>, respeitando as metas nacionalmente traçadas e acrescentando as especificidades de cada território é uma </w:t>
      </w:r>
      <w:r>
        <w:rPr>
          <w:b/>
          <w:sz w:val="20"/>
        </w:rPr>
        <w:t>alternativa </w:t>
      </w:r>
      <w:r>
        <w:rPr>
          <w:sz w:val="20"/>
        </w:rPr>
        <w:t>de trabalho que pode tornar concreta esta vinculação. (Grifos</w:t>
      </w:r>
      <w:r>
        <w:rPr>
          <w:spacing w:val="-24"/>
          <w:sz w:val="20"/>
        </w:rPr>
        <w:t> </w:t>
      </w:r>
      <w:r>
        <w:rPr>
          <w:sz w:val="20"/>
        </w:rPr>
        <w:t>nossos)</w:t>
      </w:r>
    </w:p>
    <w:p>
      <w:pPr>
        <w:pStyle w:val="BodyText"/>
        <w:spacing w:before="10"/>
        <w:rPr>
          <w:sz w:val="29"/>
        </w:rPr>
      </w:pPr>
    </w:p>
    <w:p>
      <w:pPr>
        <w:pStyle w:val="BodyText"/>
        <w:spacing w:line="360" w:lineRule="auto" w:before="1"/>
        <w:ind w:left="102" w:right="114" w:firstLine="851"/>
        <w:jc w:val="both"/>
      </w:pPr>
      <w:r>
        <w:rPr/>
        <w:t>Em seguida e, ainda, abordando acerca do alinhamento dos Planos, na seção </w:t>
      </w:r>
      <w:r>
        <w:rPr>
          <w:i/>
        </w:rPr>
        <w:t>O </w:t>
      </w:r>
      <w:r>
        <w:rPr>
          <w:i/>
        </w:rPr>
        <w:t>Trabalho de Alinhamento </w:t>
      </w:r>
      <w:r>
        <w:rPr/>
        <w:t>(BRASIL, 2014c, p. 7)</w:t>
      </w:r>
      <w:r>
        <w:rPr>
          <w:i/>
        </w:rPr>
        <w:t>, </w:t>
      </w:r>
      <w:r>
        <w:rPr/>
        <w:t>o Caderno aponta a complexidade no processo de elaboração ou adequação dos Planos, indica a necessidade de que o trabalho seja conjunto, com debate coletivo e sugere que seja liderado pelos gestores da  educação nos Estados e nos Municípios, mas por meio de Comissões de trabalho, ou seja, rompendo com a trajetória histórica do planejamento</w:t>
      </w:r>
      <w:r>
        <w:rPr>
          <w:spacing w:val="-14"/>
        </w:rPr>
        <w:t> </w:t>
      </w:r>
      <w:r>
        <w:rPr/>
        <w:t>tecnocrático:</w:t>
      </w:r>
    </w:p>
    <w:p>
      <w:pPr>
        <w:pStyle w:val="BodyText"/>
        <w:spacing w:before="4"/>
        <w:rPr>
          <w:sz w:val="36"/>
        </w:rPr>
      </w:pPr>
    </w:p>
    <w:p>
      <w:pPr>
        <w:spacing w:before="0"/>
        <w:ind w:left="2370" w:right="116" w:firstLine="0"/>
        <w:jc w:val="both"/>
        <w:rPr>
          <w:sz w:val="20"/>
        </w:rPr>
      </w:pPr>
      <w:r>
        <w:rPr>
          <w:b/>
          <w:sz w:val="20"/>
        </w:rPr>
        <w:t>O ideal </w:t>
      </w:r>
      <w:r>
        <w:rPr>
          <w:sz w:val="20"/>
        </w:rPr>
        <w:t>é que </w:t>
      </w:r>
      <w:r>
        <w:rPr>
          <w:b/>
          <w:sz w:val="20"/>
        </w:rPr>
        <w:t>em cada estado </w:t>
      </w:r>
      <w:r>
        <w:rPr>
          <w:sz w:val="20"/>
        </w:rPr>
        <w:t>exista uma </w:t>
      </w:r>
      <w:r>
        <w:rPr>
          <w:b/>
          <w:sz w:val="20"/>
        </w:rPr>
        <w:t>comissão </w:t>
      </w:r>
      <w:r>
        <w:rPr>
          <w:sz w:val="20"/>
        </w:rPr>
        <w:t>para a organização do trabalho de elaboração ou adequação do Plano Estadual de Educação (PEE) ao PNE, </w:t>
      </w:r>
      <w:r>
        <w:rPr>
          <w:b/>
          <w:sz w:val="20"/>
        </w:rPr>
        <w:t>constituída pela Secretaria Estadual de Educação </w:t>
      </w:r>
      <w:r>
        <w:rPr>
          <w:sz w:val="20"/>
        </w:rPr>
        <w:t>e pela  seccional da </w:t>
      </w:r>
      <w:r>
        <w:rPr>
          <w:b/>
          <w:sz w:val="20"/>
        </w:rPr>
        <w:t>UNDIME</w:t>
      </w:r>
      <w:r>
        <w:rPr>
          <w:sz w:val="20"/>
        </w:rPr>
        <w:t>. O </w:t>
      </w:r>
      <w:r>
        <w:rPr>
          <w:b/>
          <w:sz w:val="20"/>
        </w:rPr>
        <w:t>Conselho Estadual de Educação</w:t>
      </w:r>
      <w:r>
        <w:rPr>
          <w:sz w:val="20"/>
        </w:rPr>
        <w:t>, a </w:t>
      </w:r>
      <w:r>
        <w:rPr>
          <w:b/>
          <w:sz w:val="20"/>
        </w:rPr>
        <w:t>UNCME</w:t>
      </w:r>
      <w:r>
        <w:rPr>
          <w:sz w:val="20"/>
        </w:rPr>
        <w:t>, as </w:t>
      </w:r>
      <w:r>
        <w:rPr>
          <w:b/>
          <w:sz w:val="20"/>
        </w:rPr>
        <w:t>universidades</w:t>
      </w:r>
      <w:r>
        <w:rPr>
          <w:sz w:val="20"/>
        </w:rPr>
        <w:t>, os </w:t>
      </w:r>
      <w:r>
        <w:rPr>
          <w:b/>
          <w:sz w:val="20"/>
        </w:rPr>
        <w:t>sindicatos </w:t>
      </w:r>
      <w:r>
        <w:rPr>
          <w:sz w:val="20"/>
        </w:rPr>
        <w:t>e </w:t>
      </w:r>
      <w:r>
        <w:rPr>
          <w:b/>
          <w:sz w:val="20"/>
        </w:rPr>
        <w:t>outros órgãos ou instituições </w:t>
      </w:r>
      <w:r>
        <w:rPr>
          <w:sz w:val="20"/>
        </w:rPr>
        <w:t>poderiam ser convidados a critério da comissão. Para isso, uma sugestão é que a secretaria crie uma comissão capaz de elaborar o trabalho técnico que for demandado, imprimindo neste trabalho a visão da política estadual de educação. Esta comissão pode ficar responsável pela coordenação e pela secretaria executiva de uma comissão maior, com representações da secretaria estadual, das universidades, dos sindicatos e dos conselhos normativos ou de  controle social e das diferentes organizações da</w:t>
      </w:r>
      <w:r>
        <w:rPr>
          <w:spacing w:val="-8"/>
          <w:sz w:val="20"/>
        </w:rPr>
        <w:t> </w:t>
      </w:r>
      <w:r>
        <w:rPr>
          <w:sz w:val="20"/>
        </w:rPr>
        <w:t>sociedade.</w:t>
      </w:r>
    </w:p>
    <w:p>
      <w:pPr>
        <w:spacing w:line="229" w:lineRule="exact" w:before="0"/>
        <w:ind w:left="2370" w:right="0" w:firstLine="0"/>
        <w:jc w:val="both"/>
        <w:rPr>
          <w:sz w:val="20"/>
        </w:rPr>
      </w:pPr>
      <w:r>
        <w:rPr>
          <w:sz w:val="20"/>
        </w:rPr>
        <w:t>[...]</w:t>
      </w:r>
    </w:p>
    <w:p>
      <w:pPr>
        <w:spacing w:before="0"/>
        <w:ind w:left="2370" w:right="119" w:firstLine="0"/>
        <w:jc w:val="both"/>
        <w:rPr>
          <w:sz w:val="20"/>
        </w:rPr>
      </w:pPr>
      <w:r>
        <w:rPr>
          <w:b/>
          <w:sz w:val="20"/>
        </w:rPr>
        <w:t>No município também é ideal </w:t>
      </w:r>
      <w:r>
        <w:rPr>
          <w:sz w:val="20"/>
        </w:rPr>
        <w:t>que a secretaria de educação lidere o processo e institua uma </w:t>
      </w:r>
      <w:r>
        <w:rPr>
          <w:b/>
          <w:sz w:val="20"/>
        </w:rPr>
        <w:t>comissão </w:t>
      </w:r>
      <w:r>
        <w:rPr>
          <w:sz w:val="20"/>
        </w:rPr>
        <w:t>com a tarefa de coordenar os trabalhos naquele território. Para planejar é necessário saber qual é a situação atual; só assim será possível pensar onde se quer e se pode chegar. Várias são as fontes de informação: o Censo Populacional, o Censo Escolar, o portal do MEC, os Indicadores Demográficos e Educacionais disponíveis neste link e no SIMEC/PAR, etc.. (Grifos nossos).</w:t>
      </w:r>
    </w:p>
    <w:p>
      <w:pPr>
        <w:spacing w:after="0"/>
        <w:jc w:val="both"/>
        <w:rPr>
          <w:sz w:val="20"/>
        </w:rPr>
        <w:sectPr>
          <w:pgSz w:w="11910" w:h="16840"/>
          <w:pgMar w:header="749" w:footer="0" w:top="960" w:bottom="280" w:left="1600" w:right="1580"/>
        </w:sectPr>
      </w:pPr>
    </w:p>
    <w:p>
      <w:pPr>
        <w:pStyle w:val="BodyText"/>
        <w:rPr>
          <w:sz w:val="20"/>
        </w:rPr>
      </w:pPr>
    </w:p>
    <w:p>
      <w:pPr>
        <w:spacing w:after="0"/>
        <w:rPr>
          <w:sz w:val="20"/>
        </w:rPr>
        <w:sectPr>
          <w:pgSz w:w="11910" w:h="16840"/>
          <w:pgMar w:header="749" w:footer="0" w:top="960" w:bottom="280" w:left="1600" w:right="1580"/>
        </w:sectPr>
      </w:pPr>
    </w:p>
    <w:p>
      <w:pPr>
        <w:pStyle w:val="BodyText"/>
        <w:rPr>
          <w:sz w:val="26"/>
        </w:rPr>
      </w:pPr>
    </w:p>
    <w:p>
      <w:pPr>
        <w:pStyle w:val="BodyText"/>
        <w:spacing w:before="5"/>
        <w:rPr>
          <w:sz w:val="28"/>
        </w:rPr>
      </w:pPr>
    </w:p>
    <w:p>
      <w:pPr>
        <w:pStyle w:val="BodyText"/>
        <w:ind w:left="102"/>
      </w:pPr>
      <w:r>
        <w:rPr>
          <w:spacing w:val="-1"/>
          <w:w w:val="44"/>
        </w:rPr>
        <w:t>―</w:t>
      </w:r>
      <w:r>
        <w:rPr>
          <w:w w:val="100"/>
        </w:rPr>
        <w:t>ide</w:t>
      </w:r>
      <w:r>
        <w:rPr>
          <w:spacing w:val="-2"/>
          <w:w w:val="100"/>
        </w:rPr>
        <w:t>a</w:t>
      </w:r>
      <w:r>
        <w:rPr>
          <w:w w:val="120"/>
        </w:rPr>
        <w:t>l‖.</w:t>
      </w:r>
    </w:p>
    <w:p>
      <w:pPr>
        <w:pStyle w:val="BodyText"/>
        <w:spacing w:before="210"/>
        <w:ind w:left="74"/>
      </w:pPr>
      <w:r>
        <w:rPr/>
        <w:br w:type="column"/>
      </w:r>
      <w:r>
        <w:rPr/>
        <w:t>Observemos que o documento reitera que suas sugestões são no campo do</w:t>
      </w:r>
    </w:p>
    <w:p>
      <w:pPr>
        <w:pStyle w:val="BodyText"/>
        <w:rPr>
          <w:sz w:val="26"/>
        </w:rPr>
      </w:pPr>
    </w:p>
    <w:p>
      <w:pPr>
        <w:pStyle w:val="BodyText"/>
        <w:spacing w:before="11"/>
        <w:rPr>
          <w:sz w:val="21"/>
        </w:rPr>
      </w:pPr>
    </w:p>
    <w:p>
      <w:pPr>
        <w:pStyle w:val="BodyText"/>
        <w:ind w:left="74"/>
      </w:pPr>
      <w:r>
        <w:rPr/>
        <w:t>Especificamente,  para  os  Municípios,  o  documento  orienta  quanto  a   duas</w:t>
      </w:r>
    </w:p>
    <w:p>
      <w:pPr>
        <w:spacing w:after="0"/>
        <w:sectPr>
          <w:type w:val="continuous"/>
          <w:pgSz w:w="11910" w:h="16840"/>
          <w:pgMar w:top="1580" w:bottom="280" w:left="1600" w:right="1580"/>
          <w:cols w:num="2" w:equalWidth="0">
            <w:col w:w="840" w:space="40"/>
            <w:col w:w="7850"/>
          </w:cols>
        </w:sectPr>
      </w:pPr>
    </w:p>
    <w:p>
      <w:pPr>
        <w:pStyle w:val="BodyText"/>
        <w:spacing w:line="360" w:lineRule="auto" w:before="139"/>
        <w:ind w:left="102" w:right="117"/>
        <w:jc w:val="both"/>
      </w:pPr>
      <w:r>
        <w:rPr/>
        <w:t>possibilidades de início dos trabalhos, sendo após a aprovação do PEE ou concomitante a sua elaboração ou adequação, mas sempre buscando o alinhamento (BRASIL, 2014c, p. 7):</w:t>
      </w:r>
    </w:p>
    <w:p>
      <w:pPr>
        <w:pStyle w:val="BodyText"/>
        <w:spacing w:before="3"/>
        <w:rPr>
          <w:sz w:val="30"/>
        </w:rPr>
      </w:pPr>
    </w:p>
    <w:p>
      <w:pPr>
        <w:spacing w:line="240" w:lineRule="auto" w:before="0"/>
        <w:ind w:left="2370" w:right="114" w:firstLine="0"/>
        <w:jc w:val="both"/>
        <w:rPr>
          <w:sz w:val="20"/>
        </w:rPr>
      </w:pPr>
      <w:r>
        <w:rPr>
          <w:b/>
          <w:sz w:val="20"/>
        </w:rPr>
        <w:t>Os Planos Municipais de Educação (PME), </w:t>
      </w:r>
      <w:r>
        <w:rPr>
          <w:sz w:val="20"/>
        </w:rPr>
        <w:t>por sua vez, devem ser </w:t>
      </w:r>
      <w:r>
        <w:rPr>
          <w:b/>
          <w:sz w:val="20"/>
        </w:rPr>
        <w:t>elaborados ou ajustados </w:t>
      </w:r>
      <w:r>
        <w:rPr>
          <w:sz w:val="20"/>
        </w:rPr>
        <w:t>ao PNE e ao Plano Estadual; por isso é  fundamental que todos os Municípios participem dos trabalhos  de  </w:t>
      </w:r>
      <w:r>
        <w:rPr>
          <w:b/>
          <w:sz w:val="20"/>
        </w:rPr>
        <w:t>elaboração ou adequação </w:t>
      </w:r>
      <w:r>
        <w:rPr>
          <w:sz w:val="20"/>
        </w:rPr>
        <w:t>dos Planos Estaduais. </w:t>
      </w:r>
      <w:r>
        <w:rPr>
          <w:b/>
          <w:sz w:val="20"/>
        </w:rPr>
        <w:t>O desejável é que a elaboração ou a adequação dos Planos Municipais ocorra após a aprovação do Plano Estadual</w:t>
      </w:r>
      <w:r>
        <w:rPr>
          <w:sz w:val="20"/>
        </w:rPr>
        <w:t>, </w:t>
      </w:r>
      <w:r>
        <w:rPr>
          <w:b/>
          <w:sz w:val="20"/>
        </w:rPr>
        <w:t>mas a princípio há a possibilidade deste trabalho ser feito paralelamente</w:t>
      </w:r>
      <w:r>
        <w:rPr>
          <w:sz w:val="20"/>
        </w:rPr>
        <w:t>, desde que haja sempre atenção ao alinhamento com as metas estaduais. (Grifos</w:t>
      </w:r>
      <w:r>
        <w:rPr>
          <w:spacing w:val="-21"/>
          <w:sz w:val="20"/>
        </w:rPr>
        <w:t> </w:t>
      </w:r>
      <w:r>
        <w:rPr>
          <w:sz w:val="20"/>
        </w:rPr>
        <w:t>nossos).</w:t>
      </w:r>
    </w:p>
    <w:p>
      <w:pPr>
        <w:pStyle w:val="BodyText"/>
        <w:rPr>
          <w:sz w:val="22"/>
        </w:rPr>
      </w:pPr>
    </w:p>
    <w:p>
      <w:pPr>
        <w:pStyle w:val="BodyText"/>
        <w:spacing w:line="360" w:lineRule="auto" w:before="161"/>
        <w:ind w:left="102" w:right="117" w:firstLine="851"/>
        <w:jc w:val="both"/>
      </w:pPr>
      <w:r>
        <w:rPr/>
        <w:t>Em relação ao processo, o documento vai pontuando como pode acontecer em cada Município (BRASIL, 2014c, p. 7-8) sendo: Instituição da equipe que coordene o trabalho, levantamento/diagnóstico, construção do documento base, encaminhamento para a Câmara de Vereadores, aprovação pelo Prefeito. Desse processo listado pelo caderno (BRASIL, 2014c, p. 4),a Comissão, como coordenadora do processo, poderá escolher a forma como o documento base será discutido e aperfeiçoado, listando </w:t>
      </w:r>
      <w:r>
        <w:rPr>
          <w:spacing w:val="-1"/>
          <w:w w:val="100"/>
        </w:rPr>
        <w:t>a</w:t>
      </w:r>
      <w:r>
        <w:rPr>
          <w:w w:val="100"/>
        </w:rPr>
        <w:t>l</w:t>
      </w:r>
      <w:r>
        <w:rPr>
          <w:spacing w:val="-2"/>
          <w:w w:val="100"/>
        </w:rPr>
        <w:t>g</w:t>
      </w:r>
      <w:r>
        <w:rPr>
          <w:w w:val="100"/>
        </w:rPr>
        <w:t>umas </w:t>
      </w:r>
      <w:r>
        <w:rPr>
          <w:spacing w:val="-23"/>
          <w:w w:val="100"/>
        </w:rPr>
        <w:t> </w:t>
      </w:r>
      <w:r>
        <w:rPr>
          <w:w w:val="100"/>
        </w:rPr>
        <w:t>op</w:t>
      </w:r>
      <w:r>
        <w:rPr>
          <w:spacing w:val="-1"/>
          <w:w w:val="100"/>
        </w:rPr>
        <w:t>ç</w:t>
      </w:r>
      <w:r>
        <w:rPr>
          <w:w w:val="100"/>
        </w:rPr>
        <w:t>õ</w:t>
      </w:r>
      <w:r>
        <w:rPr>
          <w:spacing w:val="-1"/>
          <w:w w:val="100"/>
        </w:rPr>
        <w:t>e</w:t>
      </w:r>
      <w:r>
        <w:rPr>
          <w:w w:val="99"/>
        </w:rPr>
        <w:t>s,</w:t>
      </w:r>
      <w:r>
        <w:rPr/>
        <w:t> </w:t>
      </w:r>
      <w:r>
        <w:rPr>
          <w:spacing w:val="-22"/>
        </w:rPr>
        <w:t> </w:t>
      </w:r>
      <w:r>
        <w:rPr>
          <w:w w:val="100"/>
        </w:rPr>
        <w:t>d</w:t>
      </w:r>
      <w:r>
        <w:rPr>
          <w:spacing w:val="-1"/>
          <w:w w:val="100"/>
        </w:rPr>
        <w:t>e</w:t>
      </w:r>
      <w:r>
        <w:rPr>
          <w:w w:val="100"/>
        </w:rPr>
        <w:t>ntre</w:t>
      </w:r>
      <w:r>
        <w:rPr/>
        <w:t> </w:t>
      </w:r>
      <w:r>
        <w:rPr>
          <w:spacing w:val="-21"/>
        </w:rPr>
        <w:t> </w:t>
      </w:r>
      <w:r>
        <w:rPr>
          <w:spacing w:val="-1"/>
          <w:w w:val="100"/>
        </w:rPr>
        <w:t>e</w:t>
      </w:r>
      <w:r>
        <w:rPr>
          <w:w w:val="100"/>
        </w:rPr>
        <w:t>las,</w:t>
      </w:r>
      <w:r>
        <w:rPr/>
        <w:t> </w:t>
      </w:r>
      <w:r>
        <w:rPr>
          <w:spacing w:val="-25"/>
        </w:rPr>
        <w:t> </w:t>
      </w:r>
      <w:r>
        <w:rPr>
          <w:spacing w:val="1"/>
          <w:w w:val="44"/>
        </w:rPr>
        <w:t>―</w:t>
      </w:r>
      <w:r>
        <w:rPr>
          <w:b/>
          <w:w w:val="99"/>
        </w:rPr>
        <w:t>d</w:t>
      </w:r>
      <w:r>
        <w:rPr>
          <w:b/>
          <w:spacing w:val="-1"/>
          <w:w w:val="99"/>
        </w:rPr>
        <w:t>e</w:t>
      </w:r>
      <w:r>
        <w:rPr>
          <w:b/>
          <w:w w:val="99"/>
        </w:rPr>
        <w:t>b</w:t>
      </w:r>
      <w:r>
        <w:rPr>
          <w:b/>
          <w:w w:val="99"/>
        </w:rPr>
        <w:t>a</w:t>
      </w:r>
      <w:r>
        <w:rPr>
          <w:b/>
          <w:spacing w:val="1"/>
          <w:w w:val="99"/>
        </w:rPr>
        <w:t>t</w:t>
      </w:r>
      <w:r>
        <w:rPr>
          <w:b/>
          <w:spacing w:val="-1"/>
          <w:w w:val="99"/>
        </w:rPr>
        <w:t>e</w:t>
      </w:r>
      <w:r>
        <w:rPr>
          <w:b/>
          <w:w w:val="99"/>
        </w:rPr>
        <w:t>s</w:t>
      </w:r>
      <w:r>
        <w:rPr>
          <w:b/>
        </w:rPr>
        <w:t> </w:t>
      </w:r>
      <w:r>
        <w:rPr>
          <w:b/>
          <w:spacing w:val="-24"/>
        </w:rPr>
        <w:t> </w:t>
      </w:r>
      <w:r>
        <w:rPr>
          <w:b/>
        </w:rPr>
        <w:t>liv</w:t>
      </w:r>
      <w:r>
        <w:rPr>
          <w:b/>
          <w:spacing w:val="-1"/>
        </w:rPr>
        <w:t>re</w:t>
      </w:r>
      <w:r>
        <w:rPr>
          <w:b/>
          <w:w w:val="99"/>
        </w:rPr>
        <w:t>s</w:t>
      </w:r>
      <w:r>
        <w:rPr>
          <w:b/>
        </w:rPr>
        <w:t> </w:t>
      </w:r>
      <w:r>
        <w:rPr>
          <w:b/>
          <w:spacing w:val="-22"/>
        </w:rPr>
        <w:t> </w:t>
      </w:r>
      <w:r>
        <w:rPr>
          <w:b/>
        </w:rPr>
        <w:t>e </w:t>
      </w:r>
      <w:r>
        <w:rPr>
          <w:b/>
          <w:spacing w:val="-23"/>
        </w:rPr>
        <w:t> </w:t>
      </w:r>
      <w:r>
        <w:rPr>
          <w:b/>
          <w:w w:val="99"/>
        </w:rPr>
        <w:t>ab</w:t>
      </w:r>
      <w:r>
        <w:rPr>
          <w:b/>
          <w:spacing w:val="-1"/>
        </w:rPr>
        <w:t>er</w:t>
      </w:r>
      <w:r>
        <w:rPr>
          <w:b/>
          <w:w w:val="99"/>
        </w:rPr>
        <w:t>tos</w:t>
      </w:r>
      <w:r>
        <w:rPr>
          <w:b/>
        </w:rPr>
        <w:t> </w:t>
      </w:r>
      <w:r>
        <w:rPr>
          <w:b/>
          <w:spacing w:val="-23"/>
        </w:rPr>
        <w:t> </w:t>
      </w:r>
      <w:r>
        <w:rPr/>
        <w:t>(</w:t>
      </w:r>
      <w:r>
        <w:rPr>
          <w:spacing w:val="1"/>
        </w:rPr>
        <w:t>n</w:t>
      </w:r>
      <w:r>
        <w:rPr>
          <w:spacing w:val="-1"/>
        </w:rPr>
        <w:t>a</w:t>
      </w:r>
      <w:r>
        <w:rPr>
          <w:w w:val="99"/>
        </w:rPr>
        <w:t>s</w:t>
      </w:r>
      <w:r>
        <w:rPr/>
        <w:t> </w:t>
      </w:r>
      <w:r>
        <w:rPr>
          <w:spacing w:val="-24"/>
        </w:rPr>
        <w:t> </w:t>
      </w:r>
      <w:r>
        <w:rPr>
          <w:spacing w:val="-1"/>
        </w:rPr>
        <w:t>e</w:t>
      </w:r>
      <w:r>
        <w:rPr>
          <w:spacing w:val="2"/>
          <w:w w:val="99"/>
        </w:rPr>
        <w:t>s</w:t>
      </w:r>
      <w:r>
        <w:rPr>
          <w:spacing w:val="-1"/>
        </w:rPr>
        <w:t>c</w:t>
      </w:r>
      <w:r>
        <w:rPr/>
        <w:t>olas, </w:t>
      </w:r>
      <w:r>
        <w:rPr>
          <w:spacing w:val="-25"/>
        </w:rPr>
        <w:t> </w:t>
      </w:r>
      <w:r>
        <w:rPr/>
        <w:t>n</w:t>
      </w:r>
      <w:r>
        <w:rPr>
          <w:spacing w:val="1"/>
        </w:rPr>
        <w:t>a</w:t>
      </w:r>
      <w:r>
        <w:rPr>
          <w:w w:val="99"/>
        </w:rPr>
        <w:t>s</w:t>
      </w:r>
      <w:r>
        <w:rPr/>
        <w:t> </w:t>
      </w:r>
      <w:r>
        <w:rPr>
          <w:spacing w:val="-24"/>
        </w:rPr>
        <w:t> </w:t>
      </w:r>
      <w:r>
        <w:rPr/>
        <w:t>p</w:t>
      </w:r>
      <w:r>
        <w:rPr>
          <w:spacing w:val="-1"/>
        </w:rPr>
        <w:t>ra</w:t>
      </w:r>
      <w:r>
        <w:rPr>
          <w:spacing w:val="1"/>
        </w:rPr>
        <w:t>ç</w:t>
      </w:r>
      <w:r>
        <w:rPr>
          <w:spacing w:val="-1"/>
        </w:rPr>
        <w:t>a</w:t>
      </w:r>
      <w:r>
        <w:rPr>
          <w:w w:val="99"/>
        </w:rPr>
        <w:t>s,</w:t>
      </w:r>
      <w:r>
        <w:rPr/>
        <w:t> </w:t>
      </w:r>
      <w:r>
        <w:rPr>
          <w:spacing w:val="-24"/>
        </w:rPr>
        <w:t> </w:t>
      </w:r>
      <w:r>
        <w:rPr>
          <w:w w:val="99"/>
        </w:rPr>
        <w:t>nos </w:t>
      </w:r>
      <w:r>
        <w:rPr/>
        <w:t>espaços de conselhos, agremiações, sindicatos e outros), mas também em </w:t>
      </w:r>
      <w:r>
        <w:rPr>
          <w:b/>
        </w:rPr>
        <w:t>conferências municipais</w:t>
      </w:r>
      <w:r>
        <w:rPr/>
        <w:t>, que contarão com a representação de todos os segmentos da sociedade‖. (Grifos</w:t>
      </w:r>
      <w:r>
        <w:rPr>
          <w:spacing w:val="-4"/>
        </w:rPr>
        <w:t> </w:t>
      </w:r>
      <w:r>
        <w:rPr/>
        <w:t>nossos).</w:t>
      </w:r>
    </w:p>
    <w:p>
      <w:pPr>
        <w:pStyle w:val="BodyText"/>
        <w:spacing w:line="360" w:lineRule="auto" w:before="4"/>
        <w:ind w:left="102" w:right="117" w:firstLine="851"/>
        <w:jc w:val="both"/>
      </w:pPr>
      <w:r>
        <w:rPr/>
        <w:t>Pensando em um processo conduzido, primeiramente, pela elaboração do PEE, para em seguida elaborar-se o PME, o Caderno apresenta uma seção denominada </w:t>
      </w:r>
      <w:r>
        <w:rPr>
          <w:i/>
        </w:rPr>
        <w:t>Uma </w:t>
      </w:r>
      <w:r>
        <w:rPr>
          <w:i/>
        </w:rPr>
        <w:t>Proposta de Agenda </w:t>
      </w:r>
      <w:r>
        <w:rPr/>
        <w:t>(BRASIL, 2014c, p. 9):</w:t>
      </w:r>
    </w:p>
    <w:p>
      <w:pPr>
        <w:pStyle w:val="BodyText"/>
        <w:spacing w:before="3"/>
        <w:rPr>
          <w:sz w:val="30"/>
        </w:rPr>
      </w:pPr>
    </w:p>
    <w:p>
      <w:pPr>
        <w:spacing w:before="0"/>
        <w:ind w:left="2370" w:right="124" w:firstLine="0"/>
        <w:jc w:val="both"/>
        <w:rPr>
          <w:sz w:val="20"/>
        </w:rPr>
      </w:pPr>
      <w:r>
        <w:rPr>
          <w:sz w:val="20"/>
        </w:rPr>
        <w:t>Elaboração do texto-base para o PEE, tendo o PNE como referência/Comissão técnica estadual elabora o</w:t>
      </w:r>
      <w:r>
        <w:rPr>
          <w:spacing w:val="-13"/>
          <w:sz w:val="20"/>
        </w:rPr>
        <w:t> </w:t>
      </w:r>
      <w:r>
        <w:rPr>
          <w:sz w:val="20"/>
        </w:rPr>
        <w:t>texto-base;</w:t>
      </w:r>
    </w:p>
    <w:p>
      <w:pPr>
        <w:spacing w:line="244" w:lineRule="auto" w:before="0"/>
        <w:ind w:left="2370" w:right="115" w:firstLine="0"/>
        <w:jc w:val="both"/>
        <w:rPr>
          <w:b/>
          <w:sz w:val="20"/>
        </w:rPr>
      </w:pPr>
      <w:r>
        <w:rPr>
          <w:sz w:val="20"/>
        </w:rPr>
        <w:t>Discussão e aprovação do texto-base do PEE/</w:t>
      </w:r>
      <w:r>
        <w:rPr>
          <w:b/>
          <w:sz w:val="20"/>
        </w:rPr>
        <w:t>Texto-base é submetido a um amplo debate na sociedade;</w:t>
      </w:r>
    </w:p>
    <w:p>
      <w:pPr>
        <w:spacing w:line="240" w:lineRule="auto" w:before="0"/>
        <w:ind w:left="2370" w:right="116" w:firstLine="0"/>
        <w:jc w:val="both"/>
        <w:rPr>
          <w:sz w:val="20"/>
        </w:rPr>
      </w:pPr>
      <w:r>
        <w:rPr>
          <w:sz w:val="20"/>
        </w:rPr>
        <w:t>Encaminhamento do projeto de Lei do PEE à Assembleia Legislativa/Comissão técnica elabora projeto de Lei tendo o texto debatido como referência;</w:t>
      </w:r>
    </w:p>
    <w:p>
      <w:pPr>
        <w:spacing w:before="8"/>
        <w:ind w:left="2370" w:right="124" w:firstLine="0"/>
        <w:jc w:val="both"/>
        <w:rPr>
          <w:sz w:val="20"/>
        </w:rPr>
      </w:pPr>
      <w:r>
        <w:rPr>
          <w:sz w:val="20"/>
        </w:rPr>
        <w:t>Elaboração do texto-base para o PME, tendo o PNE e o PEE como referência/Comissão técnica municipal elabora o texto-base;</w:t>
      </w:r>
    </w:p>
    <w:p>
      <w:pPr>
        <w:spacing w:before="0"/>
        <w:ind w:left="2370" w:right="118" w:firstLine="0"/>
        <w:jc w:val="both"/>
        <w:rPr>
          <w:sz w:val="20"/>
        </w:rPr>
      </w:pPr>
      <w:r>
        <w:rPr>
          <w:b/>
          <w:sz w:val="20"/>
        </w:rPr>
        <w:t>Discussão e aprovação do texto-base para o PME/</w:t>
      </w:r>
      <w:r>
        <w:rPr>
          <w:sz w:val="20"/>
        </w:rPr>
        <w:t>Encontros ou conferência no</w:t>
      </w:r>
      <w:r>
        <w:rPr>
          <w:spacing w:val="-11"/>
          <w:sz w:val="20"/>
        </w:rPr>
        <w:t> </w:t>
      </w:r>
      <w:r>
        <w:rPr>
          <w:sz w:val="20"/>
        </w:rPr>
        <w:t>Município;</w:t>
      </w:r>
    </w:p>
    <w:p>
      <w:pPr>
        <w:spacing w:after="0"/>
        <w:jc w:val="both"/>
        <w:rPr>
          <w:sz w:val="20"/>
        </w:rPr>
        <w:sectPr>
          <w:type w:val="continuous"/>
          <w:pgSz w:w="11910" w:h="16840"/>
          <w:pgMar w:top="1580" w:bottom="280" w:left="1600" w:right="1580"/>
        </w:sectPr>
      </w:pPr>
    </w:p>
    <w:p>
      <w:pPr>
        <w:pStyle w:val="BodyText"/>
        <w:rPr>
          <w:sz w:val="20"/>
        </w:rPr>
      </w:pPr>
    </w:p>
    <w:p>
      <w:pPr>
        <w:pStyle w:val="BodyText"/>
        <w:spacing w:before="2"/>
        <w:rPr>
          <w:sz w:val="18"/>
        </w:rPr>
      </w:pPr>
    </w:p>
    <w:p>
      <w:pPr>
        <w:spacing w:before="0"/>
        <w:ind w:left="2370" w:right="120" w:firstLine="0"/>
        <w:jc w:val="both"/>
        <w:rPr>
          <w:sz w:val="20"/>
        </w:rPr>
      </w:pPr>
      <w:r>
        <w:rPr>
          <w:sz w:val="20"/>
        </w:rPr>
        <w:t>Encaminhamento do projeto de Lei do PME à Câmara de Vereadores/Comissão técnica elabora projeto de Lei tendo o texto debatido como referência. (Grifos nossos).</w:t>
      </w:r>
    </w:p>
    <w:p>
      <w:pPr>
        <w:pStyle w:val="BodyText"/>
        <w:spacing w:before="1"/>
        <w:rPr>
          <w:sz w:val="30"/>
        </w:rPr>
      </w:pPr>
    </w:p>
    <w:p>
      <w:pPr>
        <w:pStyle w:val="BodyText"/>
        <w:spacing w:line="360" w:lineRule="auto"/>
        <w:ind w:left="102" w:right="112" w:firstLine="851"/>
        <w:jc w:val="both"/>
      </w:pPr>
      <w:r>
        <w:rPr/>
        <w:t>Em uma penúltima seção, denominada </w:t>
      </w:r>
      <w:r>
        <w:rPr>
          <w:i/>
        </w:rPr>
        <w:t>Construindo as Metas Locais – </w:t>
      </w:r>
      <w:r>
        <w:rPr>
          <w:i/>
        </w:rPr>
        <w:t>sugestões de trajetórias </w:t>
      </w:r>
      <w:r>
        <w:rPr/>
        <w:t>(BRASIL, 2014c, p. 9)</w:t>
      </w:r>
      <w:r>
        <w:rPr>
          <w:i/>
        </w:rPr>
        <w:t>, </w:t>
      </w:r>
      <w:r>
        <w:rPr/>
        <w:t>são apresentadas sugestões de  trajetórias que cada Estado ou Município tomarão como referência, com a justificativa pautada em uma intencionalidade transformadora de planejamento, assim como na visão sistêmica da</w:t>
      </w:r>
      <w:r>
        <w:rPr>
          <w:spacing w:val="-7"/>
        </w:rPr>
        <w:t> </w:t>
      </w:r>
      <w:r>
        <w:rPr/>
        <w:t>educação:</w:t>
      </w:r>
    </w:p>
    <w:p>
      <w:pPr>
        <w:pStyle w:val="BodyText"/>
        <w:spacing w:before="3"/>
        <w:rPr>
          <w:sz w:val="36"/>
        </w:rPr>
      </w:pPr>
    </w:p>
    <w:p>
      <w:pPr>
        <w:spacing w:line="240" w:lineRule="auto" w:before="0"/>
        <w:ind w:left="2370" w:right="121" w:firstLine="0"/>
        <w:jc w:val="both"/>
        <w:rPr>
          <w:sz w:val="20"/>
        </w:rPr>
      </w:pPr>
      <w:r>
        <w:rPr>
          <w:sz w:val="20"/>
        </w:rPr>
        <w:t>A </w:t>
      </w:r>
      <w:r>
        <w:rPr>
          <w:b/>
          <w:sz w:val="20"/>
        </w:rPr>
        <w:t>construção de uma política pública envolve sempre uma leitura da realidade, expressa no modo de compreensão das causas dos problemas a serem solucionados e nas propostas para a sua superação. </w:t>
      </w:r>
      <w:r>
        <w:rPr>
          <w:sz w:val="20"/>
        </w:rPr>
        <w:t>Ao desejarmos uma mudança de situação, significa dizer que estamos considerando a existência de um cenário problemático para o qual buscamos soluções, que, quase sempre, configurar-se-ão como alvo da ação pública.</w:t>
      </w:r>
    </w:p>
    <w:p>
      <w:pPr>
        <w:spacing w:line="242" w:lineRule="auto" w:before="0"/>
        <w:ind w:left="2370" w:right="122" w:firstLine="0"/>
        <w:jc w:val="both"/>
        <w:rPr>
          <w:b/>
          <w:sz w:val="20"/>
        </w:rPr>
      </w:pPr>
      <w:r>
        <w:rPr>
          <w:sz w:val="20"/>
        </w:rPr>
        <w:t>Em função das atribuições determinadas em lei, alguns entes federativos têm mais responsabilidade que outros com determinadas etapas e modalidades da educação básica, ou com a educação superior. </w:t>
      </w:r>
      <w:r>
        <w:rPr>
          <w:b/>
          <w:sz w:val="20"/>
        </w:rPr>
        <w:t>Porém, se há uma meta nacional a ser atingida, significa que este é um desafio para o qual todos têm que se mobilizar. (Grifos nossos).</w:t>
      </w:r>
    </w:p>
    <w:p>
      <w:pPr>
        <w:pStyle w:val="BodyText"/>
        <w:rPr>
          <w:b/>
          <w:sz w:val="22"/>
        </w:rPr>
      </w:pPr>
    </w:p>
    <w:p>
      <w:pPr>
        <w:pStyle w:val="BodyText"/>
        <w:spacing w:line="360" w:lineRule="auto" w:before="157"/>
        <w:ind w:left="102" w:right="112" w:firstLine="851"/>
        <w:jc w:val="both"/>
      </w:pPr>
      <w:r>
        <w:rPr/>
        <w:t>O exemplo usado pelo Caderno, com o intuito de explicar a sugestão das trajetórias, explicita que, no caso de um Município muito aquém do objetivo a ser alcançado, e por esse motivo, em situação considerada desfavorável, caso sua meta não seja alcançada, o importante será sua contribuição, que somará aos esforços de todos e fará com que o País a atinja.</w:t>
      </w:r>
    </w:p>
    <w:p>
      <w:pPr>
        <w:pStyle w:val="BodyText"/>
        <w:spacing w:before="4"/>
        <w:rPr>
          <w:sz w:val="36"/>
        </w:rPr>
      </w:pPr>
    </w:p>
    <w:p>
      <w:pPr>
        <w:spacing w:before="0"/>
        <w:ind w:left="2370" w:right="113" w:firstLine="0"/>
        <w:jc w:val="both"/>
        <w:rPr>
          <w:sz w:val="20"/>
        </w:rPr>
      </w:pPr>
      <w:r>
        <w:rPr>
          <w:sz w:val="20"/>
        </w:rPr>
        <w:t>Em outras palavras, se o país aponta como prioritária uma determinada meta e a define no PNE, </w:t>
      </w:r>
      <w:r>
        <w:rPr>
          <w:b/>
          <w:sz w:val="20"/>
        </w:rPr>
        <w:t>todos os entes federativos deverão contribuir para que ela seja atingida e para que a mudança ocorra</w:t>
      </w:r>
      <w:r>
        <w:rPr>
          <w:sz w:val="20"/>
        </w:rPr>
        <w:t>. Alguns partirão de situações desfavoráveis, porque o valor inicial do indicador para aquela meta é baixo. Neste caso, logo após a decisão ser tomada o gestor vai sentir que é difícil alterar o cenário, porque no início, em geral, é preciso construir uma série de condições para que a situação mude um pouco. Com o tempo, se mantidas ou melhoradas as condições, o indicador vai também melhorando; por isto os planos precisam </w:t>
      </w:r>
      <w:r>
        <w:rPr>
          <w:b/>
          <w:sz w:val="20"/>
        </w:rPr>
        <w:t>superar os tempos de gestão de governos</w:t>
      </w:r>
      <w:r>
        <w:rPr>
          <w:sz w:val="20"/>
        </w:rPr>
        <w:t>. (BRASIL, 2014c, p. 5). (Grifos</w:t>
      </w:r>
      <w:r>
        <w:rPr>
          <w:spacing w:val="-16"/>
          <w:sz w:val="20"/>
        </w:rPr>
        <w:t> </w:t>
      </w:r>
      <w:r>
        <w:rPr>
          <w:sz w:val="20"/>
        </w:rPr>
        <w:t>nossos).</w:t>
      </w:r>
    </w:p>
    <w:p>
      <w:pPr>
        <w:pStyle w:val="BodyText"/>
        <w:spacing w:before="2"/>
        <w:rPr>
          <w:sz w:val="30"/>
        </w:rPr>
      </w:pPr>
    </w:p>
    <w:p>
      <w:pPr>
        <w:pStyle w:val="BodyText"/>
        <w:spacing w:line="360" w:lineRule="auto"/>
        <w:ind w:left="102" w:right="114" w:firstLine="851"/>
        <w:jc w:val="both"/>
      </w:pPr>
      <w:r>
        <w:rPr/>
        <w:t>Por fim, na última seção, denominada </w:t>
      </w:r>
      <w:r>
        <w:rPr>
          <w:i/>
        </w:rPr>
        <w:t>Concluindo </w:t>
      </w:r>
      <w:r>
        <w:rPr/>
        <w:t>(BRASIL, 2014c, p. 14) o Caderno reforça aspectos essenciais, como seu objetivo de apoio aos entes federados, a necessidade de um profundo diagnóstico da educação, para as possíveis especificidades municipais a serem atendidas nos PMEs, o necessário alinhamento dos Planos e o regime de colaboração, tudo com vistas a institucionalização do SNE com qualidade e a construção de políticas de Estado, não de</w:t>
      </w:r>
      <w:r>
        <w:rPr>
          <w:spacing w:val="-8"/>
        </w:rPr>
        <w:t> </w:t>
      </w:r>
      <w:r>
        <w:rPr/>
        <w:t>governo:</w:t>
      </w:r>
    </w:p>
    <w:p>
      <w:pPr>
        <w:spacing w:after="0" w:line="360" w:lineRule="auto"/>
        <w:jc w:val="both"/>
        <w:sectPr>
          <w:pgSz w:w="11910" w:h="16840"/>
          <w:pgMar w:header="749" w:footer="0" w:top="960" w:bottom="280" w:left="1600" w:right="1580"/>
        </w:sectPr>
      </w:pPr>
    </w:p>
    <w:p>
      <w:pPr>
        <w:pStyle w:val="BodyText"/>
        <w:rPr>
          <w:sz w:val="20"/>
        </w:rPr>
      </w:pPr>
    </w:p>
    <w:p>
      <w:pPr>
        <w:pStyle w:val="BodyText"/>
        <w:rPr>
          <w:sz w:val="20"/>
        </w:rPr>
      </w:pPr>
    </w:p>
    <w:p>
      <w:pPr>
        <w:pStyle w:val="BodyText"/>
        <w:spacing w:before="5"/>
        <w:rPr>
          <w:sz w:val="26"/>
        </w:rPr>
      </w:pPr>
    </w:p>
    <w:p>
      <w:pPr>
        <w:spacing w:line="240" w:lineRule="auto" w:before="91"/>
        <w:ind w:left="2370" w:right="118" w:firstLine="0"/>
        <w:jc w:val="both"/>
        <w:rPr>
          <w:b/>
          <w:sz w:val="20"/>
        </w:rPr>
      </w:pPr>
      <w:r>
        <w:rPr>
          <w:sz w:val="20"/>
        </w:rPr>
        <w:t>O importante é que todos se debrucem sobre uma </w:t>
      </w:r>
      <w:r>
        <w:rPr>
          <w:b/>
          <w:sz w:val="20"/>
        </w:rPr>
        <w:t>análise profunda da situação atual da educação no seu município ou estado</w:t>
      </w:r>
      <w:r>
        <w:rPr>
          <w:sz w:val="20"/>
        </w:rPr>
        <w:t>, avaliando e  usando estas </w:t>
      </w:r>
      <w:r>
        <w:rPr>
          <w:b/>
          <w:sz w:val="20"/>
        </w:rPr>
        <w:t>ferramentas como referenciais de trabalho</w:t>
      </w:r>
      <w:r>
        <w:rPr>
          <w:sz w:val="20"/>
        </w:rPr>
        <w:t>. Importante também é reforçar que </w:t>
      </w:r>
      <w:r>
        <w:rPr>
          <w:b/>
          <w:sz w:val="20"/>
        </w:rPr>
        <w:t>as metas do PNE são compromissos de  todos</w:t>
      </w:r>
      <w:r>
        <w:rPr>
          <w:sz w:val="20"/>
        </w:rPr>
        <w:t>: se não foram ainda atingidas no estado ou município, precisam necessariamente ser consideradas nos seus planos. Por outro lado, </w:t>
      </w:r>
      <w:r>
        <w:rPr>
          <w:b/>
          <w:sz w:val="20"/>
        </w:rPr>
        <w:t>o município pode ter outros objetivos além daqueles contemplados pelas 20 metas do</w:t>
      </w:r>
      <w:r>
        <w:rPr>
          <w:b/>
          <w:spacing w:val="-22"/>
          <w:sz w:val="20"/>
        </w:rPr>
        <w:t> </w:t>
      </w:r>
      <w:r>
        <w:rPr>
          <w:b/>
          <w:sz w:val="20"/>
        </w:rPr>
        <w:t>PNE.</w:t>
      </w:r>
    </w:p>
    <w:p>
      <w:pPr>
        <w:spacing w:line="240" w:lineRule="auto" w:before="0"/>
        <w:ind w:left="2370" w:right="119" w:firstLine="0"/>
        <w:jc w:val="both"/>
        <w:rPr>
          <w:sz w:val="20"/>
        </w:rPr>
      </w:pPr>
      <w:r>
        <w:rPr>
          <w:sz w:val="20"/>
        </w:rPr>
        <w:t>O desafio é grande e o </w:t>
      </w:r>
      <w:r>
        <w:rPr>
          <w:b/>
          <w:sz w:val="20"/>
        </w:rPr>
        <w:t>processo</w:t>
      </w:r>
      <w:r>
        <w:rPr>
          <w:sz w:val="20"/>
        </w:rPr>
        <w:t>, que é </w:t>
      </w:r>
      <w:r>
        <w:rPr>
          <w:b/>
          <w:sz w:val="20"/>
        </w:rPr>
        <w:t>coletivo</w:t>
      </w:r>
      <w:r>
        <w:rPr>
          <w:sz w:val="20"/>
        </w:rPr>
        <w:t>, exigirá </w:t>
      </w:r>
      <w:r>
        <w:rPr>
          <w:b/>
          <w:sz w:val="20"/>
        </w:rPr>
        <w:t>estudos e leituras </w:t>
      </w:r>
      <w:r>
        <w:rPr>
          <w:sz w:val="20"/>
        </w:rPr>
        <w:t>atentas, </w:t>
      </w:r>
      <w:r>
        <w:rPr>
          <w:b/>
          <w:sz w:val="20"/>
        </w:rPr>
        <w:t>pesquisas de dados</w:t>
      </w:r>
      <w:r>
        <w:rPr>
          <w:sz w:val="20"/>
        </w:rPr>
        <w:t>, conhecimento da realidade local e fundamentalmente disposição para compreender que todos fazemos parte de uma </w:t>
      </w:r>
      <w:r>
        <w:rPr>
          <w:b/>
          <w:sz w:val="20"/>
        </w:rPr>
        <w:t>unidade nacional</w:t>
      </w:r>
      <w:r>
        <w:rPr>
          <w:sz w:val="20"/>
        </w:rPr>
        <w:t>, para que o país avance em </w:t>
      </w:r>
      <w:r>
        <w:rPr>
          <w:b/>
          <w:sz w:val="20"/>
        </w:rPr>
        <w:t>qualidade </w:t>
      </w:r>
      <w:r>
        <w:rPr>
          <w:sz w:val="20"/>
        </w:rPr>
        <w:t>com equidade para cada brasileiro. Esperamos que este conjunto de documentos e esta base de dados possa ajudar a planejar a próxima década, </w:t>
      </w:r>
      <w:r>
        <w:rPr>
          <w:b/>
          <w:sz w:val="20"/>
        </w:rPr>
        <w:t>construindo políticas de Estado </w:t>
      </w:r>
      <w:r>
        <w:rPr>
          <w:sz w:val="20"/>
        </w:rPr>
        <w:t>com foco na </w:t>
      </w:r>
      <w:r>
        <w:rPr>
          <w:b/>
          <w:sz w:val="20"/>
        </w:rPr>
        <w:t>colaboração recíproca</w:t>
      </w:r>
      <w:r>
        <w:rPr>
          <w:sz w:val="20"/>
        </w:rPr>
        <w:t>. (Grifos nossos).</w:t>
      </w:r>
    </w:p>
    <w:p>
      <w:pPr>
        <w:pStyle w:val="BodyText"/>
        <w:rPr>
          <w:sz w:val="22"/>
        </w:rPr>
      </w:pPr>
    </w:p>
    <w:p>
      <w:pPr>
        <w:pStyle w:val="BodyText"/>
        <w:spacing w:line="360" w:lineRule="auto" w:before="166"/>
        <w:ind w:left="102" w:right="119" w:firstLine="851"/>
        <w:jc w:val="both"/>
      </w:pPr>
      <w:r>
        <w:rPr/>
        <w:t>Cabe aqui destacarmos a defesa do rigor na construção dos dados e informações, assim como nas suas análises, com fundamentação, para um bom diagnóstico. E, por fim, da disposição para a colaboração recíproca.</w:t>
      </w:r>
    </w:p>
    <w:p>
      <w:pPr>
        <w:pStyle w:val="BodyText"/>
        <w:spacing w:line="360" w:lineRule="auto" w:before="3"/>
        <w:ind w:left="102" w:right="120" w:firstLine="851"/>
        <w:jc w:val="both"/>
      </w:pPr>
      <w:r>
        <w:rPr/>
        <w:t>De modo geral, podemos inferir que a concepção de planejamento do Caderno assenta-se em uma intencionalidade transformadora/comprometimento social, ao compreender a Conferência como amplo espaço de discussões e decisões de políticas públicas educacionais. No entanto, no momento em que o Caderno propôs a esse espaço da Conferência, discussões e debates acerca de metas e estratégias já pensadas pela Equipe Técnica e pela Comissão Organizadora, mesmo que em consonância com o PNE 2014-2024,  tal  orientação,  de certo modo,  limita,  inclusive,  a compreensão  do</w:t>
      </w:r>
      <w:r>
        <w:rPr>
          <w:spacing w:val="-20"/>
        </w:rPr>
        <w:t> </w:t>
      </w:r>
      <w:r>
        <w:rPr/>
        <w:t>termo</w:t>
      </w:r>
    </w:p>
    <w:p>
      <w:pPr>
        <w:pStyle w:val="BodyText"/>
        <w:spacing w:line="360" w:lineRule="auto" w:before="6"/>
        <w:ind w:left="102" w:right="120"/>
        <w:jc w:val="both"/>
      </w:pPr>
      <w:r>
        <w:rPr>
          <w:w w:val="44"/>
        </w:rPr>
        <w:t>―</w:t>
      </w:r>
      <w:r>
        <w:rPr>
          <w:w w:val="100"/>
        </w:rPr>
        <w:t>a</w:t>
      </w:r>
      <w:r>
        <w:rPr>
          <w:w w:val="100"/>
        </w:rPr>
        <w:t>li</w:t>
      </w:r>
      <w:r>
        <w:rPr>
          <w:w w:val="100"/>
        </w:rPr>
        <w:t>nha</w:t>
      </w:r>
      <w:r>
        <w:rPr>
          <w:w w:val="105"/>
        </w:rPr>
        <w:t>mento‖</w:t>
      </w:r>
      <w:r>
        <w:rPr/>
        <w:t> (BR</w:t>
      </w:r>
      <w:r>
        <w:rPr>
          <w:w w:val="99"/>
        </w:rPr>
        <w:t>AS</w:t>
      </w:r>
      <w:r>
        <w:rPr>
          <w:w w:val="100"/>
        </w:rPr>
        <w:t>IL</w:t>
      </w:r>
      <w:r>
        <w:rPr/>
        <w:t>, 2014d) no pr</w:t>
      </w:r>
      <w:r>
        <w:rPr>
          <w:w w:val="100"/>
        </w:rPr>
        <w:t>oc</w:t>
      </w:r>
      <w:r>
        <w:rPr>
          <w:w w:val="100"/>
        </w:rPr>
        <w:t>e</w:t>
      </w:r>
      <w:r>
        <w:rPr>
          <w:w w:val="99"/>
        </w:rPr>
        <w:t>sso</w:t>
      </w:r>
      <w:r>
        <w:rPr/>
        <w:t> </w:t>
      </w:r>
      <w:r>
        <w:rPr>
          <w:w w:val="100"/>
        </w:rPr>
        <w:t>de</w:t>
      </w:r>
      <w:r>
        <w:rPr/>
        <w:t> </w:t>
      </w:r>
      <w:r>
        <w:rPr>
          <w:w w:val="100"/>
        </w:rPr>
        <w:t>e</w:t>
      </w:r>
      <w:r>
        <w:rPr>
          <w:w w:val="100"/>
        </w:rPr>
        <w:t>labor</w:t>
      </w:r>
      <w:r>
        <w:rPr>
          <w:w w:val="100"/>
        </w:rPr>
        <w:t>açã</w:t>
      </w:r>
      <w:r>
        <w:rPr/>
        <w:t>o </w:t>
      </w:r>
      <w:r>
        <w:rPr>
          <w:w w:val="100"/>
        </w:rPr>
        <w:t>e</w:t>
      </w:r>
      <w:r>
        <w:rPr>
          <w:w w:val="100"/>
        </w:rPr>
        <w:t>/ou</w:t>
      </w:r>
      <w:r>
        <w:rPr/>
        <w:t> </w:t>
      </w:r>
      <w:r>
        <w:rPr>
          <w:w w:val="100"/>
        </w:rPr>
        <w:t>a</w:t>
      </w:r>
      <w:r>
        <w:rPr>
          <w:w w:val="100"/>
        </w:rPr>
        <w:t>dequa</w:t>
      </w:r>
      <w:r>
        <w:rPr>
          <w:w w:val="100"/>
        </w:rPr>
        <w:t>çã</w:t>
      </w:r>
      <w:r>
        <w:rPr/>
        <w:t>o </w:t>
      </w:r>
      <w:r>
        <w:rPr>
          <w:w w:val="99"/>
        </w:rPr>
        <w:t>dos</w:t>
      </w:r>
      <w:r>
        <w:rPr/>
        <w:t> </w:t>
      </w:r>
      <w:r>
        <w:rPr>
          <w:w w:val="99"/>
        </w:rPr>
        <w:t>P</w:t>
      </w:r>
      <w:r>
        <w:rPr>
          <w:w w:val="100"/>
        </w:rPr>
        <w:t>lanos, </w:t>
      </w:r>
      <w:r>
        <w:rPr/>
        <w:t>a exemplo, sugerindo a ideia de simples reprodução ou cópia do PNE, em detrimento de uma compreensão ampliada de política e planejamento nacionais, na medida em que, necessariamente, em um alinhamento, deverão ser agregadas às metas nacionais, as especificidades municipais e estaduais.</w:t>
      </w:r>
    </w:p>
    <w:p>
      <w:pPr>
        <w:pStyle w:val="BodyText"/>
        <w:rPr>
          <w:sz w:val="26"/>
        </w:rPr>
      </w:pPr>
    </w:p>
    <w:p>
      <w:pPr>
        <w:pStyle w:val="BodyText"/>
        <w:rPr>
          <w:sz w:val="26"/>
        </w:rPr>
      </w:pPr>
    </w:p>
    <w:p>
      <w:pPr>
        <w:pStyle w:val="ListParagraph"/>
        <w:numPr>
          <w:ilvl w:val="0"/>
          <w:numId w:val="21"/>
        </w:numPr>
        <w:tabs>
          <w:tab w:pos="386" w:val="left" w:leader="none"/>
        </w:tabs>
        <w:spacing w:line="240" w:lineRule="auto" w:before="233" w:after="0"/>
        <w:ind w:left="385" w:right="0" w:hanging="283"/>
        <w:jc w:val="both"/>
        <w:rPr>
          <w:sz w:val="24"/>
        </w:rPr>
      </w:pPr>
      <w:r>
        <w:rPr>
          <w:sz w:val="24"/>
        </w:rPr>
        <w:t>Planejando a Próxima Década: Alinhando os Planos de</w:t>
      </w:r>
      <w:r>
        <w:rPr>
          <w:spacing w:val="-15"/>
          <w:sz w:val="24"/>
        </w:rPr>
        <w:t> </w:t>
      </w:r>
      <w:r>
        <w:rPr>
          <w:sz w:val="24"/>
        </w:rPr>
        <w:t>Educação</w:t>
      </w:r>
    </w:p>
    <w:p>
      <w:pPr>
        <w:spacing w:after="0" w:line="240" w:lineRule="auto"/>
        <w:jc w:val="both"/>
        <w:rPr>
          <w:sz w:val="24"/>
        </w:rPr>
        <w:sectPr>
          <w:pgSz w:w="11910" w:h="16840"/>
          <w:pgMar w:header="749" w:footer="0" w:top="960" w:bottom="280" w:left="1600" w:right="1580"/>
        </w:sectPr>
      </w:pPr>
    </w:p>
    <w:p>
      <w:pPr>
        <w:pStyle w:val="BodyText"/>
        <w:rPr>
          <w:sz w:val="20"/>
        </w:rPr>
      </w:pPr>
    </w:p>
    <w:p>
      <w:pPr>
        <w:pStyle w:val="BodyText"/>
        <w:spacing w:before="10"/>
        <w:rPr>
          <w:sz w:val="18"/>
        </w:rPr>
      </w:pPr>
    </w:p>
    <w:p>
      <w:pPr>
        <w:pStyle w:val="BodyText"/>
        <w:ind w:left="2808"/>
        <w:rPr>
          <w:sz w:val="20"/>
        </w:rPr>
      </w:pPr>
      <w:r>
        <w:rPr>
          <w:sz w:val="20"/>
        </w:rPr>
        <w:drawing>
          <wp:inline distT="0" distB="0" distL="0" distR="0">
            <wp:extent cx="1968444" cy="2799778"/>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48" cstate="print"/>
                    <a:stretch>
                      <a:fillRect/>
                    </a:stretch>
                  </pic:blipFill>
                  <pic:spPr>
                    <a:xfrm>
                      <a:off x="0" y="0"/>
                      <a:ext cx="1968444" cy="2799778"/>
                    </a:xfrm>
                    <a:prstGeom prst="rect">
                      <a:avLst/>
                    </a:prstGeom>
                  </pic:spPr>
                </pic:pic>
              </a:graphicData>
            </a:graphic>
          </wp:inline>
        </w:drawing>
      </w:r>
      <w:r>
        <w:rPr>
          <w:sz w:val="20"/>
        </w:rPr>
      </w:r>
    </w:p>
    <w:p>
      <w:pPr>
        <w:pStyle w:val="BodyText"/>
        <w:rPr>
          <w:sz w:val="20"/>
        </w:rPr>
      </w:pPr>
    </w:p>
    <w:p>
      <w:pPr>
        <w:pStyle w:val="BodyText"/>
        <w:spacing w:before="6"/>
        <w:rPr>
          <w:sz w:val="18"/>
        </w:rPr>
      </w:pPr>
    </w:p>
    <w:p>
      <w:pPr>
        <w:pStyle w:val="BodyText"/>
        <w:spacing w:line="360" w:lineRule="auto" w:before="90"/>
        <w:ind w:left="102" w:right="117" w:firstLine="851"/>
        <w:jc w:val="right"/>
      </w:pPr>
      <w:r>
        <w:rPr/>
        <w:t>O Caderno Alinhando os Planos de Educação (BRASIL, 2014d) se inicia com uma </w:t>
      </w:r>
      <w:r>
        <w:rPr>
          <w:i/>
        </w:rPr>
        <w:t>Apresentação </w:t>
      </w:r>
      <w:r>
        <w:rPr/>
        <w:t>e seu conteúdo se divide em cinco seções seguidas pela </w:t>
      </w:r>
      <w:r>
        <w:rPr>
          <w:i/>
        </w:rPr>
        <w:t>Bibliografia</w:t>
      </w:r>
      <w:r>
        <w:rPr/>
        <w:t>. Na </w:t>
      </w:r>
      <w:r>
        <w:rPr>
          <w:i/>
        </w:rPr>
        <w:t>Apresentação </w:t>
      </w:r>
      <w:r>
        <w:rPr/>
        <w:t>(p.4), o Caderno traz como desafio do trabalho</w:t>
      </w:r>
      <w:r>
        <w:rPr>
          <w:spacing w:val="54"/>
        </w:rPr>
        <w:t> </w:t>
      </w:r>
      <w:r>
        <w:rPr/>
        <w:t>de</w:t>
      </w:r>
      <w:r>
        <w:rPr>
          <w:w w:val="99"/>
        </w:rPr>
        <w:t> </w:t>
      </w:r>
      <w:r>
        <w:rPr/>
        <w:t>alinhamento dos</w:t>
      </w:r>
      <w:r>
        <w:rPr>
          <w:spacing w:val="37"/>
        </w:rPr>
        <w:t> </w:t>
      </w:r>
      <w:r>
        <w:rPr/>
        <w:t>planos de educação a necessidade de o País compreender que estes</w:t>
      </w:r>
      <w:r>
        <w:rPr>
          <w:w w:val="99"/>
        </w:rPr>
        <w:t> </w:t>
      </w:r>
      <w:r>
        <w:rPr/>
        <w:t>documentos precisam ser elaborados com perspectivas para um determinado</w:t>
      </w:r>
      <w:r>
        <w:rPr>
          <w:spacing w:val="58"/>
        </w:rPr>
        <w:t> </w:t>
      </w:r>
      <w:r>
        <w:rPr/>
        <w:t>território e de forma a envolver um universo de representações tanto</w:t>
      </w:r>
      <w:r>
        <w:rPr>
          <w:spacing w:val="52"/>
        </w:rPr>
        <w:t> </w:t>
      </w:r>
      <w:r>
        <w:rPr/>
        <w:t>governamentais quanto </w:t>
      </w:r>
      <w:r>
        <w:rPr>
          <w:w w:val="100"/>
        </w:rPr>
        <w:t>soci</w:t>
      </w:r>
      <w:r>
        <w:rPr>
          <w:spacing w:val="-2"/>
          <w:w w:val="100"/>
        </w:rPr>
        <w:t>a</w:t>
      </w:r>
      <w:r>
        <w:rPr/>
        <w:t>is.  Assim, </w:t>
      </w:r>
      <w:r>
        <w:rPr>
          <w:spacing w:val="-15"/>
        </w:rPr>
        <w:t> </w:t>
      </w:r>
      <w:r>
        <w:rPr>
          <w:w w:val="100"/>
        </w:rPr>
        <w:t>que  </w:t>
      </w:r>
      <w:r>
        <w:rPr>
          <w:w w:val="99"/>
        </w:rPr>
        <w:t>s</w:t>
      </w:r>
      <w:r>
        <w:rPr>
          <w:spacing w:val="-1"/>
          <w:w w:val="99"/>
        </w:rPr>
        <w:t>e</w:t>
      </w:r>
      <w:r>
        <w:rPr>
          <w:w w:val="99"/>
        </w:rPr>
        <w:t>u  </w:t>
      </w:r>
      <w:r>
        <w:rPr>
          <w:spacing w:val="-1"/>
          <w:w w:val="100"/>
        </w:rPr>
        <w:t>c</w:t>
      </w:r>
      <w:r>
        <w:rPr>
          <w:w w:val="100"/>
        </w:rPr>
        <w:t>onteúdo  </w:t>
      </w:r>
      <w:r>
        <w:rPr>
          <w:spacing w:val="-1"/>
          <w:w w:val="100"/>
        </w:rPr>
        <w:t>c</w:t>
      </w:r>
      <w:r>
        <w:rPr>
          <w:w w:val="100"/>
        </w:rPr>
        <w:t>ontemplar</w:t>
      </w:r>
      <w:r>
        <w:rPr>
          <w:w w:val="100"/>
        </w:rPr>
        <w:t>á</w:t>
      </w:r>
      <w:r>
        <w:rPr/>
        <w:t>  </w:t>
      </w:r>
      <w:r>
        <w:rPr>
          <w:spacing w:val="-1"/>
          <w:w w:val="44"/>
        </w:rPr>
        <w:t>―</w:t>
      </w:r>
      <w:r>
        <w:rPr>
          <w:spacing w:val="-1"/>
          <w:w w:val="100"/>
        </w:rPr>
        <w:t>c</w:t>
      </w:r>
      <w:r>
        <w:rPr>
          <w:w w:val="100"/>
        </w:rPr>
        <w:t>on</w:t>
      </w:r>
      <w:r>
        <w:rPr>
          <w:spacing w:val="1"/>
          <w:w w:val="100"/>
        </w:rPr>
        <w:t>c</w:t>
      </w:r>
      <w:r>
        <w:rPr>
          <w:spacing w:val="-1"/>
          <w:w w:val="100"/>
        </w:rPr>
        <w:t>e</w:t>
      </w:r>
      <w:r>
        <w:rPr>
          <w:w w:val="100"/>
        </w:rPr>
        <w:t>p</w:t>
      </w:r>
      <w:r>
        <w:rPr>
          <w:spacing w:val="-1"/>
          <w:w w:val="100"/>
        </w:rPr>
        <w:t>ç</w:t>
      </w:r>
      <w:r>
        <w:rPr>
          <w:w w:val="100"/>
        </w:rPr>
        <w:t>õ</w:t>
      </w:r>
      <w:r>
        <w:rPr>
          <w:spacing w:val="-1"/>
          <w:w w:val="100"/>
        </w:rPr>
        <w:t>e</w:t>
      </w:r>
      <w:r>
        <w:rPr>
          <w:w w:val="99"/>
        </w:rPr>
        <w:t>s</w:t>
      </w:r>
      <w:r>
        <w:rPr/>
        <w:t>  </w:t>
      </w:r>
      <w:r>
        <w:rPr>
          <w:w w:val="100"/>
        </w:rPr>
        <w:t>e</w:t>
      </w:r>
      <w:r>
        <w:rPr/>
        <w:t>  </w:t>
      </w:r>
      <w:r>
        <w:rPr>
          <w:spacing w:val="-1"/>
          <w:w w:val="100"/>
        </w:rPr>
        <w:t>e</w:t>
      </w:r>
      <w:r>
        <w:rPr>
          <w:w w:val="100"/>
        </w:rPr>
        <w:t>str</w:t>
      </w:r>
      <w:r>
        <w:rPr>
          <w:spacing w:val="-1"/>
          <w:w w:val="100"/>
        </w:rPr>
        <w:t>a</w:t>
      </w:r>
      <w:r>
        <w:rPr>
          <w:w w:val="100"/>
        </w:rPr>
        <w:t>t</w:t>
      </w:r>
      <w:r>
        <w:rPr>
          <w:spacing w:val="1"/>
          <w:w w:val="100"/>
        </w:rPr>
        <w:t>é</w:t>
      </w:r>
      <w:r>
        <w:rPr>
          <w:spacing w:val="-3"/>
        </w:rPr>
        <w:t>g</w:t>
      </w:r>
      <w:r>
        <w:rPr>
          <w:spacing w:val="2"/>
          <w:w w:val="100"/>
        </w:rPr>
        <w:t>i</w:t>
      </w:r>
      <w:r>
        <w:rPr>
          <w:spacing w:val="1"/>
          <w:w w:val="100"/>
        </w:rPr>
        <w:t>a</w:t>
      </w:r>
      <w:r>
        <w:rPr>
          <w:w w:val="99"/>
        </w:rPr>
        <w:t>s</w:t>
      </w:r>
      <w:r>
        <w:rPr/>
        <w:t>  </w:t>
      </w:r>
      <w:r>
        <w:rPr>
          <w:w w:val="100"/>
        </w:rPr>
        <w:t>que  pod</w:t>
      </w:r>
      <w:r>
        <w:rPr>
          <w:spacing w:val="-1"/>
          <w:w w:val="100"/>
        </w:rPr>
        <w:t>e</w:t>
      </w:r>
      <w:r>
        <w:rPr>
          <w:w w:val="100"/>
        </w:rPr>
        <w:t>m</w:t>
      </w:r>
    </w:p>
    <w:p>
      <w:pPr>
        <w:pStyle w:val="BodyText"/>
        <w:spacing w:before="4"/>
        <w:ind w:left="102"/>
      </w:pPr>
      <w:r>
        <w:rPr/>
        <w:t>contribuir no desenvolvimento do trabalho‖.</w:t>
      </w:r>
    </w:p>
    <w:p>
      <w:pPr>
        <w:pStyle w:val="BodyText"/>
        <w:spacing w:line="360" w:lineRule="auto" w:before="139"/>
        <w:ind w:left="102" w:right="119" w:firstLine="851"/>
        <w:jc w:val="both"/>
      </w:pPr>
      <w:r>
        <w:rPr/>
        <w:t>Na primeira seção, intitulada </w:t>
      </w:r>
      <w:r>
        <w:rPr>
          <w:i/>
        </w:rPr>
        <w:t>Planejamento governamental e política pública: </w:t>
      </w:r>
      <w:r>
        <w:rPr>
          <w:i/>
        </w:rPr>
        <w:t>sua relação com os planos de educação e participação social </w:t>
      </w:r>
      <w:r>
        <w:rPr/>
        <w:t>(p. 9-10), o Caderno lança mão da conceituação de planejamento governamental e de política pública na tentativa de relacioná-los com os planos de educação e a participação social. O planejamento é conceituado, então, como sendo processo de reflexão que se dá de forma contínua, examinando e analisando estrategicamente, especialmente, por envolver um conjunto de opções técnicas e políticas e, por isso, a tomada de decisões implicando um complexo processo de escolhas. Já, política pública, é compreendida como intervenção governamental frente aos problemas na busca de solucioná-los.</w:t>
      </w:r>
    </w:p>
    <w:p>
      <w:pPr>
        <w:pStyle w:val="BodyText"/>
        <w:spacing w:line="360" w:lineRule="auto" w:before="6"/>
        <w:ind w:left="102" w:right="118" w:firstLine="851"/>
        <w:jc w:val="both"/>
      </w:pPr>
      <w:r>
        <w:rPr/>
        <w:t>Ao estabelecer a relação entre planejamento governamental, política pública, planos de educação e participação social (p. 8-9), o Caderno apresenta como se dá, na conjuntura atual brasileira, os processos de construção de política pública, lembrando que, por dificuldades históricas, são marcadas pela descontinuidade, em detrimento de políticas de Estado, e que a mudança começa com a Emenda Constitucional nº</w:t>
      </w:r>
      <w:r>
        <w:rPr>
          <w:spacing w:val="50"/>
        </w:rPr>
        <w:t> </w:t>
      </w:r>
      <w:r>
        <w:rPr/>
        <w:t>59/2009,</w:t>
      </w:r>
    </w:p>
    <w:p>
      <w:pPr>
        <w:spacing w:after="0" w:line="360" w:lineRule="auto"/>
        <w:jc w:val="both"/>
        <w:sectPr>
          <w:headerReference w:type="default" r:id="rId47"/>
          <w:pgSz w:w="11910" w:h="16840"/>
          <w:pgMar w:header="749" w:footer="0" w:top="960" w:bottom="280" w:left="1600" w:right="1580"/>
        </w:sectPr>
      </w:pPr>
    </w:p>
    <w:p>
      <w:pPr>
        <w:pStyle w:val="BodyText"/>
        <w:rPr>
          <w:sz w:val="20"/>
        </w:rPr>
      </w:pPr>
    </w:p>
    <w:p>
      <w:pPr>
        <w:pStyle w:val="BodyText"/>
        <w:spacing w:line="360" w:lineRule="auto" w:before="210"/>
        <w:ind w:left="102" w:right="116"/>
        <w:jc w:val="both"/>
      </w:pPr>
      <w:r>
        <w:rPr/>
        <w:t>que indica serem os planos decenais de educação, superiores aos planos plurianuais de </w:t>
      </w:r>
      <w:r>
        <w:rPr>
          <w:w w:val="100"/>
        </w:rPr>
        <w:t>qu</w:t>
      </w:r>
      <w:r>
        <w:rPr>
          <w:spacing w:val="-1"/>
          <w:w w:val="100"/>
        </w:rPr>
        <w:t>a</w:t>
      </w:r>
      <w:r>
        <w:rPr>
          <w:w w:val="100"/>
        </w:rPr>
        <w:t>tro  </w:t>
      </w:r>
      <w:r>
        <w:rPr>
          <w:spacing w:val="-18"/>
          <w:w w:val="100"/>
        </w:rPr>
        <w:t> </w:t>
      </w:r>
      <w:r>
        <w:rPr>
          <w:spacing w:val="-1"/>
          <w:w w:val="100"/>
        </w:rPr>
        <w:t>a</w:t>
      </w:r>
      <w:r>
        <w:rPr>
          <w:w w:val="99"/>
        </w:rPr>
        <w:t>nos</w:t>
      </w:r>
      <w:r>
        <w:rPr/>
        <w:t>  </w:t>
      </w:r>
      <w:r>
        <w:rPr>
          <w:spacing w:val="-17"/>
        </w:rPr>
        <w:t> </w:t>
      </w:r>
      <w:r>
        <w:rPr>
          <w:w w:val="100"/>
        </w:rPr>
        <w:t>e</w:t>
      </w:r>
      <w:r>
        <w:rPr/>
        <w:t>  </w:t>
      </w:r>
      <w:r>
        <w:rPr>
          <w:spacing w:val="-18"/>
        </w:rPr>
        <w:t> </w:t>
      </w:r>
      <w:r>
        <w:rPr>
          <w:w w:val="100"/>
        </w:rPr>
        <w:t>que  </w:t>
      </w:r>
      <w:r>
        <w:rPr>
          <w:spacing w:val="-18"/>
          <w:w w:val="100"/>
        </w:rPr>
        <w:t> </w:t>
      </w:r>
      <w:r>
        <w:rPr>
          <w:spacing w:val="-1"/>
          <w:w w:val="44"/>
        </w:rPr>
        <w:t>―</w:t>
      </w:r>
      <w:r>
        <w:rPr>
          <w:w w:val="100"/>
        </w:rPr>
        <w:t>a</w:t>
      </w:r>
      <w:r>
        <w:rPr/>
        <w:t>  </w:t>
      </w:r>
      <w:r>
        <w:rPr>
          <w:spacing w:val="-16"/>
        </w:rPr>
        <w:t> </w:t>
      </w:r>
      <w:r>
        <w:rPr>
          <w:w w:val="100"/>
        </w:rPr>
        <w:t>p</w:t>
      </w:r>
      <w:r>
        <w:rPr>
          <w:spacing w:val="-1"/>
          <w:w w:val="100"/>
        </w:rPr>
        <w:t>a</w:t>
      </w:r>
      <w:r>
        <w:rPr>
          <w:w w:val="100"/>
        </w:rPr>
        <w:t>rticip</w:t>
      </w:r>
      <w:r>
        <w:rPr>
          <w:spacing w:val="-2"/>
          <w:w w:val="100"/>
        </w:rPr>
        <w:t>a</w:t>
      </w:r>
      <w:r>
        <w:rPr>
          <w:spacing w:val="-1"/>
          <w:w w:val="100"/>
        </w:rPr>
        <w:t>çã</w:t>
      </w:r>
      <w:r>
        <w:rPr/>
        <w:t>o  </w:t>
      </w:r>
      <w:r>
        <w:rPr>
          <w:spacing w:val="-18"/>
        </w:rPr>
        <w:t> </w:t>
      </w:r>
      <w:r>
        <w:rPr/>
        <w:t>no  </w:t>
      </w:r>
      <w:r>
        <w:rPr>
          <w:spacing w:val="-18"/>
        </w:rPr>
        <w:t> </w:t>
      </w:r>
      <w:r>
        <w:rPr/>
        <w:t>p</w:t>
      </w:r>
      <w:r>
        <w:rPr>
          <w:spacing w:val="-1"/>
        </w:rPr>
        <w:t>r</w:t>
      </w:r>
      <w:r>
        <w:rPr>
          <w:w w:val="100"/>
        </w:rPr>
        <w:t>o</w:t>
      </w:r>
      <w:r>
        <w:rPr>
          <w:spacing w:val="-1"/>
          <w:w w:val="100"/>
        </w:rPr>
        <w:t>c</w:t>
      </w:r>
      <w:r>
        <w:rPr>
          <w:spacing w:val="1"/>
          <w:w w:val="100"/>
        </w:rPr>
        <w:t>e</w:t>
      </w:r>
      <w:r>
        <w:rPr>
          <w:w w:val="99"/>
        </w:rPr>
        <w:t>sso</w:t>
      </w:r>
      <w:r>
        <w:rPr/>
        <w:t>  </w:t>
      </w:r>
      <w:r>
        <w:rPr>
          <w:spacing w:val="-17"/>
        </w:rPr>
        <w:t> </w:t>
      </w:r>
      <w:r>
        <w:rPr>
          <w:w w:val="100"/>
        </w:rPr>
        <w:t>d</w:t>
      </w:r>
      <w:r>
        <w:rPr>
          <w:spacing w:val="-1"/>
          <w:w w:val="100"/>
        </w:rPr>
        <w:t>e</w:t>
      </w:r>
      <w:r>
        <w:rPr>
          <w:spacing w:val="-1"/>
          <w:w w:val="100"/>
        </w:rPr>
        <w:t>c</w:t>
      </w:r>
      <w:r>
        <w:rPr>
          <w:w w:val="100"/>
        </w:rPr>
        <w:t>isório  </w:t>
      </w:r>
      <w:r>
        <w:rPr>
          <w:spacing w:val="-17"/>
          <w:w w:val="100"/>
        </w:rPr>
        <w:t> </w:t>
      </w:r>
      <w:r>
        <w:rPr>
          <w:w w:val="100"/>
        </w:rPr>
        <w:t>é</w:t>
      </w:r>
      <w:r>
        <w:rPr/>
        <w:t>  </w:t>
      </w:r>
      <w:r>
        <w:rPr>
          <w:spacing w:val="-18"/>
        </w:rPr>
        <w:t> </w:t>
      </w:r>
      <w:r>
        <w:rPr>
          <w:w w:val="100"/>
        </w:rPr>
        <w:t>um</w:t>
      </w:r>
      <w:r>
        <w:rPr/>
        <w:t>  </w:t>
      </w:r>
      <w:r>
        <w:rPr>
          <w:spacing w:val="-17"/>
        </w:rPr>
        <w:t> </w:t>
      </w:r>
      <w:r>
        <w:rPr>
          <w:spacing w:val="-3"/>
        </w:rPr>
        <w:t>d</w:t>
      </w:r>
      <w:r>
        <w:rPr>
          <w:w w:val="99"/>
        </w:rPr>
        <w:t>os</w:t>
      </w:r>
      <w:r>
        <w:rPr/>
        <w:t>  </w:t>
      </w:r>
      <w:r>
        <w:rPr>
          <w:spacing w:val="-17"/>
        </w:rPr>
        <w:t> </w:t>
      </w:r>
      <w:r>
        <w:rPr>
          <w:w w:val="100"/>
        </w:rPr>
        <w:t>meios</w:t>
      </w:r>
      <w:r>
        <w:rPr/>
        <w:t>  </w:t>
      </w:r>
      <w:r>
        <w:rPr>
          <w:spacing w:val="-17"/>
        </w:rPr>
        <w:t> </w:t>
      </w:r>
      <w:r>
        <w:rPr>
          <w:w w:val="100"/>
        </w:rPr>
        <w:t>de </w:t>
      </w:r>
      <w:r>
        <w:rPr/>
        <w:t>fortalecimento e ampliação do espaço público, </w:t>
      </w:r>
      <w:r>
        <w:rPr>
          <w:b/>
        </w:rPr>
        <w:t>que poderá permitir o redirecionamento ou a reconstrução das prioridades </w:t>
      </w:r>
      <w:r>
        <w:rPr/>
        <w:t>[...] na direção do atendimento aos interesses da maioria‖. (Grifos</w:t>
      </w:r>
      <w:r>
        <w:rPr>
          <w:spacing w:val="31"/>
        </w:rPr>
        <w:t> </w:t>
      </w:r>
      <w:r>
        <w:rPr/>
        <w:t>nossos).</w:t>
      </w:r>
    </w:p>
    <w:p>
      <w:pPr>
        <w:pStyle w:val="BodyText"/>
        <w:spacing w:line="360" w:lineRule="auto" w:before="5"/>
        <w:ind w:left="102" w:right="116" w:firstLine="851"/>
        <w:jc w:val="both"/>
      </w:pPr>
      <w:r>
        <w:rPr/>
        <w:t>Na sequência, na segunda seção, denominada </w:t>
      </w:r>
      <w:r>
        <w:rPr>
          <w:i/>
        </w:rPr>
        <w:t>Avanços recentes na legislação e </w:t>
      </w:r>
      <w:r>
        <w:rPr>
          <w:i/>
        </w:rPr>
        <w:t>nas políticas educacionais </w:t>
      </w:r>
      <w:r>
        <w:rPr>
          <w:sz w:val="22"/>
        </w:rPr>
        <w:t>(p. 9-10)</w:t>
      </w:r>
      <w:r>
        <w:rPr/>
        <w:t>, o documento descreve-os como sendo: a aprovação do Fundo de Desenvolvimento da Educação e de Valorização dos Profissionais da Educação (Fundeb) e a já citada Emenda Constitucional nº 59/2009. Acerca da Emenda Constitucional nº 59, o Caderno destaca conquistas que marcam, juridicamente, as condições objetivas para a efetivação de políticas de estado, além das alterações que tornam o período de vigência dos planos decenais, sendo:</w:t>
      </w:r>
    </w:p>
    <w:p>
      <w:pPr>
        <w:pStyle w:val="BodyText"/>
        <w:spacing w:before="3"/>
        <w:rPr>
          <w:sz w:val="36"/>
        </w:rPr>
      </w:pPr>
    </w:p>
    <w:p>
      <w:pPr>
        <w:pStyle w:val="ListParagraph"/>
        <w:numPr>
          <w:ilvl w:val="1"/>
          <w:numId w:val="21"/>
        </w:numPr>
        <w:tabs>
          <w:tab w:pos="2639" w:val="left" w:leader="none"/>
        </w:tabs>
        <w:spacing w:line="240" w:lineRule="auto" w:before="0" w:after="0"/>
        <w:ind w:left="2370" w:right="114" w:firstLine="0"/>
        <w:jc w:val="both"/>
        <w:rPr>
          <w:sz w:val="20"/>
        </w:rPr>
      </w:pPr>
      <w:r>
        <w:rPr>
          <w:w w:val="99"/>
          <w:sz w:val="20"/>
        </w:rPr>
        <w:t>ao</w:t>
      </w:r>
      <w:r>
        <w:rPr>
          <w:sz w:val="20"/>
        </w:rPr>
        <w:t> </w:t>
      </w:r>
      <w:r>
        <w:rPr>
          <w:spacing w:val="13"/>
          <w:sz w:val="20"/>
        </w:rPr>
        <w:t> </w:t>
      </w:r>
      <w:r>
        <w:rPr>
          <w:w w:val="99"/>
          <w:sz w:val="20"/>
        </w:rPr>
        <w:t>i</w:t>
      </w:r>
      <w:r>
        <w:rPr>
          <w:spacing w:val="-2"/>
          <w:w w:val="99"/>
          <w:sz w:val="20"/>
        </w:rPr>
        <w:t>n</w:t>
      </w:r>
      <w:r>
        <w:rPr>
          <w:w w:val="99"/>
          <w:sz w:val="20"/>
        </w:rPr>
        <w:t>c</w:t>
      </w:r>
      <w:r>
        <w:rPr>
          <w:spacing w:val="2"/>
          <w:w w:val="99"/>
          <w:sz w:val="20"/>
        </w:rPr>
        <w:t>l</w:t>
      </w:r>
      <w:r>
        <w:rPr>
          <w:spacing w:val="-2"/>
          <w:w w:val="99"/>
          <w:sz w:val="20"/>
        </w:rPr>
        <w:t>u</w:t>
      </w:r>
      <w:r>
        <w:rPr>
          <w:w w:val="99"/>
          <w:sz w:val="20"/>
        </w:rPr>
        <w:t>ir</w:t>
      </w:r>
      <w:r>
        <w:rPr>
          <w:sz w:val="20"/>
        </w:rPr>
        <w:t> </w:t>
      </w:r>
      <w:r>
        <w:rPr>
          <w:spacing w:val="15"/>
          <w:sz w:val="20"/>
        </w:rPr>
        <w:t> </w:t>
      </w:r>
      <w:r>
        <w:rPr>
          <w:spacing w:val="-2"/>
          <w:w w:val="99"/>
          <w:sz w:val="20"/>
        </w:rPr>
        <w:t>n</w:t>
      </w:r>
      <w:r>
        <w:rPr>
          <w:w w:val="99"/>
          <w:sz w:val="20"/>
        </w:rPr>
        <w:t>o</w:t>
      </w:r>
      <w:r>
        <w:rPr>
          <w:sz w:val="20"/>
        </w:rPr>
        <w:t> </w:t>
      </w:r>
      <w:r>
        <w:rPr>
          <w:spacing w:val="13"/>
          <w:sz w:val="20"/>
        </w:rPr>
        <w:t> </w:t>
      </w:r>
      <w:r>
        <w:rPr>
          <w:w w:val="99"/>
          <w:sz w:val="20"/>
        </w:rPr>
        <w:t>t</w:t>
      </w:r>
      <w:r>
        <w:rPr>
          <w:spacing w:val="2"/>
          <w:w w:val="99"/>
          <w:sz w:val="20"/>
        </w:rPr>
        <w:t>e</w:t>
      </w:r>
      <w:r>
        <w:rPr>
          <w:spacing w:val="-2"/>
          <w:w w:val="99"/>
          <w:sz w:val="20"/>
        </w:rPr>
        <w:t>x</w:t>
      </w:r>
      <w:r>
        <w:rPr>
          <w:w w:val="99"/>
          <w:sz w:val="20"/>
        </w:rPr>
        <w:t>to</w:t>
      </w:r>
      <w:r>
        <w:rPr>
          <w:sz w:val="20"/>
        </w:rPr>
        <w:t> </w:t>
      </w:r>
      <w:r>
        <w:rPr>
          <w:spacing w:val="13"/>
          <w:sz w:val="20"/>
        </w:rPr>
        <w:t> </w:t>
      </w:r>
      <w:r>
        <w:rPr>
          <w:w w:val="99"/>
          <w:sz w:val="20"/>
        </w:rPr>
        <w:t>c</w:t>
      </w:r>
      <w:r>
        <w:rPr>
          <w:spacing w:val="3"/>
          <w:w w:val="99"/>
          <w:sz w:val="20"/>
        </w:rPr>
        <w:t>o</w:t>
      </w:r>
      <w:r>
        <w:rPr>
          <w:spacing w:val="-2"/>
          <w:w w:val="99"/>
          <w:sz w:val="20"/>
        </w:rPr>
        <w:t>n</w:t>
      </w:r>
      <w:r>
        <w:rPr>
          <w:spacing w:val="1"/>
          <w:w w:val="99"/>
          <w:sz w:val="20"/>
        </w:rPr>
        <w:t>s</w:t>
      </w:r>
      <w:r>
        <w:rPr>
          <w:w w:val="99"/>
          <w:sz w:val="20"/>
        </w:rPr>
        <w:t>tit</w:t>
      </w:r>
      <w:r>
        <w:rPr>
          <w:spacing w:val="-2"/>
          <w:w w:val="99"/>
          <w:sz w:val="20"/>
        </w:rPr>
        <w:t>u</w:t>
      </w:r>
      <w:r>
        <w:rPr>
          <w:w w:val="99"/>
          <w:sz w:val="20"/>
        </w:rPr>
        <w:t>ci</w:t>
      </w:r>
      <w:r>
        <w:rPr>
          <w:spacing w:val="3"/>
          <w:w w:val="99"/>
          <w:sz w:val="20"/>
        </w:rPr>
        <w:t>o</w:t>
      </w:r>
      <w:r>
        <w:rPr>
          <w:spacing w:val="-2"/>
          <w:w w:val="99"/>
          <w:sz w:val="20"/>
        </w:rPr>
        <w:t>n</w:t>
      </w:r>
      <w:r>
        <w:rPr>
          <w:w w:val="99"/>
          <w:sz w:val="20"/>
        </w:rPr>
        <w:t>al</w:t>
      </w:r>
      <w:r>
        <w:rPr>
          <w:sz w:val="20"/>
        </w:rPr>
        <w:t> </w:t>
      </w:r>
      <w:r>
        <w:rPr>
          <w:spacing w:val="12"/>
          <w:sz w:val="20"/>
        </w:rPr>
        <w:t> </w:t>
      </w:r>
      <w:r>
        <w:rPr>
          <w:w w:val="99"/>
          <w:sz w:val="20"/>
        </w:rPr>
        <w:t>a</w:t>
      </w:r>
      <w:r>
        <w:rPr>
          <w:sz w:val="20"/>
        </w:rPr>
        <w:t> </w:t>
      </w:r>
      <w:r>
        <w:rPr>
          <w:spacing w:val="15"/>
          <w:sz w:val="20"/>
        </w:rPr>
        <w:t> </w:t>
      </w:r>
      <w:r>
        <w:rPr>
          <w:w w:val="99"/>
          <w:sz w:val="20"/>
        </w:rPr>
        <w:t>e</w:t>
      </w:r>
      <w:r>
        <w:rPr>
          <w:spacing w:val="-1"/>
          <w:w w:val="99"/>
          <w:sz w:val="20"/>
        </w:rPr>
        <w:t>x</w:t>
      </w:r>
      <w:r>
        <w:rPr>
          <w:spacing w:val="1"/>
          <w:w w:val="99"/>
          <w:sz w:val="20"/>
        </w:rPr>
        <w:t>p</w:t>
      </w:r>
      <w:r>
        <w:rPr>
          <w:w w:val="99"/>
          <w:sz w:val="20"/>
        </w:rPr>
        <w:t>re</w:t>
      </w:r>
      <w:r>
        <w:rPr>
          <w:spacing w:val="1"/>
          <w:w w:val="99"/>
          <w:sz w:val="20"/>
        </w:rPr>
        <w:t>s</w:t>
      </w:r>
      <w:r>
        <w:rPr>
          <w:spacing w:val="-1"/>
          <w:w w:val="99"/>
          <w:sz w:val="20"/>
        </w:rPr>
        <w:t>s</w:t>
      </w:r>
      <w:r>
        <w:rPr>
          <w:w w:val="99"/>
          <w:sz w:val="20"/>
        </w:rPr>
        <w:t>ão</w:t>
      </w:r>
      <w:r>
        <w:rPr>
          <w:sz w:val="20"/>
        </w:rPr>
        <w:t> </w:t>
      </w:r>
      <w:r>
        <w:rPr>
          <w:spacing w:val="16"/>
          <w:sz w:val="20"/>
        </w:rPr>
        <w:t> </w:t>
      </w:r>
      <w:r>
        <w:rPr>
          <w:spacing w:val="-2"/>
          <w:w w:val="44"/>
          <w:sz w:val="20"/>
        </w:rPr>
        <w:t>―</w:t>
      </w:r>
      <w:r>
        <w:rPr>
          <w:w w:val="99"/>
          <w:sz w:val="20"/>
        </w:rPr>
        <w:t>S</w:t>
      </w:r>
      <w:r>
        <w:rPr>
          <w:spacing w:val="1"/>
          <w:w w:val="99"/>
          <w:sz w:val="20"/>
        </w:rPr>
        <w:t>i</w:t>
      </w:r>
      <w:r>
        <w:rPr>
          <w:spacing w:val="-1"/>
          <w:w w:val="99"/>
          <w:sz w:val="20"/>
        </w:rPr>
        <w:t>s</w:t>
      </w:r>
      <w:r>
        <w:rPr>
          <w:w w:val="99"/>
          <w:sz w:val="20"/>
        </w:rPr>
        <w:t>t</w:t>
      </w:r>
      <w:r>
        <w:rPr>
          <w:spacing w:val="2"/>
          <w:w w:val="99"/>
          <w:sz w:val="20"/>
        </w:rPr>
        <w:t>e</w:t>
      </w:r>
      <w:r>
        <w:rPr>
          <w:spacing w:val="-2"/>
          <w:w w:val="99"/>
          <w:sz w:val="20"/>
        </w:rPr>
        <w:t>m</w:t>
      </w:r>
      <w:r>
        <w:rPr>
          <w:w w:val="99"/>
          <w:sz w:val="20"/>
        </w:rPr>
        <w:t>a</w:t>
      </w:r>
      <w:r>
        <w:rPr>
          <w:sz w:val="20"/>
        </w:rPr>
        <w:t> </w:t>
      </w:r>
      <w:r>
        <w:rPr>
          <w:spacing w:val="12"/>
          <w:sz w:val="20"/>
        </w:rPr>
        <w:t> </w:t>
      </w:r>
      <w:r>
        <w:rPr>
          <w:w w:val="99"/>
          <w:sz w:val="20"/>
        </w:rPr>
        <w:t>Na</w:t>
      </w:r>
      <w:r>
        <w:rPr>
          <w:spacing w:val="3"/>
          <w:w w:val="99"/>
          <w:sz w:val="20"/>
        </w:rPr>
        <w:t>c</w:t>
      </w:r>
      <w:r>
        <w:rPr>
          <w:w w:val="99"/>
          <w:sz w:val="20"/>
        </w:rPr>
        <w:t>io</w:t>
      </w:r>
      <w:r>
        <w:rPr>
          <w:spacing w:val="-2"/>
          <w:w w:val="99"/>
          <w:sz w:val="20"/>
        </w:rPr>
        <w:t>n</w:t>
      </w:r>
      <w:r>
        <w:rPr>
          <w:w w:val="99"/>
          <w:sz w:val="20"/>
        </w:rPr>
        <w:t>al</w:t>
      </w:r>
      <w:r>
        <w:rPr>
          <w:sz w:val="20"/>
        </w:rPr>
        <w:t> </w:t>
      </w:r>
      <w:r>
        <w:rPr>
          <w:spacing w:val="14"/>
          <w:sz w:val="20"/>
        </w:rPr>
        <w:t> </w:t>
      </w:r>
      <w:r>
        <w:rPr>
          <w:spacing w:val="1"/>
          <w:w w:val="99"/>
          <w:sz w:val="20"/>
        </w:rPr>
        <w:t>d</w:t>
      </w:r>
      <w:r>
        <w:rPr>
          <w:w w:val="99"/>
          <w:sz w:val="20"/>
        </w:rPr>
        <w:t>e </w:t>
      </w:r>
      <w:r>
        <w:rPr>
          <w:sz w:val="20"/>
        </w:rPr>
        <w:t>Educação‖; b) ao prever a obrigatoriedade do ensino de 4 a 17 anos; c) ao ampliar a abrangência dos programas suplementares para todas as etapas da educação básica; e d) ao estabelecer meta de aplicação de recursos públicos em educação como proporção do Produto Interno Bruto (PIB). São marcos jurídicos indispensáveis à criação das condições objetivas para a efetivação de políticas de</w:t>
      </w:r>
      <w:r>
        <w:rPr>
          <w:spacing w:val="-4"/>
          <w:sz w:val="20"/>
        </w:rPr>
        <w:t> </w:t>
      </w:r>
      <w:r>
        <w:rPr>
          <w:sz w:val="20"/>
        </w:rPr>
        <w:t>Estado.</w:t>
      </w:r>
    </w:p>
    <w:p>
      <w:pPr>
        <w:pStyle w:val="BodyText"/>
        <w:rPr>
          <w:sz w:val="22"/>
        </w:rPr>
      </w:pPr>
    </w:p>
    <w:p>
      <w:pPr>
        <w:spacing w:line="360" w:lineRule="auto" w:before="160"/>
        <w:ind w:left="102" w:right="116" w:firstLine="851"/>
        <w:jc w:val="both"/>
        <w:rPr>
          <w:sz w:val="24"/>
        </w:rPr>
      </w:pPr>
      <w:r>
        <w:rPr>
          <w:sz w:val="24"/>
        </w:rPr>
        <w:t>Na terceira seção, que versa sobre </w:t>
      </w:r>
      <w:r>
        <w:rPr>
          <w:i/>
          <w:sz w:val="24"/>
        </w:rPr>
        <w:t>A experiência acumulada: construção </w:t>
      </w:r>
      <w:r>
        <w:rPr>
          <w:i/>
          <w:sz w:val="24"/>
        </w:rPr>
        <w:t>coletiva de políticas de Estado </w:t>
      </w:r>
      <w:r>
        <w:rPr>
          <w:sz w:val="24"/>
        </w:rPr>
        <w:t>(p. 10), é o primeiro momento no Caderno que se aborda o </w:t>
      </w:r>
      <w:r>
        <w:rPr>
          <w:i/>
          <w:sz w:val="24"/>
        </w:rPr>
        <w:t>alinhamento dos planos de educação</w:t>
      </w:r>
      <w:r>
        <w:rPr>
          <w:sz w:val="24"/>
        </w:rPr>
        <w:t>, utilizando como justificativa as avaliações do PNE 2001-2010, realizadas por teóricos brasileiros e também pelo próprio MEC, em  que são indicadas superposições de políticas, programas e</w:t>
      </w:r>
      <w:r>
        <w:rPr>
          <w:spacing w:val="-11"/>
          <w:sz w:val="24"/>
        </w:rPr>
        <w:t> </w:t>
      </w:r>
      <w:r>
        <w:rPr>
          <w:sz w:val="24"/>
        </w:rPr>
        <w:t>ações.</w:t>
      </w:r>
    </w:p>
    <w:p>
      <w:pPr>
        <w:spacing w:line="360" w:lineRule="auto" w:before="3"/>
        <w:ind w:left="102" w:right="120" w:firstLine="851"/>
        <w:jc w:val="both"/>
        <w:rPr>
          <w:sz w:val="24"/>
        </w:rPr>
      </w:pPr>
      <w:r>
        <w:rPr>
          <w:sz w:val="24"/>
        </w:rPr>
        <w:t>A quarta seção, denominada </w:t>
      </w:r>
      <w:r>
        <w:rPr>
          <w:i/>
          <w:sz w:val="24"/>
        </w:rPr>
        <w:t>Plano Nacional de Educação e seu alinhamento </w:t>
      </w:r>
      <w:r>
        <w:rPr>
          <w:i/>
          <w:sz w:val="24"/>
        </w:rPr>
        <w:t>com os planos locais: o desafio da pactuação </w:t>
      </w:r>
      <w:r>
        <w:rPr>
          <w:sz w:val="24"/>
        </w:rPr>
        <w:t>(p. 11-2), é reservada para descrever acerca do alinhamento. A indicação é que o trabalho se fundamente nas diretrizes do PNE 2014-2024, consideradas como resultantes de amplos consensos e acordos em torno de projetos de nação e de educação</w:t>
      </w:r>
      <w:r>
        <w:rPr>
          <w:spacing w:val="-10"/>
          <w:sz w:val="24"/>
        </w:rPr>
        <w:t> </w:t>
      </w:r>
      <w:r>
        <w:rPr>
          <w:sz w:val="24"/>
        </w:rPr>
        <w:t>sendo:</w:t>
      </w:r>
    </w:p>
    <w:p>
      <w:pPr>
        <w:pStyle w:val="BodyText"/>
        <w:spacing w:before="4"/>
        <w:rPr>
          <w:sz w:val="36"/>
        </w:rPr>
      </w:pPr>
    </w:p>
    <w:p>
      <w:pPr>
        <w:pStyle w:val="ListParagraph"/>
        <w:numPr>
          <w:ilvl w:val="0"/>
          <w:numId w:val="22"/>
        </w:numPr>
        <w:tabs>
          <w:tab w:pos="2571" w:val="left" w:leader="none"/>
        </w:tabs>
        <w:spacing w:line="240" w:lineRule="auto" w:before="0" w:after="0"/>
        <w:ind w:left="2390" w:right="0" w:hanging="20"/>
        <w:jc w:val="both"/>
        <w:rPr>
          <w:sz w:val="20"/>
        </w:rPr>
      </w:pPr>
      <w:r>
        <w:rPr>
          <w:sz w:val="20"/>
        </w:rPr>
        <w:t>Erradicação do</w:t>
      </w:r>
      <w:r>
        <w:rPr>
          <w:spacing w:val="-15"/>
          <w:sz w:val="20"/>
        </w:rPr>
        <w:t> </w:t>
      </w:r>
      <w:r>
        <w:rPr>
          <w:sz w:val="20"/>
        </w:rPr>
        <w:t>analfabetismo.</w:t>
      </w:r>
    </w:p>
    <w:p>
      <w:pPr>
        <w:pStyle w:val="ListParagraph"/>
        <w:numPr>
          <w:ilvl w:val="0"/>
          <w:numId w:val="22"/>
        </w:numPr>
        <w:tabs>
          <w:tab w:pos="2571" w:val="left" w:leader="none"/>
        </w:tabs>
        <w:spacing w:line="240" w:lineRule="auto" w:before="0" w:after="0"/>
        <w:ind w:left="2571" w:right="0" w:hanging="201"/>
        <w:jc w:val="both"/>
        <w:rPr>
          <w:sz w:val="20"/>
        </w:rPr>
      </w:pPr>
      <w:r>
        <w:rPr>
          <w:sz w:val="20"/>
        </w:rPr>
        <w:t>Universalização do atendimento</w:t>
      </w:r>
      <w:r>
        <w:rPr>
          <w:spacing w:val="-10"/>
          <w:sz w:val="20"/>
        </w:rPr>
        <w:t> </w:t>
      </w:r>
      <w:r>
        <w:rPr>
          <w:sz w:val="20"/>
        </w:rPr>
        <w:t>escolar.</w:t>
      </w:r>
    </w:p>
    <w:p>
      <w:pPr>
        <w:pStyle w:val="ListParagraph"/>
        <w:numPr>
          <w:ilvl w:val="0"/>
          <w:numId w:val="22"/>
        </w:numPr>
        <w:tabs>
          <w:tab w:pos="2571" w:val="left" w:leader="none"/>
        </w:tabs>
        <w:spacing w:line="240" w:lineRule="auto" w:before="0" w:after="0"/>
        <w:ind w:left="2571" w:right="0" w:hanging="201"/>
        <w:jc w:val="both"/>
        <w:rPr>
          <w:sz w:val="20"/>
        </w:rPr>
      </w:pPr>
      <w:r>
        <w:rPr>
          <w:sz w:val="20"/>
        </w:rPr>
        <w:t>Superação das desigualdades</w:t>
      </w:r>
      <w:r>
        <w:rPr>
          <w:spacing w:val="-16"/>
          <w:sz w:val="20"/>
        </w:rPr>
        <w:t> </w:t>
      </w:r>
      <w:r>
        <w:rPr>
          <w:sz w:val="20"/>
        </w:rPr>
        <w:t>educacionais.</w:t>
      </w:r>
    </w:p>
    <w:p>
      <w:pPr>
        <w:pStyle w:val="ListParagraph"/>
        <w:numPr>
          <w:ilvl w:val="0"/>
          <w:numId w:val="22"/>
        </w:numPr>
        <w:tabs>
          <w:tab w:pos="2571" w:val="left" w:leader="none"/>
        </w:tabs>
        <w:spacing w:line="240" w:lineRule="auto" w:before="0" w:after="0"/>
        <w:ind w:left="2571" w:right="0" w:hanging="201"/>
        <w:jc w:val="both"/>
        <w:rPr>
          <w:sz w:val="20"/>
        </w:rPr>
      </w:pPr>
      <w:r>
        <w:rPr>
          <w:sz w:val="20"/>
        </w:rPr>
        <w:t>Melhoria da qualidade do</w:t>
      </w:r>
      <w:r>
        <w:rPr>
          <w:spacing w:val="-14"/>
          <w:sz w:val="20"/>
        </w:rPr>
        <w:t> </w:t>
      </w:r>
      <w:r>
        <w:rPr>
          <w:sz w:val="20"/>
        </w:rPr>
        <w:t>ensino.</w:t>
      </w:r>
    </w:p>
    <w:p>
      <w:pPr>
        <w:pStyle w:val="ListParagraph"/>
        <w:numPr>
          <w:ilvl w:val="0"/>
          <w:numId w:val="22"/>
        </w:numPr>
        <w:tabs>
          <w:tab w:pos="2573" w:val="left" w:leader="none"/>
        </w:tabs>
        <w:spacing w:line="229" w:lineRule="exact" w:before="0" w:after="0"/>
        <w:ind w:left="2572" w:right="0" w:hanging="202"/>
        <w:jc w:val="both"/>
        <w:rPr>
          <w:sz w:val="20"/>
        </w:rPr>
      </w:pPr>
      <w:r>
        <w:rPr>
          <w:sz w:val="20"/>
        </w:rPr>
        <w:t>Formação para o trabalho e para a</w:t>
      </w:r>
      <w:r>
        <w:rPr>
          <w:spacing w:val="-12"/>
          <w:sz w:val="20"/>
        </w:rPr>
        <w:t> </w:t>
      </w:r>
      <w:r>
        <w:rPr>
          <w:sz w:val="20"/>
        </w:rPr>
        <w:t>cidadania.</w:t>
      </w:r>
    </w:p>
    <w:p>
      <w:pPr>
        <w:pStyle w:val="ListParagraph"/>
        <w:numPr>
          <w:ilvl w:val="0"/>
          <w:numId w:val="22"/>
        </w:numPr>
        <w:tabs>
          <w:tab w:pos="2571" w:val="left" w:leader="none"/>
        </w:tabs>
        <w:spacing w:line="229" w:lineRule="exact" w:before="0" w:after="0"/>
        <w:ind w:left="2571" w:right="0" w:hanging="201"/>
        <w:jc w:val="both"/>
        <w:rPr>
          <w:sz w:val="20"/>
        </w:rPr>
      </w:pPr>
      <w:r>
        <w:rPr>
          <w:sz w:val="20"/>
        </w:rPr>
        <w:t>Promoção do princípio da gestão democrática da</w:t>
      </w:r>
      <w:r>
        <w:rPr>
          <w:spacing w:val="-16"/>
          <w:sz w:val="20"/>
        </w:rPr>
        <w:t> </w:t>
      </w:r>
      <w:r>
        <w:rPr>
          <w:sz w:val="20"/>
        </w:rPr>
        <w:t>educação.</w:t>
      </w:r>
    </w:p>
    <w:p>
      <w:pPr>
        <w:pStyle w:val="ListParagraph"/>
        <w:numPr>
          <w:ilvl w:val="0"/>
          <w:numId w:val="22"/>
        </w:numPr>
        <w:tabs>
          <w:tab w:pos="2571" w:val="left" w:leader="none"/>
        </w:tabs>
        <w:spacing w:line="240" w:lineRule="auto" w:before="1" w:after="0"/>
        <w:ind w:left="2571" w:right="0" w:hanging="201"/>
        <w:jc w:val="both"/>
        <w:rPr>
          <w:sz w:val="20"/>
        </w:rPr>
      </w:pPr>
      <w:r>
        <w:rPr>
          <w:sz w:val="20"/>
        </w:rPr>
        <w:t>Promoção humanística, científica, cultural e tecnológica do</w:t>
      </w:r>
      <w:r>
        <w:rPr>
          <w:spacing w:val="-18"/>
          <w:sz w:val="20"/>
        </w:rPr>
        <w:t> </w:t>
      </w:r>
      <w:r>
        <w:rPr>
          <w:sz w:val="20"/>
        </w:rPr>
        <w:t>País.</w:t>
      </w:r>
    </w:p>
    <w:p>
      <w:pPr>
        <w:spacing w:after="0" w:line="240" w:lineRule="auto"/>
        <w:jc w:val="both"/>
        <w:rPr>
          <w:sz w:val="20"/>
        </w:rPr>
        <w:sectPr>
          <w:headerReference w:type="default" r:id="rId49"/>
          <w:pgSz w:w="11910" w:h="16840"/>
          <w:pgMar w:header="749" w:footer="0" w:top="960" w:bottom="280" w:left="1600" w:right="1580"/>
          <w:pgNumType w:start="91"/>
        </w:sectPr>
      </w:pPr>
    </w:p>
    <w:p>
      <w:pPr>
        <w:pStyle w:val="BodyText"/>
        <w:rPr>
          <w:sz w:val="20"/>
        </w:rPr>
      </w:pPr>
    </w:p>
    <w:p>
      <w:pPr>
        <w:pStyle w:val="BodyText"/>
        <w:spacing w:before="2"/>
        <w:rPr>
          <w:sz w:val="18"/>
        </w:rPr>
      </w:pPr>
    </w:p>
    <w:p>
      <w:pPr>
        <w:pStyle w:val="ListParagraph"/>
        <w:numPr>
          <w:ilvl w:val="0"/>
          <w:numId w:val="22"/>
        </w:numPr>
        <w:tabs>
          <w:tab w:pos="2613" w:val="left" w:leader="none"/>
        </w:tabs>
        <w:spacing w:line="240" w:lineRule="auto" w:before="0" w:after="0"/>
        <w:ind w:left="2390" w:right="125" w:firstLine="0"/>
        <w:jc w:val="both"/>
        <w:rPr>
          <w:sz w:val="20"/>
        </w:rPr>
      </w:pPr>
      <w:r>
        <w:rPr>
          <w:sz w:val="20"/>
        </w:rPr>
        <w:t>Estabelecimento de meta de aplicação de recursos públicos em educação como proporção do produto interno bruto, que assegure atendimento às necessidades de expansão, com padrão de qualidade e</w:t>
      </w:r>
      <w:r>
        <w:rPr>
          <w:spacing w:val="-20"/>
          <w:sz w:val="20"/>
        </w:rPr>
        <w:t> </w:t>
      </w:r>
      <w:r>
        <w:rPr>
          <w:sz w:val="20"/>
        </w:rPr>
        <w:t>equidade.</w:t>
      </w:r>
    </w:p>
    <w:p>
      <w:pPr>
        <w:pStyle w:val="ListParagraph"/>
        <w:numPr>
          <w:ilvl w:val="0"/>
          <w:numId w:val="22"/>
        </w:numPr>
        <w:tabs>
          <w:tab w:pos="2591" w:val="left" w:leader="none"/>
        </w:tabs>
        <w:spacing w:line="240" w:lineRule="auto" w:before="0" w:after="0"/>
        <w:ind w:left="2591" w:right="0" w:hanging="201"/>
        <w:jc w:val="both"/>
        <w:rPr>
          <w:sz w:val="20"/>
        </w:rPr>
      </w:pPr>
      <w:r>
        <w:rPr>
          <w:sz w:val="20"/>
        </w:rPr>
        <w:t>Valorização dos profissionais da</w:t>
      </w:r>
      <w:r>
        <w:rPr>
          <w:spacing w:val="-14"/>
          <w:sz w:val="20"/>
        </w:rPr>
        <w:t> </w:t>
      </w:r>
      <w:r>
        <w:rPr>
          <w:sz w:val="20"/>
        </w:rPr>
        <w:t>educação.</w:t>
      </w:r>
    </w:p>
    <w:p>
      <w:pPr>
        <w:pStyle w:val="ListParagraph"/>
        <w:numPr>
          <w:ilvl w:val="0"/>
          <w:numId w:val="22"/>
        </w:numPr>
        <w:tabs>
          <w:tab w:pos="2790" w:val="left" w:leader="none"/>
        </w:tabs>
        <w:spacing w:line="240" w:lineRule="auto" w:before="0" w:after="0"/>
        <w:ind w:left="2390" w:right="127" w:firstLine="0"/>
        <w:jc w:val="both"/>
        <w:rPr>
          <w:sz w:val="20"/>
        </w:rPr>
      </w:pPr>
      <w:r>
        <w:rPr>
          <w:sz w:val="20"/>
        </w:rPr>
        <w:t>Promoção dos princípios do respeito aos direitos humanos e à sustentabilidade</w:t>
      </w:r>
      <w:r>
        <w:rPr>
          <w:spacing w:val="-7"/>
          <w:sz w:val="20"/>
        </w:rPr>
        <w:t> </w:t>
      </w:r>
      <w:r>
        <w:rPr>
          <w:sz w:val="20"/>
        </w:rPr>
        <w:t>socioambiental</w:t>
      </w:r>
    </w:p>
    <w:p>
      <w:pPr>
        <w:pStyle w:val="BodyText"/>
        <w:rPr>
          <w:sz w:val="22"/>
        </w:rPr>
      </w:pPr>
    </w:p>
    <w:p>
      <w:pPr>
        <w:pStyle w:val="BodyText"/>
        <w:spacing w:line="360" w:lineRule="auto" w:before="160"/>
        <w:ind w:left="122" w:right="122" w:firstLine="851"/>
        <w:jc w:val="both"/>
      </w:pPr>
      <w:r>
        <w:rPr/>
        <w:t>Nesse sentido, no Caderno (BRASIL, 2014d, p. 11),o alinhamento é a  retomada de temas e propostas discutidas, disputadas e definidas, com seus dissensos,  na história da educação</w:t>
      </w:r>
      <w:r>
        <w:rPr>
          <w:spacing w:val="-7"/>
        </w:rPr>
        <w:t> </w:t>
      </w:r>
      <w:r>
        <w:rPr/>
        <w:t>brasileira:</w:t>
      </w:r>
    </w:p>
    <w:p>
      <w:pPr>
        <w:pStyle w:val="BodyText"/>
        <w:spacing w:before="3"/>
        <w:rPr>
          <w:sz w:val="36"/>
        </w:rPr>
      </w:pPr>
    </w:p>
    <w:p>
      <w:pPr>
        <w:spacing w:before="0"/>
        <w:ind w:left="2390" w:right="114" w:firstLine="0"/>
        <w:jc w:val="both"/>
        <w:rPr>
          <w:sz w:val="20"/>
        </w:rPr>
      </w:pPr>
      <w:r>
        <w:rPr>
          <w:sz w:val="20"/>
        </w:rPr>
        <w:t>Essas diretrizes resultaram de amplos consensos e acordos, que foram historicamente construídos no âmbito das disputas de projeto de nação e de educação entre os diversos grupos, organizações e classes sociais. </w:t>
      </w:r>
      <w:r>
        <w:rPr>
          <w:b/>
          <w:sz w:val="20"/>
        </w:rPr>
        <w:t>É a partir delas que o alinhamento </w:t>
      </w:r>
      <w:r>
        <w:rPr>
          <w:sz w:val="20"/>
        </w:rPr>
        <w:t>entre o PNE e os demais planos de educação </w:t>
      </w:r>
      <w:r>
        <w:rPr>
          <w:b/>
          <w:sz w:val="20"/>
        </w:rPr>
        <w:t>deverá ser construído</w:t>
      </w:r>
      <w:r>
        <w:rPr>
          <w:sz w:val="20"/>
        </w:rPr>
        <w:t>. (Grifos nossos).</w:t>
      </w:r>
    </w:p>
    <w:p>
      <w:pPr>
        <w:pStyle w:val="BodyText"/>
        <w:rPr>
          <w:sz w:val="22"/>
        </w:rPr>
      </w:pPr>
    </w:p>
    <w:p>
      <w:pPr>
        <w:spacing w:line="350" w:lineRule="auto" w:before="160"/>
        <w:ind w:left="122" w:right="117" w:firstLine="851"/>
        <w:jc w:val="both"/>
        <w:rPr>
          <w:i/>
          <w:sz w:val="24"/>
        </w:rPr>
      </w:pPr>
      <w:r>
        <w:rPr>
          <w:sz w:val="24"/>
        </w:rPr>
        <w:t>A quinta seção, </w:t>
      </w:r>
      <w:r>
        <w:rPr>
          <w:i/>
          <w:sz w:val="24"/>
        </w:rPr>
        <w:t>Elaboração ou adequação, aprovação, acompanhamento e </w:t>
      </w:r>
      <w:r>
        <w:rPr>
          <w:i/>
          <w:sz w:val="24"/>
        </w:rPr>
        <w:t>avaliação dos planos de educação </w:t>
      </w:r>
      <w:r>
        <w:rPr>
          <w:sz w:val="24"/>
        </w:rPr>
        <w:t>(p. 13-18), versa sobre questões práticas acerca do alinhamento dos Planos e se divide em três subseções: 1</w:t>
      </w:r>
      <w:r>
        <w:rPr>
          <w:i/>
          <w:sz w:val="24"/>
        </w:rPr>
        <w:t>. Elaboração ou adequação, 2. </w:t>
      </w:r>
      <w:r>
        <w:rPr>
          <w:i/>
          <w:sz w:val="24"/>
        </w:rPr>
        <w:t>Aprovação, 3. Monitoramento e avaliação</w:t>
      </w:r>
      <w:r>
        <w:rPr>
          <w:position w:val="11"/>
          <w:sz w:val="16"/>
        </w:rPr>
        <w:t>16</w:t>
      </w:r>
      <w:r>
        <w:rPr>
          <w:i/>
          <w:sz w:val="24"/>
        </w:rPr>
        <w:t>.</w:t>
      </w:r>
    </w:p>
    <w:p>
      <w:pPr>
        <w:pStyle w:val="BodyText"/>
        <w:spacing w:line="360" w:lineRule="auto"/>
        <w:ind w:left="122" w:right="115" w:firstLine="851"/>
        <w:jc w:val="both"/>
      </w:pPr>
      <w:r>
        <w:rPr/>
        <w:t>Acerca da </w:t>
      </w:r>
      <w:r>
        <w:rPr>
          <w:i/>
        </w:rPr>
        <w:t>Elaboração ou adequação </w:t>
      </w:r>
      <w:r>
        <w:rPr/>
        <w:t>dos PMEs (p. 13-16), são descritas </w:t>
      </w:r>
      <w:r>
        <w:rPr>
          <w:i/>
        </w:rPr>
        <w:t>questões gerais</w:t>
      </w:r>
      <w:r>
        <w:rPr/>
        <w:t>, de </w:t>
      </w:r>
      <w:r>
        <w:rPr>
          <w:i/>
        </w:rPr>
        <w:t>mobilização necessária </w:t>
      </w:r>
      <w:r>
        <w:rPr/>
        <w:t>e de </w:t>
      </w:r>
      <w:r>
        <w:rPr>
          <w:i/>
        </w:rPr>
        <w:t>qualidade técnica</w:t>
      </w:r>
      <w:r>
        <w:rPr/>
        <w:t>. As questões gerais dizem respeito: a) ao período de vigência do Plano que deve ser decenal por força constitucional; b) à estrutura do Plano, indicando a sua organização em 20 metas com estratégias indispensáveis à sua concretização; c) à necessidade de adequação dos Planos já aprovados, indicando os mesmos procedimentos necessários à elaboração de um Plano novo, mas com desafio maior devido a diferença nos formatos do Plano revogado em relação ao Plano em vigência. As questões de mobilização, referem-se necessidade de que o processo seja democrático e participativo. As questões voltadas para a qualidade técnica descrevem: a) aspectos pontuais como a definição dos procedimentos de trabalho; e b) da importância de se fazer um bom</w:t>
      </w:r>
      <w:r>
        <w:rPr>
          <w:spacing w:val="-13"/>
        </w:rPr>
        <w:t> </w:t>
      </w:r>
      <w:r>
        <w:rPr/>
        <w:t>diagnóstico.</w:t>
      </w:r>
    </w:p>
    <w:p>
      <w:pPr>
        <w:pStyle w:val="BodyText"/>
        <w:spacing w:line="360" w:lineRule="auto" w:before="10"/>
        <w:ind w:left="122" w:right="119" w:firstLine="851"/>
        <w:jc w:val="both"/>
      </w:pPr>
      <w:r>
        <w:rPr/>
        <w:t>A respeito da </w:t>
      </w:r>
      <w:r>
        <w:rPr>
          <w:i/>
        </w:rPr>
        <w:t>Aprovação dos Planos </w:t>
      </w:r>
      <w:r>
        <w:rPr/>
        <w:t>(p. 16-7), o Caderno indica a necessidade de se divulgar e acompanhar o processo pela Câmara de Vereadores.</w:t>
      </w:r>
    </w:p>
    <w:p>
      <w:pPr>
        <w:pStyle w:val="BodyText"/>
        <w:spacing w:line="360" w:lineRule="auto" w:before="6"/>
        <w:ind w:left="122" w:right="116" w:firstLine="851"/>
        <w:jc w:val="both"/>
      </w:pPr>
      <w:r>
        <w:rPr/>
        <w:t>Quanto ao </w:t>
      </w:r>
      <w:r>
        <w:rPr>
          <w:i/>
        </w:rPr>
        <w:t>Monitoramento e Avaliação </w:t>
      </w:r>
      <w:r>
        <w:rPr/>
        <w:t>(p. 17-8), o Caderno recorda o que é definido no PNE e indica que os demais entes federados terão as mesmas organizações. Para  o  PNE:  MEC,  Comissão  de  Educação  da  Câmara  dos  Deputados,    Conselho</w:t>
      </w:r>
    </w:p>
    <w:p>
      <w:pPr>
        <w:pStyle w:val="BodyText"/>
        <w:spacing w:before="1"/>
        <w:rPr>
          <w:sz w:val="29"/>
        </w:rPr>
      </w:pPr>
      <w:r>
        <w:rPr/>
        <w:pict>
          <v:line style="position:absolute;mso-position-horizontal-relative:page;mso-position-vertical-relative:paragraph;z-index:1576;mso-wrap-distance-left:0;mso-wrap-distance-right:0" from="85.103996pt,19.076153pt" to="229.123996pt,19.076153pt" stroked="true" strokeweight=".72003pt" strokecolor="#000000">
            <v:stroke dashstyle="solid"/>
            <w10:wrap type="topAndBottom"/>
          </v:line>
        </w:pict>
      </w:r>
    </w:p>
    <w:p>
      <w:pPr>
        <w:spacing w:before="42"/>
        <w:ind w:left="122" w:right="0" w:firstLine="0"/>
        <w:jc w:val="left"/>
        <w:rPr>
          <w:i/>
          <w:sz w:val="20"/>
        </w:rPr>
      </w:pPr>
      <w:r>
        <w:rPr>
          <w:position w:val="9"/>
          <w:sz w:val="13"/>
        </w:rPr>
        <w:t>16</w:t>
      </w:r>
      <w:r>
        <w:rPr>
          <w:sz w:val="20"/>
        </w:rPr>
        <w:t>Há exemplares deste Caderno que utilizam a expressão </w:t>
      </w:r>
      <w:r>
        <w:rPr>
          <w:i/>
          <w:sz w:val="20"/>
        </w:rPr>
        <w:t>Acompanhamento e avaliação.</w:t>
      </w:r>
    </w:p>
    <w:p>
      <w:pPr>
        <w:spacing w:after="0"/>
        <w:jc w:val="left"/>
        <w:rPr>
          <w:sz w:val="20"/>
        </w:rPr>
        <w:sectPr>
          <w:pgSz w:w="11910" w:h="16840"/>
          <w:pgMar w:header="749" w:footer="0" w:top="960" w:bottom="280" w:left="1580" w:right="1580"/>
        </w:sectPr>
      </w:pPr>
    </w:p>
    <w:p>
      <w:pPr>
        <w:pStyle w:val="BodyText"/>
        <w:rPr>
          <w:i/>
          <w:sz w:val="20"/>
        </w:rPr>
      </w:pPr>
    </w:p>
    <w:p>
      <w:pPr>
        <w:pStyle w:val="BodyText"/>
        <w:spacing w:line="360" w:lineRule="auto" w:before="210"/>
        <w:ind w:left="102" w:right="117"/>
        <w:jc w:val="both"/>
      </w:pPr>
      <w:r>
        <w:rPr/>
        <w:t>Nacional de Educação (CNE) e Fórum Nacional de Educação (FNE). Neste caso, cabe supor que aos Municípios sejam: Secretaria Municipal de Educação, Comissão de Educação da Câmara de Vereadores, Conselho Municipal de Educação (CME) e Fórum Municipal de Educação (FME).</w:t>
      </w:r>
    </w:p>
    <w:p>
      <w:pPr>
        <w:spacing w:line="360" w:lineRule="auto" w:before="3"/>
        <w:ind w:left="102" w:right="116" w:firstLine="851"/>
        <w:jc w:val="both"/>
        <w:rPr>
          <w:sz w:val="24"/>
        </w:rPr>
      </w:pPr>
      <w:r>
        <w:rPr>
          <w:sz w:val="24"/>
        </w:rPr>
        <w:t>Por fim, em seção não explicitada no sumário, mas nomeada de </w:t>
      </w:r>
      <w:r>
        <w:rPr>
          <w:i/>
          <w:sz w:val="24"/>
        </w:rPr>
        <w:t>Orientações </w:t>
      </w:r>
      <w:r>
        <w:rPr>
          <w:i/>
          <w:sz w:val="24"/>
        </w:rPr>
        <w:t>operacionais e estratégicas para a implantação do plano de educação </w:t>
      </w:r>
      <w:r>
        <w:rPr>
          <w:sz w:val="24"/>
        </w:rPr>
        <w:t>(p.19) o Caderno destaca a necessidade de atenção a aspectos como: a) a articulação com os planos Nacional e Estadual de Educação de forma a consolidar a colaboração entre os sistemas;</w:t>
      </w:r>
    </w:p>
    <w:p>
      <w:pPr>
        <w:pStyle w:val="ListParagraph"/>
        <w:numPr>
          <w:ilvl w:val="1"/>
          <w:numId w:val="21"/>
        </w:numPr>
        <w:tabs>
          <w:tab w:pos="410" w:val="left" w:leader="none"/>
        </w:tabs>
        <w:spacing w:line="360" w:lineRule="auto" w:before="3" w:after="0"/>
        <w:ind w:left="102" w:right="112" w:firstLine="0"/>
        <w:jc w:val="both"/>
        <w:rPr>
          <w:sz w:val="24"/>
        </w:rPr>
      </w:pPr>
      <w:r>
        <w:rPr>
          <w:sz w:val="24"/>
        </w:rPr>
        <w:t>a utilização do PME como suporte para os demais planos municipais como, por exemplo, a LDO, o PPA e o PAR; c) estabelecer organicidade entre os planos de governo e o PME; d) articulação com as demais políticas; e) definição de estrutura para o monitoramento e avaliação e; f) manter constante o debate por meio do Fórum e Conselho de educação, com vista à qualidade e valorização da educação referenciada e conceituada como um direito</w:t>
      </w:r>
      <w:r>
        <w:rPr>
          <w:spacing w:val="-6"/>
          <w:sz w:val="24"/>
        </w:rPr>
        <w:t> </w:t>
      </w:r>
      <w:r>
        <w:rPr>
          <w:sz w:val="24"/>
        </w:rPr>
        <w:t>social.</w:t>
      </w:r>
    </w:p>
    <w:p>
      <w:pPr>
        <w:pStyle w:val="BodyText"/>
        <w:spacing w:line="360" w:lineRule="auto" w:before="3"/>
        <w:ind w:left="102" w:right="112" w:firstLine="851"/>
        <w:jc w:val="both"/>
      </w:pPr>
      <w:r>
        <w:rPr/>
        <w:t>O Caderno permite apreendê-lo como assentado em uma concepção de planejamento transformadora/comprometida socialmente na medida em que se utiliza de </w:t>
      </w:r>
      <w:r>
        <w:rPr>
          <w:w w:val="100"/>
        </w:rPr>
        <w:t>e</w:t>
      </w:r>
      <w:r>
        <w:rPr/>
        <w:t>xpr</w:t>
      </w:r>
      <w:r>
        <w:rPr>
          <w:w w:val="100"/>
        </w:rPr>
        <w:t>e</w:t>
      </w:r>
      <w:r>
        <w:rPr>
          <w:w w:val="99"/>
        </w:rPr>
        <w:t>ssões</w:t>
      </w:r>
      <w:r>
        <w:rPr/>
        <w:t> </w:t>
      </w:r>
      <w:r>
        <w:rPr>
          <w:w w:val="100"/>
        </w:rPr>
        <w:t>c</w:t>
      </w:r>
      <w:r>
        <w:rPr>
          <w:w w:val="100"/>
        </w:rPr>
        <w:t>omo:</w:t>
      </w:r>
      <w:r>
        <w:rPr/>
        <w:t> </w:t>
      </w:r>
      <w:r>
        <w:rPr>
          <w:w w:val="44"/>
        </w:rPr>
        <w:t>―</w:t>
      </w:r>
      <w:r>
        <w:rPr/>
        <w:t>p</w:t>
      </w:r>
      <w:r>
        <w:rPr>
          <w:w w:val="100"/>
        </w:rPr>
        <w:t>articipaçã</w:t>
      </w:r>
      <w:r>
        <w:rPr/>
        <w:t>o d</w:t>
      </w:r>
      <w:r>
        <w:rPr>
          <w:w w:val="100"/>
        </w:rPr>
        <w:t>e</w:t>
      </w:r>
      <w:r>
        <w:rPr>
          <w:w w:val="100"/>
        </w:rPr>
        <w:t>mocr</w:t>
      </w:r>
      <w:r>
        <w:rPr>
          <w:w w:val="100"/>
        </w:rPr>
        <w:t>á</w:t>
      </w:r>
      <w:r>
        <w:rPr>
          <w:w w:val="100"/>
        </w:rPr>
        <w:t>ti</w:t>
      </w:r>
      <w:r>
        <w:rPr>
          <w:w w:val="100"/>
        </w:rPr>
        <w:t>ca</w:t>
      </w:r>
      <w:r>
        <w:rPr>
          <w:w w:val="158"/>
        </w:rPr>
        <w:t>‖</w:t>
      </w:r>
      <w:r>
        <w:rPr/>
        <w:t> (p.14), </w:t>
      </w:r>
      <w:r>
        <w:rPr>
          <w:w w:val="44"/>
        </w:rPr>
        <w:t>―</w:t>
      </w:r>
      <w:r>
        <w:rPr>
          <w:w w:val="100"/>
        </w:rPr>
        <w:t>e</w:t>
      </w:r>
      <w:r>
        <w:rPr>
          <w:w w:val="100"/>
        </w:rPr>
        <w:t>fe</w:t>
      </w:r>
      <w:r>
        <w:rPr>
          <w:w w:val="100"/>
        </w:rPr>
        <w:t>ti</w:t>
      </w:r>
      <w:r>
        <w:rPr>
          <w:w w:val="100"/>
        </w:rPr>
        <w:t>va</w:t>
      </w:r>
      <w:r>
        <w:rPr>
          <w:w w:val="100"/>
        </w:rPr>
        <w:t>çã</w:t>
      </w:r>
      <w:r>
        <w:rPr/>
        <w:t>o d</w:t>
      </w:r>
      <w:r>
        <w:rPr>
          <w:w w:val="100"/>
        </w:rPr>
        <w:t>e</w:t>
      </w:r>
      <w:r>
        <w:rPr/>
        <w:t> </w:t>
      </w:r>
      <w:r>
        <w:rPr>
          <w:w w:val="100"/>
        </w:rPr>
        <w:t>polí</w:t>
      </w:r>
      <w:r>
        <w:rPr>
          <w:w w:val="100"/>
        </w:rPr>
        <w:t>ti</w:t>
      </w:r>
      <w:r>
        <w:rPr>
          <w:w w:val="100"/>
        </w:rPr>
        <w:t>ca</w:t>
      </w:r>
      <w:r>
        <w:rPr>
          <w:w w:val="99"/>
        </w:rPr>
        <w:t>s</w:t>
      </w:r>
      <w:r>
        <w:rPr/>
        <w:t> </w:t>
      </w:r>
      <w:r>
        <w:rPr>
          <w:w w:val="100"/>
        </w:rPr>
        <w:t>de</w:t>
      </w:r>
      <w:r>
        <w:rPr/>
        <w:t> </w:t>
      </w:r>
      <w:r>
        <w:rPr>
          <w:w w:val="105"/>
        </w:rPr>
        <w:t>Estado‖ </w:t>
      </w:r>
      <w:r>
        <w:rPr>
          <w:w w:val="99"/>
        </w:rPr>
        <w:t>(p.  9)</w:t>
      </w:r>
      <w:r>
        <w:rPr>
          <w:w w:val="55"/>
        </w:rPr>
        <w:t>,―</w:t>
      </w:r>
      <w:r>
        <w:rPr>
          <w:w w:val="100"/>
        </w:rPr>
        <w:t>a</w:t>
      </w:r>
      <w:r>
        <w:rPr>
          <w:w w:val="100"/>
        </w:rPr>
        <w:t>tendimento</w:t>
      </w:r>
      <w:r>
        <w:rPr/>
        <w:t>  </w:t>
      </w:r>
      <w:r>
        <w:rPr>
          <w:w w:val="100"/>
        </w:rPr>
        <w:t>a</w:t>
      </w:r>
      <w:r>
        <w:rPr/>
        <w:t>o  </w:t>
      </w:r>
      <w:r>
        <w:rPr>
          <w:w w:val="100"/>
        </w:rPr>
        <w:t>inte</w:t>
      </w:r>
      <w:r>
        <w:rPr>
          <w:w w:val="100"/>
        </w:rPr>
        <w:t>re</w:t>
      </w:r>
      <w:r>
        <w:rPr>
          <w:w w:val="99"/>
        </w:rPr>
        <w:t>sse</w:t>
      </w:r>
      <w:r>
        <w:rPr/>
        <w:t>  d</w:t>
      </w:r>
      <w:r>
        <w:rPr>
          <w:w w:val="100"/>
        </w:rPr>
        <w:t>a</w:t>
      </w:r>
      <w:r>
        <w:rPr/>
        <w:t>  </w:t>
      </w:r>
      <w:r>
        <w:rPr>
          <w:w w:val="100"/>
        </w:rPr>
        <w:t>maior</w:t>
      </w:r>
      <w:r>
        <w:rPr>
          <w:w w:val="100"/>
        </w:rPr>
        <w:t>i</w:t>
      </w:r>
      <w:r>
        <w:rPr>
          <w:w w:val="100"/>
        </w:rPr>
        <w:t>a</w:t>
      </w:r>
      <w:r>
        <w:rPr>
          <w:w w:val="158"/>
        </w:rPr>
        <w:t>‖</w:t>
      </w:r>
      <w:r>
        <w:rPr/>
        <w:t>  (p.8)  </w:t>
      </w:r>
      <w:r>
        <w:rPr>
          <w:w w:val="100"/>
        </w:rPr>
        <w:t>e</w:t>
      </w:r>
      <w:r>
        <w:rPr/>
        <w:t>  </w:t>
      </w:r>
      <w:r>
        <w:rPr>
          <w:w w:val="44"/>
        </w:rPr>
        <w:t>―</w:t>
      </w:r>
      <w:r>
        <w:rPr>
          <w:w w:val="100"/>
        </w:rPr>
        <w:t>qua</w:t>
      </w:r>
      <w:r>
        <w:rPr>
          <w:w w:val="100"/>
        </w:rPr>
        <w:t>li</w:t>
      </w:r>
      <w:r>
        <w:rPr>
          <w:w w:val="100"/>
        </w:rPr>
        <w:t>da</w:t>
      </w:r>
      <w:r>
        <w:rPr/>
        <w:t>d</w:t>
      </w:r>
      <w:r>
        <w:rPr>
          <w:w w:val="100"/>
        </w:rPr>
        <w:t>e</w:t>
      </w:r>
      <w:r>
        <w:rPr/>
        <w:t>  </w:t>
      </w:r>
      <w:r>
        <w:rPr>
          <w:w w:val="100"/>
        </w:rPr>
        <w:t>e</w:t>
      </w:r>
      <w:r>
        <w:rPr/>
        <w:t>  </w:t>
      </w:r>
      <w:r>
        <w:rPr>
          <w:w w:val="100"/>
        </w:rPr>
        <w:t>va</w:t>
      </w:r>
      <w:r>
        <w:rPr>
          <w:w w:val="100"/>
        </w:rPr>
        <w:t>lorizaçã</w:t>
      </w:r>
      <w:r>
        <w:rPr/>
        <w:t>o  </w:t>
      </w:r>
      <w:r>
        <w:rPr>
          <w:w w:val="100"/>
        </w:rPr>
        <w:t>da </w:t>
      </w:r>
      <w:r>
        <w:rPr/>
        <w:t>educação como direitos sociais‖ (p.19). Acerca da afirmação de que, em cada Plano Municipal, necessariamente, precisa constar metas e estratégias voltadas a atender as mesmas diretrizes do PNE 2014-2024, de forma que os planos se mantenham alinhados, mais uma vez, destacamos que não se pode confundir com a ideia de reprodução ou cópia, mas que, tal entendimento, proporcione efetivamente, o atendimento local de forma, também, a proporcionar qualidade e valorização das especificidades de cada Município.</w:t>
      </w:r>
    </w:p>
    <w:p>
      <w:pPr>
        <w:pStyle w:val="BodyText"/>
        <w:rPr>
          <w:sz w:val="26"/>
        </w:rPr>
      </w:pPr>
    </w:p>
    <w:p>
      <w:pPr>
        <w:pStyle w:val="BodyText"/>
        <w:spacing w:before="6"/>
        <w:rPr>
          <w:sz w:val="22"/>
        </w:rPr>
      </w:pPr>
    </w:p>
    <w:p>
      <w:pPr>
        <w:pStyle w:val="ListParagraph"/>
        <w:numPr>
          <w:ilvl w:val="1"/>
          <w:numId w:val="21"/>
        </w:numPr>
        <w:tabs>
          <w:tab w:pos="407" w:val="left" w:leader="none"/>
        </w:tabs>
        <w:spacing w:line="360" w:lineRule="auto" w:before="0" w:after="0"/>
        <w:ind w:left="102" w:right="122" w:firstLine="0"/>
        <w:jc w:val="both"/>
        <w:rPr>
          <w:sz w:val="24"/>
        </w:rPr>
      </w:pPr>
      <w:r>
        <w:rPr>
          <w:sz w:val="24"/>
        </w:rPr>
        <w:t>Planejando a Próxima Década: Conhecendo as 20 Metas do Plano Nacional de Educação</w:t>
      </w:r>
    </w:p>
    <w:p>
      <w:pPr>
        <w:spacing w:after="0" w:line="360" w:lineRule="auto"/>
        <w:jc w:val="both"/>
        <w:rPr>
          <w:sz w:val="24"/>
        </w:rPr>
        <w:sectPr>
          <w:pgSz w:w="11910" w:h="16840"/>
          <w:pgMar w:header="749" w:footer="0" w:top="960" w:bottom="280" w:left="1600" w:right="1580"/>
        </w:sectPr>
      </w:pPr>
    </w:p>
    <w:p>
      <w:pPr>
        <w:pStyle w:val="BodyText"/>
        <w:rPr>
          <w:sz w:val="20"/>
        </w:rPr>
      </w:pPr>
    </w:p>
    <w:p>
      <w:pPr>
        <w:pStyle w:val="BodyText"/>
        <w:spacing w:before="10"/>
        <w:rPr>
          <w:sz w:val="18"/>
        </w:rPr>
      </w:pPr>
    </w:p>
    <w:p>
      <w:pPr>
        <w:pStyle w:val="BodyText"/>
        <w:ind w:left="2861"/>
        <w:rPr>
          <w:sz w:val="20"/>
        </w:rPr>
      </w:pPr>
      <w:r>
        <w:rPr>
          <w:sz w:val="20"/>
        </w:rPr>
        <w:drawing>
          <wp:inline distT="0" distB="0" distL="0" distR="0">
            <wp:extent cx="1890618" cy="2669667"/>
            <wp:effectExtent l="0" t="0" r="0" b="0"/>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50" cstate="print"/>
                    <a:stretch>
                      <a:fillRect/>
                    </a:stretch>
                  </pic:blipFill>
                  <pic:spPr>
                    <a:xfrm>
                      <a:off x="0" y="0"/>
                      <a:ext cx="1890618" cy="2669667"/>
                    </a:xfrm>
                    <a:prstGeom prst="rect">
                      <a:avLst/>
                    </a:prstGeom>
                  </pic:spPr>
                </pic:pic>
              </a:graphicData>
            </a:graphic>
          </wp:inline>
        </w:drawing>
      </w:r>
      <w:r>
        <w:rPr>
          <w:sz w:val="20"/>
        </w:rPr>
      </w:r>
    </w:p>
    <w:p>
      <w:pPr>
        <w:pStyle w:val="BodyText"/>
        <w:rPr>
          <w:sz w:val="20"/>
        </w:rPr>
      </w:pPr>
    </w:p>
    <w:p>
      <w:pPr>
        <w:pStyle w:val="BodyText"/>
        <w:spacing w:before="8"/>
        <w:rPr>
          <w:sz w:val="20"/>
        </w:rPr>
      </w:pPr>
    </w:p>
    <w:p>
      <w:pPr>
        <w:pStyle w:val="BodyText"/>
        <w:spacing w:line="360" w:lineRule="auto" w:before="90"/>
        <w:ind w:left="102" w:right="120" w:firstLine="851"/>
        <w:jc w:val="both"/>
      </w:pPr>
      <w:r>
        <w:rPr/>
        <w:t>O Caderno Conhecendo as 20 Metas do Plano Nacional de Educação (BRASIL, 2014e) está organizado com uma </w:t>
      </w:r>
      <w:r>
        <w:rPr>
          <w:i/>
        </w:rPr>
        <w:t>Apresentação </w:t>
      </w:r>
      <w:r>
        <w:rPr/>
        <w:t>e quatro</w:t>
      </w:r>
      <w:r>
        <w:rPr>
          <w:spacing w:val="-10"/>
        </w:rPr>
        <w:t> </w:t>
      </w:r>
      <w:r>
        <w:rPr/>
        <w:t>seções.</w:t>
      </w:r>
    </w:p>
    <w:p>
      <w:pPr>
        <w:pStyle w:val="BodyText"/>
        <w:spacing w:line="360" w:lineRule="auto" w:before="6"/>
        <w:ind w:left="102" w:right="119" w:firstLine="851"/>
        <w:jc w:val="both"/>
      </w:pPr>
      <w:r>
        <w:rPr/>
        <w:t>Na Apresentação (p.5-6), são destacadas dificuldades e limitações para a realização do planejamento educacional, entre outras, a complexidade do modelo federativo e a ausência de regulamentação do regime de colaboração que tornam </w:t>
      </w:r>
      <w:r>
        <w:rPr>
          <w:w w:val="100"/>
        </w:rPr>
        <w:t>de</w:t>
      </w:r>
      <w:r>
        <w:rPr>
          <w:w w:val="99"/>
        </w:rPr>
        <w:t>sa</w:t>
      </w:r>
      <w:r>
        <w:rPr>
          <w:w w:val="100"/>
        </w:rPr>
        <w:t>fia</w:t>
      </w:r>
      <w:r>
        <w:rPr>
          <w:w w:val="99"/>
        </w:rPr>
        <w:t>dor o p</w:t>
      </w:r>
      <w:r>
        <w:rPr>
          <w:w w:val="100"/>
        </w:rPr>
        <w:t>roc</w:t>
      </w:r>
      <w:r>
        <w:rPr>
          <w:w w:val="100"/>
        </w:rPr>
        <w:t>e</w:t>
      </w:r>
      <w:r>
        <w:rPr>
          <w:w w:val="99"/>
        </w:rPr>
        <w:t>sso</w:t>
      </w:r>
      <w:r>
        <w:rPr/>
        <w:t> </w:t>
      </w:r>
      <w:r>
        <w:rPr>
          <w:w w:val="100"/>
        </w:rPr>
        <w:t>de</w:t>
      </w:r>
      <w:r>
        <w:rPr/>
        <w:t> </w:t>
      </w:r>
      <w:r>
        <w:rPr>
          <w:w w:val="100"/>
        </w:rPr>
        <w:t>plane</w:t>
      </w:r>
      <w:r>
        <w:rPr>
          <w:w w:val="100"/>
        </w:rPr>
        <w:t>jame</w:t>
      </w:r>
      <w:r>
        <w:rPr>
          <w:w w:val="100"/>
        </w:rPr>
        <w:t>nto,</w:t>
      </w:r>
      <w:r>
        <w:rPr/>
        <w:t> </w:t>
      </w:r>
      <w:r>
        <w:rPr>
          <w:w w:val="100"/>
        </w:rPr>
        <w:t>e</w:t>
      </w:r>
      <w:r>
        <w:rPr/>
        <w:t> </w:t>
      </w:r>
      <w:r>
        <w:rPr>
          <w:w w:val="100"/>
        </w:rPr>
        <w:t>re</w:t>
      </w:r>
      <w:r>
        <w:rPr>
          <w:w w:val="99"/>
        </w:rPr>
        <w:t>for</w:t>
      </w:r>
      <w:r>
        <w:rPr>
          <w:w w:val="100"/>
        </w:rPr>
        <w:t>ça</w:t>
      </w:r>
      <w:r>
        <w:rPr>
          <w:w w:val="100"/>
        </w:rPr>
        <w:t>:</w:t>
      </w:r>
      <w:r>
        <w:rPr/>
        <w:t> </w:t>
      </w:r>
      <w:r>
        <w:rPr>
          <w:w w:val="44"/>
        </w:rPr>
        <w:t>―</w:t>
      </w:r>
      <w:r>
        <w:rPr>
          <w:w w:val="100"/>
        </w:rPr>
        <w:t>implica</w:t>
      </w:r>
      <w:r>
        <w:rPr/>
        <w:t> </w:t>
      </w:r>
      <w:r>
        <w:rPr>
          <w:w w:val="100"/>
        </w:rPr>
        <w:t>a</w:t>
      </w:r>
      <w:r>
        <w:rPr>
          <w:w w:val="99"/>
        </w:rPr>
        <w:t>ssum</w:t>
      </w:r>
      <w:r>
        <w:rPr>
          <w:w w:val="100"/>
        </w:rPr>
        <w:t>ir</w:t>
      </w:r>
      <w:r>
        <w:rPr/>
        <w:t> </w:t>
      </w:r>
      <w:r>
        <w:rPr>
          <w:w w:val="100"/>
        </w:rPr>
        <w:t>c</w:t>
      </w:r>
      <w:r>
        <w:rPr>
          <w:w w:val="100"/>
        </w:rPr>
        <w:t>ompr</w:t>
      </w:r>
      <w:r>
        <w:rPr>
          <w:w w:val="100"/>
        </w:rPr>
        <w:t>omi</w:t>
      </w:r>
      <w:r>
        <w:rPr>
          <w:w w:val="99"/>
        </w:rPr>
        <w:t>ssos</w:t>
      </w:r>
      <w:r>
        <w:rPr/>
        <w:t> </w:t>
      </w:r>
      <w:r>
        <w:rPr>
          <w:w w:val="100"/>
        </w:rPr>
        <w:t>c</w:t>
      </w:r>
      <w:r>
        <w:rPr>
          <w:w w:val="100"/>
        </w:rPr>
        <w:t>om </w:t>
      </w:r>
      <w:r>
        <w:rPr/>
        <w:t>o esforço contínuo de eliminação das desigualdades que são históricas no Brasil.‖</w:t>
      </w:r>
    </w:p>
    <w:p>
      <w:pPr>
        <w:spacing w:line="360" w:lineRule="auto" w:before="3"/>
        <w:ind w:left="102" w:right="114" w:firstLine="851"/>
        <w:jc w:val="both"/>
        <w:rPr>
          <w:sz w:val="24"/>
        </w:rPr>
      </w:pPr>
      <w:r>
        <w:rPr>
          <w:spacing w:val="-2"/>
          <w:w w:val="99"/>
          <w:sz w:val="24"/>
        </w:rPr>
        <w:t>F</w:t>
      </w:r>
      <w:r>
        <w:rPr>
          <w:w w:val="99"/>
          <w:sz w:val="24"/>
        </w:rPr>
        <w:t>r</w:t>
      </w:r>
      <w:r>
        <w:rPr>
          <w:spacing w:val="-2"/>
          <w:w w:val="99"/>
          <w:sz w:val="24"/>
        </w:rPr>
        <w:t>e</w:t>
      </w:r>
      <w:r>
        <w:rPr>
          <w:w w:val="99"/>
          <w:sz w:val="24"/>
        </w:rPr>
        <w:t>nte </w:t>
      </w:r>
      <w:r>
        <w:rPr>
          <w:spacing w:val="-9"/>
          <w:w w:val="99"/>
          <w:sz w:val="24"/>
        </w:rPr>
        <w:t> </w:t>
      </w:r>
      <w:r>
        <w:rPr>
          <w:w w:val="99"/>
          <w:sz w:val="24"/>
        </w:rPr>
        <w:t>a </w:t>
      </w:r>
      <w:r>
        <w:rPr>
          <w:spacing w:val="-11"/>
          <w:w w:val="99"/>
          <w:sz w:val="24"/>
        </w:rPr>
        <w:t> </w:t>
      </w:r>
      <w:r>
        <w:rPr>
          <w:spacing w:val="-1"/>
          <w:w w:val="99"/>
          <w:sz w:val="24"/>
        </w:rPr>
        <w:t>e</w:t>
      </w:r>
      <w:r>
        <w:rPr>
          <w:w w:val="99"/>
          <w:sz w:val="24"/>
        </w:rPr>
        <w:t>s</w:t>
      </w:r>
      <w:r>
        <w:rPr>
          <w:spacing w:val="2"/>
          <w:w w:val="99"/>
          <w:sz w:val="24"/>
        </w:rPr>
        <w:t>s</w:t>
      </w:r>
      <w:r>
        <w:rPr>
          <w:sz w:val="24"/>
        </w:rPr>
        <w:t>e </w:t>
      </w:r>
      <w:r>
        <w:rPr>
          <w:spacing w:val="-11"/>
          <w:sz w:val="24"/>
        </w:rPr>
        <w:t> </w:t>
      </w:r>
      <w:r>
        <w:rPr>
          <w:sz w:val="24"/>
        </w:rPr>
        <w:t>d</w:t>
      </w:r>
      <w:r>
        <w:rPr>
          <w:spacing w:val="-1"/>
          <w:sz w:val="24"/>
        </w:rPr>
        <w:t>e</w:t>
      </w:r>
      <w:r>
        <w:rPr>
          <w:w w:val="99"/>
          <w:sz w:val="24"/>
        </w:rPr>
        <w:t>s</w:t>
      </w:r>
      <w:r>
        <w:rPr>
          <w:spacing w:val="1"/>
          <w:w w:val="99"/>
          <w:sz w:val="24"/>
        </w:rPr>
        <w:t>a</w:t>
      </w:r>
      <w:r>
        <w:rPr>
          <w:w w:val="99"/>
          <w:sz w:val="24"/>
        </w:rPr>
        <w:t>fio, </w:t>
      </w:r>
      <w:r>
        <w:rPr>
          <w:spacing w:val="-11"/>
          <w:w w:val="99"/>
          <w:sz w:val="24"/>
        </w:rPr>
        <w:t> </w:t>
      </w:r>
      <w:r>
        <w:rPr>
          <w:w w:val="99"/>
          <w:sz w:val="24"/>
        </w:rPr>
        <w:t>o </w:t>
      </w:r>
      <w:r>
        <w:rPr>
          <w:spacing w:val="-8"/>
          <w:w w:val="99"/>
          <w:sz w:val="24"/>
        </w:rPr>
        <w:t> </w:t>
      </w:r>
      <w:r>
        <w:rPr>
          <w:w w:val="99"/>
          <w:sz w:val="24"/>
        </w:rPr>
        <w:t>C</w:t>
      </w:r>
      <w:r>
        <w:rPr>
          <w:spacing w:val="-1"/>
          <w:w w:val="99"/>
          <w:sz w:val="24"/>
        </w:rPr>
        <w:t>a</w:t>
      </w:r>
      <w:r>
        <w:rPr>
          <w:w w:val="99"/>
          <w:sz w:val="24"/>
        </w:rPr>
        <w:t>d</w:t>
      </w:r>
      <w:r>
        <w:rPr>
          <w:spacing w:val="-1"/>
          <w:w w:val="99"/>
          <w:sz w:val="24"/>
        </w:rPr>
        <w:t>e</w:t>
      </w:r>
      <w:r>
        <w:rPr>
          <w:w w:val="99"/>
          <w:sz w:val="24"/>
        </w:rPr>
        <w:t>rno </w:t>
      </w:r>
      <w:r>
        <w:rPr>
          <w:spacing w:val="-11"/>
          <w:w w:val="99"/>
          <w:sz w:val="24"/>
        </w:rPr>
        <w:t> </w:t>
      </w:r>
      <w:r>
        <w:rPr>
          <w:w w:val="99"/>
          <w:sz w:val="24"/>
        </w:rPr>
        <w:t>(p.</w:t>
      </w:r>
      <w:r>
        <w:rPr>
          <w:spacing w:val="1"/>
          <w:w w:val="99"/>
          <w:sz w:val="24"/>
        </w:rPr>
        <w:t>5</w:t>
      </w:r>
      <w:r>
        <w:rPr>
          <w:w w:val="99"/>
          <w:sz w:val="24"/>
        </w:rPr>
        <w:t>) </w:t>
      </w:r>
      <w:r>
        <w:rPr>
          <w:spacing w:val="-7"/>
          <w:w w:val="99"/>
          <w:sz w:val="24"/>
        </w:rPr>
        <w:t> </w:t>
      </w:r>
      <w:r>
        <w:rPr>
          <w:spacing w:val="-1"/>
          <w:w w:val="100"/>
          <w:sz w:val="24"/>
        </w:rPr>
        <w:t>a</w:t>
      </w:r>
      <w:r>
        <w:rPr>
          <w:w w:val="100"/>
          <w:sz w:val="24"/>
        </w:rPr>
        <w:t>ponta</w:t>
      </w:r>
      <w:r>
        <w:rPr>
          <w:sz w:val="24"/>
        </w:rPr>
        <w:t> </w:t>
      </w:r>
      <w:r>
        <w:rPr>
          <w:spacing w:val="-8"/>
          <w:sz w:val="24"/>
        </w:rPr>
        <w:t> </w:t>
      </w:r>
      <w:r>
        <w:rPr>
          <w:w w:val="100"/>
          <w:sz w:val="24"/>
        </w:rPr>
        <w:t>a</w:t>
      </w:r>
      <w:r>
        <w:rPr>
          <w:sz w:val="24"/>
        </w:rPr>
        <w:t> </w:t>
      </w:r>
      <w:r>
        <w:rPr>
          <w:spacing w:val="-11"/>
          <w:sz w:val="24"/>
        </w:rPr>
        <w:t> </w:t>
      </w:r>
      <w:r>
        <w:rPr>
          <w:w w:val="100"/>
          <w:sz w:val="24"/>
        </w:rPr>
        <w:t>n</w:t>
      </w:r>
      <w:r>
        <w:rPr>
          <w:spacing w:val="-1"/>
          <w:w w:val="100"/>
          <w:sz w:val="24"/>
        </w:rPr>
        <w:t>e</w:t>
      </w:r>
      <w:r>
        <w:rPr>
          <w:spacing w:val="1"/>
          <w:w w:val="100"/>
          <w:sz w:val="24"/>
        </w:rPr>
        <w:t>c</w:t>
      </w:r>
      <w:r>
        <w:rPr>
          <w:spacing w:val="-1"/>
          <w:w w:val="100"/>
          <w:sz w:val="24"/>
        </w:rPr>
        <w:t>e</w:t>
      </w:r>
      <w:r>
        <w:rPr>
          <w:w w:val="99"/>
          <w:sz w:val="24"/>
        </w:rPr>
        <w:t>ssi</w:t>
      </w:r>
      <w:r>
        <w:rPr>
          <w:w w:val="100"/>
          <w:sz w:val="24"/>
        </w:rPr>
        <w:t>d</w:t>
      </w:r>
      <w:r>
        <w:rPr>
          <w:spacing w:val="-1"/>
          <w:w w:val="100"/>
          <w:sz w:val="24"/>
        </w:rPr>
        <w:t>a</w:t>
      </w:r>
      <w:r>
        <w:rPr>
          <w:w w:val="100"/>
          <w:sz w:val="24"/>
        </w:rPr>
        <w:t>de</w:t>
      </w:r>
      <w:r>
        <w:rPr>
          <w:sz w:val="24"/>
        </w:rPr>
        <w:t> </w:t>
      </w:r>
      <w:r>
        <w:rPr>
          <w:spacing w:val="-11"/>
          <w:sz w:val="24"/>
        </w:rPr>
        <w:t> </w:t>
      </w:r>
      <w:r>
        <w:rPr>
          <w:spacing w:val="2"/>
          <w:sz w:val="24"/>
        </w:rPr>
        <w:t>d</w:t>
      </w:r>
      <w:r>
        <w:rPr>
          <w:w w:val="100"/>
          <w:sz w:val="24"/>
        </w:rPr>
        <w:t>e</w:t>
      </w:r>
      <w:r>
        <w:rPr>
          <w:sz w:val="24"/>
        </w:rPr>
        <w:t> </w:t>
      </w:r>
      <w:r>
        <w:rPr>
          <w:spacing w:val="-11"/>
          <w:sz w:val="24"/>
        </w:rPr>
        <w:t> </w:t>
      </w:r>
      <w:r>
        <w:rPr>
          <w:spacing w:val="1"/>
          <w:w w:val="44"/>
          <w:sz w:val="24"/>
        </w:rPr>
        <w:t>―</w:t>
      </w:r>
      <w:r>
        <w:rPr>
          <w:b/>
          <w:spacing w:val="-1"/>
          <w:sz w:val="24"/>
        </w:rPr>
        <w:t>c</w:t>
      </w:r>
      <w:r>
        <w:rPr>
          <w:b/>
          <w:w w:val="99"/>
          <w:sz w:val="24"/>
        </w:rPr>
        <w:t>ons</w:t>
      </w:r>
      <w:r>
        <w:rPr>
          <w:b/>
          <w:spacing w:val="1"/>
          <w:w w:val="99"/>
          <w:sz w:val="24"/>
        </w:rPr>
        <w:t>t</w:t>
      </w:r>
      <w:r>
        <w:rPr>
          <w:b/>
          <w:spacing w:val="-1"/>
          <w:sz w:val="24"/>
        </w:rPr>
        <w:t>r</w:t>
      </w:r>
      <w:r>
        <w:rPr>
          <w:b/>
          <w:w w:val="99"/>
          <w:sz w:val="24"/>
        </w:rPr>
        <w:t>u</w:t>
      </w:r>
      <w:r>
        <w:rPr>
          <w:b/>
          <w:sz w:val="24"/>
        </w:rPr>
        <w:t>ir formas orgânicas de colaboração entre os sistemas de ensino</w:t>
      </w:r>
      <w:r>
        <w:rPr>
          <w:sz w:val="24"/>
        </w:rPr>
        <w:t>, mesmo sem que as normas para a cooperação federativa tenham sido ainda regulamentadas‖. (Grifos nossos).</w:t>
      </w:r>
    </w:p>
    <w:p>
      <w:pPr>
        <w:pStyle w:val="BodyText"/>
        <w:spacing w:line="360" w:lineRule="auto" w:before="3"/>
        <w:ind w:left="102" w:right="116" w:firstLine="851"/>
        <w:jc w:val="both"/>
      </w:pPr>
      <w:r>
        <w:rPr/>
        <w:t>Igualmente ao Caderno Alinhando os Planos de Educação (BRASIL, 2014d), este reitera a importância da Emenda Constitucional nº 59/2009, que altera o posicionamento do PNE de disposição transitória da LDB nº 9.394/1996 (BRASIL, 1996) para uma exigência constitucional, com período decenal, sendo superior aos demais planos plurianuais e, ainda, com vinculação de recursos ao PIB do País; assim com a questão do alinhamento dos Planos como única forma de se trabalhar articuladamente.</w:t>
      </w:r>
    </w:p>
    <w:p>
      <w:pPr>
        <w:pStyle w:val="BodyText"/>
        <w:spacing w:line="360" w:lineRule="auto" w:before="3"/>
        <w:ind w:left="102" w:right="118" w:firstLine="851"/>
        <w:jc w:val="both"/>
      </w:pPr>
      <w:r>
        <w:rPr/>
        <w:t>Na sequência, ainda na </w:t>
      </w:r>
      <w:r>
        <w:rPr>
          <w:i/>
        </w:rPr>
        <w:t>Apresentação </w:t>
      </w:r>
      <w:r>
        <w:rPr/>
        <w:t>(p. 3-4) é explicitado que o Caderno foi elaborado </w:t>
      </w:r>
      <w:r>
        <w:rPr>
          <w:w w:val="100"/>
        </w:rPr>
        <w:t>e</w:t>
      </w:r>
      <w:r>
        <w:rPr>
          <w:w w:val="100"/>
        </w:rPr>
        <w:t>m</w:t>
      </w:r>
      <w:r>
        <w:rPr/>
        <w:t> </w:t>
      </w:r>
      <w:r>
        <w:rPr>
          <w:w w:val="44"/>
        </w:rPr>
        <w:t>―</w:t>
      </w:r>
      <w:r>
        <w:rPr/>
        <w:t>p</w:t>
      </w:r>
      <w:r>
        <w:rPr>
          <w:w w:val="100"/>
        </w:rPr>
        <w:t>a</w:t>
      </w:r>
      <w:r>
        <w:rPr>
          <w:w w:val="99"/>
        </w:rPr>
        <w:t>r</w:t>
      </w:r>
      <w:r>
        <w:rPr>
          <w:w w:val="100"/>
        </w:rPr>
        <w:t>ceria</w:t>
      </w:r>
      <w:r>
        <w:rPr>
          <w:w w:val="158"/>
        </w:rPr>
        <w:t>‖</w:t>
      </w:r>
      <w:r>
        <w:rPr/>
        <w:t> </w:t>
      </w:r>
      <w:r>
        <w:rPr>
          <w:w w:val="100"/>
        </w:rPr>
        <w:t>c</w:t>
      </w:r>
      <w:r>
        <w:rPr>
          <w:w w:val="100"/>
        </w:rPr>
        <w:t>om</w:t>
      </w:r>
      <w:r>
        <w:rPr/>
        <w:t> </w:t>
      </w:r>
      <w:r>
        <w:rPr>
          <w:w w:val="100"/>
        </w:rPr>
        <w:t>a</w:t>
      </w:r>
      <w:r>
        <w:rPr/>
        <w:t> </w:t>
      </w:r>
      <w:r>
        <w:rPr>
          <w:w w:val="99"/>
        </w:rPr>
        <w:t>UFP</w:t>
      </w:r>
      <w:r>
        <w:rPr>
          <w:w w:val="100"/>
        </w:rPr>
        <w:t>E</w:t>
      </w:r>
      <w:r>
        <w:rPr/>
        <w:t> </w:t>
      </w:r>
      <w:r>
        <w:rPr>
          <w:w w:val="100"/>
        </w:rPr>
        <w:t>e</w:t>
      </w:r>
      <w:r>
        <w:rPr/>
        <w:t> </w:t>
      </w:r>
      <w:r>
        <w:rPr>
          <w:w w:val="100"/>
        </w:rPr>
        <w:t>a</w:t>
      </w:r>
      <w:r>
        <w:rPr/>
        <w:t> Anpa</w:t>
      </w:r>
      <w:r>
        <w:rPr>
          <w:w w:val="100"/>
        </w:rPr>
        <w:t>e</w:t>
      </w:r>
      <w:r>
        <w:rPr/>
        <w:t>, por </w:t>
      </w:r>
      <w:r>
        <w:rPr>
          <w:w w:val="100"/>
        </w:rPr>
        <w:t>meio</w:t>
      </w:r>
      <w:r>
        <w:rPr/>
        <w:t> </w:t>
      </w:r>
      <w:r>
        <w:rPr>
          <w:w w:val="100"/>
        </w:rPr>
        <w:t>da</w:t>
      </w:r>
      <w:r>
        <w:rPr>
          <w:w w:val="99"/>
        </w:rPr>
        <w:t>s</w:t>
      </w:r>
      <w:r>
        <w:rPr/>
        <w:t> </w:t>
      </w:r>
      <w:r>
        <w:rPr>
          <w:w w:val="100"/>
        </w:rPr>
        <w:t>a</w:t>
      </w:r>
      <w:r>
        <w:rPr>
          <w:w w:val="100"/>
        </w:rPr>
        <w:t>ná</w:t>
      </w:r>
      <w:r>
        <w:rPr>
          <w:w w:val="100"/>
        </w:rPr>
        <w:t>li</w:t>
      </w:r>
      <w:r>
        <w:rPr>
          <w:w w:val="99"/>
        </w:rPr>
        <w:t>se</w:t>
      </w:r>
      <w:r>
        <w:rPr>
          <w:w w:val="99"/>
        </w:rPr>
        <w:t>s</w:t>
      </w:r>
      <w:r>
        <w:rPr/>
        <w:t> </w:t>
      </w:r>
      <w:r>
        <w:rPr>
          <w:w w:val="100"/>
        </w:rPr>
        <w:t>e</w:t>
      </w:r>
      <w:r>
        <w:rPr/>
        <w:t> infor</w:t>
      </w:r>
      <w:r>
        <w:rPr>
          <w:w w:val="100"/>
        </w:rPr>
        <w:t>maç</w:t>
      </w:r>
      <w:r>
        <w:rPr>
          <w:w w:val="100"/>
        </w:rPr>
        <w:t>õe</w:t>
      </w:r>
      <w:r>
        <w:rPr>
          <w:w w:val="99"/>
        </w:rPr>
        <w:t>s </w:t>
      </w:r>
      <w:r>
        <w:rPr/>
        <w:t>acerca de cada uma das metas do PNE, o que, segundo o Caderno, teve como objetivo</w:t>
      </w:r>
    </w:p>
    <w:p>
      <w:pPr>
        <w:spacing w:before="5"/>
        <w:ind w:left="102" w:right="0" w:firstLine="0"/>
        <w:jc w:val="left"/>
        <w:rPr>
          <w:sz w:val="24"/>
        </w:rPr>
      </w:pPr>
      <w:r>
        <w:rPr>
          <w:spacing w:val="-1"/>
          <w:w w:val="44"/>
          <w:sz w:val="24"/>
        </w:rPr>
        <w:t>―</w:t>
      </w:r>
      <w:r>
        <w:rPr>
          <w:b/>
          <w:w w:val="99"/>
          <w:sz w:val="24"/>
        </w:rPr>
        <w:t>ap</w:t>
      </w:r>
      <w:r>
        <w:rPr>
          <w:b/>
          <w:spacing w:val="-1"/>
          <w:sz w:val="24"/>
        </w:rPr>
        <w:t>r</w:t>
      </w:r>
      <w:r>
        <w:rPr>
          <w:b/>
          <w:sz w:val="24"/>
        </w:rPr>
        <w:t>ox</w:t>
      </w:r>
      <w:r>
        <w:rPr>
          <w:b/>
          <w:spacing w:val="2"/>
          <w:sz w:val="24"/>
        </w:rPr>
        <w:t>i</w:t>
      </w:r>
      <w:r>
        <w:rPr>
          <w:b/>
          <w:spacing w:val="-4"/>
          <w:sz w:val="24"/>
        </w:rPr>
        <w:t>m</w:t>
      </w:r>
      <w:r>
        <w:rPr>
          <w:b/>
          <w:sz w:val="24"/>
        </w:rPr>
        <w:t>a</w:t>
      </w:r>
      <w:r>
        <w:rPr>
          <w:b/>
          <w:spacing w:val="-1"/>
          <w:sz w:val="24"/>
        </w:rPr>
        <w:t>r</w:t>
      </w:r>
      <w:r>
        <w:rPr>
          <w:sz w:val="24"/>
        </w:rPr>
        <w:t>,  </w:t>
      </w:r>
      <w:r>
        <w:rPr>
          <w:spacing w:val="-30"/>
          <w:sz w:val="24"/>
        </w:rPr>
        <w:t> </w:t>
      </w:r>
      <w:r>
        <w:rPr>
          <w:spacing w:val="-1"/>
          <w:sz w:val="24"/>
        </w:rPr>
        <w:t>a</w:t>
      </w:r>
      <w:r>
        <w:rPr>
          <w:sz w:val="24"/>
        </w:rPr>
        <w:t>in</w:t>
      </w:r>
      <w:r>
        <w:rPr>
          <w:spacing w:val="2"/>
          <w:sz w:val="24"/>
        </w:rPr>
        <w:t>d</w:t>
      </w:r>
      <w:r>
        <w:rPr>
          <w:sz w:val="24"/>
        </w:rPr>
        <w:t>a  </w:t>
      </w:r>
      <w:r>
        <w:rPr>
          <w:spacing w:val="-30"/>
          <w:sz w:val="24"/>
        </w:rPr>
        <w:t> </w:t>
      </w:r>
      <w:r>
        <w:rPr>
          <w:sz w:val="24"/>
        </w:rPr>
        <w:t>ma</w:t>
      </w:r>
      <w:r>
        <w:rPr>
          <w:spacing w:val="2"/>
          <w:sz w:val="24"/>
        </w:rPr>
        <w:t>i</w:t>
      </w:r>
      <w:r>
        <w:rPr>
          <w:w w:val="99"/>
          <w:sz w:val="24"/>
        </w:rPr>
        <w:t>s,</w:t>
      </w:r>
      <w:r>
        <w:rPr>
          <w:sz w:val="24"/>
        </w:rPr>
        <w:t>  </w:t>
      </w:r>
      <w:r>
        <w:rPr>
          <w:spacing w:val="-27"/>
          <w:sz w:val="24"/>
        </w:rPr>
        <w:t> </w:t>
      </w:r>
      <w:r>
        <w:rPr>
          <w:b/>
          <w:sz w:val="24"/>
        </w:rPr>
        <w:t>ag</w:t>
      </w:r>
      <w:r>
        <w:rPr>
          <w:b/>
          <w:spacing w:val="-1"/>
          <w:sz w:val="24"/>
        </w:rPr>
        <w:t>e</w:t>
      </w:r>
      <w:r>
        <w:rPr>
          <w:b/>
          <w:w w:val="99"/>
          <w:sz w:val="24"/>
        </w:rPr>
        <w:t>n</w:t>
      </w:r>
      <w:r>
        <w:rPr>
          <w:b/>
          <w:w w:val="99"/>
          <w:sz w:val="24"/>
        </w:rPr>
        <w:t>t</w:t>
      </w:r>
      <w:r>
        <w:rPr>
          <w:b/>
          <w:spacing w:val="-2"/>
          <w:w w:val="99"/>
          <w:sz w:val="24"/>
        </w:rPr>
        <w:t>e</w:t>
      </w:r>
      <w:r>
        <w:rPr>
          <w:b/>
          <w:w w:val="99"/>
          <w:sz w:val="24"/>
        </w:rPr>
        <w:t>s</w:t>
      </w:r>
      <w:r>
        <w:rPr>
          <w:b/>
          <w:sz w:val="24"/>
        </w:rPr>
        <w:t>  </w:t>
      </w:r>
      <w:r>
        <w:rPr>
          <w:b/>
          <w:spacing w:val="-29"/>
          <w:sz w:val="24"/>
        </w:rPr>
        <w:t> </w:t>
      </w:r>
      <w:r>
        <w:rPr>
          <w:b/>
          <w:w w:val="99"/>
          <w:sz w:val="24"/>
        </w:rPr>
        <w:t>púb</w:t>
      </w:r>
      <w:r>
        <w:rPr>
          <w:b/>
          <w:sz w:val="24"/>
        </w:rPr>
        <w:t>li</w:t>
      </w:r>
      <w:r>
        <w:rPr>
          <w:b/>
          <w:spacing w:val="-1"/>
          <w:sz w:val="24"/>
        </w:rPr>
        <w:t>c</w:t>
      </w:r>
      <w:r>
        <w:rPr>
          <w:b/>
          <w:w w:val="99"/>
          <w:sz w:val="24"/>
        </w:rPr>
        <w:t>os</w:t>
      </w:r>
      <w:r>
        <w:rPr>
          <w:b/>
          <w:sz w:val="24"/>
        </w:rPr>
        <w:t>  </w:t>
      </w:r>
      <w:r>
        <w:rPr>
          <w:b/>
          <w:spacing w:val="-29"/>
          <w:sz w:val="24"/>
        </w:rPr>
        <w:t> </w:t>
      </w:r>
      <w:r>
        <w:rPr>
          <w:b/>
          <w:sz w:val="24"/>
        </w:rPr>
        <w:t>e  </w:t>
      </w:r>
      <w:r>
        <w:rPr>
          <w:b/>
          <w:spacing w:val="-30"/>
          <w:sz w:val="24"/>
        </w:rPr>
        <w:t> </w:t>
      </w:r>
      <w:r>
        <w:rPr>
          <w:b/>
          <w:sz w:val="24"/>
        </w:rPr>
        <w:t>soci</w:t>
      </w:r>
      <w:r>
        <w:rPr>
          <w:b/>
          <w:spacing w:val="-2"/>
          <w:sz w:val="24"/>
        </w:rPr>
        <w:t>e</w:t>
      </w:r>
      <w:r>
        <w:rPr>
          <w:b/>
          <w:w w:val="99"/>
          <w:sz w:val="24"/>
        </w:rPr>
        <w:t>d</w:t>
      </w:r>
      <w:r>
        <w:rPr>
          <w:b/>
          <w:w w:val="99"/>
          <w:sz w:val="24"/>
        </w:rPr>
        <w:t>ad</w:t>
      </w:r>
      <w:r>
        <w:rPr>
          <w:b/>
          <w:sz w:val="24"/>
        </w:rPr>
        <w:t>e  </w:t>
      </w:r>
      <w:r>
        <w:rPr>
          <w:b/>
          <w:spacing w:val="-30"/>
          <w:sz w:val="24"/>
        </w:rPr>
        <w:t> </w:t>
      </w:r>
      <w:r>
        <w:rPr>
          <w:b/>
          <w:spacing w:val="1"/>
          <w:sz w:val="24"/>
        </w:rPr>
        <w:t>e</w:t>
      </w:r>
      <w:r>
        <w:rPr>
          <w:b/>
          <w:sz w:val="24"/>
        </w:rPr>
        <w:t>m </w:t>
      </w:r>
      <w:r>
        <w:rPr>
          <w:b/>
          <w:spacing w:val="27"/>
          <w:sz w:val="24"/>
        </w:rPr>
        <w:t> </w:t>
      </w:r>
      <w:r>
        <w:rPr>
          <w:b/>
          <w:sz w:val="24"/>
        </w:rPr>
        <w:t>g</w:t>
      </w:r>
      <w:r>
        <w:rPr>
          <w:b/>
          <w:spacing w:val="1"/>
          <w:sz w:val="24"/>
        </w:rPr>
        <w:t>e</w:t>
      </w:r>
      <w:r>
        <w:rPr>
          <w:b/>
          <w:spacing w:val="-1"/>
          <w:sz w:val="24"/>
        </w:rPr>
        <w:t>r</w:t>
      </w:r>
      <w:r>
        <w:rPr>
          <w:b/>
          <w:sz w:val="24"/>
        </w:rPr>
        <w:t>a</w:t>
      </w:r>
      <w:r>
        <w:rPr>
          <w:b/>
          <w:spacing w:val="4"/>
          <w:sz w:val="24"/>
        </w:rPr>
        <w:t>l</w:t>
      </w:r>
      <w:r>
        <w:rPr>
          <w:spacing w:val="-1"/>
          <w:w w:val="158"/>
          <w:sz w:val="24"/>
        </w:rPr>
        <w:t>‖</w:t>
      </w:r>
      <w:r>
        <w:rPr>
          <w:sz w:val="24"/>
        </w:rPr>
        <w:t>,  </w:t>
      </w:r>
      <w:r>
        <w:rPr>
          <w:spacing w:val="-27"/>
          <w:sz w:val="24"/>
        </w:rPr>
        <w:t> </w:t>
      </w:r>
      <w:r>
        <w:rPr>
          <w:spacing w:val="-1"/>
          <w:w w:val="100"/>
          <w:sz w:val="24"/>
        </w:rPr>
        <w:t>e</w:t>
      </w:r>
      <w:r>
        <w:rPr>
          <w:sz w:val="24"/>
        </w:rPr>
        <w:t>,  </w:t>
      </w:r>
      <w:r>
        <w:rPr>
          <w:spacing w:val="-30"/>
          <w:sz w:val="24"/>
        </w:rPr>
        <w:t> </w:t>
      </w:r>
      <w:r>
        <w:rPr>
          <w:w w:val="100"/>
          <w:sz w:val="24"/>
        </w:rPr>
        <w:t>tamb</w:t>
      </w:r>
      <w:r>
        <w:rPr>
          <w:spacing w:val="-1"/>
          <w:w w:val="100"/>
          <w:sz w:val="24"/>
        </w:rPr>
        <w:t>é</w:t>
      </w:r>
      <w:r>
        <w:rPr>
          <w:w w:val="100"/>
          <w:sz w:val="24"/>
        </w:rPr>
        <w:t>m,</w:t>
      </w:r>
    </w:p>
    <w:p>
      <w:pPr>
        <w:spacing w:after="0"/>
        <w:jc w:val="left"/>
        <w:rPr>
          <w:sz w:val="24"/>
        </w:rPr>
        <w:sectPr>
          <w:pgSz w:w="11910" w:h="16840"/>
          <w:pgMar w:header="749" w:footer="0" w:top="960" w:bottom="280" w:left="1600" w:right="1580"/>
        </w:sectPr>
      </w:pPr>
    </w:p>
    <w:p>
      <w:pPr>
        <w:pStyle w:val="BodyText"/>
        <w:rPr>
          <w:sz w:val="20"/>
        </w:rPr>
      </w:pPr>
    </w:p>
    <w:p>
      <w:pPr>
        <w:spacing w:line="360" w:lineRule="auto" w:before="210"/>
        <w:ind w:left="102" w:right="118" w:firstLine="0"/>
        <w:jc w:val="both"/>
        <w:rPr>
          <w:sz w:val="24"/>
        </w:rPr>
      </w:pPr>
      <w:r>
        <w:rPr>
          <w:spacing w:val="-1"/>
          <w:w w:val="44"/>
          <w:sz w:val="24"/>
        </w:rPr>
        <w:t>―</w:t>
      </w:r>
      <w:r>
        <w:rPr>
          <w:b/>
          <w:w w:val="99"/>
          <w:sz w:val="24"/>
        </w:rPr>
        <w:t>s</w:t>
      </w:r>
      <w:r>
        <w:rPr>
          <w:b/>
          <w:spacing w:val="-1"/>
          <w:w w:val="99"/>
          <w:sz w:val="24"/>
        </w:rPr>
        <w:t>e</w:t>
      </w:r>
      <w:r>
        <w:rPr>
          <w:b/>
          <w:w w:val="99"/>
          <w:sz w:val="24"/>
        </w:rPr>
        <w:t>nsi</w:t>
      </w:r>
      <w:r>
        <w:rPr>
          <w:b/>
          <w:spacing w:val="1"/>
          <w:w w:val="99"/>
          <w:sz w:val="24"/>
        </w:rPr>
        <w:t>b</w:t>
      </w:r>
      <w:r>
        <w:rPr>
          <w:b/>
          <w:sz w:val="24"/>
        </w:rPr>
        <w:t>ilizar</w:t>
      </w:r>
      <w:r>
        <w:rPr>
          <w:b/>
          <w:spacing w:val="8"/>
          <w:sz w:val="24"/>
        </w:rPr>
        <w:t> </w:t>
      </w:r>
      <w:r>
        <w:rPr>
          <w:sz w:val="24"/>
        </w:rPr>
        <w:t>a</w:t>
      </w:r>
      <w:r>
        <w:rPr>
          <w:spacing w:val="8"/>
          <w:sz w:val="24"/>
        </w:rPr>
        <w:t> </w:t>
      </w:r>
      <w:r>
        <w:rPr>
          <w:sz w:val="24"/>
        </w:rPr>
        <w:t>todos</w:t>
      </w:r>
      <w:r>
        <w:rPr>
          <w:spacing w:val="10"/>
          <w:sz w:val="24"/>
        </w:rPr>
        <w:t> </w:t>
      </w:r>
      <w:r>
        <w:rPr>
          <w:b/>
          <w:w w:val="99"/>
          <w:sz w:val="24"/>
        </w:rPr>
        <w:t>so</w:t>
      </w:r>
      <w:r>
        <w:rPr>
          <w:b/>
          <w:spacing w:val="-1"/>
          <w:w w:val="99"/>
          <w:sz w:val="24"/>
        </w:rPr>
        <w:t>b</w:t>
      </w:r>
      <w:r>
        <w:rPr>
          <w:b/>
          <w:spacing w:val="-1"/>
          <w:sz w:val="24"/>
        </w:rPr>
        <w:t>r</w:t>
      </w:r>
      <w:r>
        <w:rPr>
          <w:b/>
          <w:sz w:val="24"/>
        </w:rPr>
        <w:t>e</w:t>
      </w:r>
      <w:r>
        <w:rPr>
          <w:b/>
          <w:spacing w:val="8"/>
          <w:sz w:val="24"/>
        </w:rPr>
        <w:t> </w:t>
      </w:r>
      <w:r>
        <w:rPr>
          <w:b/>
          <w:w w:val="99"/>
          <w:sz w:val="24"/>
        </w:rPr>
        <w:t>as</w:t>
      </w:r>
      <w:r>
        <w:rPr>
          <w:b/>
          <w:spacing w:val="9"/>
          <w:sz w:val="24"/>
        </w:rPr>
        <w:t> </w:t>
      </w:r>
      <w:r>
        <w:rPr>
          <w:b/>
          <w:spacing w:val="-1"/>
          <w:sz w:val="24"/>
        </w:rPr>
        <w:t>re</w:t>
      </w:r>
      <w:r>
        <w:rPr>
          <w:b/>
          <w:w w:val="99"/>
          <w:sz w:val="24"/>
        </w:rPr>
        <w:t>sp</w:t>
      </w:r>
      <w:r>
        <w:rPr>
          <w:b/>
          <w:w w:val="99"/>
          <w:sz w:val="24"/>
        </w:rPr>
        <w:t>onsab</w:t>
      </w:r>
      <w:r>
        <w:rPr>
          <w:b/>
          <w:sz w:val="24"/>
        </w:rPr>
        <w:t>il</w:t>
      </w:r>
      <w:r>
        <w:rPr>
          <w:b/>
          <w:w w:val="99"/>
          <w:sz w:val="24"/>
        </w:rPr>
        <w:t>i</w:t>
      </w:r>
      <w:r>
        <w:rPr>
          <w:b/>
          <w:spacing w:val="1"/>
          <w:w w:val="99"/>
          <w:sz w:val="24"/>
        </w:rPr>
        <w:t>d</w:t>
      </w:r>
      <w:r>
        <w:rPr>
          <w:b/>
          <w:w w:val="99"/>
          <w:sz w:val="24"/>
        </w:rPr>
        <w:t>ad</w:t>
      </w:r>
      <w:r>
        <w:rPr>
          <w:b/>
          <w:spacing w:val="-1"/>
          <w:sz w:val="24"/>
        </w:rPr>
        <w:t>e</w:t>
      </w:r>
      <w:r>
        <w:rPr>
          <w:b/>
          <w:w w:val="99"/>
          <w:sz w:val="24"/>
        </w:rPr>
        <w:t>s</w:t>
      </w:r>
      <w:r>
        <w:rPr>
          <w:b/>
          <w:spacing w:val="7"/>
          <w:sz w:val="24"/>
        </w:rPr>
        <w:t> </w:t>
      </w:r>
      <w:r>
        <w:rPr>
          <w:b/>
          <w:sz w:val="24"/>
        </w:rPr>
        <w:t>a</w:t>
      </w:r>
      <w:r>
        <w:rPr>
          <w:b/>
          <w:spacing w:val="9"/>
          <w:sz w:val="24"/>
        </w:rPr>
        <w:t> </w:t>
      </w:r>
      <w:r>
        <w:rPr>
          <w:b/>
          <w:w w:val="99"/>
          <w:sz w:val="24"/>
        </w:rPr>
        <w:t>s</w:t>
      </w:r>
      <w:r>
        <w:rPr>
          <w:b/>
          <w:spacing w:val="-1"/>
          <w:w w:val="99"/>
          <w:sz w:val="24"/>
        </w:rPr>
        <w:t>e</w:t>
      </w:r>
      <w:r>
        <w:rPr>
          <w:b/>
          <w:spacing w:val="-1"/>
          <w:sz w:val="24"/>
        </w:rPr>
        <w:t>r</w:t>
      </w:r>
      <w:r>
        <w:rPr>
          <w:b/>
          <w:spacing w:val="1"/>
          <w:sz w:val="24"/>
        </w:rPr>
        <w:t>e</w:t>
      </w:r>
      <w:r>
        <w:rPr>
          <w:b/>
          <w:sz w:val="24"/>
        </w:rPr>
        <w:t>m</w:t>
      </w:r>
      <w:r>
        <w:rPr>
          <w:b/>
          <w:spacing w:val="6"/>
          <w:sz w:val="24"/>
        </w:rPr>
        <w:t> </w:t>
      </w:r>
      <w:r>
        <w:rPr>
          <w:b/>
          <w:w w:val="99"/>
          <w:sz w:val="24"/>
        </w:rPr>
        <w:t>ass</w:t>
      </w:r>
      <w:r>
        <w:rPr>
          <w:b/>
          <w:spacing w:val="3"/>
          <w:w w:val="99"/>
          <w:sz w:val="24"/>
        </w:rPr>
        <w:t>u</w:t>
      </w:r>
      <w:r>
        <w:rPr>
          <w:b/>
          <w:spacing w:val="-4"/>
          <w:w w:val="99"/>
          <w:sz w:val="24"/>
        </w:rPr>
        <w:t>m</w:t>
      </w:r>
      <w:r>
        <w:rPr>
          <w:b/>
          <w:w w:val="99"/>
          <w:sz w:val="24"/>
        </w:rPr>
        <w:t>i</w:t>
      </w:r>
      <w:r>
        <w:rPr>
          <w:b/>
          <w:spacing w:val="1"/>
          <w:w w:val="99"/>
          <w:sz w:val="24"/>
        </w:rPr>
        <w:t>d</w:t>
      </w:r>
      <w:r>
        <w:rPr>
          <w:b/>
          <w:w w:val="99"/>
          <w:sz w:val="24"/>
        </w:rPr>
        <w:t>a</w:t>
      </w:r>
      <w:r>
        <w:rPr>
          <w:b/>
          <w:spacing w:val="4"/>
          <w:w w:val="99"/>
          <w:sz w:val="24"/>
        </w:rPr>
        <w:t>s</w:t>
      </w:r>
      <w:r>
        <w:rPr>
          <w:sz w:val="24"/>
        </w:rPr>
        <w:t>,</w:t>
      </w:r>
      <w:r>
        <w:rPr>
          <w:spacing w:val="9"/>
          <w:sz w:val="24"/>
        </w:rPr>
        <w:t> </w:t>
      </w:r>
      <w:r>
        <w:rPr>
          <w:sz w:val="24"/>
        </w:rPr>
        <w:t>o</w:t>
      </w:r>
      <w:r>
        <w:rPr>
          <w:spacing w:val="9"/>
          <w:sz w:val="24"/>
        </w:rPr>
        <w:t> </w:t>
      </w:r>
      <w:r>
        <w:rPr>
          <w:sz w:val="24"/>
        </w:rPr>
        <w:t>que</w:t>
      </w:r>
      <w:r>
        <w:rPr>
          <w:spacing w:val="8"/>
          <w:sz w:val="24"/>
        </w:rPr>
        <w:t> </w:t>
      </w:r>
      <w:r>
        <w:rPr>
          <w:spacing w:val="-1"/>
          <w:sz w:val="24"/>
        </w:rPr>
        <w:t>e</w:t>
      </w:r>
      <w:r>
        <w:rPr>
          <w:spacing w:val="2"/>
          <w:sz w:val="24"/>
        </w:rPr>
        <w:t>x</w:t>
      </w:r>
      <w:r>
        <w:rPr>
          <w:sz w:val="24"/>
        </w:rPr>
        <w:t>i</w:t>
      </w:r>
      <w:r>
        <w:rPr>
          <w:spacing w:val="-2"/>
          <w:sz w:val="24"/>
        </w:rPr>
        <w:t>g</w:t>
      </w:r>
      <w:r>
        <w:rPr>
          <w:sz w:val="24"/>
        </w:rPr>
        <w:t>e</w:t>
      </w:r>
      <w:r>
        <w:rPr>
          <w:spacing w:val="8"/>
          <w:sz w:val="24"/>
        </w:rPr>
        <w:t> </w:t>
      </w:r>
      <w:r>
        <w:rPr>
          <w:sz w:val="24"/>
        </w:rPr>
        <w:t>que cada Município, Estado e Distrito federal conheça e </w:t>
      </w:r>
      <w:r>
        <w:rPr>
          <w:b/>
          <w:sz w:val="24"/>
        </w:rPr>
        <w:t>discuta a relevância de cada meta</w:t>
      </w:r>
      <w:r>
        <w:rPr>
          <w:sz w:val="24"/>
        </w:rPr>
        <w:t>, contribuindo para que o país avance na universalização da etapa obrigatória e na qualidade da educação como um todo‖. (Grifos</w:t>
      </w:r>
      <w:r>
        <w:rPr>
          <w:spacing w:val="35"/>
          <w:sz w:val="24"/>
        </w:rPr>
        <w:t> </w:t>
      </w:r>
      <w:r>
        <w:rPr>
          <w:sz w:val="24"/>
        </w:rPr>
        <w:t>nossos).</w:t>
      </w:r>
    </w:p>
    <w:p>
      <w:pPr>
        <w:pStyle w:val="BodyText"/>
        <w:spacing w:line="360" w:lineRule="auto" w:before="3"/>
        <w:ind w:left="102" w:right="113" w:firstLine="851"/>
        <w:jc w:val="both"/>
      </w:pPr>
      <w:r>
        <w:rPr/>
        <w:t>Na primeira seção, </w:t>
      </w:r>
      <w:r>
        <w:rPr>
          <w:i/>
        </w:rPr>
        <w:t>Responsabilidades definidas e lacunas de articulação: a </w:t>
      </w:r>
      <w:r>
        <w:rPr>
          <w:i/>
        </w:rPr>
        <w:t>oportunidade trazida pelo novo PNE </w:t>
      </w:r>
      <w:r>
        <w:rPr/>
        <w:t>(p. 7-8), a ideia é sensibilizar para as oportunidades do PNE 2014-2024, e, para tanto, lança mão de definições constitucionais quanto aos papeis de cada ente federativo e cita o papel da União como organizador do Sistema Nacional de Educação. Ao registrar a oportunidade com o novo PNE, o Caderno reitera o regime de colaboração já abordado nos documentos</w:t>
      </w:r>
      <w:r>
        <w:rPr>
          <w:spacing w:val="-12"/>
        </w:rPr>
        <w:t> </w:t>
      </w:r>
      <w:r>
        <w:rPr/>
        <w:t>anteriores:</w:t>
      </w:r>
    </w:p>
    <w:p>
      <w:pPr>
        <w:pStyle w:val="BodyText"/>
        <w:spacing w:before="3"/>
        <w:rPr>
          <w:sz w:val="30"/>
        </w:rPr>
      </w:pPr>
    </w:p>
    <w:p>
      <w:pPr>
        <w:spacing w:line="240" w:lineRule="auto" w:before="1"/>
        <w:ind w:left="2370" w:right="115" w:firstLine="0"/>
        <w:jc w:val="both"/>
        <w:rPr>
          <w:sz w:val="20"/>
        </w:rPr>
      </w:pPr>
      <w:r>
        <w:rPr>
          <w:sz w:val="20"/>
        </w:rPr>
        <w:t>se as diferentes esferas de governo têm compromissos comuns, terão </w:t>
      </w:r>
      <w:r>
        <w:rPr>
          <w:b/>
          <w:sz w:val="20"/>
        </w:rPr>
        <w:t>resultados mais efetivos e recursos otimizados se planejarem suas ações de maneira integrada e colaborativa</w:t>
      </w:r>
      <w:r>
        <w:rPr>
          <w:sz w:val="20"/>
        </w:rPr>
        <w:t>. Além desses claros benefícios, ao realizarem essa tarefa, </w:t>
      </w:r>
      <w:r>
        <w:rPr>
          <w:b/>
          <w:sz w:val="20"/>
        </w:rPr>
        <w:t>indicarão caminhos concretos para a regulamentação dos pactos federativos nacionais </w:t>
      </w:r>
      <w:r>
        <w:rPr>
          <w:sz w:val="20"/>
        </w:rPr>
        <w:t>em torno da política pública educacional, estabelecendo </w:t>
      </w:r>
      <w:r>
        <w:rPr>
          <w:b/>
          <w:sz w:val="20"/>
        </w:rPr>
        <w:t>um primeiro desenho concreto para o Sistema Nacional de Educação</w:t>
      </w:r>
      <w:r>
        <w:rPr>
          <w:sz w:val="20"/>
        </w:rPr>
        <w:t>. (Grifos nossos)</w:t>
      </w:r>
    </w:p>
    <w:p>
      <w:pPr>
        <w:pStyle w:val="BodyText"/>
        <w:spacing w:before="2"/>
        <w:rPr>
          <w:sz w:val="30"/>
        </w:rPr>
      </w:pPr>
    </w:p>
    <w:p>
      <w:pPr>
        <w:spacing w:line="360" w:lineRule="auto" w:before="0"/>
        <w:ind w:left="102" w:right="114" w:firstLine="851"/>
        <w:jc w:val="both"/>
        <w:rPr>
          <w:sz w:val="24"/>
        </w:rPr>
      </w:pPr>
      <w:r>
        <w:rPr>
          <w:sz w:val="24"/>
        </w:rPr>
        <w:t>Na segunda seção, intitulada </w:t>
      </w:r>
      <w:r>
        <w:rPr>
          <w:i/>
          <w:sz w:val="24"/>
        </w:rPr>
        <w:t>O espírito deste PNE: Uma política de Estado de </w:t>
      </w:r>
      <w:r>
        <w:rPr>
          <w:i/>
          <w:sz w:val="24"/>
        </w:rPr>
        <w:t>educação para a próxima década </w:t>
      </w:r>
      <w:r>
        <w:rPr>
          <w:sz w:val="24"/>
        </w:rPr>
        <w:t>(p. 8-13), o Caderno reforça a implicação ao se </w:t>
      </w:r>
      <w:r>
        <w:rPr>
          <w:spacing w:val="-1"/>
          <w:w w:val="100"/>
          <w:sz w:val="24"/>
        </w:rPr>
        <w:t>c</w:t>
      </w:r>
      <w:r>
        <w:rPr>
          <w:sz w:val="24"/>
        </w:rPr>
        <w:t>onst</w:t>
      </w:r>
      <w:r>
        <w:rPr>
          <w:w w:val="100"/>
          <w:sz w:val="24"/>
        </w:rPr>
        <w:t>ruir </w:t>
      </w:r>
      <w:r>
        <w:rPr>
          <w:spacing w:val="-18"/>
          <w:w w:val="100"/>
          <w:sz w:val="24"/>
        </w:rPr>
        <w:t> </w:t>
      </w:r>
      <w:r>
        <w:rPr>
          <w:w w:val="100"/>
          <w:sz w:val="24"/>
        </w:rPr>
        <w:t>um </w:t>
      </w:r>
      <w:r>
        <w:rPr>
          <w:spacing w:val="-17"/>
          <w:w w:val="100"/>
          <w:sz w:val="24"/>
        </w:rPr>
        <w:t> </w:t>
      </w:r>
      <w:r>
        <w:rPr>
          <w:w w:val="100"/>
          <w:sz w:val="24"/>
        </w:rPr>
        <w:t>plano </w:t>
      </w:r>
      <w:r>
        <w:rPr>
          <w:spacing w:val="-16"/>
          <w:w w:val="100"/>
          <w:sz w:val="24"/>
        </w:rPr>
        <w:t> </w:t>
      </w:r>
      <w:r>
        <w:rPr>
          <w:w w:val="100"/>
          <w:sz w:val="24"/>
        </w:rPr>
        <w:t>de </w:t>
      </w:r>
      <w:r>
        <w:rPr>
          <w:spacing w:val="-16"/>
          <w:w w:val="100"/>
          <w:sz w:val="24"/>
        </w:rPr>
        <w:t> </w:t>
      </w:r>
      <w:r>
        <w:rPr>
          <w:spacing w:val="1"/>
          <w:w w:val="100"/>
          <w:sz w:val="24"/>
        </w:rPr>
        <w:t>e</w:t>
      </w:r>
      <w:r>
        <w:rPr>
          <w:w w:val="100"/>
          <w:sz w:val="24"/>
        </w:rPr>
        <w:t>du</w:t>
      </w:r>
      <w:r>
        <w:rPr>
          <w:spacing w:val="-1"/>
          <w:w w:val="100"/>
          <w:sz w:val="24"/>
        </w:rPr>
        <w:t>c</w:t>
      </w:r>
      <w:r>
        <w:rPr>
          <w:spacing w:val="-1"/>
          <w:w w:val="100"/>
          <w:sz w:val="24"/>
        </w:rPr>
        <w:t>a</w:t>
      </w:r>
      <w:r>
        <w:rPr>
          <w:spacing w:val="1"/>
          <w:w w:val="100"/>
          <w:sz w:val="24"/>
        </w:rPr>
        <w:t>ç</w:t>
      </w:r>
      <w:r>
        <w:rPr>
          <w:spacing w:val="-1"/>
          <w:w w:val="100"/>
          <w:sz w:val="24"/>
        </w:rPr>
        <w:t>ã</w:t>
      </w:r>
      <w:r>
        <w:rPr>
          <w:sz w:val="24"/>
        </w:rPr>
        <w:t>o, </w:t>
      </w:r>
      <w:r>
        <w:rPr>
          <w:spacing w:val="-18"/>
          <w:sz w:val="24"/>
        </w:rPr>
        <w:t> </w:t>
      </w:r>
      <w:r>
        <w:rPr>
          <w:w w:val="100"/>
          <w:sz w:val="24"/>
        </w:rPr>
        <w:t>qu</w:t>
      </w:r>
      <w:r>
        <w:rPr>
          <w:spacing w:val="-1"/>
          <w:w w:val="100"/>
          <w:sz w:val="24"/>
        </w:rPr>
        <w:t>a</w:t>
      </w:r>
      <w:r>
        <w:rPr>
          <w:w w:val="100"/>
          <w:sz w:val="24"/>
        </w:rPr>
        <w:t>l</w:t>
      </w:r>
      <w:r>
        <w:rPr>
          <w:sz w:val="24"/>
        </w:rPr>
        <w:t> </w:t>
      </w:r>
      <w:r>
        <w:rPr>
          <w:spacing w:val="-15"/>
          <w:sz w:val="24"/>
        </w:rPr>
        <w:t> </w:t>
      </w:r>
      <w:r>
        <w:rPr>
          <w:sz w:val="24"/>
        </w:rPr>
        <w:t>s</w:t>
      </w:r>
      <w:r>
        <w:rPr>
          <w:spacing w:val="-1"/>
          <w:sz w:val="24"/>
        </w:rPr>
        <w:t>e</w:t>
      </w:r>
      <w:r>
        <w:rPr>
          <w:w w:val="100"/>
          <w:sz w:val="24"/>
        </w:rPr>
        <w:t>ja,</w:t>
      </w:r>
      <w:r>
        <w:rPr>
          <w:sz w:val="24"/>
        </w:rPr>
        <w:t> </w:t>
      </w:r>
      <w:r>
        <w:rPr>
          <w:spacing w:val="-16"/>
          <w:sz w:val="24"/>
        </w:rPr>
        <w:t> </w:t>
      </w:r>
      <w:r>
        <w:rPr>
          <w:spacing w:val="2"/>
          <w:w w:val="44"/>
          <w:sz w:val="24"/>
        </w:rPr>
        <w:t>―</w:t>
      </w:r>
      <w:r>
        <w:rPr>
          <w:b/>
          <w:w w:val="99"/>
          <w:sz w:val="24"/>
        </w:rPr>
        <w:t>as</w:t>
      </w:r>
      <w:r>
        <w:rPr>
          <w:b/>
          <w:spacing w:val="2"/>
          <w:w w:val="99"/>
          <w:sz w:val="24"/>
        </w:rPr>
        <w:t>s</w:t>
      </w:r>
      <w:r>
        <w:rPr>
          <w:b/>
          <w:w w:val="99"/>
          <w:sz w:val="24"/>
        </w:rPr>
        <w:t>u</w:t>
      </w:r>
      <w:r>
        <w:rPr>
          <w:b/>
          <w:spacing w:val="-4"/>
          <w:w w:val="99"/>
          <w:sz w:val="24"/>
        </w:rPr>
        <w:t>m</w:t>
      </w:r>
      <w:r>
        <w:rPr>
          <w:b/>
          <w:w w:val="99"/>
          <w:sz w:val="24"/>
        </w:rPr>
        <w:t>ir </w:t>
      </w:r>
      <w:r>
        <w:rPr>
          <w:b/>
          <w:spacing w:val="-16"/>
          <w:w w:val="99"/>
          <w:sz w:val="24"/>
        </w:rPr>
        <w:t> </w:t>
      </w:r>
      <w:r>
        <w:rPr>
          <w:b/>
          <w:spacing w:val="-1"/>
          <w:w w:val="99"/>
          <w:sz w:val="24"/>
        </w:rPr>
        <w:t>c</w:t>
      </w:r>
      <w:r>
        <w:rPr>
          <w:b/>
          <w:spacing w:val="2"/>
          <w:w w:val="99"/>
          <w:sz w:val="24"/>
        </w:rPr>
        <w:t>o</w:t>
      </w:r>
      <w:r>
        <w:rPr>
          <w:b/>
          <w:spacing w:val="-4"/>
          <w:w w:val="99"/>
          <w:sz w:val="24"/>
        </w:rPr>
        <w:t>m</w:t>
      </w:r>
      <w:r>
        <w:rPr>
          <w:b/>
          <w:w w:val="99"/>
          <w:sz w:val="24"/>
        </w:rPr>
        <w:t>p</w:t>
      </w:r>
      <w:r>
        <w:rPr>
          <w:b/>
          <w:spacing w:val="-1"/>
          <w:sz w:val="24"/>
        </w:rPr>
        <w:t>r</w:t>
      </w:r>
      <w:r>
        <w:rPr>
          <w:b/>
          <w:spacing w:val="2"/>
          <w:sz w:val="24"/>
        </w:rPr>
        <w:t>o</w:t>
      </w:r>
      <w:r>
        <w:rPr>
          <w:b/>
          <w:spacing w:val="-4"/>
          <w:sz w:val="24"/>
        </w:rPr>
        <w:t>m</w:t>
      </w:r>
      <w:r>
        <w:rPr>
          <w:b/>
          <w:w w:val="99"/>
          <w:sz w:val="24"/>
        </w:rPr>
        <w:t>iss</w:t>
      </w:r>
      <w:r>
        <w:rPr>
          <w:b/>
          <w:w w:val="99"/>
          <w:sz w:val="24"/>
        </w:rPr>
        <w:t>os</w:t>
      </w:r>
      <w:r>
        <w:rPr>
          <w:b/>
          <w:sz w:val="24"/>
        </w:rPr>
        <w:t> </w:t>
      </w:r>
      <w:r>
        <w:rPr>
          <w:b/>
          <w:spacing w:val="-12"/>
          <w:sz w:val="24"/>
        </w:rPr>
        <w:t> </w:t>
      </w:r>
      <w:r>
        <w:rPr>
          <w:spacing w:val="-1"/>
          <w:sz w:val="24"/>
        </w:rPr>
        <w:t>c</w:t>
      </w:r>
      <w:r>
        <w:rPr>
          <w:spacing w:val="2"/>
          <w:sz w:val="24"/>
        </w:rPr>
        <w:t>o</w:t>
      </w:r>
      <w:r>
        <w:rPr>
          <w:sz w:val="24"/>
        </w:rPr>
        <w:t>m </w:t>
      </w:r>
      <w:r>
        <w:rPr>
          <w:spacing w:val="-17"/>
          <w:sz w:val="24"/>
        </w:rPr>
        <w:t> </w:t>
      </w:r>
      <w:r>
        <w:rPr>
          <w:sz w:val="24"/>
        </w:rPr>
        <w:t>o </w:t>
      </w:r>
      <w:r>
        <w:rPr>
          <w:spacing w:val="-16"/>
          <w:sz w:val="24"/>
        </w:rPr>
        <w:t> </w:t>
      </w:r>
      <w:r>
        <w:rPr>
          <w:b/>
          <w:spacing w:val="-1"/>
          <w:sz w:val="24"/>
        </w:rPr>
        <w:t>e</w:t>
      </w:r>
      <w:r>
        <w:rPr>
          <w:b/>
          <w:w w:val="99"/>
          <w:sz w:val="24"/>
        </w:rPr>
        <w:t>s</w:t>
      </w:r>
      <w:r>
        <w:rPr>
          <w:b/>
          <w:spacing w:val="1"/>
          <w:w w:val="99"/>
          <w:sz w:val="24"/>
        </w:rPr>
        <w:t>f</w:t>
      </w:r>
      <w:r>
        <w:rPr>
          <w:b/>
          <w:sz w:val="24"/>
        </w:rPr>
        <w:t>o</w:t>
      </w:r>
      <w:r>
        <w:rPr>
          <w:b/>
          <w:spacing w:val="-1"/>
          <w:sz w:val="24"/>
        </w:rPr>
        <w:t>rç</w:t>
      </w:r>
      <w:r>
        <w:rPr>
          <w:b/>
          <w:sz w:val="24"/>
        </w:rPr>
        <w:t>o contínuo </w:t>
      </w:r>
      <w:r>
        <w:rPr>
          <w:sz w:val="24"/>
        </w:rPr>
        <w:t>de </w:t>
      </w:r>
      <w:r>
        <w:rPr>
          <w:b/>
          <w:sz w:val="24"/>
        </w:rPr>
        <w:t>eliminação de desigualdades </w:t>
      </w:r>
      <w:r>
        <w:rPr>
          <w:sz w:val="24"/>
        </w:rPr>
        <w:t>que são históricas no País‖. (Grifos nossos)  e lista os compromissos que são, também, as diretrizes do PNE</w:t>
      </w:r>
      <w:r>
        <w:rPr>
          <w:spacing w:val="-6"/>
          <w:sz w:val="24"/>
        </w:rPr>
        <w:t> </w:t>
      </w:r>
      <w:r>
        <w:rPr>
          <w:sz w:val="24"/>
        </w:rPr>
        <w:t>2014-2024.</w:t>
      </w:r>
    </w:p>
    <w:p>
      <w:pPr>
        <w:spacing w:line="360" w:lineRule="auto" w:before="6"/>
        <w:ind w:left="102" w:right="118" w:firstLine="851"/>
        <w:jc w:val="both"/>
        <w:rPr>
          <w:sz w:val="24"/>
        </w:rPr>
      </w:pPr>
      <w:r>
        <w:rPr>
          <w:sz w:val="24"/>
        </w:rPr>
        <w:t>Na terceira seção, denominada </w:t>
      </w:r>
      <w:r>
        <w:rPr>
          <w:i/>
          <w:sz w:val="24"/>
        </w:rPr>
        <w:t>Os maiores desafios do processo de elaboração </w:t>
      </w:r>
      <w:r>
        <w:rPr>
          <w:i/>
          <w:sz w:val="24"/>
        </w:rPr>
        <w:t>dos planos de educação </w:t>
      </w:r>
      <w:r>
        <w:rPr>
          <w:sz w:val="24"/>
        </w:rPr>
        <w:t>(p. 13-4), o caderno pontua questões de entendimentos e que precisam ser apreendidos pelas pessoas envolvidas no processo de planejamento de modo a garantir a educação como direito indicando que:</w:t>
      </w:r>
    </w:p>
    <w:p>
      <w:pPr>
        <w:pStyle w:val="BodyText"/>
        <w:spacing w:before="3"/>
        <w:rPr>
          <w:sz w:val="36"/>
        </w:rPr>
      </w:pPr>
    </w:p>
    <w:p>
      <w:pPr>
        <w:spacing w:before="1"/>
        <w:ind w:left="2370" w:right="116" w:firstLine="0"/>
        <w:jc w:val="both"/>
        <w:rPr>
          <w:sz w:val="20"/>
        </w:rPr>
      </w:pPr>
      <w:r>
        <w:rPr>
          <w:sz w:val="20"/>
        </w:rPr>
        <w:t>Gestores, profissionais da escola, estudantes, pais e a sociedade em geral </w:t>
      </w:r>
      <w:r>
        <w:rPr>
          <w:b/>
          <w:sz w:val="20"/>
        </w:rPr>
        <w:t>devem se preparar para toda essa tarefa de elaboração</w:t>
      </w:r>
      <w:r>
        <w:rPr>
          <w:sz w:val="20"/>
        </w:rPr>
        <w:t>. </w:t>
      </w:r>
      <w:r>
        <w:rPr>
          <w:b/>
          <w:sz w:val="20"/>
        </w:rPr>
        <w:t>Todos precisam ter em mente </w:t>
      </w:r>
      <w:r>
        <w:rPr>
          <w:sz w:val="20"/>
        </w:rPr>
        <w:t>que é urgente </w:t>
      </w:r>
      <w:r>
        <w:rPr>
          <w:b/>
          <w:sz w:val="20"/>
        </w:rPr>
        <w:t>superar a visão fragmentada de gestão da própria rede ou sistema de ensino</w:t>
      </w:r>
      <w:r>
        <w:rPr>
          <w:sz w:val="20"/>
        </w:rPr>
        <w:t>. É fundamental que se desenvolva uma </w:t>
      </w:r>
      <w:r>
        <w:rPr>
          <w:b/>
          <w:sz w:val="20"/>
        </w:rPr>
        <w:t>concepção sistêmica de gestão no território </w:t>
      </w:r>
      <w:r>
        <w:rPr>
          <w:sz w:val="20"/>
        </w:rPr>
        <w:t>e que se definam formas de operacionalização, visando a </w:t>
      </w:r>
      <w:r>
        <w:rPr>
          <w:b/>
          <w:sz w:val="20"/>
        </w:rPr>
        <w:t>garantia do direito à educação </w:t>
      </w:r>
      <w:r>
        <w:rPr>
          <w:sz w:val="20"/>
        </w:rPr>
        <w:t>onde vive cada cidadão</w:t>
      </w:r>
    </w:p>
    <w:p>
      <w:pPr>
        <w:pStyle w:val="BodyText"/>
        <w:rPr>
          <w:sz w:val="22"/>
        </w:rPr>
      </w:pPr>
    </w:p>
    <w:p>
      <w:pPr>
        <w:pStyle w:val="BodyText"/>
        <w:spacing w:line="360" w:lineRule="auto" w:before="163"/>
        <w:ind w:left="102" w:right="117" w:firstLine="851"/>
        <w:jc w:val="both"/>
      </w:pPr>
      <w:r>
        <w:rPr/>
        <w:t>Ainda nesta mesma seção, o Caderno (p.13) relembra a exigência da Constituição Federal, das responsabilidades de cada esfera no campo da educação, o que remete ao compromisso diferenciado com cada meta, mas, ao mesmo tempo, com todas.</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0" w:lineRule="auto" w:before="210"/>
        <w:ind w:left="102" w:right="117"/>
        <w:jc w:val="both"/>
      </w:pPr>
      <w:r>
        <w:rPr/>
        <w:t>Isto é, o Caderno (p. 13) traz o exemplo das metas de Educação Infantil e daquelas voltadas à Educação Superior. Isto é, a primeira, diretamente ligada ao Município, mas que só serão atingidas com a contribuição estadual e federal e, a segunda, com maior </w:t>
      </w:r>
      <w:r>
        <w:rPr>
          <w:w w:val="100"/>
        </w:rPr>
        <w:t>re</w:t>
      </w:r>
      <w:r>
        <w:rPr>
          <w:w w:val="100"/>
        </w:rPr>
        <w:t>sponsabilidade da</w:t>
      </w:r>
      <w:r>
        <w:rPr>
          <w:w w:val="99"/>
        </w:rPr>
        <w:t>s</w:t>
      </w:r>
      <w:r>
        <w:rPr/>
        <w:t> </w:t>
      </w:r>
      <w:r>
        <w:rPr>
          <w:w w:val="100"/>
        </w:rPr>
        <w:t>e</w:t>
      </w:r>
      <w:r>
        <w:rPr>
          <w:w w:val="99"/>
        </w:rPr>
        <w:t>sf</w:t>
      </w:r>
      <w:r>
        <w:rPr>
          <w:w w:val="100"/>
        </w:rPr>
        <w:t>e</w:t>
      </w:r>
      <w:r>
        <w:rPr>
          <w:w w:val="100"/>
        </w:rPr>
        <w:t>ra</w:t>
      </w:r>
      <w:r>
        <w:rPr>
          <w:w w:val="99"/>
        </w:rPr>
        <w:t>s</w:t>
      </w:r>
      <w:r>
        <w:rPr/>
        <w:t> </w:t>
      </w:r>
      <w:r>
        <w:rPr>
          <w:w w:val="100"/>
        </w:rPr>
        <w:t>e</w:t>
      </w:r>
      <w:r>
        <w:rPr>
          <w:w w:val="100"/>
        </w:rPr>
        <w:t>stadua</w:t>
      </w:r>
      <w:r>
        <w:rPr>
          <w:w w:val="100"/>
        </w:rPr>
        <w:t>is </w:t>
      </w:r>
      <w:r>
        <w:rPr>
          <w:w w:val="100"/>
        </w:rPr>
        <w:t>e</w:t>
      </w:r>
      <w:r>
        <w:rPr/>
        <w:t> </w:t>
      </w:r>
      <w:r>
        <w:rPr>
          <w:w w:val="100"/>
        </w:rPr>
        <w:t>federa</w:t>
      </w:r>
      <w:r>
        <w:rPr>
          <w:w w:val="100"/>
        </w:rPr>
        <w:t>l,</w:t>
      </w:r>
      <w:r>
        <w:rPr/>
        <w:t> mas </w:t>
      </w:r>
      <w:r>
        <w:rPr>
          <w:w w:val="100"/>
        </w:rPr>
        <w:t>que </w:t>
      </w:r>
      <w:r>
        <w:rPr>
          <w:w w:val="44"/>
        </w:rPr>
        <w:t>―</w:t>
      </w:r>
      <w:r>
        <w:rPr>
          <w:w w:val="100"/>
        </w:rPr>
        <w:t>é</w:t>
      </w:r>
      <w:r>
        <w:rPr/>
        <w:t> no </w:t>
      </w:r>
      <w:r>
        <w:rPr>
          <w:w w:val="100"/>
        </w:rPr>
        <w:t>te</w:t>
      </w:r>
      <w:r>
        <w:rPr>
          <w:w w:val="99"/>
        </w:rPr>
        <w:t>rr</w:t>
      </w:r>
      <w:r>
        <w:rPr>
          <w:w w:val="100"/>
        </w:rPr>
        <w:t>it</w:t>
      </w:r>
      <w:r>
        <w:rPr>
          <w:w w:val="99"/>
        </w:rPr>
        <w:t>ór</w:t>
      </w:r>
      <w:r>
        <w:rPr>
          <w:w w:val="100"/>
        </w:rPr>
        <w:t>io</w:t>
      </w:r>
      <w:r>
        <w:rPr/>
        <w:t> </w:t>
      </w:r>
      <w:r>
        <w:rPr>
          <w:w w:val="100"/>
        </w:rPr>
        <w:t>muni</w:t>
      </w:r>
      <w:r>
        <w:rPr>
          <w:w w:val="100"/>
        </w:rPr>
        <w:t>cipal</w:t>
      </w:r>
      <w:r>
        <w:rPr/>
        <w:t> </w:t>
      </w:r>
      <w:r>
        <w:rPr>
          <w:w w:val="100"/>
        </w:rPr>
        <w:t>que </w:t>
      </w:r>
      <w:r>
        <w:rPr/>
        <w:t>os cursos são oferecidos e onde os profissionais formados atuarão‖. Com este </w:t>
      </w:r>
      <w:r>
        <w:rPr>
          <w:w w:val="100"/>
        </w:rPr>
        <w:t>e</w:t>
      </w:r>
      <w:r>
        <w:rPr>
          <w:w w:val="100"/>
        </w:rPr>
        <w:t>ntendimento,</w:t>
      </w:r>
      <w:r>
        <w:rPr/>
        <w:t> </w:t>
      </w:r>
      <w:r>
        <w:rPr>
          <w:w w:val="100"/>
        </w:rPr>
        <w:t>de</w:t>
      </w:r>
      <w:r>
        <w:rPr>
          <w:w w:val="99"/>
        </w:rPr>
        <w:t>f</w:t>
      </w:r>
      <w:r>
        <w:rPr>
          <w:w w:val="100"/>
        </w:rPr>
        <w:t>e</w:t>
      </w:r>
      <w:r>
        <w:rPr>
          <w:w w:val="100"/>
        </w:rPr>
        <w:t>nde que </w:t>
      </w:r>
      <w:r>
        <w:rPr>
          <w:w w:val="44"/>
        </w:rPr>
        <w:t>―</w:t>
      </w:r>
      <w:r>
        <w:rPr>
          <w:w w:val="100"/>
        </w:rPr>
        <w:t>é</w:t>
      </w:r>
      <w:r>
        <w:rPr/>
        <w:t> funda</w:t>
      </w:r>
      <w:r>
        <w:rPr>
          <w:w w:val="100"/>
        </w:rPr>
        <w:t>menta</w:t>
      </w:r>
      <w:r>
        <w:rPr>
          <w:w w:val="100"/>
        </w:rPr>
        <w:t>l</w:t>
      </w:r>
      <w:r>
        <w:rPr/>
        <w:t> </w:t>
      </w:r>
      <w:r>
        <w:rPr>
          <w:w w:val="100"/>
        </w:rPr>
        <w:t>que </w:t>
      </w:r>
      <w:r>
        <w:rPr>
          <w:w w:val="100"/>
        </w:rPr>
        <w:t>ca</w:t>
      </w:r>
      <w:r>
        <w:rPr>
          <w:w w:val="100"/>
        </w:rPr>
        <w:t>da</w:t>
      </w:r>
      <w:r>
        <w:rPr/>
        <w:t> </w:t>
      </w:r>
      <w:r>
        <w:rPr>
          <w:w w:val="100"/>
        </w:rPr>
        <w:t>uma</w:t>
      </w:r>
      <w:r>
        <w:rPr/>
        <w:t> d</w:t>
      </w:r>
      <w:r>
        <w:rPr>
          <w:w w:val="100"/>
        </w:rPr>
        <w:t>a</w:t>
      </w:r>
      <w:r>
        <w:rPr>
          <w:w w:val="99"/>
        </w:rPr>
        <w:t>s</w:t>
      </w:r>
      <w:r>
        <w:rPr/>
        <w:t> meta</w:t>
      </w:r>
      <w:r>
        <w:rPr>
          <w:w w:val="99"/>
        </w:rPr>
        <w:t>s</w:t>
      </w:r>
      <w:r>
        <w:rPr/>
        <w:t> naciona</w:t>
      </w:r>
      <w:r>
        <w:rPr>
          <w:w w:val="99"/>
        </w:rPr>
        <w:t>is</w:t>
      </w:r>
      <w:r>
        <w:rPr/>
        <w:t> traçada</w:t>
      </w:r>
      <w:r>
        <w:rPr>
          <w:w w:val="99"/>
        </w:rPr>
        <w:t>s </w:t>
      </w:r>
      <w:r>
        <w:rPr/>
        <w:t>seja conhecida, analisada e </w:t>
      </w:r>
      <w:r>
        <w:rPr>
          <w:b/>
        </w:rPr>
        <w:t>incorporada, mantidas as proporções </w:t>
      </w:r>
      <w:r>
        <w:rPr/>
        <w:t>e </w:t>
      </w:r>
      <w:r>
        <w:rPr>
          <w:b/>
        </w:rPr>
        <w:t>destacadas as peculiaridades</w:t>
      </w:r>
      <w:r>
        <w:rPr/>
        <w:t>, nos planos de cada território‖. (Grifos nossos).</w:t>
      </w:r>
    </w:p>
    <w:p>
      <w:pPr>
        <w:pStyle w:val="BodyText"/>
        <w:spacing w:line="360" w:lineRule="auto" w:before="3"/>
        <w:ind w:left="102" w:right="115" w:firstLine="851"/>
        <w:jc w:val="both"/>
      </w:pPr>
      <w:r>
        <w:rPr/>
        <w:t>Na quarta e última seção, intitulada </w:t>
      </w:r>
      <w:r>
        <w:rPr>
          <w:i/>
        </w:rPr>
        <w:t>O Plano Nacional de Educação: metas e </w:t>
      </w:r>
      <w:r>
        <w:rPr>
          <w:i/>
        </w:rPr>
        <w:t>estratégias </w:t>
      </w:r>
      <w:r>
        <w:rPr/>
        <w:t>(p. 14-61), são apresentadas cada uma das 20 metas do PNE 2014-2024, juntamente com as análises e informações (provavelmente, dos colaboradores, conforme </w:t>
      </w:r>
      <w:r>
        <w:rPr>
          <w:w w:val="100"/>
        </w:rPr>
        <w:t>indi</w:t>
      </w:r>
      <w:r>
        <w:rPr>
          <w:spacing w:val="-1"/>
          <w:w w:val="100"/>
        </w:rPr>
        <w:t>ca</w:t>
      </w:r>
      <w:r>
        <w:rPr/>
        <w:t>do </w:t>
      </w:r>
      <w:r>
        <w:rPr>
          <w:spacing w:val="-22"/>
        </w:rPr>
        <w:t> </w:t>
      </w:r>
      <w:r>
        <w:rPr>
          <w:w w:val="100"/>
        </w:rPr>
        <w:t>na</w:t>
      </w:r>
      <w:r>
        <w:rPr/>
        <w:t> </w:t>
      </w:r>
      <w:r>
        <w:rPr>
          <w:spacing w:val="-23"/>
        </w:rPr>
        <w:t> </w:t>
      </w:r>
      <w:r>
        <w:rPr>
          <w:w w:val="99"/>
        </w:rPr>
        <w:t>Apr</w:t>
      </w:r>
      <w:r>
        <w:rPr>
          <w:spacing w:val="-1"/>
          <w:w w:val="100"/>
        </w:rPr>
        <w:t>e</w:t>
      </w:r>
      <w:r>
        <w:rPr>
          <w:w w:val="99"/>
        </w:rPr>
        <w:t>s</w:t>
      </w:r>
      <w:r>
        <w:rPr>
          <w:spacing w:val="-1"/>
          <w:w w:val="99"/>
        </w:rPr>
        <w:t>e</w:t>
      </w:r>
      <w:r>
        <w:rPr>
          <w:w w:val="100"/>
        </w:rPr>
        <w:t>nt</w:t>
      </w:r>
      <w:r>
        <w:rPr>
          <w:spacing w:val="1"/>
          <w:w w:val="100"/>
        </w:rPr>
        <w:t>a</w:t>
      </w:r>
      <w:r>
        <w:rPr>
          <w:spacing w:val="-1"/>
          <w:w w:val="100"/>
        </w:rPr>
        <w:t>ç</w:t>
      </w:r>
      <w:r>
        <w:rPr>
          <w:spacing w:val="1"/>
          <w:w w:val="100"/>
        </w:rPr>
        <w:t>ã</w:t>
      </w:r>
      <w:r>
        <w:rPr>
          <w:w w:val="99"/>
        </w:rPr>
        <w:t>o) </w:t>
      </w:r>
      <w:r>
        <w:rPr>
          <w:spacing w:val="-23"/>
          <w:w w:val="99"/>
        </w:rPr>
        <w:t> </w:t>
      </w:r>
      <w:r>
        <w:rPr>
          <w:w w:val="100"/>
        </w:rPr>
        <w:t>de</w:t>
      </w:r>
      <w:r>
        <w:rPr/>
        <w:t> </w:t>
      </w:r>
      <w:r>
        <w:rPr>
          <w:spacing w:val="-23"/>
        </w:rPr>
        <w:t> </w:t>
      </w:r>
      <w:r>
        <w:rPr/>
        <w:t>fo</w:t>
      </w:r>
      <w:r>
        <w:rPr>
          <w:spacing w:val="-2"/>
        </w:rPr>
        <w:t>r</w:t>
      </w:r>
      <w:r>
        <w:rPr>
          <w:spacing w:val="2"/>
          <w:w w:val="100"/>
        </w:rPr>
        <w:t>m</w:t>
      </w:r>
      <w:r>
        <w:rPr>
          <w:w w:val="100"/>
        </w:rPr>
        <w:t>a</w:t>
      </w:r>
      <w:r>
        <w:rPr/>
        <w:t> </w:t>
      </w:r>
      <w:r>
        <w:rPr>
          <w:spacing w:val="-23"/>
        </w:rPr>
        <w:t> </w:t>
      </w:r>
      <w:r>
        <w:rPr>
          <w:w w:val="100"/>
        </w:rPr>
        <w:t>a</w:t>
      </w:r>
      <w:r>
        <w:rPr/>
        <w:t> </w:t>
      </w:r>
      <w:r>
        <w:rPr>
          <w:spacing w:val="-21"/>
        </w:rPr>
        <w:t> </w:t>
      </w:r>
      <w:r>
        <w:rPr>
          <w:spacing w:val="-1"/>
          <w:w w:val="44"/>
        </w:rPr>
        <w:t>―</w:t>
      </w:r>
      <w:r>
        <w:rPr>
          <w:w w:val="100"/>
        </w:rPr>
        <w:t>mostr</w:t>
      </w:r>
      <w:r>
        <w:rPr>
          <w:spacing w:val="-2"/>
          <w:w w:val="100"/>
        </w:rPr>
        <w:t>a</w:t>
      </w:r>
      <w:r>
        <w:rPr>
          <w:w w:val="99"/>
        </w:rPr>
        <w:t>r </w:t>
      </w:r>
      <w:r>
        <w:rPr>
          <w:spacing w:val="-21"/>
          <w:w w:val="99"/>
        </w:rPr>
        <w:t> </w:t>
      </w:r>
      <w:r>
        <w:rPr>
          <w:spacing w:val="-1"/>
          <w:w w:val="100"/>
        </w:rPr>
        <w:t>c</w:t>
      </w:r>
      <w:r>
        <w:rPr>
          <w:w w:val="100"/>
        </w:rPr>
        <w:t>omo </w:t>
      </w:r>
      <w:r>
        <w:rPr>
          <w:spacing w:val="-22"/>
          <w:w w:val="100"/>
        </w:rPr>
        <w:t> </w:t>
      </w:r>
      <w:r>
        <w:rPr>
          <w:w w:val="100"/>
        </w:rPr>
        <w:t>e</w:t>
      </w:r>
      <w:r>
        <w:rPr/>
        <w:t> </w:t>
      </w:r>
      <w:r>
        <w:rPr>
          <w:spacing w:val="-23"/>
        </w:rPr>
        <w:t> </w:t>
      </w:r>
      <w:r>
        <w:rPr/>
        <w:t>por </w:t>
      </w:r>
      <w:r>
        <w:rPr>
          <w:spacing w:val="-23"/>
        </w:rPr>
        <w:t> </w:t>
      </w:r>
      <w:r>
        <w:rPr/>
        <w:t>q</w:t>
      </w:r>
      <w:r>
        <w:rPr>
          <w:spacing w:val="2"/>
        </w:rPr>
        <w:t>u</w:t>
      </w:r>
      <w:r>
        <w:rPr>
          <w:w w:val="100"/>
        </w:rPr>
        <w:t>e</w:t>
      </w:r>
      <w:r>
        <w:rPr/>
        <w:t> </w:t>
      </w:r>
      <w:r>
        <w:rPr>
          <w:spacing w:val="-23"/>
        </w:rPr>
        <w:t> </w:t>
      </w:r>
      <w:r>
        <w:rPr/>
        <w:t>o </w:t>
      </w:r>
      <w:r>
        <w:rPr>
          <w:spacing w:val="-22"/>
        </w:rPr>
        <w:t> </w:t>
      </w:r>
      <w:r>
        <w:rPr/>
        <w:t>Muni</w:t>
      </w:r>
      <w:r>
        <w:rPr>
          <w:spacing w:val="-1"/>
          <w:w w:val="100"/>
        </w:rPr>
        <w:t>c</w:t>
      </w:r>
      <w:r>
        <w:rPr>
          <w:w w:val="100"/>
        </w:rPr>
        <w:t>ípi</w:t>
      </w:r>
      <w:r>
        <w:rPr/>
        <w:t>o </w:t>
      </w:r>
      <w:r>
        <w:rPr>
          <w:spacing w:val="-22"/>
        </w:rPr>
        <w:t> </w:t>
      </w:r>
      <w:r>
        <w:rPr>
          <w:spacing w:val="1"/>
        </w:rPr>
        <w:t>[</w:t>
      </w:r>
      <w:r>
        <w:rPr>
          <w:w w:val="100"/>
        </w:rPr>
        <w:t>d</w:t>
      </w:r>
      <w:r>
        <w:rPr>
          <w:spacing w:val="-1"/>
          <w:w w:val="100"/>
        </w:rPr>
        <w:t>e</w:t>
      </w:r>
      <w:r>
        <w:rPr>
          <w:w w:val="100"/>
        </w:rPr>
        <w:t>v</w:t>
      </w:r>
      <w:r>
        <w:rPr>
          <w:spacing w:val="-1"/>
          <w:w w:val="100"/>
        </w:rPr>
        <w:t>e</w:t>
      </w:r>
      <w:r>
        <w:rPr>
          <w:w w:val="99"/>
        </w:rPr>
        <w:t>] </w:t>
      </w:r>
      <w:r>
        <w:rPr/>
        <w:t>atentar para a relevância de cada meta, contribuindo para que o Brasil avance na </w:t>
      </w:r>
      <w:r>
        <w:rPr>
          <w:b/>
        </w:rPr>
        <w:t>universalização </w:t>
      </w:r>
      <w:r>
        <w:rPr/>
        <w:t>e na </w:t>
      </w:r>
      <w:r>
        <w:rPr>
          <w:b/>
        </w:rPr>
        <w:t>qualidade </w:t>
      </w:r>
      <w:r>
        <w:rPr/>
        <w:t>da</w:t>
      </w:r>
      <w:r>
        <w:rPr>
          <w:spacing w:val="29"/>
        </w:rPr>
        <w:t> </w:t>
      </w:r>
      <w:r>
        <w:rPr/>
        <w:t>educação‖.</w:t>
      </w:r>
    </w:p>
    <w:p>
      <w:pPr>
        <w:pStyle w:val="BodyText"/>
        <w:spacing w:line="360" w:lineRule="auto" w:before="3"/>
        <w:ind w:left="102" w:right="117" w:firstLine="851"/>
        <w:jc w:val="both"/>
      </w:pPr>
      <w:r>
        <w:rPr/>
        <w:t>Assim, de modo geral, o Caderno (BRASIL, 2014e, p.13) apresenta análises e informações a serem observadas no sentido de que, mesmo em metas que não sejam de responsabilidade direta dos Municípios, há a necessidade de discussão e observação destas metas por cada localidade. Neste aspecto, é possível inferir que os elementos apresentados perpassam o planejamento em uma concepção transformadora/comprometida socialmente pois, o Caderno expõe a necessidade do envolvimento do governo e da sociedade neste processo, compreendendo e tendo em </w:t>
      </w:r>
      <w:r>
        <w:rPr>
          <w:w w:val="100"/>
        </w:rPr>
        <w:t>mente</w:t>
      </w:r>
      <w:r>
        <w:rPr/>
        <w:t>  </w:t>
      </w:r>
      <w:r>
        <w:rPr>
          <w:w w:val="100"/>
        </w:rPr>
        <w:t>que  </w:t>
      </w:r>
      <w:r>
        <w:rPr>
          <w:w w:val="100"/>
        </w:rPr>
        <w:t>tal</w:t>
      </w:r>
      <w:r>
        <w:rPr/>
        <w:t>  postur</w:t>
      </w:r>
      <w:r>
        <w:rPr>
          <w:w w:val="100"/>
        </w:rPr>
        <w:t>a</w:t>
      </w:r>
      <w:r>
        <w:rPr/>
        <w:t>  </w:t>
      </w:r>
      <w:r>
        <w:rPr>
          <w:w w:val="100"/>
        </w:rPr>
        <w:t>pe</w:t>
      </w:r>
      <w:r>
        <w:rPr>
          <w:w w:val="100"/>
        </w:rPr>
        <w:t>rmite</w:t>
      </w:r>
      <w:r>
        <w:rPr/>
        <w:t>  </w:t>
      </w:r>
      <w:r>
        <w:rPr>
          <w:w w:val="100"/>
        </w:rPr>
        <w:t>a</w:t>
      </w:r>
      <w:r>
        <w:rPr/>
        <w:t>  </w:t>
      </w:r>
      <w:r>
        <w:rPr>
          <w:w w:val="44"/>
        </w:rPr>
        <w:t>―</w:t>
      </w:r>
      <w:r>
        <w:rPr>
          <w:w w:val="99"/>
        </w:rPr>
        <w:t>supe</w:t>
      </w:r>
      <w:r>
        <w:rPr>
          <w:w w:val="100"/>
        </w:rPr>
        <w:t>ra</w:t>
      </w:r>
      <w:r>
        <w:rPr>
          <w:w w:val="100"/>
        </w:rPr>
        <w:t>çã</w:t>
      </w:r>
      <w:r>
        <w:rPr/>
        <w:t>o  </w:t>
      </w:r>
      <w:r>
        <w:rPr>
          <w:w w:val="100"/>
        </w:rPr>
        <w:t>da</w:t>
      </w:r>
      <w:r>
        <w:rPr/>
        <w:t>  visão  fr</w:t>
      </w:r>
      <w:r>
        <w:rPr>
          <w:w w:val="100"/>
        </w:rPr>
        <w:t>a</w:t>
      </w:r>
      <w:r>
        <w:rPr/>
        <w:t>g</w:t>
      </w:r>
      <w:r>
        <w:rPr>
          <w:w w:val="100"/>
        </w:rPr>
        <w:t>mentada</w:t>
      </w:r>
      <w:r>
        <w:rPr/>
        <w:t>  </w:t>
      </w:r>
      <w:r>
        <w:rPr>
          <w:w w:val="100"/>
        </w:rPr>
        <w:t>de</w:t>
      </w:r>
      <w:r>
        <w:rPr/>
        <w:t>  g</w:t>
      </w:r>
      <w:r>
        <w:rPr>
          <w:w w:val="100"/>
        </w:rPr>
        <w:t>e</w:t>
      </w:r>
      <w:r>
        <w:rPr>
          <w:w w:val="100"/>
        </w:rPr>
        <w:t>stão</w:t>
      </w:r>
      <w:r>
        <w:rPr>
          <w:w w:val="158"/>
        </w:rPr>
        <w:t>‖</w:t>
      </w:r>
      <w:r>
        <w:rPr/>
        <w:t>  </w:t>
      </w:r>
      <w:r>
        <w:rPr>
          <w:w w:val="100"/>
        </w:rPr>
        <w:t>e</w:t>
      </w:r>
    </w:p>
    <w:p>
      <w:pPr>
        <w:pStyle w:val="BodyText"/>
        <w:spacing w:before="3"/>
        <w:ind w:left="102"/>
        <w:jc w:val="both"/>
      </w:pPr>
      <w:r>
        <w:rPr>
          <w:spacing w:val="-1"/>
          <w:w w:val="44"/>
        </w:rPr>
        <w:t>―</w:t>
      </w:r>
      <w:r>
        <w:rPr>
          <w:w w:val="100"/>
        </w:rPr>
        <w:t>d</w:t>
      </w:r>
      <w:r>
        <w:rPr>
          <w:spacing w:val="-1"/>
          <w:w w:val="100"/>
        </w:rPr>
        <w:t>e</w:t>
      </w:r>
      <w:r>
        <w:rPr>
          <w:w w:val="99"/>
        </w:rPr>
        <w:t>s</w:t>
      </w:r>
      <w:r>
        <w:rPr>
          <w:spacing w:val="-1"/>
          <w:w w:val="99"/>
        </w:rPr>
        <w:t>e</w:t>
      </w:r>
      <w:r>
        <w:rPr>
          <w:w w:val="99"/>
        </w:rPr>
        <w:t>nvolvendo </w:t>
      </w:r>
      <w:r>
        <w:rPr>
          <w:w w:val="100"/>
        </w:rPr>
        <w:t>uma</w:t>
      </w:r>
      <w:r>
        <w:rPr>
          <w:spacing w:val="1"/>
        </w:rPr>
        <w:t> </w:t>
      </w:r>
      <w:r>
        <w:rPr>
          <w:spacing w:val="-1"/>
          <w:w w:val="100"/>
        </w:rPr>
        <w:t>c</w:t>
      </w:r>
      <w:r>
        <w:rPr/>
        <w:t>o</w:t>
      </w:r>
      <w:r>
        <w:rPr>
          <w:spacing w:val="2"/>
        </w:rPr>
        <w:t>n</w:t>
      </w:r>
      <w:r>
        <w:rPr>
          <w:spacing w:val="-1"/>
          <w:w w:val="100"/>
        </w:rPr>
        <w:t>ce</w:t>
      </w:r>
      <w:r>
        <w:rPr>
          <w:w w:val="100"/>
        </w:rPr>
        <w:t>p</w:t>
      </w:r>
      <w:r>
        <w:rPr>
          <w:spacing w:val="1"/>
          <w:w w:val="100"/>
        </w:rPr>
        <w:t>ç</w:t>
      </w:r>
      <w:r>
        <w:rPr>
          <w:spacing w:val="-1"/>
          <w:w w:val="100"/>
        </w:rPr>
        <w:t>ã</w:t>
      </w:r>
      <w:r>
        <w:rPr/>
        <w:t>o si</w:t>
      </w:r>
      <w:r>
        <w:rPr>
          <w:w w:val="100"/>
        </w:rPr>
        <w:t>stêmi</w:t>
      </w:r>
      <w:r>
        <w:rPr>
          <w:spacing w:val="-1"/>
          <w:w w:val="100"/>
        </w:rPr>
        <w:t>c</w:t>
      </w:r>
      <w:r>
        <w:rPr>
          <w:w w:val="100"/>
        </w:rPr>
        <w:t>a</w:t>
      </w:r>
      <w:r>
        <w:rPr>
          <w:spacing w:val="-1"/>
        </w:rPr>
        <w:t> </w:t>
      </w:r>
      <w:r>
        <w:rPr>
          <w:w w:val="100"/>
        </w:rPr>
        <w:t>de</w:t>
      </w:r>
      <w:r>
        <w:rPr>
          <w:spacing w:val="1"/>
        </w:rPr>
        <w:t> </w:t>
      </w:r>
      <w:r>
        <w:rPr>
          <w:spacing w:val="-3"/>
        </w:rPr>
        <w:t>g</w:t>
      </w:r>
      <w:r>
        <w:rPr>
          <w:spacing w:val="-1"/>
          <w:w w:val="100"/>
        </w:rPr>
        <w:t>e</w:t>
      </w:r>
      <w:r>
        <w:rPr>
          <w:w w:val="100"/>
        </w:rPr>
        <w:t>s</w:t>
      </w:r>
      <w:r>
        <w:rPr>
          <w:spacing w:val="5"/>
          <w:w w:val="100"/>
        </w:rPr>
        <w:t>t</w:t>
      </w:r>
      <w:r>
        <w:rPr>
          <w:spacing w:val="-1"/>
          <w:w w:val="100"/>
        </w:rPr>
        <w:t>ã</w:t>
      </w:r>
      <w:r>
        <w:rPr/>
        <w:t>o no </w:t>
      </w:r>
      <w:r>
        <w:rPr>
          <w:w w:val="100"/>
        </w:rPr>
        <w:t>te</w:t>
      </w:r>
      <w:r>
        <w:rPr>
          <w:spacing w:val="-2"/>
          <w:w w:val="100"/>
        </w:rPr>
        <w:t>r</w:t>
      </w:r>
      <w:r>
        <w:rPr>
          <w:w w:val="105"/>
        </w:rPr>
        <w:t>ritório</w:t>
      </w:r>
      <w:r>
        <w:rPr>
          <w:spacing w:val="-1"/>
          <w:w w:val="105"/>
        </w:rPr>
        <w:t>‖</w:t>
      </w:r>
      <w:r>
        <w:rPr/>
        <w:t>.</w:t>
      </w:r>
    </w:p>
    <w:p>
      <w:pPr>
        <w:spacing w:line="360" w:lineRule="auto" w:before="139"/>
        <w:ind w:left="102" w:right="116" w:firstLine="851"/>
        <w:jc w:val="both"/>
        <w:rPr>
          <w:sz w:val="24"/>
        </w:rPr>
      </w:pPr>
      <w:r>
        <w:rPr>
          <w:sz w:val="24"/>
        </w:rPr>
        <w:t>Desse modo, a indicação do Caderno (BRASIL, 2014e, p.13) de que </w:t>
      </w:r>
      <w:r>
        <w:rPr>
          <w:b/>
          <w:sz w:val="24"/>
        </w:rPr>
        <w:t>“é fundamental que cada uma das metas nacionais traçadas seja conhecida, analisada e incorporada, mantidas as proporções </w:t>
      </w:r>
      <w:r>
        <w:rPr>
          <w:sz w:val="24"/>
        </w:rPr>
        <w:t>e destacadas as peculiaridades, nos planos de cada território‖ (Grifos nossos) não traduz uma limitação ao planejamento.</w:t>
      </w:r>
    </w:p>
    <w:p>
      <w:pPr>
        <w:pStyle w:val="BodyText"/>
        <w:spacing w:line="360" w:lineRule="auto" w:before="6"/>
        <w:ind w:left="102" w:right="115" w:firstLine="851"/>
        <w:jc w:val="both"/>
      </w:pPr>
      <w:r>
        <w:rPr/>
        <w:t>No entanto, é preciso analisar se, de fato, o PNE 2014-2024 partiu da base/Município, desde as conferências municipais e regionais, até à Conae 2010. Isto, considerando que no estado do Tocantins, apenas um Município, Porto Nacional, realizou Conferência Municipal (LAGARES; OLIVEIRA, 2014), e os demais participaram das Intermunicipais. Esta dinâmica dificulta, de certa forma, a participação social</w:t>
      </w:r>
      <w:r>
        <w:rPr>
          <w:spacing w:val="53"/>
        </w:rPr>
        <w:t> </w:t>
      </w:r>
      <w:r>
        <w:rPr/>
        <w:t>nas</w:t>
      </w:r>
      <w:r>
        <w:rPr>
          <w:spacing w:val="53"/>
        </w:rPr>
        <w:t> </w:t>
      </w:r>
      <w:r>
        <w:rPr/>
        <w:t>discussões</w:t>
      </w:r>
      <w:r>
        <w:rPr>
          <w:spacing w:val="53"/>
        </w:rPr>
        <w:t> </w:t>
      </w:r>
      <w:r>
        <w:rPr/>
        <w:t>das</w:t>
      </w:r>
      <w:r>
        <w:rPr>
          <w:spacing w:val="53"/>
        </w:rPr>
        <w:t> </w:t>
      </w:r>
      <w:r>
        <w:rPr/>
        <w:t>questões</w:t>
      </w:r>
      <w:r>
        <w:rPr>
          <w:spacing w:val="53"/>
        </w:rPr>
        <w:t> </w:t>
      </w:r>
      <w:r>
        <w:rPr/>
        <w:t>do</w:t>
      </w:r>
      <w:r>
        <w:rPr>
          <w:spacing w:val="52"/>
        </w:rPr>
        <w:t> </w:t>
      </w:r>
      <w:r>
        <w:rPr/>
        <w:t>quotidiano</w:t>
      </w:r>
      <w:r>
        <w:rPr>
          <w:spacing w:val="55"/>
        </w:rPr>
        <w:t> </w:t>
      </w:r>
      <w:r>
        <w:rPr/>
        <w:t>do</w:t>
      </w:r>
      <w:r>
        <w:rPr>
          <w:spacing w:val="52"/>
        </w:rPr>
        <w:t> </w:t>
      </w:r>
      <w:r>
        <w:rPr/>
        <w:t>Município.</w:t>
      </w:r>
      <w:r>
        <w:rPr>
          <w:spacing w:val="52"/>
        </w:rPr>
        <w:t> </w:t>
      </w:r>
      <w:r>
        <w:rPr/>
        <w:t>O</w:t>
      </w:r>
      <w:r>
        <w:rPr>
          <w:spacing w:val="52"/>
        </w:rPr>
        <w:t> </w:t>
      </w:r>
      <w:r>
        <w:rPr/>
        <w:t>que</w:t>
      </w:r>
      <w:r>
        <w:rPr>
          <w:spacing w:val="52"/>
        </w:rPr>
        <w:t> </w:t>
      </w:r>
      <w:r>
        <w:rPr/>
        <w:t>traz</w:t>
      </w:r>
      <w:r>
        <w:rPr>
          <w:spacing w:val="54"/>
        </w:rPr>
        <w:t> </w:t>
      </w:r>
      <w:r>
        <w:rPr/>
        <w:t>para</w:t>
      </w:r>
      <w:r>
        <w:rPr>
          <w:spacing w:val="51"/>
        </w:rPr>
        <w:t> </w:t>
      </w:r>
      <w:r>
        <w:rPr/>
        <w:t>o</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2" w:lineRule="auto" w:before="210"/>
        <w:ind w:left="102"/>
      </w:pPr>
      <w:r>
        <w:rPr/>
        <w:t>processo de construção do PNE e, consequentemente, para os PMEs, a intencionalidade conservadora/alienadora.</w:t>
      </w:r>
    </w:p>
    <w:p>
      <w:pPr>
        <w:pStyle w:val="BodyText"/>
        <w:spacing w:line="360" w:lineRule="auto"/>
        <w:ind w:left="102" w:right="117" w:firstLine="851"/>
        <w:jc w:val="both"/>
      </w:pPr>
      <w:r>
        <w:rPr/>
        <w:t>Além da possível ausência de Municípios na discussão e proposição do PNE, há </w:t>
      </w:r>
      <w:r>
        <w:rPr>
          <w:spacing w:val="-16"/>
        </w:rPr>
        <w:t> </w:t>
      </w:r>
      <w:r>
        <w:rPr>
          <w:spacing w:val="-1"/>
        </w:rPr>
        <w:t>c</w:t>
      </w:r>
      <w:r>
        <w:rPr/>
        <w:t>rític</w:t>
      </w:r>
      <w:r>
        <w:rPr>
          <w:spacing w:val="-1"/>
        </w:rPr>
        <w:t>a</w:t>
      </w:r>
      <w:r>
        <w:rPr>
          <w:w w:val="99"/>
        </w:rPr>
        <w:t>s</w:t>
      </w:r>
      <w:r>
        <w:rPr/>
        <w:t> </w:t>
      </w:r>
      <w:r>
        <w:rPr>
          <w:spacing w:val="-15"/>
        </w:rPr>
        <w:t> </w:t>
      </w:r>
      <w:r>
        <w:rPr/>
        <w:t>indi</w:t>
      </w:r>
      <w:r>
        <w:rPr>
          <w:spacing w:val="-1"/>
        </w:rPr>
        <w:t>ca</w:t>
      </w:r>
      <w:r>
        <w:rPr/>
        <w:t>ndo </w:t>
      </w:r>
      <w:r>
        <w:rPr>
          <w:spacing w:val="-15"/>
        </w:rPr>
        <w:t> </w:t>
      </w:r>
      <w:r>
        <w:rPr/>
        <w:t>q</w:t>
      </w:r>
      <w:r>
        <w:rPr>
          <w:spacing w:val="2"/>
        </w:rPr>
        <w:t>u</w:t>
      </w:r>
      <w:r>
        <w:rPr/>
        <w:t>e </w:t>
      </w:r>
      <w:r>
        <w:rPr>
          <w:spacing w:val="-16"/>
        </w:rPr>
        <w:t> </w:t>
      </w:r>
      <w:r>
        <w:rPr/>
        <w:t>o </w:t>
      </w:r>
      <w:r>
        <w:rPr>
          <w:spacing w:val="-15"/>
        </w:rPr>
        <w:t> </w:t>
      </w:r>
      <w:r>
        <w:rPr>
          <w:w w:val="99"/>
        </w:rPr>
        <w:t>P</w:t>
      </w:r>
      <w:r>
        <w:rPr>
          <w:w w:val="99"/>
        </w:rPr>
        <w:t>roj</w:t>
      </w:r>
      <w:r>
        <w:rPr>
          <w:spacing w:val="-2"/>
          <w:w w:val="99"/>
        </w:rPr>
        <w:t>e</w:t>
      </w:r>
      <w:r>
        <w:rPr>
          <w:w w:val="99"/>
        </w:rPr>
        <w:t>to </w:t>
      </w:r>
      <w:r>
        <w:rPr>
          <w:spacing w:val="-15"/>
          <w:w w:val="99"/>
        </w:rPr>
        <w:t> </w:t>
      </w:r>
      <w:r>
        <w:rPr>
          <w:w w:val="99"/>
        </w:rPr>
        <w:t>de </w:t>
      </w:r>
      <w:r>
        <w:rPr>
          <w:spacing w:val="-16"/>
          <w:w w:val="99"/>
        </w:rPr>
        <w:t> </w:t>
      </w:r>
      <w:r>
        <w:rPr>
          <w:spacing w:val="-3"/>
          <w:w w:val="99"/>
        </w:rPr>
        <w:t>L</w:t>
      </w:r>
      <w:r>
        <w:rPr>
          <w:spacing w:val="2"/>
          <w:w w:val="99"/>
        </w:rPr>
        <w:t>e</w:t>
      </w:r>
      <w:r>
        <w:rPr>
          <w:w w:val="100"/>
        </w:rPr>
        <w:t>i</w:t>
      </w:r>
      <w:r>
        <w:rPr/>
        <w:t> </w:t>
      </w:r>
      <w:r>
        <w:rPr>
          <w:spacing w:val="-15"/>
        </w:rPr>
        <w:t> </w:t>
      </w:r>
      <w:r>
        <w:rPr>
          <w:spacing w:val="-1"/>
          <w:w w:val="44"/>
        </w:rPr>
        <w:t>―</w:t>
      </w:r>
      <w:r>
        <w:rPr>
          <w:w w:val="100"/>
        </w:rPr>
        <w:t>n</w:t>
      </w:r>
      <w:r>
        <w:rPr>
          <w:spacing w:val="-1"/>
          <w:w w:val="100"/>
        </w:rPr>
        <w:t>ã</w:t>
      </w:r>
      <w:r>
        <w:rPr/>
        <w:t>o </w:t>
      </w:r>
      <w:r>
        <w:rPr>
          <w:spacing w:val="-13"/>
        </w:rPr>
        <w:t> </w:t>
      </w:r>
      <w:r>
        <w:rPr>
          <w:w w:val="100"/>
        </w:rPr>
        <w:t>r</w:t>
      </w:r>
      <w:r>
        <w:rPr>
          <w:spacing w:val="-2"/>
          <w:w w:val="100"/>
        </w:rPr>
        <w:t>e</w:t>
      </w:r>
      <w:r>
        <w:rPr>
          <w:w w:val="100"/>
        </w:rPr>
        <w:t>fl</w:t>
      </w:r>
      <w:r>
        <w:rPr>
          <w:spacing w:val="-2"/>
          <w:w w:val="100"/>
        </w:rPr>
        <w:t>e</w:t>
      </w:r>
      <w:r>
        <w:rPr>
          <w:w w:val="100"/>
        </w:rPr>
        <w:t>ti</w:t>
      </w:r>
      <w:r>
        <w:rPr/>
        <w:t>u </w:t>
      </w:r>
      <w:r>
        <w:rPr>
          <w:spacing w:val="-15"/>
        </w:rPr>
        <w:t> </w:t>
      </w:r>
      <w:r>
        <w:rPr/>
        <w:t>o </w:t>
      </w:r>
      <w:r>
        <w:rPr>
          <w:spacing w:val="-15"/>
        </w:rPr>
        <w:t> </w:t>
      </w:r>
      <w:r>
        <w:rPr>
          <w:spacing w:val="-1"/>
          <w:w w:val="100"/>
        </w:rPr>
        <w:t>c</w:t>
      </w:r>
      <w:r>
        <w:rPr>
          <w:w w:val="100"/>
        </w:rPr>
        <w:t>onjunt</w:t>
      </w:r>
      <w:r>
        <w:rPr/>
        <w:t>o </w:t>
      </w:r>
      <w:r>
        <w:rPr>
          <w:spacing w:val="-15"/>
        </w:rPr>
        <w:t> </w:t>
      </w:r>
      <w:r>
        <w:rPr>
          <w:w w:val="100"/>
        </w:rPr>
        <w:t>d</w:t>
      </w:r>
      <w:r>
        <w:rPr>
          <w:spacing w:val="-1"/>
          <w:w w:val="100"/>
        </w:rPr>
        <w:t>a</w:t>
      </w:r>
      <w:r>
        <w:rPr>
          <w:w w:val="99"/>
        </w:rPr>
        <w:t>s</w:t>
      </w:r>
      <w:r>
        <w:rPr/>
        <w:t> </w:t>
      </w:r>
      <w:r>
        <w:rPr>
          <w:spacing w:val="-15"/>
        </w:rPr>
        <w:t> </w:t>
      </w:r>
      <w:r>
        <w:rPr>
          <w:w w:val="100"/>
        </w:rPr>
        <w:t>d</w:t>
      </w:r>
      <w:r>
        <w:rPr>
          <w:spacing w:val="-1"/>
          <w:w w:val="100"/>
        </w:rPr>
        <w:t>e</w:t>
      </w:r>
      <w:r>
        <w:rPr>
          <w:spacing w:val="-1"/>
          <w:w w:val="100"/>
        </w:rPr>
        <w:t>c</w:t>
      </w:r>
      <w:r>
        <w:rPr/>
        <w:t>isões </w:t>
      </w:r>
      <w:r>
        <w:rPr>
          <w:spacing w:val="-15"/>
        </w:rPr>
        <w:t> </w:t>
      </w:r>
      <w:r>
        <w:rPr>
          <w:w w:val="100"/>
        </w:rPr>
        <w:t>da </w:t>
      </w:r>
      <w:r>
        <w:rPr/>
        <w:t>Conae (ANPED, 2011, p, 484). Nesse sentido, o alinhamento carece de compreensão, para não se tornar pura reprodução e/ou incorrer em um planejamento com intencionalidades</w:t>
      </w:r>
      <w:r>
        <w:rPr>
          <w:spacing w:val="-9"/>
        </w:rPr>
        <w:t> </w:t>
      </w:r>
      <w:r>
        <w:rPr/>
        <w:t>conservadora/alienadora.</w:t>
      </w:r>
    </w:p>
    <w:p>
      <w:pPr>
        <w:pStyle w:val="BodyText"/>
        <w:rPr>
          <w:sz w:val="26"/>
        </w:rPr>
      </w:pPr>
    </w:p>
    <w:p>
      <w:pPr>
        <w:pStyle w:val="BodyText"/>
        <w:rPr>
          <w:sz w:val="26"/>
        </w:rPr>
      </w:pPr>
    </w:p>
    <w:p>
      <w:pPr>
        <w:pStyle w:val="BodyText"/>
        <w:spacing w:before="5"/>
        <w:rPr>
          <w:sz w:val="20"/>
        </w:rPr>
      </w:pPr>
    </w:p>
    <w:p>
      <w:pPr>
        <w:pStyle w:val="ListParagraph"/>
        <w:numPr>
          <w:ilvl w:val="1"/>
          <w:numId w:val="21"/>
        </w:numPr>
        <w:tabs>
          <w:tab w:pos="362" w:val="left" w:leader="none"/>
        </w:tabs>
        <w:spacing w:line="240" w:lineRule="auto" w:before="1" w:after="0"/>
        <w:ind w:left="361" w:right="0" w:hanging="259"/>
        <w:jc w:val="left"/>
        <w:rPr>
          <w:sz w:val="24"/>
        </w:rPr>
      </w:pPr>
      <w:r>
        <w:rPr>
          <w:sz w:val="24"/>
        </w:rPr>
        <w:t>O Plano Municipal de Educação: Caderno de</w:t>
      </w:r>
      <w:r>
        <w:rPr>
          <w:spacing w:val="-11"/>
          <w:sz w:val="24"/>
        </w:rPr>
        <w:t> </w:t>
      </w:r>
      <w:r>
        <w:rPr>
          <w:sz w:val="24"/>
        </w:rPr>
        <w:t>Orientações</w:t>
      </w:r>
    </w:p>
    <w:p>
      <w:pPr>
        <w:pStyle w:val="BodyText"/>
        <w:rPr>
          <w:sz w:val="20"/>
        </w:rPr>
      </w:pPr>
    </w:p>
    <w:p>
      <w:pPr>
        <w:pStyle w:val="BodyText"/>
        <w:rPr>
          <w:sz w:val="25"/>
        </w:rPr>
      </w:pPr>
      <w:r>
        <w:rPr/>
        <w:drawing>
          <wp:anchor distT="0" distB="0" distL="0" distR="0" allowOverlap="1" layoutInCell="1" locked="0" behindDoc="0" simplePos="0" relativeHeight="1600">
            <wp:simplePos x="0" y="0"/>
            <wp:positionH relativeFrom="page">
              <wp:posOffset>2789935</wp:posOffset>
            </wp:positionH>
            <wp:positionV relativeFrom="paragraph">
              <wp:posOffset>207911</wp:posOffset>
            </wp:positionV>
            <wp:extent cx="1990938" cy="2804160"/>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51" cstate="print"/>
                    <a:stretch>
                      <a:fillRect/>
                    </a:stretch>
                  </pic:blipFill>
                  <pic:spPr>
                    <a:xfrm>
                      <a:off x="0" y="0"/>
                      <a:ext cx="1990938" cy="2804160"/>
                    </a:xfrm>
                    <a:prstGeom prst="rect">
                      <a:avLst/>
                    </a:prstGeom>
                  </pic:spPr>
                </pic:pic>
              </a:graphicData>
            </a:graphic>
          </wp:anchor>
        </w:drawing>
      </w:r>
    </w:p>
    <w:p>
      <w:pPr>
        <w:pStyle w:val="BodyText"/>
        <w:rPr>
          <w:sz w:val="26"/>
        </w:rPr>
      </w:pPr>
    </w:p>
    <w:p>
      <w:pPr>
        <w:pStyle w:val="BodyText"/>
        <w:spacing w:line="360" w:lineRule="auto" w:before="198"/>
        <w:ind w:left="102" w:right="115" w:firstLine="851"/>
        <w:jc w:val="both"/>
      </w:pPr>
      <w:r>
        <w:rPr/>
        <w:t>O documento </w:t>
      </w:r>
      <w:r>
        <w:rPr>
          <w:i/>
        </w:rPr>
        <w:t>O Plano Municipal de Educação: Caderno de orientações </w:t>
      </w:r>
      <w:r>
        <w:rPr/>
        <w:t>(BRASIL, 2014f) está dividido em seis seções e inicia-se com </w:t>
      </w:r>
      <w:r>
        <w:rPr>
          <w:i/>
        </w:rPr>
        <w:t>o grande desafio  </w:t>
      </w:r>
      <w:r>
        <w:rPr>
          <w:i/>
        </w:rPr>
        <w:t>nacional </w:t>
      </w:r>
      <w:r>
        <w:rPr/>
        <w:t>(p. 6), abordando os aspectos inovadores presentes no novo PNE, por ser constitucionalmente decenal; vincular recursos para o seu financiamento, prevalecendo sobre os PPAs; cumprir a função de articular o SNE em regime de colaboração, ou seja, o</w:t>
      </w:r>
      <w:r>
        <w:rPr>
          <w:spacing w:val="26"/>
        </w:rPr>
        <w:t> </w:t>
      </w:r>
      <w:r>
        <w:rPr>
          <w:spacing w:val="-3"/>
        </w:rPr>
        <w:t>g</w:t>
      </w:r>
      <w:r>
        <w:rPr>
          <w:spacing w:val="1"/>
        </w:rPr>
        <w:t>r</w:t>
      </w:r>
      <w:r>
        <w:rPr>
          <w:spacing w:val="-1"/>
          <w:w w:val="100"/>
        </w:rPr>
        <w:t>a</w:t>
      </w:r>
      <w:r>
        <w:rPr>
          <w:w w:val="100"/>
        </w:rPr>
        <w:t>nde</w:t>
      </w:r>
      <w:r>
        <w:rPr>
          <w:spacing w:val="25"/>
          <w:w w:val="100"/>
        </w:rPr>
        <w:t> </w:t>
      </w:r>
      <w:r>
        <w:rPr>
          <w:w w:val="100"/>
        </w:rPr>
        <w:t>d</w:t>
      </w:r>
      <w:r>
        <w:rPr>
          <w:spacing w:val="-1"/>
          <w:w w:val="100"/>
        </w:rPr>
        <w:t>e</w:t>
      </w:r>
      <w:r>
        <w:rPr>
          <w:spacing w:val="2"/>
          <w:w w:val="99"/>
        </w:rPr>
        <w:t>s</w:t>
      </w:r>
      <w:r>
        <w:rPr>
          <w:spacing w:val="-1"/>
          <w:w w:val="100"/>
        </w:rPr>
        <w:t>a</w:t>
      </w:r>
      <w:r>
        <w:rPr>
          <w:w w:val="100"/>
        </w:rPr>
        <w:t>fio</w:t>
      </w:r>
      <w:r>
        <w:rPr>
          <w:spacing w:val="25"/>
        </w:rPr>
        <w:t> </w:t>
      </w:r>
      <w:r>
        <w:rPr>
          <w:w w:val="100"/>
        </w:rPr>
        <w:t>de</w:t>
      </w:r>
      <w:r>
        <w:rPr>
          <w:spacing w:val="27"/>
        </w:rPr>
        <w:t> </w:t>
      </w:r>
      <w:r>
        <w:rPr>
          <w:spacing w:val="-1"/>
          <w:w w:val="44"/>
        </w:rPr>
        <w:t>―</w:t>
      </w:r>
      <w:r>
        <w:rPr>
          <w:spacing w:val="-1"/>
          <w:w w:val="100"/>
        </w:rPr>
        <w:t>c</w:t>
      </w:r>
      <w:r>
        <w:rPr>
          <w:spacing w:val="2"/>
        </w:rPr>
        <w:t>o</w:t>
      </w:r>
      <w:r>
        <w:rPr/>
        <w:t>nstruir</w:t>
      </w:r>
      <w:r>
        <w:rPr>
          <w:spacing w:val="25"/>
        </w:rPr>
        <w:t> </w:t>
      </w:r>
      <w:r>
        <w:rPr>
          <w:spacing w:val="-1"/>
          <w:w w:val="100"/>
        </w:rPr>
        <w:t>e</w:t>
      </w:r>
      <w:r>
        <w:rPr>
          <w:w w:val="100"/>
        </w:rPr>
        <w:t>m</w:t>
      </w:r>
      <w:r>
        <w:rPr>
          <w:spacing w:val="26"/>
        </w:rPr>
        <w:t> </w:t>
      </w:r>
      <w:r>
        <w:rPr/>
        <w:t>todo</w:t>
      </w:r>
      <w:r>
        <w:rPr>
          <w:spacing w:val="26"/>
        </w:rPr>
        <w:t> </w:t>
      </w:r>
      <w:r>
        <w:rPr/>
        <w:t>o</w:t>
      </w:r>
      <w:r>
        <w:rPr>
          <w:spacing w:val="26"/>
        </w:rPr>
        <w:t> </w:t>
      </w:r>
      <w:r>
        <w:rPr>
          <w:spacing w:val="-2"/>
        </w:rPr>
        <w:t>B</w:t>
      </w:r>
      <w:r>
        <w:rPr>
          <w:w w:val="100"/>
        </w:rPr>
        <w:t>r</w:t>
      </w:r>
      <w:r>
        <w:rPr>
          <w:spacing w:val="-2"/>
          <w:w w:val="100"/>
        </w:rPr>
        <w:t>a</w:t>
      </w:r>
      <w:r>
        <w:rPr>
          <w:w w:val="100"/>
        </w:rPr>
        <w:t>sil</w:t>
      </w:r>
      <w:r>
        <w:rPr>
          <w:spacing w:val="29"/>
        </w:rPr>
        <w:t> </w:t>
      </w:r>
      <w:r>
        <w:rPr>
          <w:w w:val="100"/>
        </w:rPr>
        <w:t>a</w:t>
      </w:r>
      <w:r>
        <w:rPr>
          <w:spacing w:val="25"/>
        </w:rPr>
        <w:t> </w:t>
      </w:r>
      <w:r>
        <w:rPr>
          <w:w w:val="100"/>
        </w:rPr>
        <w:t>unidade</w:t>
      </w:r>
      <w:r>
        <w:rPr>
          <w:spacing w:val="24"/>
        </w:rPr>
        <w:t> </w:t>
      </w:r>
      <w:r>
        <w:rPr>
          <w:w w:val="100"/>
        </w:rPr>
        <w:t>n</w:t>
      </w:r>
      <w:r>
        <w:rPr>
          <w:spacing w:val="1"/>
          <w:w w:val="100"/>
        </w:rPr>
        <w:t>a</w:t>
      </w:r>
      <w:r>
        <w:rPr>
          <w:spacing w:val="-1"/>
          <w:w w:val="100"/>
        </w:rPr>
        <w:t>c</w:t>
      </w:r>
      <w:r>
        <w:rPr>
          <w:w w:val="100"/>
        </w:rPr>
        <w:t>ional</w:t>
      </w:r>
      <w:r>
        <w:rPr/>
        <w:t> </w:t>
      </w:r>
      <w:r>
        <w:rPr>
          <w:spacing w:val="-29"/>
        </w:rPr>
        <w:t> </w:t>
      </w:r>
      <w:r>
        <w:rPr>
          <w:spacing w:val="-1"/>
        </w:rPr>
        <w:t>e</w:t>
      </w:r>
      <w:r>
        <w:rPr/>
        <w:t>m</w:t>
      </w:r>
      <w:r>
        <w:rPr>
          <w:spacing w:val="29"/>
        </w:rPr>
        <w:t> </w:t>
      </w:r>
      <w:r>
        <w:rPr/>
        <w:t>torno</w:t>
      </w:r>
      <w:r>
        <w:rPr>
          <w:spacing w:val="25"/>
        </w:rPr>
        <w:t> </w:t>
      </w:r>
      <w:r>
        <w:rPr/>
        <w:t>de</w:t>
      </w:r>
      <w:r>
        <w:rPr>
          <w:spacing w:val="25"/>
        </w:rPr>
        <w:t> </w:t>
      </w:r>
      <w:r>
        <w:rPr>
          <w:spacing w:val="-1"/>
        </w:rPr>
        <w:t>ca</w:t>
      </w:r>
      <w:r>
        <w:rPr>
          <w:spacing w:val="2"/>
        </w:rPr>
        <w:t>d</w:t>
      </w:r>
      <w:r>
        <w:rPr/>
        <w:t>a uma das 20 metas, o que começa na busca de acordos em torno de algumas premissas importantes para o processo de pactuação‖. Ao finalizar a seção, apresenta o objetivo do </w:t>
      </w:r>
      <w:r>
        <w:rPr>
          <w:spacing w:val="-1"/>
          <w:w w:val="100"/>
        </w:rPr>
        <w:t>ca</w:t>
      </w:r>
      <w:r>
        <w:rPr>
          <w:w w:val="100"/>
        </w:rPr>
        <w:t>d</w:t>
      </w:r>
      <w:r>
        <w:rPr>
          <w:spacing w:val="-1"/>
          <w:w w:val="100"/>
        </w:rPr>
        <w:t>e</w:t>
      </w:r>
      <w:r>
        <w:rPr>
          <w:w w:val="99"/>
        </w:rPr>
        <w:t>rno,</w:t>
      </w:r>
      <w:r>
        <w:rPr>
          <w:spacing w:val="10"/>
          <w:w w:val="99"/>
        </w:rPr>
        <w:t> </w:t>
      </w:r>
      <w:r>
        <w:rPr>
          <w:w w:val="100"/>
        </w:rPr>
        <w:t>qu</w:t>
      </w:r>
      <w:r>
        <w:rPr>
          <w:spacing w:val="-1"/>
          <w:w w:val="100"/>
        </w:rPr>
        <w:t>a</w:t>
      </w:r>
      <w:r>
        <w:rPr>
          <w:w w:val="100"/>
        </w:rPr>
        <w:t>l</w:t>
      </w:r>
      <w:r>
        <w:rPr>
          <w:spacing w:val="9"/>
        </w:rPr>
        <w:t> </w:t>
      </w:r>
      <w:r>
        <w:rPr/>
        <w:t>s</w:t>
      </w:r>
      <w:r>
        <w:rPr>
          <w:spacing w:val="-1"/>
        </w:rPr>
        <w:t>e</w:t>
      </w:r>
      <w:r>
        <w:rPr>
          <w:w w:val="100"/>
        </w:rPr>
        <w:t>ja,</w:t>
      </w:r>
      <w:r>
        <w:rPr>
          <w:spacing w:val="11"/>
        </w:rPr>
        <w:t> </w:t>
      </w:r>
      <w:r>
        <w:rPr>
          <w:spacing w:val="-1"/>
          <w:w w:val="44"/>
        </w:rPr>
        <w:t>―</w:t>
      </w:r>
      <w:r>
        <w:rPr>
          <w:w w:val="99"/>
        </w:rPr>
        <w:t>p</w:t>
      </w:r>
      <w:r>
        <w:rPr>
          <w:spacing w:val="-1"/>
          <w:w w:val="99"/>
        </w:rPr>
        <w:t>r</w:t>
      </w:r>
      <w:r>
        <w:rPr>
          <w:spacing w:val="2"/>
          <w:w w:val="99"/>
        </w:rPr>
        <w:t>o</w:t>
      </w:r>
      <w:r>
        <w:rPr>
          <w:w w:val="100"/>
        </w:rPr>
        <w:t>mover</w:t>
      </w:r>
      <w:r>
        <w:rPr>
          <w:spacing w:val="8"/>
        </w:rPr>
        <w:t> </w:t>
      </w:r>
      <w:r>
        <w:rPr>
          <w:spacing w:val="-1"/>
          <w:w w:val="100"/>
        </w:rPr>
        <w:t>a</w:t>
      </w:r>
      <w:r>
        <w:rPr>
          <w:w w:val="100"/>
        </w:rPr>
        <w:t>poio</w:t>
      </w:r>
      <w:r>
        <w:rPr>
          <w:spacing w:val="9"/>
          <w:w w:val="100"/>
        </w:rPr>
        <w:t> </w:t>
      </w:r>
      <w:r>
        <w:rPr>
          <w:w w:val="100"/>
        </w:rPr>
        <w:t>té</w:t>
      </w:r>
      <w:r>
        <w:rPr>
          <w:spacing w:val="-2"/>
          <w:w w:val="100"/>
        </w:rPr>
        <w:t>c</w:t>
      </w:r>
      <w:r>
        <w:rPr>
          <w:w w:val="100"/>
        </w:rPr>
        <w:t>n</w:t>
      </w:r>
      <w:r>
        <w:rPr>
          <w:spacing w:val="2"/>
          <w:w w:val="100"/>
        </w:rPr>
        <w:t>i</w:t>
      </w:r>
      <w:r>
        <w:rPr>
          <w:spacing w:val="-1"/>
          <w:w w:val="100"/>
        </w:rPr>
        <w:t>c</w:t>
      </w:r>
      <w:r>
        <w:rPr/>
        <w:t>o</w:t>
      </w:r>
      <w:r>
        <w:rPr>
          <w:spacing w:val="9"/>
        </w:rPr>
        <w:t> </w:t>
      </w:r>
      <w:r>
        <w:rPr>
          <w:spacing w:val="-1"/>
          <w:w w:val="100"/>
        </w:rPr>
        <w:t>a</w:t>
      </w:r>
      <w:r>
        <w:rPr/>
        <w:t>o</w:t>
      </w:r>
      <w:r>
        <w:rPr>
          <w:spacing w:val="9"/>
        </w:rPr>
        <w:t> </w:t>
      </w:r>
      <w:r>
        <w:rPr>
          <w:spacing w:val="2"/>
          <w:w w:val="100"/>
        </w:rPr>
        <w:t>t</w:t>
      </w:r>
      <w:r>
        <w:rPr>
          <w:w w:val="100"/>
        </w:rPr>
        <w:t>r</w:t>
      </w:r>
      <w:r>
        <w:rPr>
          <w:spacing w:val="-2"/>
          <w:w w:val="100"/>
        </w:rPr>
        <w:t>a</w:t>
      </w:r>
      <w:r>
        <w:rPr>
          <w:w w:val="100"/>
        </w:rPr>
        <w:t>b</w:t>
      </w:r>
      <w:r>
        <w:rPr>
          <w:spacing w:val="-1"/>
          <w:w w:val="100"/>
        </w:rPr>
        <w:t>a</w:t>
      </w:r>
      <w:r>
        <w:rPr>
          <w:w w:val="100"/>
        </w:rPr>
        <w:t>lho</w:t>
      </w:r>
      <w:r>
        <w:rPr>
          <w:spacing w:val="9"/>
        </w:rPr>
        <w:t> </w:t>
      </w:r>
      <w:r>
        <w:rPr>
          <w:w w:val="99"/>
        </w:rPr>
        <w:t>dos</w:t>
      </w:r>
      <w:r>
        <w:rPr>
          <w:spacing w:val="9"/>
        </w:rPr>
        <w:t> </w:t>
      </w:r>
      <w:r>
        <w:rPr/>
        <w:t>Dir</w:t>
      </w:r>
      <w:r>
        <w:rPr>
          <w:spacing w:val="1"/>
        </w:rPr>
        <w:t>i</w:t>
      </w:r>
      <w:r>
        <w:rPr>
          <w:spacing w:val="-3"/>
        </w:rPr>
        <w:t>g</w:t>
      </w:r>
      <w:r>
        <w:rPr>
          <w:spacing w:val="-1"/>
          <w:w w:val="100"/>
        </w:rPr>
        <w:t>e</w:t>
      </w:r>
      <w:r>
        <w:rPr>
          <w:w w:val="100"/>
        </w:rPr>
        <w:t>n</w:t>
      </w:r>
      <w:r>
        <w:rPr>
          <w:spacing w:val="7"/>
          <w:w w:val="100"/>
        </w:rPr>
        <w:t>t</w:t>
      </w:r>
      <w:r>
        <w:rPr>
          <w:spacing w:val="-1"/>
        </w:rPr>
        <w:t>e</w:t>
      </w:r>
      <w:r>
        <w:rPr>
          <w:w w:val="99"/>
        </w:rPr>
        <w:t>s</w:t>
      </w:r>
      <w:r>
        <w:rPr>
          <w:spacing w:val="12"/>
        </w:rPr>
        <w:t> </w:t>
      </w:r>
      <w:r>
        <w:rPr/>
        <w:t>Muni</w:t>
      </w:r>
      <w:r>
        <w:rPr>
          <w:spacing w:val="-1"/>
        </w:rPr>
        <w:t>c</w:t>
      </w:r>
      <w:r>
        <w:rPr/>
        <w:t>ipais,</w:t>
      </w:r>
      <w:r>
        <w:rPr>
          <w:spacing w:val="9"/>
        </w:rPr>
        <w:t> </w:t>
      </w:r>
      <w:r>
        <w:rPr/>
        <w:t>d</w:t>
      </w:r>
      <w:r>
        <w:rPr>
          <w:spacing w:val="-1"/>
        </w:rPr>
        <w:t>a</w:t>
      </w:r>
      <w:r>
        <w:rPr>
          <w:w w:val="99"/>
        </w:rPr>
        <w:t>s </w:t>
      </w:r>
      <w:r>
        <w:rPr/>
        <w:t>equipes técnicas e das Comissões que se dedicarão a coordenar o trabalho em cada um dos 5.570 Municípios do nosso</w:t>
      </w:r>
      <w:r>
        <w:rPr>
          <w:spacing w:val="38"/>
        </w:rPr>
        <w:t> </w:t>
      </w:r>
      <w:r>
        <w:rPr/>
        <w:t>país‖.</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0" w:lineRule="auto" w:before="210"/>
        <w:ind w:left="102" w:right="115" w:firstLine="851"/>
        <w:jc w:val="both"/>
      </w:pPr>
      <w:r>
        <w:rPr/>
        <w:t>Na segunda seção, </w:t>
      </w:r>
      <w:r>
        <w:rPr>
          <w:i/>
        </w:rPr>
        <w:t>Premissas Importantes </w:t>
      </w:r>
      <w:r>
        <w:rPr/>
        <w:t>(p.7), o Caderno aponta a exigência de agilidade e organicidade na adequação e/ou elaboração do PME, tendo em vista o prazo de um ano estabelecido no PNE e, ao fazer essas exigências, explicita seu </w:t>
      </w:r>
      <w:r>
        <w:rPr>
          <w:spacing w:val="-1"/>
          <w:w w:val="100"/>
        </w:rPr>
        <w:t>c</w:t>
      </w:r>
      <w:r>
        <w:rPr>
          <w:w w:val="100"/>
        </w:rPr>
        <w:t>on</w:t>
      </w:r>
      <w:r>
        <w:rPr>
          <w:spacing w:val="-1"/>
          <w:w w:val="100"/>
        </w:rPr>
        <w:t>c</w:t>
      </w:r>
      <w:r>
        <w:rPr>
          <w:spacing w:val="-1"/>
          <w:w w:val="100"/>
        </w:rPr>
        <w:t>e</w:t>
      </w:r>
      <w:r>
        <w:rPr>
          <w:w w:val="100"/>
        </w:rPr>
        <w:t>it</w:t>
      </w:r>
      <w:r>
        <w:rPr/>
        <w:t>o</w:t>
      </w:r>
      <w:r>
        <w:rPr>
          <w:spacing w:val="6"/>
        </w:rPr>
        <w:t> </w:t>
      </w:r>
      <w:r>
        <w:rPr>
          <w:w w:val="100"/>
        </w:rPr>
        <w:t>de</w:t>
      </w:r>
      <w:r>
        <w:rPr>
          <w:spacing w:val="8"/>
        </w:rPr>
        <w:t> </w:t>
      </w:r>
      <w:r>
        <w:rPr>
          <w:w w:val="100"/>
        </w:rPr>
        <w:t>plan</w:t>
      </w:r>
      <w:r>
        <w:rPr>
          <w:spacing w:val="-2"/>
          <w:w w:val="100"/>
        </w:rPr>
        <w:t>e</w:t>
      </w:r>
      <w:r>
        <w:rPr>
          <w:w w:val="100"/>
        </w:rPr>
        <w:t>ja</w:t>
      </w:r>
      <w:r>
        <w:rPr>
          <w:spacing w:val="2"/>
          <w:w w:val="100"/>
        </w:rPr>
        <w:t>m</w:t>
      </w:r>
      <w:r>
        <w:rPr>
          <w:spacing w:val="-1"/>
          <w:w w:val="100"/>
        </w:rPr>
        <w:t>e</w:t>
      </w:r>
      <w:r>
        <w:rPr>
          <w:w w:val="100"/>
        </w:rPr>
        <w:t>nto</w:t>
      </w:r>
      <w:r>
        <w:rPr>
          <w:spacing w:val="7"/>
        </w:rPr>
        <w:t> </w:t>
      </w:r>
      <w:r>
        <w:rPr>
          <w:spacing w:val="-1"/>
          <w:w w:val="100"/>
        </w:rPr>
        <w:t>c</w:t>
      </w:r>
      <w:r>
        <w:rPr>
          <w:w w:val="100"/>
        </w:rPr>
        <w:t>omo</w:t>
      </w:r>
      <w:r>
        <w:rPr>
          <w:spacing w:val="7"/>
          <w:w w:val="100"/>
        </w:rPr>
        <w:t> </w:t>
      </w:r>
      <w:r>
        <w:rPr>
          <w:w w:val="100"/>
        </w:rPr>
        <w:t>s</w:t>
      </w:r>
      <w:r>
        <w:rPr>
          <w:spacing w:val="-1"/>
          <w:w w:val="100"/>
        </w:rPr>
        <w:t>e</w:t>
      </w:r>
      <w:r>
        <w:rPr>
          <w:w w:val="100"/>
        </w:rPr>
        <w:t>ndo</w:t>
      </w:r>
      <w:r>
        <w:rPr>
          <w:spacing w:val="9"/>
          <w:w w:val="100"/>
        </w:rPr>
        <w:t> </w:t>
      </w:r>
      <w:r>
        <w:rPr>
          <w:w w:val="100"/>
        </w:rPr>
        <w:t>a</w:t>
      </w:r>
      <w:r>
        <w:rPr>
          <w:spacing w:val="6"/>
        </w:rPr>
        <w:t> </w:t>
      </w:r>
      <w:r>
        <w:rPr>
          <w:w w:val="100"/>
        </w:rPr>
        <w:t>p</w:t>
      </w:r>
      <w:r>
        <w:rPr>
          <w:spacing w:val="1"/>
          <w:w w:val="100"/>
        </w:rPr>
        <w:t>a</w:t>
      </w:r>
      <w:r>
        <w:rPr>
          <w:w w:val="100"/>
        </w:rPr>
        <w:t>rtir</w:t>
      </w:r>
      <w:r>
        <w:rPr>
          <w:spacing w:val="6"/>
        </w:rPr>
        <w:t> </w:t>
      </w:r>
      <w:r>
        <w:rPr/>
        <w:t>d</w:t>
      </w:r>
      <w:r>
        <w:rPr>
          <w:spacing w:val="2"/>
        </w:rPr>
        <w:t>o</w:t>
      </w:r>
      <w:r>
        <w:rPr>
          <w:w w:val="99"/>
        </w:rPr>
        <w:t>s</w:t>
      </w:r>
      <w:r>
        <w:rPr>
          <w:spacing w:val="7"/>
        </w:rPr>
        <w:t> </w:t>
      </w:r>
      <w:r>
        <w:rPr>
          <w:spacing w:val="-1"/>
          <w:w w:val="100"/>
        </w:rPr>
        <w:t>e</w:t>
      </w:r>
      <w:r>
        <w:rPr>
          <w:w w:val="100"/>
        </w:rPr>
        <w:t>lem</w:t>
      </w:r>
      <w:r>
        <w:rPr>
          <w:spacing w:val="-1"/>
          <w:w w:val="100"/>
        </w:rPr>
        <w:t>e</w:t>
      </w:r>
      <w:r>
        <w:rPr>
          <w:w w:val="100"/>
        </w:rPr>
        <w:t>ntos:</w:t>
      </w:r>
      <w:r>
        <w:rPr>
          <w:spacing w:val="7"/>
          <w:w w:val="100"/>
        </w:rPr>
        <w:t> </w:t>
      </w:r>
      <w:r>
        <w:rPr>
          <w:spacing w:val="3"/>
          <w:w w:val="44"/>
        </w:rPr>
        <w:t>―</w:t>
      </w:r>
      <w:r>
        <w:rPr>
          <w:b/>
          <w:w w:val="99"/>
        </w:rPr>
        <w:t>levant</w:t>
      </w:r>
      <w:r>
        <w:rPr>
          <w:b/>
          <w:spacing w:val="1"/>
          <w:w w:val="99"/>
        </w:rPr>
        <w:t>a</w:t>
      </w:r>
      <w:r>
        <w:rPr>
          <w:b/>
          <w:spacing w:val="-1"/>
          <w:w w:val="99"/>
        </w:rPr>
        <w:t>m</w:t>
      </w:r>
      <w:r>
        <w:rPr>
          <w:b/>
          <w:spacing w:val="1"/>
          <w:w w:val="99"/>
        </w:rPr>
        <w:t>e</w:t>
      </w:r>
      <w:r>
        <w:rPr>
          <w:b/>
          <w:w w:val="99"/>
        </w:rPr>
        <w:t>n</w:t>
      </w:r>
      <w:r>
        <w:rPr>
          <w:b/>
          <w:w w:val="99"/>
        </w:rPr>
        <w:t>to</w:t>
      </w:r>
      <w:r>
        <w:rPr>
          <w:b/>
          <w:spacing w:val="6"/>
          <w:w w:val="99"/>
        </w:rPr>
        <w:t> </w:t>
      </w:r>
      <w:r>
        <w:rPr>
          <w:b/>
          <w:w w:val="99"/>
        </w:rPr>
        <w:t>d</w:t>
      </w:r>
      <w:r>
        <w:rPr>
          <w:b/>
        </w:rPr>
        <w:t>e</w:t>
      </w:r>
      <w:r>
        <w:rPr>
          <w:b/>
          <w:spacing w:val="6"/>
        </w:rPr>
        <w:t> </w:t>
      </w:r>
      <w:r>
        <w:rPr>
          <w:b/>
          <w:w w:val="99"/>
        </w:rPr>
        <w:t>d</w:t>
      </w:r>
      <w:r>
        <w:rPr>
          <w:b/>
          <w:w w:val="99"/>
        </w:rPr>
        <w:t>ados </w:t>
      </w:r>
      <w:r>
        <w:rPr>
          <w:b/>
        </w:rPr>
        <w:t>e informações</w:t>
      </w:r>
      <w:r>
        <w:rPr/>
        <w:t>, estudos, análises, consultas públicas, </w:t>
      </w:r>
      <w:r>
        <w:rPr>
          <w:b/>
        </w:rPr>
        <w:t>decisões e acordos políticos</w:t>
      </w:r>
      <w:r>
        <w:rPr/>
        <w:t>‖. Aind</w:t>
      </w:r>
      <w:r>
        <w:rPr>
          <w:spacing w:val="-1"/>
        </w:rPr>
        <w:t>a</w:t>
      </w:r>
      <w:r>
        <w:rPr/>
        <w:t>, </w:t>
      </w:r>
      <w:r>
        <w:rPr>
          <w:spacing w:val="-30"/>
        </w:rPr>
        <w:t> </w:t>
      </w:r>
      <w:r>
        <w:rPr>
          <w:w w:val="100"/>
        </w:rPr>
        <w:t>d</w:t>
      </w:r>
      <w:r>
        <w:rPr>
          <w:spacing w:val="1"/>
          <w:w w:val="100"/>
        </w:rPr>
        <w:t>e</w:t>
      </w:r>
      <w:r>
        <w:rPr>
          <w:w w:val="100"/>
        </w:rPr>
        <w:t>fine</w:t>
      </w:r>
      <w:r>
        <w:rPr>
          <w:spacing w:val="29"/>
        </w:rPr>
        <w:t> </w:t>
      </w:r>
      <w:r>
        <w:rPr/>
        <w:t>o </w:t>
      </w:r>
      <w:r>
        <w:rPr>
          <w:spacing w:val="-27"/>
        </w:rPr>
        <w:t> </w:t>
      </w:r>
      <w:r>
        <w:rPr>
          <w:w w:val="99"/>
        </w:rPr>
        <w:t>P</w:t>
      </w:r>
      <w:r>
        <w:rPr/>
        <w:t>ME </w:t>
      </w:r>
      <w:r>
        <w:rPr>
          <w:spacing w:val="-30"/>
        </w:rPr>
        <w:t> </w:t>
      </w:r>
      <w:r>
        <w:rPr>
          <w:spacing w:val="-1"/>
          <w:w w:val="100"/>
        </w:rPr>
        <w:t>c</w:t>
      </w:r>
      <w:r>
        <w:rPr>
          <w:spacing w:val="2"/>
        </w:rPr>
        <w:t>o</w:t>
      </w:r>
      <w:r>
        <w:rPr>
          <w:w w:val="100"/>
        </w:rPr>
        <w:t>mo</w:t>
      </w:r>
      <w:r>
        <w:rPr/>
        <w:t> </w:t>
      </w:r>
      <w:r>
        <w:rPr>
          <w:spacing w:val="-29"/>
        </w:rPr>
        <w:t> </w:t>
      </w:r>
      <w:r>
        <w:rPr>
          <w:w w:val="100"/>
        </w:rPr>
        <w:t>um</w:t>
      </w:r>
      <w:r>
        <w:rPr/>
        <w:t> </w:t>
      </w:r>
      <w:r>
        <w:rPr>
          <w:spacing w:val="-29"/>
        </w:rPr>
        <w:t> </w:t>
      </w:r>
      <w:r>
        <w:rPr>
          <w:w w:val="100"/>
        </w:rPr>
        <w:t>plano</w:t>
      </w:r>
      <w:r>
        <w:rPr/>
        <w:t> </w:t>
      </w:r>
      <w:r>
        <w:rPr>
          <w:spacing w:val="-28"/>
        </w:rPr>
        <w:t> </w:t>
      </w:r>
      <w:r>
        <w:rPr>
          <w:spacing w:val="-1"/>
          <w:w w:val="44"/>
        </w:rPr>
        <w:t>―</w:t>
      </w:r>
      <w:r>
        <w:rPr>
          <w:w w:val="100"/>
        </w:rPr>
        <w:t>de</w:t>
      </w:r>
      <w:r>
        <w:rPr/>
        <w:t> </w:t>
      </w:r>
      <w:r>
        <w:rPr>
          <w:spacing w:val="-25"/>
        </w:rPr>
        <w:t> </w:t>
      </w:r>
      <w:r>
        <w:rPr>
          <w:b/>
          <w:w w:val="99"/>
        </w:rPr>
        <w:t>todos</w:t>
      </w:r>
      <w:r>
        <w:rPr>
          <w:b/>
        </w:rPr>
        <w:t> </w:t>
      </w:r>
      <w:r>
        <w:rPr>
          <w:b/>
          <w:spacing w:val="-28"/>
        </w:rPr>
        <w:t> </w:t>
      </w:r>
      <w:r>
        <w:rPr/>
        <w:t>que </w:t>
      </w:r>
      <w:r>
        <w:rPr>
          <w:spacing w:val="-30"/>
        </w:rPr>
        <w:t> </w:t>
      </w:r>
      <w:r>
        <w:rPr/>
        <w:t>mo</w:t>
      </w:r>
      <w:r>
        <w:rPr>
          <w:spacing w:val="1"/>
        </w:rPr>
        <w:t>r</w:t>
      </w:r>
      <w:r>
        <w:rPr>
          <w:spacing w:val="-1"/>
        </w:rPr>
        <w:t>a</w:t>
      </w:r>
      <w:r>
        <w:rPr/>
        <w:t>m </w:t>
      </w:r>
      <w:r>
        <w:rPr>
          <w:spacing w:val="-29"/>
        </w:rPr>
        <w:t> </w:t>
      </w:r>
      <w:r>
        <w:rPr/>
        <w:t>no </w:t>
      </w:r>
      <w:r>
        <w:rPr>
          <w:spacing w:val="-30"/>
        </w:rPr>
        <w:t> </w:t>
      </w:r>
      <w:r>
        <w:rPr/>
        <w:t>Mun</w:t>
      </w:r>
      <w:r>
        <w:rPr>
          <w:spacing w:val="2"/>
        </w:rPr>
        <w:t>i</w:t>
      </w:r>
      <w:r>
        <w:rPr>
          <w:spacing w:val="-1"/>
        </w:rPr>
        <w:t>c</w:t>
      </w:r>
      <w:r>
        <w:rPr/>
        <w:t>ípio; </w:t>
      </w:r>
      <w:r>
        <w:rPr>
          <w:spacing w:val="-29"/>
        </w:rPr>
        <w:t> </w:t>
      </w:r>
      <w:r>
        <w:rPr/>
        <w:t>port</w:t>
      </w:r>
      <w:r>
        <w:rPr>
          <w:spacing w:val="-2"/>
        </w:rPr>
        <w:t>a</w:t>
      </w:r>
      <w:r>
        <w:rPr/>
        <w:t>nto, todas as necessidades educacionais do cidadão devem estar presentes no Plano, o que  vai muito além das possibilidades de oferta educacional direta da Prefeitura‖ (Grifos nossos).</w:t>
      </w:r>
    </w:p>
    <w:p>
      <w:pPr>
        <w:spacing w:line="360" w:lineRule="auto" w:before="5"/>
        <w:ind w:left="102" w:right="114" w:firstLine="851"/>
        <w:jc w:val="both"/>
        <w:rPr>
          <w:sz w:val="24"/>
        </w:rPr>
      </w:pPr>
      <w:r>
        <w:rPr>
          <w:sz w:val="24"/>
        </w:rPr>
        <w:t>Continuando na mesma seção (BRASIL, 2014, p. 7), o Caderno discute a necessidade de vinculação entre o projeto de educação, definido por meio do PME, e o </w:t>
      </w:r>
      <w:r>
        <w:rPr>
          <w:w w:val="99"/>
          <w:sz w:val="24"/>
        </w:rPr>
        <w:t>p</w:t>
      </w:r>
      <w:r>
        <w:rPr>
          <w:spacing w:val="-1"/>
          <w:w w:val="99"/>
          <w:sz w:val="24"/>
        </w:rPr>
        <w:t>r</w:t>
      </w:r>
      <w:r>
        <w:rPr>
          <w:w w:val="100"/>
          <w:sz w:val="24"/>
        </w:rPr>
        <w:t>ojeto</w:t>
      </w:r>
      <w:r>
        <w:rPr>
          <w:sz w:val="24"/>
        </w:rPr>
        <w:t> </w:t>
      </w:r>
      <w:r>
        <w:rPr>
          <w:spacing w:val="-20"/>
          <w:sz w:val="24"/>
        </w:rPr>
        <w:t> </w:t>
      </w:r>
      <w:r>
        <w:rPr>
          <w:w w:val="100"/>
          <w:sz w:val="24"/>
        </w:rPr>
        <w:t>de</w:t>
      </w:r>
      <w:r>
        <w:rPr>
          <w:sz w:val="24"/>
        </w:rPr>
        <w:t> </w:t>
      </w:r>
      <w:r>
        <w:rPr>
          <w:spacing w:val="-21"/>
          <w:sz w:val="24"/>
        </w:rPr>
        <w:t> </w:t>
      </w:r>
      <w:r>
        <w:rPr>
          <w:spacing w:val="-3"/>
          <w:sz w:val="24"/>
        </w:rPr>
        <w:t>g</w:t>
      </w:r>
      <w:r>
        <w:rPr>
          <w:w w:val="100"/>
          <w:sz w:val="24"/>
        </w:rPr>
        <w:t>ov</w:t>
      </w:r>
      <w:r>
        <w:rPr>
          <w:spacing w:val="-1"/>
          <w:w w:val="100"/>
          <w:sz w:val="24"/>
        </w:rPr>
        <w:t>e</w:t>
      </w:r>
      <w:r>
        <w:rPr>
          <w:w w:val="99"/>
          <w:sz w:val="24"/>
        </w:rPr>
        <w:t>rno </w:t>
      </w:r>
      <w:r>
        <w:rPr>
          <w:spacing w:val="-21"/>
          <w:w w:val="99"/>
          <w:sz w:val="24"/>
        </w:rPr>
        <w:t> </w:t>
      </w:r>
      <w:r>
        <w:rPr>
          <w:spacing w:val="-1"/>
          <w:w w:val="100"/>
          <w:sz w:val="24"/>
        </w:rPr>
        <w:t>a</w:t>
      </w:r>
      <w:r>
        <w:rPr>
          <w:sz w:val="24"/>
        </w:rPr>
        <w:t>o </w:t>
      </w:r>
      <w:r>
        <w:rPr>
          <w:spacing w:val="-20"/>
          <w:sz w:val="24"/>
        </w:rPr>
        <w:t> </w:t>
      </w:r>
      <w:r>
        <w:rPr>
          <w:spacing w:val="1"/>
          <w:w w:val="100"/>
          <w:sz w:val="24"/>
        </w:rPr>
        <w:t>a</w:t>
      </w:r>
      <w:r>
        <w:rPr>
          <w:w w:val="100"/>
          <w:sz w:val="24"/>
        </w:rPr>
        <w:t>fi</w:t>
      </w:r>
      <w:r>
        <w:rPr>
          <w:spacing w:val="-1"/>
          <w:w w:val="100"/>
          <w:sz w:val="24"/>
        </w:rPr>
        <w:t>r</w:t>
      </w:r>
      <w:r>
        <w:rPr>
          <w:w w:val="100"/>
          <w:sz w:val="24"/>
        </w:rPr>
        <w:t>mar</w:t>
      </w:r>
      <w:r>
        <w:rPr>
          <w:sz w:val="24"/>
        </w:rPr>
        <w:t> </w:t>
      </w:r>
      <w:r>
        <w:rPr>
          <w:spacing w:val="-21"/>
          <w:sz w:val="24"/>
        </w:rPr>
        <w:t> </w:t>
      </w:r>
      <w:r>
        <w:rPr>
          <w:w w:val="100"/>
          <w:sz w:val="24"/>
        </w:rPr>
        <w:t>qu</w:t>
      </w:r>
      <w:r>
        <w:rPr>
          <w:spacing w:val="-1"/>
          <w:w w:val="100"/>
          <w:sz w:val="24"/>
        </w:rPr>
        <w:t>e</w:t>
      </w:r>
      <w:r>
        <w:rPr>
          <w:w w:val="100"/>
          <w:sz w:val="24"/>
        </w:rPr>
        <w:t>:</w:t>
      </w:r>
      <w:r>
        <w:rPr>
          <w:sz w:val="24"/>
        </w:rPr>
        <w:t> </w:t>
      </w:r>
      <w:r>
        <w:rPr>
          <w:spacing w:val="-19"/>
          <w:sz w:val="24"/>
        </w:rPr>
        <w:t> </w:t>
      </w:r>
      <w:r>
        <w:rPr>
          <w:spacing w:val="-1"/>
          <w:w w:val="44"/>
          <w:sz w:val="24"/>
        </w:rPr>
        <w:t>―</w:t>
      </w:r>
      <w:r>
        <w:rPr>
          <w:w w:val="100"/>
          <w:sz w:val="24"/>
        </w:rPr>
        <w:t>p</w:t>
      </w:r>
      <w:r>
        <w:rPr>
          <w:spacing w:val="-1"/>
          <w:w w:val="100"/>
          <w:sz w:val="24"/>
        </w:rPr>
        <w:t>a</w:t>
      </w:r>
      <w:r>
        <w:rPr>
          <w:spacing w:val="1"/>
          <w:w w:val="99"/>
          <w:sz w:val="24"/>
        </w:rPr>
        <w:t>r</w:t>
      </w:r>
      <w:r>
        <w:rPr>
          <w:w w:val="100"/>
          <w:sz w:val="24"/>
        </w:rPr>
        <w:t>a</w:t>
      </w:r>
      <w:r>
        <w:rPr>
          <w:sz w:val="24"/>
        </w:rPr>
        <w:t> </w:t>
      </w:r>
      <w:r>
        <w:rPr>
          <w:spacing w:val="-21"/>
          <w:sz w:val="24"/>
        </w:rPr>
        <w:t> </w:t>
      </w:r>
      <w:r>
        <w:rPr>
          <w:spacing w:val="-1"/>
          <w:w w:val="100"/>
          <w:sz w:val="24"/>
        </w:rPr>
        <w:t>a</w:t>
      </w:r>
      <w:r>
        <w:rPr>
          <w:w w:val="99"/>
          <w:sz w:val="24"/>
        </w:rPr>
        <w:t>ss</w:t>
      </w:r>
      <w:r>
        <w:rPr>
          <w:spacing w:val="1"/>
          <w:w w:val="99"/>
          <w:sz w:val="24"/>
        </w:rPr>
        <w:t>e</w:t>
      </w:r>
      <w:r>
        <w:rPr>
          <w:w w:val="100"/>
          <w:sz w:val="24"/>
        </w:rPr>
        <w:t>gur</w:t>
      </w:r>
      <w:r>
        <w:rPr>
          <w:spacing w:val="-2"/>
          <w:w w:val="100"/>
          <w:sz w:val="24"/>
        </w:rPr>
        <w:t>a</w:t>
      </w:r>
      <w:r>
        <w:rPr>
          <w:w w:val="99"/>
          <w:sz w:val="24"/>
        </w:rPr>
        <w:t>r </w:t>
      </w:r>
      <w:r>
        <w:rPr>
          <w:spacing w:val="-21"/>
          <w:w w:val="99"/>
          <w:sz w:val="24"/>
        </w:rPr>
        <w:t> </w:t>
      </w:r>
      <w:r>
        <w:rPr>
          <w:w w:val="100"/>
          <w:sz w:val="24"/>
        </w:rPr>
        <w:t>qu</w:t>
      </w:r>
      <w:r>
        <w:rPr>
          <w:spacing w:val="-1"/>
          <w:w w:val="100"/>
          <w:sz w:val="24"/>
        </w:rPr>
        <w:t>a</w:t>
      </w:r>
      <w:r>
        <w:rPr>
          <w:w w:val="100"/>
          <w:sz w:val="24"/>
        </w:rPr>
        <w:t>li</w:t>
      </w:r>
      <w:r>
        <w:rPr>
          <w:w w:val="100"/>
          <w:sz w:val="24"/>
        </w:rPr>
        <w:t>d</w:t>
      </w:r>
      <w:r>
        <w:rPr>
          <w:spacing w:val="-1"/>
          <w:w w:val="100"/>
          <w:sz w:val="24"/>
        </w:rPr>
        <w:t>a</w:t>
      </w:r>
      <w:r>
        <w:rPr>
          <w:w w:val="100"/>
          <w:sz w:val="24"/>
        </w:rPr>
        <w:t>de</w:t>
      </w:r>
      <w:r>
        <w:rPr>
          <w:sz w:val="24"/>
        </w:rPr>
        <w:t> </w:t>
      </w:r>
      <w:r>
        <w:rPr>
          <w:spacing w:val="-21"/>
          <w:sz w:val="24"/>
        </w:rPr>
        <w:t> </w:t>
      </w:r>
      <w:r>
        <w:rPr>
          <w:w w:val="100"/>
          <w:sz w:val="24"/>
        </w:rPr>
        <w:t>e</w:t>
      </w:r>
      <w:r>
        <w:rPr>
          <w:sz w:val="24"/>
        </w:rPr>
        <w:t> </w:t>
      </w:r>
      <w:r>
        <w:rPr>
          <w:spacing w:val="-21"/>
          <w:sz w:val="24"/>
        </w:rPr>
        <w:t> </w:t>
      </w:r>
      <w:r>
        <w:rPr>
          <w:w w:val="100"/>
          <w:sz w:val="24"/>
        </w:rPr>
        <w:t>d</w:t>
      </w:r>
      <w:r>
        <w:rPr>
          <w:spacing w:val="-1"/>
          <w:w w:val="100"/>
          <w:sz w:val="24"/>
        </w:rPr>
        <w:t>a</w:t>
      </w:r>
      <w:r>
        <w:rPr>
          <w:w w:val="99"/>
          <w:sz w:val="24"/>
        </w:rPr>
        <w:t>r </w:t>
      </w:r>
      <w:r>
        <w:rPr>
          <w:spacing w:val="-16"/>
          <w:w w:val="99"/>
          <w:sz w:val="24"/>
        </w:rPr>
        <w:t> </w:t>
      </w:r>
      <w:r>
        <w:rPr>
          <w:w w:val="99"/>
          <w:sz w:val="24"/>
        </w:rPr>
        <w:t>p</w:t>
      </w:r>
      <w:r>
        <w:rPr>
          <w:spacing w:val="-1"/>
          <w:w w:val="99"/>
          <w:sz w:val="24"/>
        </w:rPr>
        <w:t>e</w:t>
      </w:r>
      <w:r>
        <w:rPr>
          <w:spacing w:val="2"/>
          <w:w w:val="99"/>
          <w:sz w:val="24"/>
        </w:rPr>
        <w:t>s</w:t>
      </w:r>
      <w:r>
        <w:rPr>
          <w:sz w:val="24"/>
        </w:rPr>
        <w:t>o </w:t>
      </w:r>
      <w:r>
        <w:rPr>
          <w:spacing w:val="-20"/>
          <w:sz w:val="24"/>
        </w:rPr>
        <w:t> </w:t>
      </w:r>
      <w:r>
        <w:rPr>
          <w:sz w:val="24"/>
        </w:rPr>
        <w:t>políti</w:t>
      </w:r>
      <w:r>
        <w:rPr>
          <w:spacing w:val="-1"/>
          <w:sz w:val="24"/>
        </w:rPr>
        <w:t>c</w:t>
      </w:r>
      <w:r>
        <w:rPr>
          <w:sz w:val="24"/>
        </w:rPr>
        <w:t>o </w:t>
      </w:r>
      <w:r>
        <w:rPr>
          <w:spacing w:val="-20"/>
          <w:sz w:val="24"/>
        </w:rPr>
        <w:t> </w:t>
      </w:r>
      <w:r>
        <w:rPr>
          <w:spacing w:val="-1"/>
          <w:sz w:val="24"/>
        </w:rPr>
        <w:t>a</w:t>
      </w:r>
      <w:r>
        <w:rPr>
          <w:sz w:val="24"/>
        </w:rPr>
        <w:t>o Plano, é desejável que o </w:t>
      </w:r>
      <w:r>
        <w:rPr>
          <w:b/>
          <w:sz w:val="24"/>
        </w:rPr>
        <w:t>Prefeito e seus secretários assumam papel de destaque</w:t>
      </w:r>
      <w:r>
        <w:rPr>
          <w:sz w:val="24"/>
        </w:rPr>
        <w:t>, como importantes lideranças na construção das decisões que </w:t>
      </w:r>
      <w:r>
        <w:rPr>
          <w:b/>
          <w:sz w:val="24"/>
        </w:rPr>
        <w:t>vincularão </w:t>
      </w:r>
      <w:r>
        <w:rPr>
          <w:sz w:val="24"/>
        </w:rPr>
        <w:t>o </w:t>
      </w:r>
      <w:r>
        <w:rPr>
          <w:b/>
          <w:sz w:val="24"/>
        </w:rPr>
        <w:t>projeto educacional com o projeto de desenvolvimento</w:t>
      </w:r>
      <w:r>
        <w:rPr>
          <w:b/>
          <w:spacing w:val="32"/>
          <w:sz w:val="24"/>
        </w:rPr>
        <w:t> </w:t>
      </w:r>
      <w:r>
        <w:rPr>
          <w:b/>
          <w:sz w:val="24"/>
        </w:rPr>
        <w:t>local</w:t>
      </w:r>
      <w:r>
        <w:rPr>
          <w:sz w:val="24"/>
        </w:rPr>
        <w:t>.‖</w:t>
      </w:r>
    </w:p>
    <w:p>
      <w:pPr>
        <w:pStyle w:val="BodyText"/>
        <w:spacing w:line="360" w:lineRule="auto" w:before="5"/>
        <w:ind w:left="102" w:right="118" w:firstLine="851"/>
        <w:jc w:val="both"/>
      </w:pPr>
      <w:r>
        <w:rPr/>
        <w:t>Também como </w:t>
      </w:r>
      <w:r>
        <w:rPr>
          <w:i/>
        </w:rPr>
        <w:t>premissas importantes</w:t>
      </w:r>
      <w:r>
        <w:rPr/>
        <w:t>, o Caderno (p. 8) pontua outras necessidades como: o alinhamento, dos PMEs ao PEE e PNE; a abrangência, sendo plano para todo o território municipal e não para a rede municipal de educação ou sistema municipal; a intersetorialidade; o conhecimento aprofundado da realidade vivenciada, possibilitando a projeção futura em decisões coerentes e pactuadas; a articulação com os demais instrumentos de planejamento como o Plano Plurianual (PPA), a Lei de Diretrizes Orçamentárias (LDO), a Lei Orçamentária Anual (LOA) e o Plano de Ações Articuladas (PAR); e, por fim, o entendimento de que o Plano necessita ser aprovado em forma de Lei para que seja legítimo:</w:t>
      </w:r>
    </w:p>
    <w:p>
      <w:pPr>
        <w:pStyle w:val="BodyText"/>
        <w:spacing w:before="2"/>
        <w:rPr>
          <w:sz w:val="30"/>
        </w:rPr>
      </w:pPr>
    </w:p>
    <w:p>
      <w:pPr>
        <w:spacing w:before="0"/>
        <w:ind w:left="2370" w:right="118" w:firstLine="0"/>
        <w:jc w:val="both"/>
        <w:rPr>
          <w:sz w:val="20"/>
        </w:rPr>
      </w:pPr>
      <w:r>
        <w:rPr>
          <w:b/>
          <w:sz w:val="20"/>
        </w:rPr>
        <w:t>o PME tem de ter legitimidade para ter sucesso</w:t>
      </w:r>
      <w:r>
        <w:rPr>
          <w:sz w:val="20"/>
        </w:rPr>
        <w:t>. Planos construídos em gabinetes ou por consultores alheios à realidade municipal tendem ao fracasso, mas um PME submetido ao amplo debate incorpora a riqueza das diferentes visões e vivências que a sociedade tem sobre a realidade  que deseja alterar. Somente um Plano Municipal de Educação legítimo pode contar com o apoio de todos para monitorar seus resultados e impulsionar a sua concretização, [por meio] da mobilização da sociedade ao longo dos seus dez anos de vigência. (Grifos do</w:t>
      </w:r>
      <w:r>
        <w:rPr>
          <w:spacing w:val="-12"/>
          <w:sz w:val="20"/>
        </w:rPr>
        <w:t> </w:t>
      </w:r>
      <w:r>
        <w:rPr>
          <w:sz w:val="20"/>
        </w:rPr>
        <w:t>Caderno)</w:t>
      </w:r>
    </w:p>
    <w:p>
      <w:pPr>
        <w:pStyle w:val="BodyText"/>
        <w:rPr>
          <w:sz w:val="22"/>
        </w:rPr>
      </w:pPr>
    </w:p>
    <w:p>
      <w:pPr>
        <w:spacing w:line="360" w:lineRule="auto" w:before="160"/>
        <w:ind w:left="102" w:right="116" w:firstLine="851"/>
        <w:jc w:val="both"/>
        <w:rPr>
          <w:i/>
          <w:sz w:val="24"/>
        </w:rPr>
      </w:pPr>
      <w:r>
        <w:rPr>
          <w:sz w:val="24"/>
        </w:rPr>
        <w:t>Dando continuidade, na terceira seção, </w:t>
      </w:r>
      <w:r>
        <w:rPr>
          <w:i/>
          <w:sz w:val="24"/>
        </w:rPr>
        <w:t>O plano em cinco etapas </w:t>
      </w:r>
      <w:r>
        <w:rPr>
          <w:sz w:val="24"/>
        </w:rPr>
        <w:t>(p. 9-13), é apresentada uma dinâmica de trabalho dividida em cinco etapas:    </w:t>
      </w:r>
      <w:r>
        <w:rPr>
          <w:i/>
          <w:sz w:val="24"/>
        </w:rPr>
        <w:t>1) definir e distribuir</w:t>
      </w:r>
    </w:p>
    <w:p>
      <w:pPr>
        <w:spacing w:after="0" w:line="360" w:lineRule="auto"/>
        <w:jc w:val="both"/>
        <w:rPr>
          <w:sz w:val="24"/>
        </w:rPr>
        <w:sectPr>
          <w:pgSz w:w="11910" w:h="16840"/>
          <w:pgMar w:header="749" w:footer="0" w:top="960" w:bottom="280" w:left="1600" w:right="1580"/>
        </w:sectPr>
      </w:pPr>
    </w:p>
    <w:p>
      <w:pPr>
        <w:pStyle w:val="BodyText"/>
        <w:rPr>
          <w:i/>
          <w:sz w:val="20"/>
        </w:rPr>
      </w:pPr>
    </w:p>
    <w:p>
      <w:pPr>
        <w:spacing w:line="362" w:lineRule="auto" w:before="210"/>
        <w:ind w:left="102" w:right="0" w:firstLine="0"/>
        <w:jc w:val="left"/>
        <w:rPr>
          <w:sz w:val="24"/>
        </w:rPr>
      </w:pPr>
      <w:r>
        <w:rPr>
          <w:i/>
          <w:sz w:val="24"/>
        </w:rPr>
        <w:t>responsabilidades; 2)Elaborar o documento-base; 3) promover um amplo debate; 4) </w:t>
      </w:r>
      <w:r>
        <w:rPr>
          <w:i/>
          <w:sz w:val="24"/>
        </w:rPr>
        <w:t>redigir o projeto de lei e; 5) acompanhar a tramitação na câmara municipal</w:t>
      </w:r>
      <w:r>
        <w:rPr>
          <w:sz w:val="24"/>
        </w:rPr>
        <w:t>.</w:t>
      </w:r>
    </w:p>
    <w:p>
      <w:pPr>
        <w:pStyle w:val="BodyText"/>
        <w:spacing w:line="360" w:lineRule="auto"/>
        <w:ind w:left="102" w:right="119" w:firstLine="851"/>
        <w:jc w:val="both"/>
      </w:pPr>
      <w:r>
        <w:rPr/>
        <w:t>Na subseção, </w:t>
      </w:r>
      <w:r>
        <w:rPr>
          <w:i/>
        </w:rPr>
        <w:t>Definir e distribuir responsabilidades </w:t>
      </w:r>
      <w:r>
        <w:rPr/>
        <w:t>(p. 9), o Caderno discute três questões que carecem de atos políticos como: instituição ou reafirmação da comissão organizadora; nomeação de uma equipe técnica com tarefas específicas para que, ao serem instituídas, organizem as atividades definindo um cronograma de atividades e o empoderamento da comissão coordenadora e da equipe técnica por meio de atos legais.</w:t>
      </w:r>
    </w:p>
    <w:p>
      <w:pPr>
        <w:pStyle w:val="BodyText"/>
        <w:spacing w:line="360" w:lineRule="auto" w:before="3"/>
        <w:ind w:left="102" w:right="118" w:firstLine="851"/>
        <w:jc w:val="both"/>
      </w:pPr>
      <w:r>
        <w:rPr/>
        <w:t>Na subseção, </w:t>
      </w:r>
      <w:r>
        <w:rPr>
          <w:i/>
        </w:rPr>
        <w:t>Elaborar o documento-base </w:t>
      </w:r>
      <w:r>
        <w:rPr/>
        <w:t>(p. 11), o Caderno descreve tal documento como sendo o primeiro rascunho elaborado pela Equipe Técnica, para ser submetido à validação da Comissão Coordenadora, que organizará o debate amplo e definitivo com a sociedade, observando três aspectos indispensáveis: um bom diagnóstico, um conjunto de metas e estratégias factíveis e coerentes com o PNE e o PEE e um conjunto de indicadores com os responsáveis pelo seu monitoramento e avaliação.</w:t>
      </w:r>
    </w:p>
    <w:p>
      <w:pPr>
        <w:pStyle w:val="BodyText"/>
        <w:spacing w:line="360" w:lineRule="auto" w:before="6"/>
        <w:ind w:left="102" w:right="117" w:firstLine="851"/>
        <w:jc w:val="both"/>
      </w:pPr>
      <w:r>
        <w:rPr/>
        <w:t>Na subseção, </w:t>
      </w:r>
      <w:r>
        <w:rPr>
          <w:i/>
        </w:rPr>
        <w:t>Promover um amplo debate </w:t>
      </w:r>
      <w:r>
        <w:rPr/>
        <w:t>(p. 12), o Caderno faz referência ao princípio da gestão democrática e, por esse motivo, pontua como fundamental a participação de todos os atores envolvidos com o campo da educação considerando-a como importante aspecto na garantia da corresponsabilidade durante os processos de implantação, execução, acompanhamento e avaliação. Ainda, reitera a necessidade de construção participa do documento base ao elencar que: o Documento-Base, validado pela Comissão Coordenadora, será o texto de referência para a consulta pública. Para isso, a Comissão Coordenadora do processo terá de organizar, da maneira mais participativa possível, o processo de debate e aperfeiçoamento do Documento-Base. Ao finalizar a seção, sugere mecanismos a serem utilizados como metodologia para o trabalho de divulgação e garantia de participação como:</w:t>
      </w:r>
    </w:p>
    <w:p>
      <w:pPr>
        <w:pStyle w:val="BodyText"/>
        <w:spacing w:before="4"/>
        <w:rPr>
          <w:sz w:val="36"/>
        </w:rPr>
      </w:pPr>
    </w:p>
    <w:p>
      <w:pPr>
        <w:spacing w:before="0"/>
        <w:ind w:left="2370" w:right="118" w:firstLine="0"/>
        <w:jc w:val="both"/>
        <w:rPr>
          <w:sz w:val="20"/>
        </w:rPr>
      </w:pPr>
      <w:r>
        <w:rPr>
          <w:sz w:val="20"/>
        </w:rPr>
        <w:t>utilização dos meios de comunicação [...]; envolvimento da sociedade civil [...], da sociedade política [...], das instituições formadoras [...]; mobilização  e aproveitamento do potencial humano e do material artístico-cultural existente no município e, se possível, na região para apresentação de peças teatrais, confecção de músicas, cartazes, enquetes, etc.; estratégias de estudos e debates sobre o andamento de construção do Plano: reuniões, seminários, encontros, audiências públicas, fóruns, etc. A organização de uma Conferência Municipal com etapas escolares, por bairros ou regiões do município, sem dúvida pode qualificar as contribuições ao Documento-Base. (BRASIL, 2014f, p.</w:t>
      </w:r>
      <w:r>
        <w:rPr>
          <w:spacing w:val="-9"/>
          <w:sz w:val="20"/>
        </w:rPr>
        <w:t> </w:t>
      </w:r>
      <w:r>
        <w:rPr>
          <w:sz w:val="20"/>
        </w:rPr>
        <w:t>12)</w:t>
      </w:r>
    </w:p>
    <w:p>
      <w:pPr>
        <w:spacing w:after="0"/>
        <w:jc w:val="both"/>
        <w:rPr>
          <w:sz w:val="20"/>
        </w:rPr>
        <w:sectPr>
          <w:pgSz w:w="11910" w:h="16840"/>
          <w:pgMar w:header="749" w:footer="0" w:top="960" w:bottom="280" w:left="1600" w:right="1580"/>
        </w:sectPr>
      </w:pPr>
    </w:p>
    <w:p>
      <w:pPr>
        <w:pStyle w:val="BodyText"/>
        <w:rPr>
          <w:sz w:val="20"/>
        </w:rPr>
      </w:pPr>
    </w:p>
    <w:p>
      <w:pPr>
        <w:pStyle w:val="BodyText"/>
        <w:spacing w:line="360" w:lineRule="auto" w:before="210"/>
        <w:ind w:left="102" w:right="119" w:firstLine="851"/>
        <w:jc w:val="both"/>
      </w:pPr>
      <w:r>
        <w:rPr/>
        <w:t>Na subseção, </w:t>
      </w:r>
      <w:r>
        <w:rPr>
          <w:i/>
        </w:rPr>
        <w:t>Redigir o projeto de Lei </w:t>
      </w:r>
      <w:r>
        <w:rPr/>
        <w:t>(p. 12), o Caderno pontua como uma </w:t>
      </w:r>
      <w:r>
        <w:rPr>
          <w:w w:val="100"/>
        </w:rPr>
        <w:t>a</w:t>
      </w:r>
      <w:r>
        <w:rPr>
          <w:w w:val="100"/>
        </w:rPr>
        <w:t>tribui</w:t>
      </w:r>
      <w:r>
        <w:rPr>
          <w:w w:val="100"/>
        </w:rPr>
        <w:t>çã</w:t>
      </w:r>
      <w:r>
        <w:rPr/>
        <w:t>o </w:t>
      </w:r>
      <w:r>
        <w:rPr>
          <w:w w:val="100"/>
        </w:rPr>
        <w:t>da</w:t>
      </w:r>
      <w:r>
        <w:rPr/>
        <w:t> </w:t>
      </w:r>
      <w:r>
        <w:rPr>
          <w:w w:val="100"/>
        </w:rPr>
        <w:t>e</w:t>
      </w:r>
      <w:r>
        <w:rPr>
          <w:w w:val="100"/>
        </w:rPr>
        <w:t>quipe</w:t>
      </w:r>
      <w:r>
        <w:rPr/>
        <w:t> </w:t>
      </w:r>
      <w:r>
        <w:rPr>
          <w:w w:val="100"/>
        </w:rPr>
        <w:t>téc</w:t>
      </w:r>
      <w:r>
        <w:rPr/>
        <w:t>n</w:t>
      </w:r>
      <w:r>
        <w:rPr>
          <w:w w:val="100"/>
        </w:rPr>
        <w:t>ica</w:t>
      </w:r>
      <w:r>
        <w:rPr/>
        <w:t> sendo, </w:t>
      </w:r>
      <w:r>
        <w:rPr>
          <w:w w:val="100"/>
        </w:rPr>
        <w:t>tal</w:t>
      </w:r>
      <w:r>
        <w:rPr/>
        <w:t> </w:t>
      </w:r>
      <w:r>
        <w:rPr>
          <w:w w:val="100"/>
        </w:rPr>
        <w:t>tra</w:t>
      </w:r>
      <w:r>
        <w:rPr>
          <w:w w:val="100"/>
        </w:rPr>
        <w:t>balho,</w:t>
      </w:r>
      <w:r>
        <w:rPr/>
        <w:t> </w:t>
      </w:r>
      <w:r>
        <w:rPr>
          <w:w w:val="100"/>
        </w:rPr>
        <w:t>de</w:t>
      </w:r>
      <w:r>
        <w:rPr>
          <w:w w:val="100"/>
        </w:rPr>
        <w:t>dica</w:t>
      </w:r>
      <w:r>
        <w:rPr/>
        <w:t>do </w:t>
      </w:r>
      <w:r>
        <w:rPr>
          <w:w w:val="100"/>
        </w:rPr>
        <w:t>a</w:t>
      </w:r>
      <w:r>
        <w:rPr/>
        <w:t> </w:t>
      </w:r>
      <w:r>
        <w:rPr>
          <w:w w:val="100"/>
        </w:rPr>
        <w:t>verif</w:t>
      </w:r>
      <w:r>
        <w:rPr>
          <w:w w:val="100"/>
        </w:rPr>
        <w:t>ica</w:t>
      </w:r>
      <w:r>
        <w:rPr>
          <w:w w:val="99"/>
        </w:rPr>
        <w:t>r </w:t>
      </w:r>
      <w:r>
        <w:rPr>
          <w:w w:val="100"/>
        </w:rPr>
        <w:t>a</w:t>
      </w:r>
      <w:r>
        <w:rPr/>
        <w:t> </w:t>
      </w:r>
      <w:r>
        <w:rPr>
          <w:w w:val="44"/>
        </w:rPr>
        <w:t>―</w:t>
      </w:r>
      <w:r>
        <w:rPr>
          <w:w w:val="100"/>
        </w:rPr>
        <w:t>vi</w:t>
      </w:r>
      <w:r>
        <w:rPr>
          <w:w w:val="100"/>
        </w:rPr>
        <w:t>abil</w:t>
      </w:r>
      <w:r>
        <w:rPr>
          <w:w w:val="100"/>
        </w:rPr>
        <w:t>idade</w:t>
      </w:r>
      <w:r>
        <w:rPr/>
        <w:t> </w:t>
      </w:r>
      <w:r>
        <w:rPr>
          <w:w w:val="100"/>
        </w:rPr>
        <w:t>da</w:t>
      </w:r>
      <w:r>
        <w:rPr>
          <w:w w:val="99"/>
        </w:rPr>
        <w:t>s </w:t>
      </w:r>
      <w:r>
        <w:rPr/>
        <w:t>mudanças propostas e fazendo as adequações necessárias para a validação pela Comissão Coordenadora‖.</w:t>
      </w:r>
    </w:p>
    <w:p>
      <w:pPr>
        <w:pStyle w:val="BodyText"/>
        <w:spacing w:line="360" w:lineRule="auto" w:before="3"/>
        <w:ind w:left="102" w:right="119" w:firstLine="851"/>
        <w:jc w:val="both"/>
      </w:pPr>
      <w:r>
        <w:rPr/>
        <w:t>Importante destacar a indicação do Caderno acerca do formato do projeto de lei a ser redigido:</w:t>
      </w:r>
    </w:p>
    <w:p>
      <w:pPr>
        <w:pStyle w:val="BodyText"/>
        <w:spacing w:before="3"/>
        <w:rPr>
          <w:sz w:val="36"/>
        </w:rPr>
      </w:pPr>
    </w:p>
    <w:p>
      <w:pPr>
        <w:spacing w:before="1"/>
        <w:ind w:left="2370" w:right="121" w:firstLine="0"/>
        <w:jc w:val="both"/>
        <w:rPr>
          <w:sz w:val="20"/>
        </w:rPr>
      </w:pPr>
      <w:r>
        <w:rPr>
          <w:sz w:val="20"/>
        </w:rPr>
        <w:t>O Projeto de Lei, aos moldes do PL do PNE, poderá trazer uma síntese do diagnóstico na exposição de motivos para em seguida tratar das diretrizes, assim como da periodicidade e da forma de seu monitoramento e avaliação  no corpo do PL, ficando o detalhamento das metas e estratégias do PME no seu anexo. A definição de um período de avaliação similar ao do projetado para o PNE pode ser a melhor alternativa. (BRASIL, 2014f, p.</w:t>
      </w:r>
      <w:r>
        <w:rPr>
          <w:spacing w:val="-19"/>
          <w:sz w:val="20"/>
        </w:rPr>
        <w:t> </w:t>
      </w:r>
      <w:r>
        <w:rPr>
          <w:sz w:val="20"/>
        </w:rPr>
        <w:t>12)</w:t>
      </w:r>
    </w:p>
    <w:p>
      <w:pPr>
        <w:pStyle w:val="BodyText"/>
        <w:rPr>
          <w:sz w:val="22"/>
        </w:rPr>
      </w:pPr>
    </w:p>
    <w:p>
      <w:pPr>
        <w:pStyle w:val="BodyText"/>
        <w:spacing w:line="360" w:lineRule="auto" w:before="162"/>
        <w:ind w:left="102" w:right="116" w:firstLine="851"/>
        <w:jc w:val="both"/>
      </w:pPr>
      <w:r>
        <w:rPr/>
        <w:t>Na subseção, </w:t>
      </w:r>
      <w:r>
        <w:rPr>
          <w:i/>
        </w:rPr>
        <w:t>Acompanhar a tramitação na Câmara Municipal </w:t>
      </w:r>
      <w:r>
        <w:rPr/>
        <w:t>(p. 13), o Caderno registra que o trabalho da Comissão continua, mesmo após a entrega do Documento Base aos Vereadores, mas agora, acompanhando todo o trâmite do processo legislativo.</w:t>
      </w:r>
    </w:p>
    <w:p>
      <w:pPr>
        <w:spacing w:line="360" w:lineRule="auto" w:before="4"/>
        <w:ind w:left="102" w:right="116" w:firstLine="851"/>
        <w:jc w:val="both"/>
        <w:rPr>
          <w:sz w:val="24"/>
        </w:rPr>
      </w:pPr>
      <w:r>
        <w:rPr>
          <w:sz w:val="24"/>
        </w:rPr>
        <w:t>Na quarta seção, </w:t>
      </w:r>
      <w:r>
        <w:rPr>
          <w:i/>
          <w:sz w:val="24"/>
        </w:rPr>
        <w:t>Algumas orientações técnicas </w:t>
      </w:r>
      <w:r>
        <w:rPr>
          <w:sz w:val="24"/>
        </w:rPr>
        <w:t>(p. 13-19), o Caderno apresenta cinco subseções: 1) </w:t>
      </w:r>
      <w:r>
        <w:rPr>
          <w:i/>
          <w:sz w:val="24"/>
        </w:rPr>
        <w:t>para produzir um bom diagnóstico </w:t>
      </w:r>
      <w:r>
        <w:rPr>
          <w:sz w:val="24"/>
        </w:rPr>
        <w:t>(busca de relevantes dados e informações para o conhecimento da realidade); 2) </w:t>
      </w:r>
      <w:r>
        <w:rPr>
          <w:i/>
          <w:sz w:val="24"/>
        </w:rPr>
        <w:t>construir metas com </w:t>
      </w:r>
      <w:r>
        <w:rPr>
          <w:i/>
          <w:sz w:val="24"/>
        </w:rPr>
        <w:t>responsabilidade entre os entes federados </w:t>
      </w:r>
      <w:r>
        <w:rPr>
          <w:sz w:val="24"/>
        </w:rPr>
        <w:t>(reiterada a questão da colaboração); 3) </w:t>
      </w:r>
      <w:r>
        <w:rPr>
          <w:i/>
          <w:sz w:val="24"/>
        </w:rPr>
        <w:t>construir metas em consonância com o PNE e o PEE</w:t>
      </w:r>
      <w:r>
        <w:rPr>
          <w:sz w:val="24"/>
        </w:rPr>
        <w:t>(sugere atenção ao diagnóstico e  ao alinhamento); 4) </w:t>
      </w:r>
      <w:r>
        <w:rPr>
          <w:i/>
          <w:sz w:val="24"/>
        </w:rPr>
        <w:t>para definir os indicadores</w:t>
      </w:r>
      <w:r>
        <w:rPr>
          <w:sz w:val="24"/>
        </w:rPr>
        <w:t>(considera importante para o processo de acompanhamento e avaliação sugerindo o indicador como instrumento, exemplificando uma forma de cálculo); 5) </w:t>
      </w:r>
      <w:r>
        <w:rPr>
          <w:i/>
          <w:sz w:val="24"/>
        </w:rPr>
        <w:t>para construir as estratégias </w:t>
      </w:r>
      <w:r>
        <w:rPr>
          <w:sz w:val="24"/>
        </w:rPr>
        <w:t>(sinaliza para estratégias que traduzam escolhas e que reflitam a</w:t>
      </w:r>
      <w:r>
        <w:rPr>
          <w:spacing w:val="-10"/>
          <w:sz w:val="24"/>
        </w:rPr>
        <w:t> </w:t>
      </w:r>
      <w:r>
        <w:rPr>
          <w:sz w:val="24"/>
        </w:rPr>
        <w:t>colaboração).</w:t>
      </w:r>
    </w:p>
    <w:p>
      <w:pPr>
        <w:pStyle w:val="BodyText"/>
        <w:spacing w:line="360" w:lineRule="auto" w:before="6"/>
        <w:ind w:left="102" w:right="116" w:firstLine="851"/>
        <w:jc w:val="both"/>
      </w:pPr>
      <w:r>
        <w:rPr/>
        <w:t>Na quinta seção, </w:t>
      </w:r>
      <w:r>
        <w:rPr>
          <w:i/>
        </w:rPr>
        <w:t>O trabalho começa agora </w:t>
      </w:r>
      <w:r>
        <w:rPr/>
        <w:t>(p. 20), o Caderno discute a necessidade de que o trabalho comece de forma imediata tendo em vista o prazo estabelecido no PNE 2014-2024.</w:t>
      </w:r>
    </w:p>
    <w:p>
      <w:pPr>
        <w:pStyle w:val="BodyText"/>
        <w:spacing w:line="360" w:lineRule="auto" w:before="3"/>
        <w:ind w:left="102" w:right="117" w:firstLine="851"/>
        <w:jc w:val="both"/>
      </w:pPr>
      <w:r>
        <w:rPr/>
        <w:t>Na sexta seção, </w:t>
      </w:r>
      <w:r>
        <w:rPr>
          <w:i/>
        </w:rPr>
        <w:t>Não deixe de consultar </w:t>
      </w:r>
      <w:r>
        <w:rPr/>
        <w:t>(p. 20), o Caderno sugere como leitura os documentos: Avaliação do Plano Nacional de Educação, elaborado pelo INEP e o livro Plano Nacional de Educação (2011-2020): avaliação e perspectivas, organizado  por Luiz Fernandes</w:t>
      </w:r>
      <w:r>
        <w:rPr>
          <w:spacing w:val="-6"/>
        </w:rPr>
        <w:t> </w:t>
      </w:r>
      <w:r>
        <w:rPr/>
        <w:t>Dourado.</w:t>
      </w:r>
    </w:p>
    <w:p>
      <w:pPr>
        <w:pStyle w:val="BodyText"/>
        <w:spacing w:line="360" w:lineRule="auto" w:before="5"/>
        <w:ind w:left="102" w:right="119" w:firstLine="851"/>
        <w:jc w:val="both"/>
      </w:pPr>
      <w:r>
        <w:rPr/>
        <w:t>Por fim, na seção </w:t>
      </w:r>
      <w:r>
        <w:rPr>
          <w:i/>
        </w:rPr>
        <w:t>Colaboradores </w:t>
      </w:r>
      <w:r>
        <w:rPr/>
        <w:t>(p. 21), o Caderno pontua que a responsabilidade  em  sua  construção  é  da  SASE/MEC  e  apresenta  um  conjunto  de</w:t>
      </w:r>
    </w:p>
    <w:p>
      <w:pPr>
        <w:spacing w:after="0" w:line="360" w:lineRule="auto"/>
        <w:jc w:val="both"/>
        <w:sectPr>
          <w:headerReference w:type="default" r:id="rId52"/>
          <w:pgSz w:w="11910" w:h="16840"/>
          <w:pgMar w:header="749" w:footer="0" w:top="960" w:bottom="280" w:left="1600" w:right="1580"/>
          <w:pgNumType w:start="100"/>
        </w:sectPr>
      </w:pPr>
    </w:p>
    <w:p>
      <w:pPr>
        <w:pStyle w:val="BodyText"/>
        <w:rPr>
          <w:sz w:val="20"/>
        </w:rPr>
      </w:pPr>
    </w:p>
    <w:p>
      <w:pPr>
        <w:pStyle w:val="BodyText"/>
        <w:spacing w:line="360" w:lineRule="auto" w:before="210"/>
        <w:ind w:left="102" w:right="120"/>
        <w:jc w:val="both"/>
      </w:pPr>
      <w:r>
        <w:rPr/>
        <w:t>colaboradores que contribuíram nesse processo, explicitando-os. Cabe destacar que tais participantes se referem a técnicos e educadores indicados tanto pelas seccionais da Undime quanto pelas secretarias estaduais de educação de cada um dos estados brasileiros.</w:t>
      </w:r>
    </w:p>
    <w:p>
      <w:pPr>
        <w:pStyle w:val="BodyText"/>
        <w:spacing w:line="360" w:lineRule="auto" w:before="3"/>
        <w:ind w:left="102" w:right="117" w:firstLine="851"/>
        <w:jc w:val="both"/>
      </w:pPr>
      <w:r>
        <w:rPr/>
        <w:t>É possível explicitar alguns elementos do planejamento em uma concepção transformadora/comprometida apresentados pelo Caderno como: um PME submetido ao amplo debate; com participação de todos de forma a enriquecer as discussões com as diferentes visões e vivências sociais frente à realidade que deseja alterar; e, neste se</w:t>
      </w:r>
      <w:r>
        <w:rPr>
          <w:w w:val="100"/>
        </w:rPr>
        <w:t>nti</w:t>
      </w:r>
      <w:r>
        <w:rPr/>
        <w:t>do, segundo o C</w:t>
      </w:r>
      <w:r>
        <w:rPr>
          <w:w w:val="100"/>
        </w:rPr>
        <w:t>a</w:t>
      </w:r>
      <w:r>
        <w:rPr>
          <w:w w:val="100"/>
        </w:rPr>
        <w:t>de</w:t>
      </w:r>
      <w:r>
        <w:rPr>
          <w:w w:val="99"/>
        </w:rPr>
        <w:t>rno, o </w:t>
      </w:r>
      <w:r>
        <w:rPr>
          <w:w w:val="99"/>
        </w:rPr>
        <w:t>P</w:t>
      </w:r>
      <w:r>
        <w:rPr/>
        <w:t>ME pode </w:t>
      </w:r>
      <w:r>
        <w:rPr>
          <w:w w:val="100"/>
        </w:rPr>
        <w:t>c</w:t>
      </w:r>
      <w:r>
        <w:rPr>
          <w:w w:val="100"/>
        </w:rPr>
        <w:t>ontar</w:t>
      </w:r>
      <w:r>
        <w:rPr/>
        <w:t> </w:t>
      </w:r>
      <w:r>
        <w:rPr>
          <w:w w:val="100"/>
        </w:rPr>
        <w:t>c</w:t>
      </w:r>
      <w:r>
        <w:rPr>
          <w:w w:val="100"/>
        </w:rPr>
        <w:t>om</w:t>
      </w:r>
      <w:r>
        <w:rPr/>
        <w:t> </w:t>
      </w:r>
      <w:r>
        <w:rPr>
          <w:w w:val="44"/>
        </w:rPr>
        <w:t>―</w:t>
      </w:r>
      <w:r>
        <w:rPr/>
        <w:t>o </w:t>
      </w:r>
      <w:r>
        <w:rPr>
          <w:w w:val="100"/>
        </w:rPr>
        <w:t>a</w:t>
      </w:r>
      <w:r>
        <w:rPr>
          <w:w w:val="100"/>
        </w:rPr>
        <w:t>poio de todos para moni</w:t>
      </w:r>
      <w:r>
        <w:rPr>
          <w:w w:val="100"/>
        </w:rPr>
        <w:t>tora</w:t>
      </w:r>
      <w:r>
        <w:rPr>
          <w:w w:val="99"/>
        </w:rPr>
        <w:t>r </w:t>
      </w:r>
      <w:r>
        <w:rPr/>
        <w:t>seus resultados e impulsionar a sua concretização‖ (p. 7). No entanto, um aspecto que acreditamos poder intimidar, ou mesmo limitar, a participação social refere-se à orientação do Caderno indicando que prefeitos e secretários de educação tenham papel de destaque no processo de elaboração e/ou adequação dos Planos. Não negamos aqui, a necessidade de que tais autoridades municipais participem ativamente do processo. Porém, entendemos que os papéis dos sujeitos no processo de planejamento transformador/comprometido não sejam hierarquizados, mas em rede.</w:t>
      </w:r>
    </w:p>
    <w:p>
      <w:pPr>
        <w:pStyle w:val="BodyText"/>
        <w:spacing w:line="360" w:lineRule="auto" w:before="3"/>
        <w:ind w:left="102" w:right="116" w:firstLine="851"/>
        <w:jc w:val="both"/>
      </w:pPr>
      <w:r>
        <w:rPr/>
        <w:t>Ao apreendemos as principais bases normativas e os documentos oficiais nacionais orientadores do processo de planejamento da educação pelos Municípios brasileiros, a partir da promulgação da Constituição Federal de 1988 (BRASIL, 1988), compreendemos que o planejamento em uma concepção transformadora/comprometida socialmente e o planejamento em uma concepção conservadora/alienadora disputam os mesmos espaços e, por vezes, documentos e discursos. Podemos dizer, então, da necessidade de nos atentar para a possível ressignificação de conceitos, que significa, na realidade, uma disputa de concepções, do PNE 2001-2010 ao PNE 2014-2024, com seus processos em todas as esferas (SHIROMA; CAMPOS; GARCIA, 2005). Do mesmo modo, há a necessidade de atenção para a tese do alinhamento dos Planos dos entes federados ao PNE. Isto é, se para atender ao sistema federativo ou, também, a regulação por desempenho, com as políticas públicas promotoras de </w:t>
      </w:r>
      <w:r>
        <w:rPr>
          <w:i/>
        </w:rPr>
        <w:t>accountability </w:t>
      </w:r>
      <w:r>
        <w:rPr/>
        <w:t>(MAROY; VOISIN, 2013).</w:t>
      </w:r>
    </w:p>
    <w:p>
      <w:pPr>
        <w:spacing w:after="0" w:line="360" w:lineRule="auto"/>
        <w:jc w:val="both"/>
        <w:sectPr>
          <w:pgSz w:w="11910" w:h="16840"/>
          <w:pgMar w:header="749" w:footer="0" w:top="960" w:bottom="280" w:left="1600" w:right="1580"/>
        </w:sectPr>
      </w:pPr>
    </w:p>
    <w:p>
      <w:pPr>
        <w:pStyle w:val="BodyText"/>
        <w:rPr>
          <w:sz w:val="20"/>
        </w:rPr>
      </w:pPr>
    </w:p>
    <w:p>
      <w:pPr>
        <w:pStyle w:val="Heading1"/>
        <w:spacing w:before="215"/>
        <w:ind w:left="570" w:right="571"/>
        <w:jc w:val="center"/>
      </w:pPr>
      <w:bookmarkStart w:name="_TOC_250015" w:id="2"/>
      <w:bookmarkEnd w:id="2"/>
      <w:r>
        <w:rPr/>
        <w:t>CAPÍTULO III</w:t>
      </w:r>
    </w:p>
    <w:p>
      <w:pPr>
        <w:pStyle w:val="BodyText"/>
        <w:rPr>
          <w:b/>
          <w:sz w:val="26"/>
        </w:rPr>
      </w:pPr>
    </w:p>
    <w:p>
      <w:pPr>
        <w:pStyle w:val="BodyText"/>
        <w:rPr>
          <w:b/>
          <w:sz w:val="26"/>
        </w:rPr>
      </w:pPr>
    </w:p>
    <w:p>
      <w:pPr>
        <w:pStyle w:val="BodyText"/>
        <w:rPr>
          <w:b/>
          <w:sz w:val="26"/>
        </w:rPr>
      </w:pPr>
    </w:p>
    <w:p>
      <w:pPr>
        <w:pStyle w:val="BodyText"/>
        <w:rPr>
          <w:b/>
          <w:sz w:val="26"/>
        </w:rPr>
      </w:pPr>
    </w:p>
    <w:p>
      <w:pPr>
        <w:pStyle w:val="Heading1"/>
        <w:spacing w:line="360" w:lineRule="auto" w:before="184"/>
        <w:ind w:left="573" w:right="571"/>
        <w:jc w:val="center"/>
      </w:pPr>
      <w:bookmarkStart w:name="_TOC_250014" w:id="3"/>
      <w:bookmarkEnd w:id="3"/>
      <w:r>
        <w:rPr/>
        <w:t>PLANOS MUNICIPAIS DE EDUCAÇÃO NO TOCANTINS (2013-2015): PROCESSOS, RESULTADOS E INTENCIONALIDADES DOPLANEJAMENTO DE POLÍTICAS PÚBLICAS</w:t>
      </w:r>
    </w:p>
    <w:p>
      <w:pPr>
        <w:pStyle w:val="BodyText"/>
        <w:rPr>
          <w:b/>
          <w:sz w:val="26"/>
        </w:rPr>
      </w:pPr>
    </w:p>
    <w:p>
      <w:pPr>
        <w:pStyle w:val="BodyText"/>
        <w:rPr>
          <w:b/>
          <w:sz w:val="26"/>
        </w:rPr>
      </w:pPr>
    </w:p>
    <w:p>
      <w:pPr>
        <w:pStyle w:val="BodyText"/>
        <w:spacing w:line="360" w:lineRule="auto" w:before="231"/>
        <w:ind w:left="122" w:right="115" w:firstLine="851"/>
        <w:jc w:val="both"/>
      </w:pPr>
      <w:r>
        <w:rPr/>
        <w:t>Neste Capítulo, articulado as discussões realizadas nos dois primeiros, objetivamos apresentar resultados de uma pesquisa de cunho teórico-documental que teve como objetivos descrever aspectos da política pública educacional de elaboração e/ou adequação de 111 (cento e onze) Planos Municipais de Educação (PMEs), em</w:t>
      </w:r>
    </w:p>
    <w:p>
      <w:pPr>
        <w:pStyle w:val="BodyText"/>
        <w:spacing w:line="350" w:lineRule="auto" w:before="5"/>
        <w:ind w:left="122" w:right="115"/>
        <w:jc w:val="both"/>
      </w:pPr>
      <w:r>
        <w:rPr/>
        <w:t>Municípios do Estado do Tocantins, dentre os 138 (cento e trinta e oito) Planos elaborados</w:t>
      </w:r>
      <w:r>
        <w:rPr>
          <w:position w:val="11"/>
          <w:sz w:val="16"/>
        </w:rPr>
        <w:t>17</w:t>
      </w:r>
      <w:r>
        <w:rPr/>
        <w:t>, a partir de processo desencadeado, ainda no ano de 2013, pelo Ministério da Educação (MEC) por meio da Secretaria de Articulação com os Sistemas de Ensino (SASE), em decorrência da disposição do Plano Nacional de Educação (PNE) quanto   a</w:t>
      </w:r>
    </w:p>
    <w:p>
      <w:pPr>
        <w:pStyle w:val="BodyText"/>
        <w:spacing w:line="360" w:lineRule="auto" w:before="16"/>
        <w:ind w:left="122" w:right="118"/>
        <w:jc w:val="both"/>
      </w:pPr>
      <w:r>
        <w:rPr/>
        <w:t>necessária elaboração dos Planos de Educação pelos Estados, Distrito Federal e Municípios; esboçar características gerais dos 111 PMEs, relacionadas a aspectos de formatação e de conteúdo dos documentos, considerando que os Cadernos Planejando a Próxima Década (BRASIL, 2014c; 2014d; 2014e; 2014f), abordados no Capítulo II, em especial, o Caderno Construindo as Metas do seu Município (BRASIL, 2014c, p. 2) </w:t>
      </w:r>
      <w:r>
        <w:rPr>
          <w:w w:val="100"/>
        </w:rPr>
        <w:t>indi</w:t>
      </w:r>
      <w:r>
        <w:rPr>
          <w:w w:val="100"/>
        </w:rPr>
        <w:t>ca</w:t>
      </w:r>
      <w:r>
        <w:rPr/>
        <w:t> </w:t>
      </w:r>
      <w:r>
        <w:rPr>
          <w:w w:val="100"/>
        </w:rPr>
        <w:t>que </w:t>
      </w:r>
      <w:r>
        <w:rPr>
          <w:w w:val="99"/>
        </w:rPr>
        <w:t>os</w:t>
      </w:r>
      <w:r>
        <w:rPr/>
        <w:t> </w:t>
      </w:r>
      <w:r>
        <w:rPr>
          <w:w w:val="99"/>
        </w:rPr>
        <w:t>P</w:t>
      </w:r>
      <w:r>
        <w:rPr>
          <w:w w:val="99"/>
        </w:rPr>
        <w:t>MEs </w:t>
      </w:r>
      <w:r>
        <w:rPr>
          <w:w w:val="100"/>
        </w:rPr>
        <w:t>de</w:t>
      </w:r>
      <w:r>
        <w:rPr/>
        <w:t>v</w:t>
      </w:r>
      <w:r>
        <w:rPr>
          <w:w w:val="100"/>
        </w:rPr>
        <w:t>e</w:t>
      </w:r>
      <w:r>
        <w:rPr>
          <w:w w:val="100"/>
        </w:rPr>
        <w:t>m</w:t>
      </w:r>
      <w:r>
        <w:rPr/>
        <w:t> ser </w:t>
      </w:r>
      <w:r>
        <w:rPr>
          <w:w w:val="100"/>
        </w:rPr>
        <w:t>a</w:t>
      </w:r>
      <w:r>
        <w:rPr>
          <w:w w:val="100"/>
        </w:rPr>
        <w:t>li</w:t>
      </w:r>
      <w:r>
        <w:rPr>
          <w:w w:val="100"/>
        </w:rPr>
        <w:t>nha</w:t>
      </w:r>
      <w:r>
        <w:rPr>
          <w:w w:val="99"/>
        </w:rPr>
        <w:t>dos</w:t>
      </w:r>
      <w:r>
        <w:rPr/>
        <w:t> </w:t>
      </w:r>
      <w:r>
        <w:rPr>
          <w:w w:val="100"/>
        </w:rPr>
        <w:t>a</w:t>
      </w:r>
      <w:r>
        <w:rPr/>
        <w:t>o </w:t>
      </w:r>
      <w:r>
        <w:rPr>
          <w:w w:val="99"/>
        </w:rPr>
        <w:t>P</w:t>
      </w:r>
      <w:r>
        <w:rPr>
          <w:w w:val="99"/>
        </w:rPr>
        <w:t>NE </w:t>
      </w:r>
      <w:r>
        <w:rPr>
          <w:w w:val="44"/>
        </w:rPr>
        <w:t>―</w:t>
      </w:r>
      <w:r>
        <w:rPr>
          <w:w w:val="100"/>
        </w:rPr>
        <w:t>nã</w:t>
      </w:r>
      <w:r>
        <w:rPr/>
        <w:t>o </w:t>
      </w:r>
      <w:r>
        <w:rPr>
          <w:w w:val="99"/>
        </w:rPr>
        <w:t>só</w:t>
      </w:r>
      <w:r>
        <w:rPr/>
        <w:t> no </w:t>
      </w:r>
      <w:r>
        <w:rPr>
          <w:b/>
        </w:rPr>
        <w:t>c</w:t>
      </w:r>
      <w:r>
        <w:rPr>
          <w:b/>
          <w:w w:val="99"/>
        </w:rPr>
        <w:t>on</w:t>
      </w:r>
      <w:r>
        <w:rPr>
          <w:b/>
          <w:w w:val="99"/>
        </w:rPr>
        <w:t>te</w:t>
      </w:r>
      <w:r>
        <w:rPr>
          <w:b/>
          <w:w w:val="99"/>
        </w:rPr>
        <w:t>úd</w:t>
      </w:r>
      <w:r>
        <w:rPr>
          <w:b/>
        </w:rPr>
        <w:t>o</w:t>
      </w:r>
      <w:r>
        <w:rPr/>
        <w:t>, [ma</w:t>
      </w:r>
      <w:r>
        <w:rPr>
          <w:w w:val="99"/>
        </w:rPr>
        <w:t>s]</w:t>
      </w:r>
      <w:r>
        <w:rPr/>
        <w:t> manter a mesma </w:t>
      </w:r>
      <w:r>
        <w:rPr>
          <w:b/>
        </w:rPr>
        <w:t>formatação</w:t>
      </w:r>
      <w:r>
        <w:rPr/>
        <w:t>‖ (Grifos nossos); e apreender intencionalidades do processo e nos PMEs, considerando, em especial, as concepções do planejamento, se assentado na alienação/conservação ou na transformação/compromisso social.</w:t>
      </w:r>
    </w:p>
    <w:p>
      <w:pPr>
        <w:pStyle w:val="BodyText"/>
        <w:spacing w:line="360" w:lineRule="auto" w:before="3"/>
        <w:ind w:left="122" w:right="120" w:firstLine="851"/>
        <w:jc w:val="both"/>
      </w:pPr>
      <w:r>
        <w:rPr/>
        <w:pict>
          <v:line style="position:absolute;mso-position-horizontal-relative:page;mso-position-vertical-relative:paragraph;z-index:1624;mso-wrap-distance-left:0;mso-wrap-distance-right:0" from="85.103996pt,88.063103pt" to="229.123996pt,88.063103pt" stroked="true" strokeweight=".72003pt" strokecolor="#000000">
            <v:stroke dashstyle="solid"/>
            <w10:wrap type="topAndBottom"/>
          </v:line>
        </w:pict>
      </w:r>
      <w:r>
        <w:rPr/>
        <w:t>Como forma de aproximação da realidade concreta, utilizamos fontes documentais oficiais advindas da União, construídas no MEC/SASE, e elaboradas no âmbito do Estado do Tocantins e dos Municípios em estudo, por diversos órgãos, instituições e atores, como segue:</w:t>
      </w:r>
    </w:p>
    <w:p>
      <w:pPr>
        <w:spacing w:before="40"/>
        <w:ind w:left="122" w:right="119" w:firstLine="0"/>
        <w:jc w:val="both"/>
        <w:rPr>
          <w:sz w:val="20"/>
        </w:rPr>
      </w:pPr>
      <w:r>
        <w:rPr>
          <w:position w:val="9"/>
          <w:sz w:val="13"/>
        </w:rPr>
        <w:t>17 </w:t>
      </w:r>
      <w:r>
        <w:rPr>
          <w:sz w:val="20"/>
        </w:rPr>
        <w:t>Dos 139 Municípios do Estado do Tocantins, a capital, Palmas, até o momento de coleta de  informações desta pesquisa, e com prazo esgotado, como previsto na Lei do PNE – Lei nº 13.005, de 25 de junho de 2014 (BRASIL, 2014), não havia encerrado o processo de elaboração de seu PME. Dos demais 27 Municípios, o pesquisador não teve acesso aos Planos, até a data de fechamento da  Dissertação, a despeito de todos os demais já estarem </w:t>
      </w:r>
      <w:r>
        <w:rPr>
          <w:spacing w:val="3"/>
          <w:sz w:val="20"/>
        </w:rPr>
        <w:t>com </w:t>
      </w:r>
      <w:r>
        <w:rPr>
          <w:sz w:val="20"/>
        </w:rPr>
        <w:t>seus PMEs</w:t>
      </w:r>
      <w:r>
        <w:rPr>
          <w:spacing w:val="-34"/>
          <w:sz w:val="20"/>
        </w:rPr>
        <w:t> </w:t>
      </w:r>
      <w:r>
        <w:rPr>
          <w:sz w:val="20"/>
        </w:rPr>
        <w:t>sancionados.</w:t>
      </w:r>
    </w:p>
    <w:p>
      <w:pPr>
        <w:spacing w:after="0"/>
        <w:jc w:val="both"/>
        <w:rPr>
          <w:sz w:val="20"/>
        </w:rPr>
        <w:sectPr>
          <w:pgSz w:w="11910" w:h="16840"/>
          <w:pgMar w:header="749" w:footer="0" w:top="960" w:bottom="280" w:left="1580" w:right="1580"/>
        </w:sectPr>
      </w:pPr>
    </w:p>
    <w:p>
      <w:pPr>
        <w:pStyle w:val="BodyText"/>
        <w:rPr>
          <w:sz w:val="20"/>
        </w:rPr>
      </w:pPr>
    </w:p>
    <w:p>
      <w:pPr>
        <w:pStyle w:val="ListParagraph"/>
        <w:numPr>
          <w:ilvl w:val="2"/>
          <w:numId w:val="21"/>
        </w:numPr>
        <w:tabs>
          <w:tab w:pos="1437" w:val="left" w:leader="none"/>
          <w:tab w:pos="1438" w:val="left" w:leader="none"/>
        </w:tabs>
        <w:spacing w:line="240" w:lineRule="auto" w:before="210" w:after="0"/>
        <w:ind w:left="1438" w:right="0" w:hanging="564"/>
        <w:jc w:val="left"/>
        <w:rPr>
          <w:sz w:val="24"/>
        </w:rPr>
      </w:pPr>
      <w:r>
        <w:rPr>
          <w:sz w:val="24"/>
        </w:rPr>
        <w:t>Da União</w:t>
      </w:r>
      <w:r>
        <w:rPr>
          <w:spacing w:val="-4"/>
          <w:sz w:val="24"/>
        </w:rPr>
        <w:t> </w:t>
      </w:r>
      <w:r>
        <w:rPr>
          <w:sz w:val="24"/>
        </w:rPr>
        <w:t>(MEC/SASE):</w:t>
      </w:r>
    </w:p>
    <w:p>
      <w:pPr>
        <w:pStyle w:val="ListParagraph"/>
        <w:numPr>
          <w:ilvl w:val="0"/>
          <w:numId w:val="23"/>
        </w:numPr>
        <w:tabs>
          <w:tab w:pos="742" w:val="left" w:leader="none"/>
        </w:tabs>
        <w:spacing w:line="360" w:lineRule="auto" w:before="139" w:after="0"/>
        <w:ind w:left="742" w:right="119" w:hanging="360"/>
        <w:jc w:val="both"/>
        <w:rPr>
          <w:sz w:val="24"/>
        </w:rPr>
      </w:pPr>
      <w:r>
        <w:rPr>
          <w:sz w:val="24"/>
        </w:rPr>
        <w:t>Orientações Gerais aos(as) avaliadores(as) educacionais no trabalho de adequação/elaboração dos planos estaduais, distrital e municipais de educação (BRASIL,</w:t>
      </w:r>
      <w:r>
        <w:rPr>
          <w:spacing w:val="-7"/>
          <w:sz w:val="24"/>
        </w:rPr>
        <w:t> </w:t>
      </w:r>
      <w:r>
        <w:rPr>
          <w:sz w:val="24"/>
        </w:rPr>
        <w:t>2013).</w:t>
      </w:r>
    </w:p>
    <w:p>
      <w:pPr>
        <w:pStyle w:val="ListParagraph"/>
        <w:numPr>
          <w:ilvl w:val="0"/>
          <w:numId w:val="23"/>
        </w:numPr>
        <w:tabs>
          <w:tab w:pos="742" w:val="left" w:leader="none"/>
        </w:tabs>
        <w:spacing w:line="240" w:lineRule="auto" w:before="4" w:after="0"/>
        <w:ind w:left="742" w:right="0" w:hanging="360"/>
        <w:jc w:val="left"/>
        <w:rPr>
          <w:sz w:val="24"/>
        </w:rPr>
      </w:pPr>
      <w:r>
        <w:rPr>
          <w:sz w:val="24"/>
        </w:rPr>
        <w:t>Plano Nacional de Educação – Lei nº 13.005/2014 e Anexo (BRASIL,</w:t>
      </w:r>
      <w:r>
        <w:rPr>
          <w:spacing w:val="-12"/>
          <w:sz w:val="24"/>
        </w:rPr>
        <w:t> </w:t>
      </w:r>
      <w:r>
        <w:rPr>
          <w:sz w:val="24"/>
        </w:rPr>
        <w:t>2014a).</w:t>
      </w:r>
    </w:p>
    <w:p>
      <w:pPr>
        <w:pStyle w:val="ListParagraph"/>
        <w:numPr>
          <w:ilvl w:val="0"/>
          <w:numId w:val="23"/>
        </w:numPr>
        <w:tabs>
          <w:tab w:pos="801" w:val="left" w:leader="none"/>
          <w:tab w:pos="802" w:val="left" w:leader="none"/>
        </w:tabs>
        <w:spacing w:line="240" w:lineRule="auto" w:before="139" w:after="0"/>
        <w:ind w:left="802" w:right="0" w:hanging="420"/>
        <w:jc w:val="left"/>
        <w:rPr>
          <w:sz w:val="24"/>
        </w:rPr>
      </w:pPr>
      <w:r>
        <w:rPr>
          <w:sz w:val="24"/>
        </w:rPr>
        <w:t>Caderno Construindo as Metas do seu Município (BRASIL,</w:t>
      </w:r>
      <w:r>
        <w:rPr>
          <w:spacing w:val="-9"/>
          <w:sz w:val="24"/>
        </w:rPr>
        <w:t> </w:t>
      </w:r>
      <w:r>
        <w:rPr>
          <w:sz w:val="24"/>
        </w:rPr>
        <w:t>2014c).</w:t>
      </w:r>
    </w:p>
    <w:p>
      <w:pPr>
        <w:pStyle w:val="ListParagraph"/>
        <w:numPr>
          <w:ilvl w:val="0"/>
          <w:numId w:val="23"/>
        </w:numPr>
        <w:tabs>
          <w:tab w:pos="742" w:val="left" w:leader="none"/>
        </w:tabs>
        <w:spacing w:line="240" w:lineRule="auto" w:before="136" w:after="0"/>
        <w:ind w:left="742" w:right="0" w:hanging="360"/>
        <w:jc w:val="left"/>
        <w:rPr>
          <w:sz w:val="24"/>
        </w:rPr>
      </w:pPr>
      <w:r>
        <w:rPr>
          <w:sz w:val="24"/>
        </w:rPr>
        <w:t>Alinhando os Planos de Educação (BRASIL,</w:t>
      </w:r>
      <w:r>
        <w:rPr>
          <w:spacing w:val="-6"/>
          <w:sz w:val="24"/>
        </w:rPr>
        <w:t> </w:t>
      </w:r>
      <w:r>
        <w:rPr>
          <w:sz w:val="24"/>
        </w:rPr>
        <w:t>2014d).</w:t>
      </w:r>
    </w:p>
    <w:p>
      <w:pPr>
        <w:pStyle w:val="ListParagraph"/>
        <w:numPr>
          <w:ilvl w:val="0"/>
          <w:numId w:val="23"/>
        </w:numPr>
        <w:tabs>
          <w:tab w:pos="742" w:val="left" w:leader="none"/>
        </w:tabs>
        <w:spacing w:line="240" w:lineRule="auto" w:before="138" w:after="0"/>
        <w:ind w:left="742" w:right="0" w:hanging="360"/>
        <w:jc w:val="left"/>
        <w:rPr>
          <w:sz w:val="24"/>
        </w:rPr>
      </w:pPr>
      <w:r>
        <w:rPr>
          <w:sz w:val="24"/>
        </w:rPr>
        <w:t>Conhecendo as 20 Metas do Plano Nacional de Educação (BRASIL,</w:t>
      </w:r>
      <w:r>
        <w:rPr>
          <w:spacing w:val="-13"/>
          <w:sz w:val="24"/>
        </w:rPr>
        <w:t> </w:t>
      </w:r>
      <w:r>
        <w:rPr>
          <w:sz w:val="24"/>
        </w:rPr>
        <w:t>2014e).</w:t>
      </w:r>
    </w:p>
    <w:p>
      <w:pPr>
        <w:pStyle w:val="ListParagraph"/>
        <w:numPr>
          <w:ilvl w:val="0"/>
          <w:numId w:val="23"/>
        </w:numPr>
        <w:tabs>
          <w:tab w:pos="742" w:val="left" w:leader="none"/>
        </w:tabs>
        <w:spacing w:line="240" w:lineRule="auto" w:before="136" w:after="0"/>
        <w:ind w:left="742" w:right="0" w:hanging="360"/>
        <w:jc w:val="left"/>
        <w:rPr>
          <w:sz w:val="24"/>
        </w:rPr>
      </w:pPr>
      <w:r>
        <w:rPr>
          <w:sz w:val="24"/>
        </w:rPr>
        <w:t>Plano Municipal de Educação: Caderno de Orientações (BRASIL,</w:t>
      </w:r>
      <w:r>
        <w:rPr>
          <w:spacing w:val="-15"/>
          <w:sz w:val="24"/>
        </w:rPr>
        <w:t> </w:t>
      </w:r>
      <w:r>
        <w:rPr>
          <w:sz w:val="24"/>
        </w:rPr>
        <w:t>2014f).</w:t>
      </w:r>
    </w:p>
    <w:p>
      <w:pPr>
        <w:pStyle w:val="BodyText"/>
        <w:rPr>
          <w:sz w:val="26"/>
        </w:rPr>
      </w:pPr>
    </w:p>
    <w:p>
      <w:pPr>
        <w:pStyle w:val="BodyText"/>
        <w:rPr>
          <w:sz w:val="22"/>
        </w:rPr>
      </w:pPr>
    </w:p>
    <w:p>
      <w:pPr>
        <w:pStyle w:val="ListParagraph"/>
        <w:numPr>
          <w:ilvl w:val="2"/>
          <w:numId w:val="21"/>
        </w:numPr>
        <w:tabs>
          <w:tab w:pos="1437" w:val="left" w:leader="none"/>
          <w:tab w:pos="1438" w:val="left" w:leader="none"/>
        </w:tabs>
        <w:spacing w:line="240" w:lineRule="auto" w:before="0" w:after="0"/>
        <w:ind w:left="1438" w:right="0" w:hanging="564"/>
        <w:jc w:val="left"/>
        <w:rPr>
          <w:sz w:val="24"/>
        </w:rPr>
      </w:pPr>
      <w:r>
        <w:rPr>
          <w:sz w:val="24"/>
        </w:rPr>
        <w:t>No Estado do</w:t>
      </w:r>
      <w:r>
        <w:rPr>
          <w:spacing w:val="-5"/>
          <w:sz w:val="24"/>
        </w:rPr>
        <w:t> </w:t>
      </w:r>
      <w:r>
        <w:rPr>
          <w:sz w:val="24"/>
        </w:rPr>
        <w:t>Tocantins:</w:t>
      </w:r>
    </w:p>
    <w:p>
      <w:pPr>
        <w:pStyle w:val="BodyText"/>
        <w:spacing w:line="360" w:lineRule="auto" w:before="139"/>
        <w:ind w:left="449" w:firstLine="566"/>
      </w:pPr>
      <w:r>
        <w:rPr/>
        <w:t>- Da Secretaria de Estado da Educação (Seduc) e da União Nacional dos Dirigentes Municipais de Educação (Undime – Seccional Tocantins):</w:t>
      </w:r>
    </w:p>
    <w:p>
      <w:pPr>
        <w:pStyle w:val="ListParagraph"/>
        <w:numPr>
          <w:ilvl w:val="0"/>
          <w:numId w:val="24"/>
        </w:numPr>
        <w:tabs>
          <w:tab w:pos="759" w:val="left" w:leader="none"/>
        </w:tabs>
        <w:spacing w:line="360" w:lineRule="auto" w:before="6" w:after="0"/>
        <w:ind w:left="730" w:right="119" w:hanging="281"/>
        <w:jc w:val="both"/>
        <w:rPr>
          <w:sz w:val="24"/>
        </w:rPr>
      </w:pPr>
      <w:r>
        <w:rPr>
          <w:sz w:val="24"/>
        </w:rPr>
        <w:t>Projeto de apoio para adequação e/ou elaboração dos Planos de Educação Estadual e Municipais no Tocantins (Projeto Piloto) (TOCANTINS/SEDUC/UNDIME,</w:t>
      </w:r>
      <w:r>
        <w:rPr>
          <w:spacing w:val="-12"/>
          <w:sz w:val="24"/>
        </w:rPr>
        <w:t> </w:t>
      </w:r>
      <w:r>
        <w:rPr>
          <w:sz w:val="24"/>
        </w:rPr>
        <w:t>2013).</w:t>
      </w:r>
    </w:p>
    <w:p>
      <w:pPr>
        <w:pStyle w:val="ListParagraph"/>
        <w:numPr>
          <w:ilvl w:val="0"/>
          <w:numId w:val="24"/>
        </w:numPr>
        <w:tabs>
          <w:tab w:pos="759" w:val="left" w:leader="none"/>
        </w:tabs>
        <w:spacing w:line="360" w:lineRule="auto" w:before="3" w:after="0"/>
        <w:ind w:left="730" w:right="120" w:hanging="281"/>
        <w:jc w:val="left"/>
        <w:rPr>
          <w:sz w:val="24"/>
        </w:rPr>
      </w:pPr>
      <w:r>
        <w:rPr>
          <w:sz w:val="24"/>
        </w:rPr>
        <w:t>Projeto de apoio para adequação e/ou elaboração dos Planos de Educação Estadual e Municipais no Tocantins (TOCANTINS/SEDUC/UNDIME,</w:t>
      </w:r>
      <w:r>
        <w:rPr>
          <w:spacing w:val="-12"/>
          <w:sz w:val="24"/>
        </w:rPr>
        <w:t> </w:t>
      </w:r>
      <w:r>
        <w:rPr>
          <w:sz w:val="24"/>
        </w:rPr>
        <w:t>2014a).</w:t>
      </w:r>
    </w:p>
    <w:p>
      <w:pPr>
        <w:pStyle w:val="ListParagraph"/>
        <w:numPr>
          <w:ilvl w:val="0"/>
          <w:numId w:val="24"/>
        </w:numPr>
        <w:tabs>
          <w:tab w:pos="690" w:val="left" w:leader="none"/>
        </w:tabs>
        <w:spacing w:line="240" w:lineRule="auto" w:before="3" w:after="0"/>
        <w:ind w:left="689" w:right="0" w:hanging="240"/>
        <w:jc w:val="left"/>
        <w:rPr>
          <w:sz w:val="24"/>
        </w:rPr>
      </w:pPr>
      <w:r>
        <w:rPr>
          <w:sz w:val="24"/>
        </w:rPr>
        <w:t>Ofício nº 105/2013, de 28 de agosto de 2013 (UNDIME-TO,</w:t>
      </w:r>
      <w:r>
        <w:rPr>
          <w:spacing w:val="-8"/>
          <w:sz w:val="24"/>
        </w:rPr>
        <w:t> </w:t>
      </w:r>
      <w:r>
        <w:rPr>
          <w:sz w:val="24"/>
        </w:rPr>
        <w:t>2013).</w:t>
      </w:r>
    </w:p>
    <w:p>
      <w:pPr>
        <w:pStyle w:val="ListParagraph"/>
        <w:numPr>
          <w:ilvl w:val="0"/>
          <w:numId w:val="24"/>
        </w:numPr>
        <w:tabs>
          <w:tab w:pos="690" w:val="left" w:leader="none"/>
        </w:tabs>
        <w:spacing w:line="240" w:lineRule="auto" w:before="139" w:after="0"/>
        <w:ind w:left="689" w:right="0" w:hanging="240"/>
        <w:jc w:val="left"/>
        <w:rPr>
          <w:sz w:val="24"/>
        </w:rPr>
      </w:pPr>
      <w:r>
        <w:rPr>
          <w:sz w:val="24"/>
        </w:rPr>
        <w:t>Ofício nº087/2014, de 29 de abril de 2014 (UNDIME-TO,</w:t>
      </w:r>
      <w:r>
        <w:rPr>
          <w:spacing w:val="-7"/>
          <w:sz w:val="24"/>
        </w:rPr>
        <w:t> </w:t>
      </w:r>
      <w:r>
        <w:rPr>
          <w:sz w:val="24"/>
        </w:rPr>
        <w:t>2014a).</w:t>
      </w:r>
    </w:p>
    <w:p>
      <w:pPr>
        <w:pStyle w:val="ListParagraph"/>
        <w:numPr>
          <w:ilvl w:val="0"/>
          <w:numId w:val="24"/>
        </w:numPr>
        <w:tabs>
          <w:tab w:pos="690" w:val="left" w:leader="none"/>
        </w:tabs>
        <w:spacing w:line="240" w:lineRule="auto" w:before="136" w:after="0"/>
        <w:ind w:left="689" w:right="0" w:hanging="240"/>
        <w:jc w:val="left"/>
        <w:rPr>
          <w:sz w:val="24"/>
        </w:rPr>
      </w:pPr>
      <w:r>
        <w:rPr>
          <w:sz w:val="24"/>
        </w:rPr>
        <w:t>Ofício nº 2.143/2014, de 14 de maio de 2014 (TOCANTINS/SEDUC,</w:t>
      </w:r>
      <w:r>
        <w:rPr>
          <w:spacing w:val="-11"/>
          <w:sz w:val="24"/>
        </w:rPr>
        <w:t> </w:t>
      </w:r>
      <w:r>
        <w:rPr>
          <w:sz w:val="24"/>
        </w:rPr>
        <w:t>2014).</w:t>
      </w:r>
    </w:p>
    <w:p>
      <w:pPr>
        <w:pStyle w:val="ListParagraph"/>
        <w:numPr>
          <w:ilvl w:val="0"/>
          <w:numId w:val="24"/>
        </w:numPr>
        <w:tabs>
          <w:tab w:pos="690" w:val="left" w:leader="none"/>
        </w:tabs>
        <w:spacing w:line="240" w:lineRule="auto" w:before="138" w:after="0"/>
        <w:ind w:left="689" w:right="0" w:hanging="240"/>
        <w:jc w:val="left"/>
        <w:rPr>
          <w:sz w:val="24"/>
        </w:rPr>
      </w:pPr>
      <w:r>
        <w:rPr>
          <w:sz w:val="24"/>
        </w:rPr>
        <w:t>Ofício nº 136/2014, de 07 de agosto de 2014 (UNDIME-TO,</w:t>
      </w:r>
      <w:r>
        <w:rPr>
          <w:spacing w:val="-8"/>
          <w:sz w:val="24"/>
        </w:rPr>
        <w:t> </w:t>
      </w:r>
      <w:r>
        <w:rPr>
          <w:sz w:val="24"/>
        </w:rPr>
        <w:t>2014b).</w:t>
      </w:r>
    </w:p>
    <w:p>
      <w:pPr>
        <w:pStyle w:val="ListParagraph"/>
        <w:numPr>
          <w:ilvl w:val="0"/>
          <w:numId w:val="24"/>
        </w:numPr>
        <w:tabs>
          <w:tab w:pos="776" w:val="left" w:leader="none"/>
        </w:tabs>
        <w:spacing w:line="360" w:lineRule="auto" w:before="136" w:after="0"/>
        <w:ind w:left="730" w:right="120" w:hanging="281"/>
        <w:jc w:val="left"/>
        <w:rPr>
          <w:sz w:val="24"/>
        </w:rPr>
      </w:pPr>
      <w:r>
        <w:rPr>
          <w:sz w:val="24"/>
        </w:rPr>
        <w:t>Orientações e Cronograma: DME, Equipe Técnica e Comissão Municipal Representativa da Sociedade (TOCANTINS/SEDUC/UNDIME,</w:t>
      </w:r>
      <w:r>
        <w:rPr>
          <w:spacing w:val="-16"/>
          <w:sz w:val="24"/>
        </w:rPr>
        <w:t> </w:t>
      </w:r>
      <w:r>
        <w:rPr>
          <w:sz w:val="24"/>
        </w:rPr>
        <w:t>2014b).</w:t>
      </w:r>
    </w:p>
    <w:p>
      <w:pPr>
        <w:pStyle w:val="ListParagraph"/>
        <w:numPr>
          <w:ilvl w:val="0"/>
          <w:numId w:val="24"/>
        </w:numPr>
        <w:tabs>
          <w:tab w:pos="940" w:val="left" w:leader="none"/>
          <w:tab w:pos="941" w:val="left" w:leader="none"/>
          <w:tab w:pos="2022" w:val="left" w:leader="none"/>
          <w:tab w:pos="2563" w:val="left" w:leader="none"/>
          <w:tab w:pos="3971" w:val="left" w:leader="none"/>
          <w:tab w:pos="5509" w:val="left" w:leader="none"/>
          <w:tab w:pos="6140" w:val="left" w:leader="none"/>
          <w:tab w:pos="7450" w:val="left" w:leader="none"/>
          <w:tab w:pos="8083" w:val="left" w:leader="none"/>
        </w:tabs>
        <w:spacing w:line="360" w:lineRule="auto" w:before="3" w:after="0"/>
        <w:ind w:left="730" w:right="120" w:hanging="281"/>
        <w:jc w:val="left"/>
        <w:rPr>
          <w:sz w:val="24"/>
        </w:rPr>
      </w:pPr>
      <w:r>
        <w:rPr>
          <w:sz w:val="24"/>
        </w:rPr>
        <w:t>Relação</w:t>
        <w:tab/>
        <w:t>de</w:t>
        <w:tab/>
        <w:t>Municípios</w:t>
        <w:tab/>
        <w:t>participantes</w:t>
        <w:tab/>
        <w:t>das</w:t>
        <w:tab/>
        <w:t>formações</w:t>
        <w:tab/>
        <w:t>por</w:t>
        <w:tab/>
        <w:t>Polo (TOCANTINS/SEDUC/UNDIME,</w:t>
      </w:r>
      <w:r>
        <w:rPr>
          <w:spacing w:val="-10"/>
          <w:sz w:val="24"/>
        </w:rPr>
        <w:t> </w:t>
      </w:r>
      <w:r>
        <w:rPr>
          <w:sz w:val="24"/>
        </w:rPr>
        <w:t>2014c).</w:t>
      </w:r>
    </w:p>
    <w:p>
      <w:pPr>
        <w:pStyle w:val="ListParagraph"/>
        <w:numPr>
          <w:ilvl w:val="0"/>
          <w:numId w:val="24"/>
        </w:numPr>
        <w:tabs>
          <w:tab w:pos="709" w:val="left" w:leader="none"/>
        </w:tabs>
        <w:spacing w:line="360" w:lineRule="auto" w:before="3" w:after="0"/>
        <w:ind w:left="730" w:right="120" w:hanging="281"/>
        <w:jc w:val="left"/>
        <w:rPr>
          <w:sz w:val="24"/>
        </w:rPr>
      </w:pPr>
      <w:r>
        <w:rPr>
          <w:sz w:val="24"/>
        </w:rPr>
        <w:t>Pauta das Formações que aconteceram em outubro e novembro do ano de 2014 (UNDIME-TO,</w:t>
      </w:r>
      <w:r>
        <w:rPr>
          <w:spacing w:val="-6"/>
          <w:sz w:val="24"/>
        </w:rPr>
        <w:t> </w:t>
      </w:r>
      <w:r>
        <w:rPr>
          <w:sz w:val="24"/>
        </w:rPr>
        <w:t>2014c).</w:t>
      </w:r>
    </w:p>
    <w:p>
      <w:pPr>
        <w:pStyle w:val="ListParagraph"/>
        <w:numPr>
          <w:ilvl w:val="0"/>
          <w:numId w:val="24"/>
        </w:numPr>
        <w:tabs>
          <w:tab w:pos="841" w:val="left" w:leader="none"/>
        </w:tabs>
        <w:spacing w:line="360" w:lineRule="auto" w:before="4" w:after="0"/>
        <w:ind w:left="730" w:right="120" w:hanging="281"/>
        <w:jc w:val="left"/>
        <w:rPr>
          <w:sz w:val="24"/>
        </w:rPr>
      </w:pPr>
      <w:r>
        <w:rPr>
          <w:sz w:val="24"/>
        </w:rPr>
        <w:t>Pauta das formações que aconteceram entre fevereiro, março e abril de 2015 (UNDIME-TO,</w:t>
      </w:r>
      <w:r>
        <w:rPr>
          <w:spacing w:val="-6"/>
          <w:sz w:val="24"/>
        </w:rPr>
        <w:t> </w:t>
      </w:r>
      <w:r>
        <w:rPr>
          <w:sz w:val="24"/>
        </w:rPr>
        <w:t>2015a).</w:t>
      </w:r>
    </w:p>
    <w:p>
      <w:pPr>
        <w:pStyle w:val="ListParagraph"/>
        <w:numPr>
          <w:ilvl w:val="0"/>
          <w:numId w:val="24"/>
        </w:numPr>
        <w:tabs>
          <w:tab w:pos="810" w:val="left" w:leader="none"/>
        </w:tabs>
        <w:spacing w:line="240" w:lineRule="auto" w:before="6" w:after="0"/>
        <w:ind w:left="809" w:right="0" w:hanging="360"/>
        <w:jc w:val="left"/>
        <w:rPr>
          <w:sz w:val="24"/>
        </w:rPr>
      </w:pPr>
      <w:r>
        <w:rPr>
          <w:sz w:val="24"/>
        </w:rPr>
        <w:t>Minuta de Lei do PME (UNDIME-TO,</w:t>
      </w:r>
      <w:r>
        <w:rPr>
          <w:spacing w:val="-7"/>
          <w:sz w:val="24"/>
        </w:rPr>
        <w:t> </w:t>
      </w:r>
      <w:r>
        <w:rPr>
          <w:sz w:val="24"/>
        </w:rPr>
        <w:t>2015b).</w:t>
      </w:r>
    </w:p>
    <w:p>
      <w:pPr>
        <w:pStyle w:val="BodyText"/>
        <w:rPr>
          <w:sz w:val="26"/>
        </w:rPr>
      </w:pPr>
    </w:p>
    <w:p>
      <w:pPr>
        <w:pStyle w:val="BodyText"/>
        <w:spacing w:before="11"/>
        <w:rPr>
          <w:sz w:val="21"/>
        </w:rPr>
      </w:pPr>
    </w:p>
    <w:p>
      <w:pPr>
        <w:pStyle w:val="BodyText"/>
        <w:ind w:left="730"/>
      </w:pPr>
      <w:r>
        <w:rPr/>
        <w:t>- Dos Municípios: 111 PMEs.</w:t>
      </w:r>
    </w:p>
    <w:p>
      <w:pPr>
        <w:spacing w:after="0"/>
        <w:sectPr>
          <w:pgSz w:w="11910" w:h="16840"/>
          <w:pgMar w:header="749" w:footer="0" w:top="960" w:bottom="280" w:left="1680" w:right="1580"/>
        </w:sectPr>
      </w:pPr>
    </w:p>
    <w:p>
      <w:pPr>
        <w:pStyle w:val="BodyText"/>
        <w:rPr>
          <w:sz w:val="20"/>
        </w:rPr>
      </w:pPr>
    </w:p>
    <w:p>
      <w:pPr>
        <w:pStyle w:val="BodyText"/>
        <w:spacing w:line="360" w:lineRule="auto" w:before="210"/>
        <w:ind w:left="102" w:right="118" w:firstLine="851"/>
        <w:jc w:val="both"/>
      </w:pPr>
      <w:r>
        <w:rPr/>
        <w:t>Além das fontes documentais, utilizamos informações obtidas por meio das ações desenvolvidas pelo pesquisador como Avaliador Educacional Técnico (AE) do MEC/SASE, no trabalho de assistência técnica na adequação e/ou elaboração do PEE e dos PMEs, com ação direta junto a 25 Municípios, nos anos de 2014 e 2015. Isto, associado a um olhar científico em relação às questões que emergem dos aspectos verificados no processo e nos resultados do planejamento no Tocantins.</w:t>
      </w:r>
    </w:p>
    <w:p>
      <w:pPr>
        <w:pStyle w:val="BodyText"/>
        <w:spacing w:line="360" w:lineRule="auto" w:before="3"/>
        <w:ind w:left="102" w:right="117" w:firstLine="851"/>
        <w:jc w:val="both"/>
      </w:pPr>
      <w:r>
        <w:rPr/>
        <w:t>Ainda, nos referenciamos na fundamentação teórica apresentada no primeiro capítulo desta Dissertação, com vistas a apreender os sentidos, ou seja, intenções de planejamento que subsidiam e perpassam os documentos oficiais, legais e institucionais descritos no capítulo II, que orientam todo o processo de planejamento e,  possivelmente, influenciam os resultados. Ainda, nos assentamos em outros estudos realizados no decorrer do Mestrado, a exemplo, que descrevem aspectos da trajetória de elaboração e/ou adequação dos PMEs no Tocantins, com as possibilidades de efetivação do regime de colaboração (LAGARES, 2015; CAVALCANTE, 2015) e da gestão democrática, compreendendo o documento nacional ‗Orientações gerais aos(as) avaliadores(as) educacionais no trabalho de adequação/elaboração dos planos estaduais, distrital e municipais de educação‘ (LAGARES, et al, 2015); apresentando aspectos, especificamente, em relação a (in)formação dos Avaliadores Educacionais, por meio </w:t>
      </w:r>
      <w:r>
        <w:rPr>
          <w:spacing w:val="17"/>
        </w:rPr>
        <w:t> </w:t>
      </w:r>
      <w:r>
        <w:rPr/>
        <w:t>de</w:t>
      </w:r>
    </w:p>
    <w:p>
      <w:pPr>
        <w:pStyle w:val="BodyText"/>
        <w:spacing w:line="362" w:lineRule="auto" w:before="3"/>
        <w:ind w:left="102"/>
      </w:pPr>
      <w:r>
        <w:rPr>
          <w:w w:val="44"/>
        </w:rPr>
        <w:t>―</w:t>
      </w:r>
      <w:r>
        <w:rPr>
          <w:w w:val="100"/>
        </w:rPr>
        <w:t>C</w:t>
      </w:r>
      <w:r>
        <w:rPr>
          <w:w w:val="100"/>
        </w:rPr>
        <w:t>arta</w:t>
      </w:r>
      <w:r>
        <w:rPr>
          <w:w w:val="124"/>
        </w:rPr>
        <w:t>s‖</w:t>
      </w:r>
      <w:r>
        <w:rPr/>
        <w:t>  (</w:t>
      </w:r>
      <w:r>
        <w:rPr>
          <w:w w:val="100"/>
        </w:rPr>
        <w:t>L</w:t>
      </w:r>
      <w:r>
        <w:rPr>
          <w:w w:val="99"/>
        </w:rPr>
        <w:t>AG</w:t>
      </w:r>
      <w:r>
        <w:rPr>
          <w:w w:val="99"/>
        </w:rPr>
        <w:t>ARES</w:t>
      </w:r>
      <w:r>
        <w:rPr>
          <w:w w:val="100"/>
        </w:rPr>
        <w:t>;</w:t>
      </w:r>
      <w:r>
        <w:rPr/>
        <w:t>  </w:t>
      </w:r>
      <w:r>
        <w:rPr>
          <w:w w:val="99"/>
        </w:rPr>
        <w:t>SOUS</w:t>
      </w:r>
      <w:r>
        <w:rPr>
          <w:w w:val="99"/>
        </w:rPr>
        <w:t>A,</w:t>
      </w:r>
      <w:r>
        <w:rPr/>
        <w:t>  2015);  e  de</w:t>
      </w:r>
      <w:r>
        <w:rPr>
          <w:w w:val="99"/>
        </w:rPr>
        <w:t>sc</w:t>
      </w:r>
      <w:r>
        <w:rPr>
          <w:w w:val="99"/>
        </w:rPr>
        <w:t>revendo  fragmentos  do  proce</w:t>
      </w:r>
      <w:r>
        <w:rPr>
          <w:w w:val="99"/>
        </w:rPr>
        <w:t>sso</w:t>
      </w:r>
      <w:r>
        <w:rPr/>
        <w:t>  de planejamento da educação Municipal no Tocantins (SOUSA, 2015).</w:t>
      </w:r>
    </w:p>
    <w:p>
      <w:pPr>
        <w:pStyle w:val="BodyText"/>
        <w:spacing w:line="360" w:lineRule="auto"/>
        <w:ind w:left="102" w:right="120" w:firstLine="851"/>
        <w:jc w:val="both"/>
      </w:pPr>
      <w:r>
        <w:rPr/>
        <w:t>Com esta intenção, organizamos o capítulo em três seções, descrevendo, na primeira, aspectos do processo de planejamento que deu origem aos PMEs estudados. Na segunda, apresentamos características gerais dos PMEs, relacionadas a formatação e ao conteúdo dos documentos; e, na última seção, discutimos possíveis intencionalidades do processo e nos PMEs.</w:t>
      </w:r>
    </w:p>
    <w:p>
      <w:pPr>
        <w:pStyle w:val="BodyText"/>
        <w:rPr>
          <w:sz w:val="26"/>
        </w:rPr>
      </w:pPr>
    </w:p>
    <w:p>
      <w:pPr>
        <w:pStyle w:val="BodyText"/>
        <w:rPr>
          <w:sz w:val="26"/>
        </w:rPr>
      </w:pPr>
    </w:p>
    <w:p>
      <w:pPr>
        <w:pStyle w:val="BodyText"/>
        <w:spacing w:before="10"/>
        <w:rPr>
          <w:sz w:val="20"/>
        </w:rPr>
      </w:pPr>
    </w:p>
    <w:p>
      <w:pPr>
        <w:pStyle w:val="Heading1"/>
        <w:numPr>
          <w:ilvl w:val="1"/>
          <w:numId w:val="25"/>
        </w:numPr>
        <w:tabs>
          <w:tab w:pos="498" w:val="left" w:leader="none"/>
        </w:tabs>
        <w:spacing w:line="360" w:lineRule="auto" w:before="0" w:after="0"/>
        <w:ind w:left="102" w:right="119" w:firstLine="0"/>
        <w:jc w:val="left"/>
      </w:pPr>
      <w:bookmarkStart w:name="_TOC_250013" w:id="4"/>
      <w:r>
        <w:rPr/>
        <w:t>Elaboração e/ou adequação de planos municipais de educação no Tocantins: aspectos do processo de</w:t>
      </w:r>
      <w:r>
        <w:rPr>
          <w:spacing w:val="-6"/>
        </w:rPr>
        <w:t> </w:t>
      </w:r>
      <w:bookmarkEnd w:id="4"/>
      <w:r>
        <w:rPr/>
        <w:t>planejamento</w:t>
      </w:r>
    </w:p>
    <w:p>
      <w:pPr>
        <w:pStyle w:val="BodyText"/>
        <w:spacing w:before="11"/>
        <w:rPr>
          <w:b/>
          <w:sz w:val="35"/>
        </w:rPr>
      </w:pPr>
    </w:p>
    <w:p>
      <w:pPr>
        <w:pStyle w:val="BodyText"/>
        <w:spacing w:line="360" w:lineRule="auto"/>
        <w:ind w:left="102" w:right="120" w:firstLine="851"/>
        <w:jc w:val="both"/>
      </w:pPr>
      <w:r>
        <w:rPr/>
        <w:t>Com base no Documento Plano Municipal de Educação: caderno  de orientações (BRASIL, 2014f), o processo de elaboração e/ou adequação dos PMEs se</w:t>
      </w:r>
    </w:p>
    <w:p>
      <w:pPr>
        <w:spacing w:after="0" w:line="360" w:lineRule="auto"/>
        <w:jc w:val="both"/>
        <w:sectPr>
          <w:pgSz w:w="11910" w:h="16840"/>
          <w:pgMar w:header="749" w:footer="0" w:top="960" w:bottom="280" w:left="1600" w:right="1580"/>
        </w:sectPr>
      </w:pPr>
    </w:p>
    <w:p>
      <w:pPr>
        <w:pStyle w:val="BodyText"/>
        <w:rPr>
          <w:sz w:val="27"/>
        </w:rPr>
      </w:pPr>
    </w:p>
    <w:p>
      <w:pPr>
        <w:pStyle w:val="BodyText"/>
        <w:spacing w:line="360" w:lineRule="auto" w:before="95"/>
        <w:ind w:left="122" w:right="116"/>
        <w:jc w:val="both"/>
      </w:pPr>
      <w:r>
        <w:rPr/>
        <w:t>divide em cinco etapas</w:t>
      </w:r>
      <w:r>
        <w:rPr>
          <w:position w:val="11"/>
          <w:sz w:val="16"/>
        </w:rPr>
        <w:t>18 </w:t>
      </w:r>
      <w:r>
        <w:rPr/>
        <w:t>– definir e distribuir responsabilidades; elaborar o Documento- Base; promover um amplo debate; redigir o Projeto de Lei; e acompanhar a tramitação na Câmara Municipal – sendo todas acompanhadas por uma rede de assistência   técnica</w:t>
      </w:r>
    </w:p>
    <w:p>
      <w:pPr>
        <w:pStyle w:val="BodyText"/>
        <w:spacing w:line="345" w:lineRule="auto" w:before="6"/>
        <w:ind w:left="122" w:right="117"/>
        <w:jc w:val="both"/>
      </w:pPr>
      <w:r>
        <w:rPr/>
        <w:t>da SASE/MEC, com dinâmica estabelecida para o apoio e a orientação aos Municípios e ao Estado em todo o processo de elaboração dos Planos</w:t>
      </w:r>
      <w:r>
        <w:rPr>
          <w:position w:val="11"/>
          <w:sz w:val="16"/>
        </w:rPr>
        <w:t>19</w:t>
      </w:r>
      <w:r>
        <w:rPr/>
        <w:t>, em especial, com a atuação  de Avaliadores Educacionais do</w:t>
      </w:r>
      <w:r>
        <w:rPr>
          <w:spacing w:val="-5"/>
        </w:rPr>
        <w:t> </w:t>
      </w:r>
      <w:r>
        <w:rPr/>
        <w:t>MEC.</w:t>
      </w:r>
    </w:p>
    <w:p>
      <w:pPr>
        <w:pStyle w:val="BodyText"/>
        <w:rPr>
          <w:sz w:val="26"/>
        </w:rPr>
      </w:pPr>
    </w:p>
    <w:p>
      <w:pPr>
        <w:pStyle w:val="BodyText"/>
        <w:rPr>
          <w:sz w:val="26"/>
        </w:rPr>
      </w:pPr>
    </w:p>
    <w:p>
      <w:pPr>
        <w:pStyle w:val="BodyText"/>
        <w:spacing w:before="1"/>
        <w:rPr>
          <w:sz w:val="22"/>
        </w:rPr>
      </w:pPr>
    </w:p>
    <w:p>
      <w:pPr>
        <w:pStyle w:val="Heading2"/>
        <w:numPr>
          <w:ilvl w:val="2"/>
          <w:numId w:val="25"/>
        </w:numPr>
        <w:tabs>
          <w:tab w:pos="662" w:val="left" w:leader="none"/>
        </w:tabs>
        <w:spacing w:line="240" w:lineRule="auto" w:before="0" w:after="0"/>
        <w:ind w:left="662" w:right="0" w:hanging="540"/>
        <w:jc w:val="both"/>
        <w:rPr>
          <w:i/>
        </w:rPr>
      </w:pPr>
      <w:r>
        <w:rPr>
          <w:i/>
        </w:rPr>
        <w:t>Rede de Assistência Técnica: esferas federal, estadual e</w:t>
      </w:r>
      <w:r>
        <w:rPr>
          <w:i/>
          <w:spacing w:val="-12"/>
        </w:rPr>
        <w:t> </w:t>
      </w:r>
      <w:r>
        <w:rPr>
          <w:i/>
        </w:rPr>
        <w:t>municipal</w:t>
      </w:r>
    </w:p>
    <w:p>
      <w:pPr>
        <w:pStyle w:val="BodyText"/>
        <w:rPr>
          <w:b/>
          <w:i/>
          <w:sz w:val="26"/>
        </w:rPr>
      </w:pPr>
    </w:p>
    <w:p>
      <w:pPr>
        <w:pStyle w:val="BodyText"/>
        <w:spacing w:before="7"/>
        <w:rPr>
          <w:b/>
          <w:i/>
          <w:sz w:val="21"/>
        </w:rPr>
      </w:pPr>
    </w:p>
    <w:p>
      <w:pPr>
        <w:pStyle w:val="BodyText"/>
        <w:spacing w:line="352" w:lineRule="auto"/>
        <w:ind w:left="122" w:right="114" w:firstLine="851"/>
        <w:jc w:val="both"/>
      </w:pPr>
      <w:r>
        <w:rPr/>
        <w:t>A Secretaria de Articulação com os Sistemas de Ensino do Ministério da Educação (SASE/MEC)</w:t>
      </w:r>
      <w:r>
        <w:rPr>
          <w:position w:val="11"/>
          <w:sz w:val="16"/>
        </w:rPr>
        <w:t>20</w:t>
      </w:r>
      <w:r>
        <w:rPr/>
        <w:t>, foi instituída em 2011, cujo processo de criação agrega demandas advindas da Conae 2010, em que fora cobrado do MEC efetividade na coordenação do trabalho de instituir o Sistema Nacional de Educação (SNE). Dentre as suas funções está a de desenvolver ações para a criação de um SNE e a colaboração</w:t>
      </w:r>
    </w:p>
    <w:p>
      <w:pPr>
        <w:pStyle w:val="BodyText"/>
        <w:spacing w:line="360" w:lineRule="auto" w:before="14"/>
        <w:ind w:left="122" w:right="115"/>
        <w:jc w:val="both"/>
      </w:pPr>
      <w:r>
        <w:rPr/>
        <w:t>entre os Sistemas com vistas à consonância dos Planos dos Estados e dos Municípios ao PNE (</w:t>
      </w:r>
      <w:hyperlink r:id="rId53">
        <w:r>
          <w:rPr/>
          <w:t>www.mec.gov.br,</w:t>
        </w:r>
      </w:hyperlink>
      <w:r>
        <w:rPr/>
        <w:t> 2015).</w:t>
      </w:r>
    </w:p>
    <w:p>
      <w:pPr>
        <w:pStyle w:val="BodyText"/>
        <w:spacing w:line="352" w:lineRule="auto" w:before="6"/>
        <w:ind w:left="122" w:right="115" w:firstLine="851"/>
        <w:jc w:val="both"/>
      </w:pPr>
      <w:r>
        <w:rPr/>
        <w:t>Em decorrência da disposição do PL do PNE quanto a necessária elaboração dos Planos de Educação pelos Estados, Distrito Federal e Municípios, a SASE constituiu, no início do ano de 2013, e coordenou, até o final do ano de 2015, uma Rede de Assistência Técnica junto aos entes federados. Nesta, contou com atores distintos envolvendo as três esferas governamentais</w:t>
      </w:r>
      <w:r>
        <w:rPr>
          <w:position w:val="11"/>
          <w:sz w:val="16"/>
        </w:rPr>
        <w:t>21</w:t>
      </w:r>
      <w:r>
        <w:rPr/>
        <w:t>; com atribuições específicas, definidas em uma série de documentos oficiais nacionais, e assumidas por meio de documentos e</w:t>
      </w:r>
    </w:p>
    <w:p>
      <w:pPr>
        <w:pStyle w:val="BodyText"/>
        <w:spacing w:line="328" w:lineRule="auto" w:before="14"/>
        <w:ind w:left="122" w:right="122"/>
        <w:jc w:val="both"/>
      </w:pPr>
      <w:r>
        <w:rPr/>
        <w:t>ações em âmbitos estaduais e municipais; e com encontros de formação dos sujeitos envolvidos, em âmbitos nacional e estaduais</w:t>
      </w:r>
      <w:r>
        <w:rPr>
          <w:position w:val="11"/>
          <w:sz w:val="16"/>
        </w:rPr>
        <w:t>22</w:t>
      </w:r>
      <w:r>
        <w:rPr/>
        <w:t>.</w:t>
      </w:r>
    </w:p>
    <w:p>
      <w:pPr>
        <w:pStyle w:val="BodyText"/>
        <w:spacing w:line="360" w:lineRule="auto" w:before="26"/>
        <w:ind w:left="122" w:right="119" w:firstLine="851"/>
        <w:jc w:val="both"/>
      </w:pPr>
      <w:r>
        <w:rPr/>
        <w:t>Isto, sobretudo com a justificativa da necessidade dos planos de educação e do regime de colaboração:</w:t>
      </w:r>
    </w:p>
    <w:p>
      <w:pPr>
        <w:pStyle w:val="BodyText"/>
        <w:rPr>
          <w:sz w:val="13"/>
        </w:rPr>
      </w:pPr>
      <w:r>
        <w:rPr/>
        <w:pict>
          <v:line style="position:absolute;mso-position-horizontal-relative:page;mso-position-vertical-relative:paragraph;z-index:1648;mso-wrap-distance-left:0;mso-wrap-distance-right:0" from="85.103996pt,9.825694pt" to="229.123996pt,9.825694pt" stroked="true" strokeweight=".72003pt" strokecolor="#000000">
            <v:stroke dashstyle="solid"/>
            <w10:wrap type="topAndBottom"/>
          </v:line>
        </w:pict>
      </w:r>
    </w:p>
    <w:p>
      <w:pPr>
        <w:spacing w:before="42"/>
        <w:ind w:left="122" w:right="123" w:firstLine="0"/>
        <w:jc w:val="both"/>
        <w:rPr>
          <w:sz w:val="20"/>
        </w:rPr>
      </w:pPr>
      <w:r>
        <w:rPr>
          <w:position w:val="9"/>
          <w:sz w:val="13"/>
        </w:rPr>
        <w:t>18 </w:t>
      </w:r>
      <w:r>
        <w:rPr>
          <w:sz w:val="20"/>
        </w:rPr>
        <w:t>Processo que permitiu seu acompanhamento por meio da </w:t>
      </w:r>
      <w:r>
        <w:rPr>
          <w:i/>
          <w:sz w:val="20"/>
        </w:rPr>
        <w:t>internet</w:t>
      </w:r>
      <w:r>
        <w:rPr>
          <w:sz w:val="20"/>
        </w:rPr>
        <w:t>, no </w:t>
      </w:r>
      <w:r>
        <w:rPr>
          <w:i/>
          <w:sz w:val="20"/>
        </w:rPr>
        <w:t>site </w:t>
      </w:r>
      <w:r>
        <w:rPr>
          <w:sz w:val="20"/>
        </w:rPr>
        <w:t>pne.mec.gov.br e no Sistema Integrado de Monitoramento e Controle (SiMEC), com a inserção das informações do perfil de cada Município em relação às etapas do trabalho.</w:t>
      </w:r>
    </w:p>
    <w:p>
      <w:pPr>
        <w:spacing w:line="230" w:lineRule="exact" w:before="0"/>
        <w:ind w:left="122" w:right="0" w:firstLine="0"/>
        <w:jc w:val="both"/>
        <w:rPr>
          <w:sz w:val="20"/>
        </w:rPr>
      </w:pPr>
      <w:r>
        <w:rPr>
          <w:position w:val="9"/>
          <w:sz w:val="13"/>
        </w:rPr>
        <w:t>19  </w:t>
      </w:r>
      <w:r>
        <w:rPr>
          <w:sz w:val="20"/>
        </w:rPr>
        <w:t>Processo que continuará por meio de uma Rede de Assistência Técnica para monitoramento e avaliação</w:t>
      </w:r>
    </w:p>
    <w:p>
      <w:pPr>
        <w:spacing w:before="1"/>
        <w:ind w:left="122" w:right="120" w:firstLine="0"/>
        <w:jc w:val="both"/>
        <w:rPr>
          <w:sz w:val="20"/>
        </w:rPr>
      </w:pPr>
      <w:r>
        <w:rPr>
          <w:sz w:val="20"/>
        </w:rPr>
        <w:t>dos Planos de Educação, com a possibilidade de uma repactuação da Rede Assistência Técnica que atuou na etapa anterior (BRASIL, 2015).</w:t>
      </w:r>
    </w:p>
    <w:p>
      <w:pPr>
        <w:spacing w:line="218" w:lineRule="exact" w:before="0"/>
        <w:ind w:left="122" w:right="0" w:firstLine="0"/>
        <w:jc w:val="both"/>
        <w:rPr>
          <w:sz w:val="20"/>
        </w:rPr>
      </w:pPr>
      <w:r>
        <w:rPr>
          <w:position w:val="9"/>
          <w:sz w:val="13"/>
        </w:rPr>
        <w:t>20 </w:t>
      </w:r>
      <w:r>
        <w:rPr>
          <w:sz w:val="20"/>
        </w:rPr>
        <w:t>A SASE foi extinta em novembro de 2015.</w:t>
      </w:r>
    </w:p>
    <w:p>
      <w:pPr>
        <w:spacing w:line="230" w:lineRule="exact" w:before="15"/>
        <w:ind w:left="122" w:right="118" w:firstLine="0"/>
        <w:jc w:val="both"/>
        <w:rPr>
          <w:sz w:val="20"/>
        </w:rPr>
      </w:pPr>
      <w:r>
        <w:rPr>
          <w:position w:val="9"/>
          <w:sz w:val="13"/>
        </w:rPr>
        <w:t>21</w:t>
      </w:r>
      <w:r>
        <w:rPr>
          <w:sz w:val="20"/>
        </w:rPr>
        <w:t>Ao todo, no País, foram agregados à Rede de Assistência Técnica para elaboração e/ou adequação dos planos de educação, 310 AEs sendo: 26 coordenadores estaduais, 23 supervisores gerais, 50 supervisores e 211</w:t>
      </w:r>
      <w:r>
        <w:rPr>
          <w:spacing w:val="-3"/>
          <w:sz w:val="20"/>
        </w:rPr>
        <w:t> </w:t>
      </w:r>
      <w:r>
        <w:rPr>
          <w:sz w:val="20"/>
        </w:rPr>
        <w:t>técnicos.</w:t>
      </w:r>
    </w:p>
    <w:p>
      <w:pPr>
        <w:spacing w:line="228" w:lineRule="exact" w:before="0"/>
        <w:ind w:left="122" w:right="0" w:firstLine="0"/>
        <w:jc w:val="both"/>
        <w:rPr>
          <w:sz w:val="20"/>
        </w:rPr>
      </w:pPr>
      <w:r>
        <w:rPr>
          <w:position w:val="9"/>
          <w:sz w:val="13"/>
        </w:rPr>
        <w:t>22 </w:t>
      </w:r>
      <w:r>
        <w:rPr>
          <w:sz w:val="20"/>
        </w:rPr>
        <w:t>Para maiores informações, consultar </w:t>
      </w:r>
      <w:hyperlink r:id="rId53">
        <w:r>
          <w:rPr>
            <w:sz w:val="20"/>
          </w:rPr>
          <w:t>www.mec.gov.br.</w:t>
        </w:r>
      </w:hyperlink>
    </w:p>
    <w:p>
      <w:pPr>
        <w:spacing w:after="0" w:line="228" w:lineRule="exact"/>
        <w:jc w:val="both"/>
        <w:rPr>
          <w:sz w:val="20"/>
        </w:rPr>
        <w:sectPr>
          <w:pgSz w:w="11910" w:h="16840"/>
          <w:pgMar w:header="749" w:footer="0" w:top="960" w:bottom="280" w:left="1580" w:right="1580"/>
        </w:sectPr>
      </w:pPr>
    </w:p>
    <w:p>
      <w:pPr>
        <w:pStyle w:val="BodyText"/>
        <w:rPr>
          <w:sz w:val="20"/>
        </w:rPr>
      </w:pPr>
    </w:p>
    <w:p>
      <w:pPr>
        <w:pStyle w:val="BodyText"/>
        <w:rPr>
          <w:sz w:val="20"/>
        </w:rPr>
      </w:pPr>
    </w:p>
    <w:p>
      <w:pPr>
        <w:pStyle w:val="BodyText"/>
        <w:spacing w:before="1"/>
        <w:rPr>
          <w:sz w:val="18"/>
        </w:rPr>
      </w:pPr>
    </w:p>
    <w:p>
      <w:pPr>
        <w:spacing w:before="91"/>
        <w:ind w:left="2370" w:right="118" w:firstLine="0"/>
        <w:jc w:val="both"/>
        <w:rPr>
          <w:sz w:val="20"/>
        </w:rPr>
      </w:pPr>
      <w:r>
        <w:rPr>
          <w:sz w:val="20"/>
        </w:rPr>
        <w:t>No levantamento feito com os dados informados no SIMEC pelos estados, Distrito Federal e Municípios, constata-se que </w:t>
      </w:r>
      <w:r>
        <w:rPr>
          <w:b/>
          <w:sz w:val="20"/>
        </w:rPr>
        <w:t>a maioria não possui seu plano de educação</w:t>
      </w:r>
      <w:r>
        <w:rPr>
          <w:sz w:val="20"/>
        </w:rPr>
        <w:t>. Nesse sentido, enfatiza-se a importância de </w:t>
      </w:r>
      <w:r>
        <w:rPr>
          <w:b/>
          <w:sz w:val="20"/>
        </w:rPr>
        <w:t>fortalecer o trabalho articulado entre os entes federativos </w:t>
      </w:r>
      <w:r>
        <w:rPr>
          <w:sz w:val="20"/>
        </w:rPr>
        <w:t>para que todos tenham seus planos de educação </w:t>
      </w:r>
      <w:r>
        <w:rPr>
          <w:b/>
          <w:sz w:val="20"/>
        </w:rPr>
        <w:t>instituídos por meio de lei</w:t>
      </w:r>
      <w:r>
        <w:rPr>
          <w:sz w:val="20"/>
        </w:rPr>
        <w:t>. (BRASIL, 2014b, p.2) (Grifos nossos).</w:t>
      </w:r>
    </w:p>
    <w:p>
      <w:pPr>
        <w:pStyle w:val="BodyText"/>
        <w:rPr>
          <w:sz w:val="22"/>
        </w:rPr>
      </w:pPr>
    </w:p>
    <w:p>
      <w:pPr>
        <w:pStyle w:val="BodyText"/>
        <w:spacing w:line="360" w:lineRule="auto" w:before="161"/>
        <w:ind w:left="102" w:right="114" w:firstLine="851"/>
        <w:jc w:val="both"/>
      </w:pPr>
      <w:r>
        <w:rPr/>
        <w:t>Em pesquisa realizada acerca desses atores e suas atribuições, Lagares (2015) expressa que o documento Orientações gerais aos(as) avaliadores(as) educacionais no trabalho de adequação/elaboração dos planos estaduais, distrital e municipais de </w:t>
      </w:r>
      <w:r>
        <w:rPr>
          <w:spacing w:val="-1"/>
          <w:w w:val="100"/>
        </w:rPr>
        <w:t>e</w:t>
      </w:r>
      <w:r>
        <w:rPr>
          <w:w w:val="100"/>
        </w:rPr>
        <w:t>du</w:t>
      </w:r>
      <w:r>
        <w:rPr>
          <w:spacing w:val="-1"/>
          <w:w w:val="100"/>
        </w:rPr>
        <w:t>c</w:t>
      </w:r>
      <w:r>
        <w:rPr>
          <w:spacing w:val="1"/>
          <w:w w:val="100"/>
        </w:rPr>
        <w:t>a</w:t>
      </w:r>
      <w:r>
        <w:rPr>
          <w:spacing w:val="-1"/>
          <w:w w:val="100"/>
        </w:rPr>
        <w:t>çã</w:t>
      </w:r>
      <w:r>
        <w:rPr/>
        <w:t>o</w:t>
      </w:r>
      <w:r>
        <w:rPr>
          <w:spacing w:val="4"/>
        </w:rPr>
        <w:t> </w:t>
      </w:r>
      <w:r>
        <w:rPr/>
        <w:t>(</w:t>
      </w:r>
      <w:r>
        <w:rPr>
          <w:spacing w:val="-3"/>
        </w:rPr>
        <w:t>B</w:t>
      </w:r>
      <w:r>
        <w:rPr/>
        <w:t>R</w:t>
      </w:r>
      <w:r>
        <w:rPr>
          <w:w w:val="99"/>
        </w:rPr>
        <w:t>A</w:t>
      </w:r>
      <w:r>
        <w:rPr>
          <w:spacing w:val="2"/>
          <w:w w:val="99"/>
        </w:rPr>
        <w:t>S</w:t>
      </w:r>
      <w:r>
        <w:rPr>
          <w:w w:val="100"/>
        </w:rPr>
        <w:t>I</w:t>
      </w:r>
      <w:r>
        <w:rPr>
          <w:spacing w:val="-4"/>
          <w:w w:val="100"/>
        </w:rPr>
        <w:t>L</w:t>
      </w:r>
      <w:r>
        <w:rPr/>
        <w:t>,</w:t>
      </w:r>
      <w:r>
        <w:rPr>
          <w:spacing w:val="4"/>
        </w:rPr>
        <w:t> </w:t>
      </w:r>
      <w:r>
        <w:rPr/>
        <w:t>20</w:t>
      </w:r>
      <w:r>
        <w:rPr>
          <w:spacing w:val="2"/>
        </w:rPr>
        <w:t>1</w:t>
      </w:r>
      <w:r>
        <w:rPr/>
        <w:t>3)</w:t>
      </w:r>
      <w:r>
        <w:rPr>
          <w:spacing w:val="1"/>
        </w:rPr>
        <w:t> </w:t>
      </w:r>
      <w:r>
        <w:rPr>
          <w:spacing w:val="-1"/>
          <w:w w:val="44"/>
        </w:rPr>
        <w:t>―</w:t>
      </w:r>
      <w:r>
        <w:rPr>
          <w:w w:val="100"/>
        </w:rPr>
        <w:t>é</w:t>
      </w:r>
      <w:r>
        <w:rPr>
          <w:spacing w:val="3"/>
        </w:rPr>
        <w:t> </w:t>
      </w:r>
      <w:r>
        <w:rPr>
          <w:w w:val="100"/>
        </w:rPr>
        <w:t>um</w:t>
      </w:r>
      <w:r>
        <w:rPr>
          <w:spacing w:val="2"/>
        </w:rPr>
        <w:t> </w:t>
      </w:r>
      <w:r>
        <w:rPr>
          <w:w w:val="99"/>
        </w:rPr>
        <w:t>dos</w:t>
      </w:r>
      <w:r>
        <w:rPr>
          <w:spacing w:val="2"/>
        </w:rPr>
        <w:t> </w:t>
      </w:r>
      <w:r>
        <w:rPr>
          <w:spacing w:val="2"/>
          <w:w w:val="100"/>
        </w:rPr>
        <w:t>m</w:t>
      </w:r>
      <w:r>
        <w:rPr>
          <w:spacing w:val="-1"/>
          <w:w w:val="100"/>
        </w:rPr>
        <w:t>a</w:t>
      </w:r>
      <w:r>
        <w:rPr>
          <w:w w:val="100"/>
        </w:rPr>
        <w:t>is</w:t>
      </w:r>
      <w:r>
        <w:rPr>
          <w:spacing w:val="2"/>
          <w:w w:val="100"/>
        </w:rPr>
        <w:t> </w:t>
      </w:r>
      <w:r>
        <w:rPr>
          <w:spacing w:val="-1"/>
          <w:w w:val="100"/>
        </w:rPr>
        <w:t>e</w:t>
      </w:r>
      <w:r>
        <w:rPr>
          <w:spacing w:val="2"/>
        </w:rPr>
        <w:t>x</w:t>
      </w:r>
      <w:r>
        <w:rPr>
          <w:w w:val="100"/>
        </w:rPr>
        <w:t>pli</w:t>
      </w:r>
      <w:r>
        <w:rPr>
          <w:spacing w:val="-1"/>
          <w:w w:val="100"/>
        </w:rPr>
        <w:t>ca</w:t>
      </w:r>
      <w:r>
        <w:rPr>
          <w:w w:val="100"/>
        </w:rPr>
        <w:t>ti</w:t>
      </w:r>
      <w:r>
        <w:rPr>
          <w:spacing w:val="5"/>
        </w:rPr>
        <w:t>v</w:t>
      </w:r>
      <w:r>
        <w:rPr>
          <w:w w:val="99"/>
        </w:rPr>
        <w:t>os</w:t>
      </w:r>
      <w:r>
        <w:rPr>
          <w:spacing w:val="2"/>
        </w:rPr>
        <w:t> </w:t>
      </w:r>
      <w:r>
        <w:rPr/>
        <w:t>no</w:t>
      </w:r>
      <w:r>
        <w:rPr>
          <w:spacing w:val="2"/>
        </w:rPr>
        <w:t> </w:t>
      </w:r>
      <w:r>
        <w:rPr/>
        <w:t>que</w:t>
      </w:r>
      <w:r>
        <w:rPr>
          <w:spacing w:val="1"/>
        </w:rPr>
        <w:t> </w:t>
      </w:r>
      <w:r>
        <w:rPr/>
        <w:t>diz</w:t>
      </w:r>
      <w:r>
        <w:rPr>
          <w:spacing w:val="3"/>
        </w:rPr>
        <w:t> </w:t>
      </w:r>
      <w:r>
        <w:rPr>
          <w:spacing w:val="1"/>
        </w:rPr>
        <w:t>r</w:t>
      </w:r>
      <w:r>
        <w:rPr>
          <w:spacing w:val="-1"/>
        </w:rPr>
        <w:t>e</w:t>
      </w:r>
      <w:r>
        <w:rPr/>
        <w:t>spei</w:t>
      </w:r>
      <w:r>
        <w:rPr>
          <w:spacing w:val="2"/>
        </w:rPr>
        <w:t>t</w:t>
      </w:r>
      <w:r>
        <w:rPr/>
        <w:t>o</w:t>
      </w:r>
      <w:r>
        <w:rPr>
          <w:spacing w:val="2"/>
        </w:rPr>
        <w:t> </w:t>
      </w:r>
      <w:r>
        <w:rPr/>
        <w:t>a</w:t>
      </w:r>
      <w:r>
        <w:rPr>
          <w:spacing w:val="3"/>
        </w:rPr>
        <w:t> </w:t>
      </w:r>
      <w:r>
        <w:rPr>
          <w:spacing w:val="-1"/>
        </w:rPr>
        <w:t>a</w:t>
      </w:r>
      <w:r>
        <w:rPr/>
        <w:t>tuaç</w:t>
      </w:r>
      <w:r>
        <w:rPr>
          <w:spacing w:val="-1"/>
        </w:rPr>
        <w:t>ã</w:t>
      </w:r>
      <w:r>
        <w:rPr/>
        <w:t>o</w:t>
      </w:r>
      <w:r>
        <w:rPr>
          <w:spacing w:val="2"/>
        </w:rPr>
        <w:t> </w:t>
      </w:r>
      <w:r>
        <w:rPr/>
        <w:t>de cada esfera e instituição‖. Ainda, destaca que a SASE/MEC possui onze atribuições que compreendem, entre outras, a coordenação nacional e a definição de diretrizes gerais e da estrutura operacional; o Fundo Nacional de Desenvolvimento da Educação (FNDE)/MEC possui quatro atribuições, das quais destacamos a formação e o pagamento do Auxílio Avaliação Educacional dos AEs; o Conselho Nacional de Secretários Estaduais de Educação (Consed) atua com nove ações, das quais agrega a designação de AEs e da Comissão Estadual como, também, a supervisão e o acompanhamento da elaboração dos planos estadual e distrital, além de apoiar os Municípios; à Undime são designadas três ações, voltadas para o apoio ao planejamento no âmbito dos Municípios, com a designação de AEs e a garantia de infraestrutura para o desenvolvimento do trabalhos; já as Secretarias Municipais de Educação possuem seis atribuições que são, basicamente, de nomeação de uma comissão municipal e de uma equipe técnica para o processo municipal; apoio logístico e de insumos para a comissão, equipe e gestores; distribuição de materiais e encaminhamento da proposta de PME para análise e validação, seguida para aprovação no legislativo e da sanção pelo executivo; às Comissões (estadual, distrital ou municipal), são designadas atribuições, entre outras, de elaboração ou adequação do plano de educação, atentando, sempre, do que foi definido em conferências de educação que debatem conteúdos organizados em um</w:t>
      </w:r>
      <w:r>
        <w:rPr>
          <w:spacing w:val="-7"/>
        </w:rPr>
        <w:t> </w:t>
      </w:r>
      <w:r>
        <w:rPr/>
        <w:t>texto-base.</w:t>
      </w:r>
    </w:p>
    <w:p>
      <w:pPr>
        <w:pStyle w:val="BodyText"/>
        <w:spacing w:line="360" w:lineRule="auto" w:before="6"/>
        <w:ind w:left="102" w:right="118" w:firstLine="851"/>
        <w:jc w:val="both"/>
      </w:pPr>
      <w:r>
        <w:rPr/>
        <w:t>Ao conjunto de ações, Lagares (2015, p. 12) destaca que o maior número de atribuições são delegadas aos AEs, sendo ao todo quatorze:</w:t>
      </w:r>
    </w:p>
    <w:p>
      <w:pPr>
        <w:pStyle w:val="BodyText"/>
        <w:spacing w:before="6"/>
        <w:rPr>
          <w:sz w:val="36"/>
        </w:rPr>
      </w:pPr>
    </w:p>
    <w:p>
      <w:pPr>
        <w:pStyle w:val="ListParagraph"/>
        <w:numPr>
          <w:ilvl w:val="3"/>
          <w:numId w:val="25"/>
        </w:numPr>
        <w:tabs>
          <w:tab w:pos="2576" w:val="left" w:leader="none"/>
        </w:tabs>
        <w:spacing w:line="240" w:lineRule="auto" w:before="0" w:after="0"/>
        <w:ind w:left="2370" w:right="0" w:firstLine="0"/>
        <w:jc w:val="both"/>
        <w:rPr>
          <w:sz w:val="20"/>
        </w:rPr>
      </w:pPr>
      <w:r>
        <w:rPr>
          <w:sz w:val="20"/>
        </w:rPr>
        <w:t>participar das capacitações realizadas pela</w:t>
      </w:r>
      <w:r>
        <w:rPr>
          <w:spacing w:val="-19"/>
          <w:sz w:val="20"/>
        </w:rPr>
        <w:t> </w:t>
      </w:r>
      <w:r>
        <w:rPr>
          <w:sz w:val="20"/>
        </w:rPr>
        <w:t>SASE/MEC;</w:t>
      </w:r>
    </w:p>
    <w:p>
      <w:pPr>
        <w:pStyle w:val="ListParagraph"/>
        <w:numPr>
          <w:ilvl w:val="3"/>
          <w:numId w:val="25"/>
        </w:numPr>
        <w:tabs>
          <w:tab w:pos="2643" w:val="left" w:leader="none"/>
        </w:tabs>
        <w:spacing w:line="278" w:lineRule="auto" w:before="34" w:after="0"/>
        <w:ind w:left="2370" w:right="123" w:firstLine="0"/>
        <w:jc w:val="both"/>
        <w:rPr>
          <w:sz w:val="20"/>
        </w:rPr>
      </w:pPr>
      <w:r>
        <w:rPr>
          <w:sz w:val="20"/>
        </w:rPr>
        <w:t>informar às equipes técnicas do FNDE/MEC e da SASE/MEC sobre alterações no cronograma, se</w:t>
      </w:r>
      <w:r>
        <w:rPr>
          <w:spacing w:val="-11"/>
          <w:sz w:val="20"/>
        </w:rPr>
        <w:t> </w:t>
      </w:r>
      <w:r>
        <w:rPr>
          <w:sz w:val="20"/>
        </w:rPr>
        <w:t>houver;</w:t>
      </w:r>
    </w:p>
    <w:p>
      <w:pPr>
        <w:pStyle w:val="ListParagraph"/>
        <w:numPr>
          <w:ilvl w:val="3"/>
          <w:numId w:val="25"/>
        </w:numPr>
        <w:tabs>
          <w:tab w:pos="2622" w:val="left" w:leader="none"/>
        </w:tabs>
        <w:spacing w:line="276" w:lineRule="auto" w:before="0" w:after="0"/>
        <w:ind w:left="2370" w:right="123" w:firstLine="0"/>
        <w:jc w:val="both"/>
        <w:rPr>
          <w:sz w:val="20"/>
        </w:rPr>
      </w:pPr>
      <w:r>
        <w:rPr>
          <w:sz w:val="20"/>
        </w:rPr>
        <w:t>orientar e auxiliar os agentes envolvidos na adequação/elaboração dos planos estaduais, distrital e municipais de</w:t>
      </w:r>
      <w:r>
        <w:rPr>
          <w:spacing w:val="-17"/>
          <w:sz w:val="20"/>
        </w:rPr>
        <w:t> </w:t>
      </w:r>
      <w:r>
        <w:rPr>
          <w:sz w:val="20"/>
        </w:rPr>
        <w:t>educação;</w:t>
      </w:r>
    </w:p>
    <w:p>
      <w:pPr>
        <w:spacing w:after="0" w:line="276" w:lineRule="auto"/>
        <w:jc w:val="both"/>
        <w:rPr>
          <w:sz w:val="20"/>
        </w:rPr>
        <w:sectPr>
          <w:pgSz w:w="11910" w:h="16840"/>
          <w:pgMar w:header="749" w:footer="0" w:top="960" w:bottom="280" w:left="1600" w:right="1580"/>
        </w:sectPr>
      </w:pPr>
    </w:p>
    <w:p>
      <w:pPr>
        <w:pStyle w:val="BodyText"/>
        <w:rPr>
          <w:sz w:val="20"/>
        </w:rPr>
      </w:pPr>
    </w:p>
    <w:p>
      <w:pPr>
        <w:pStyle w:val="BodyText"/>
        <w:spacing w:before="5"/>
        <w:rPr>
          <w:sz w:val="18"/>
        </w:rPr>
      </w:pPr>
    </w:p>
    <w:p>
      <w:pPr>
        <w:pStyle w:val="ListParagraph"/>
        <w:numPr>
          <w:ilvl w:val="3"/>
          <w:numId w:val="25"/>
        </w:numPr>
        <w:tabs>
          <w:tab w:pos="2768" w:val="left" w:leader="none"/>
        </w:tabs>
        <w:spacing w:line="276" w:lineRule="auto" w:before="0" w:after="0"/>
        <w:ind w:left="2370" w:right="118" w:firstLine="0"/>
        <w:jc w:val="both"/>
        <w:rPr>
          <w:sz w:val="20"/>
        </w:rPr>
      </w:pPr>
      <w:r>
        <w:rPr>
          <w:sz w:val="20"/>
        </w:rPr>
        <w:t>informar por escrito à SASE/MEC (e-mail institucional – dicope.sase@mec.gov.br) os Municípios que manifestarem interesse em receber a assistência técnica dos(as) AEs, impreterivelmente, até 15 dias após a</w:t>
      </w:r>
      <w:r>
        <w:rPr>
          <w:spacing w:val="-4"/>
          <w:sz w:val="20"/>
        </w:rPr>
        <w:t> </w:t>
      </w:r>
      <w:r>
        <w:rPr>
          <w:sz w:val="20"/>
        </w:rPr>
        <w:t>solicitação;</w:t>
      </w:r>
    </w:p>
    <w:p>
      <w:pPr>
        <w:pStyle w:val="ListParagraph"/>
        <w:numPr>
          <w:ilvl w:val="3"/>
          <w:numId w:val="25"/>
        </w:numPr>
        <w:tabs>
          <w:tab w:pos="2634" w:val="left" w:leader="none"/>
        </w:tabs>
        <w:spacing w:line="276" w:lineRule="auto" w:before="0" w:after="0"/>
        <w:ind w:left="2370" w:right="118" w:firstLine="0"/>
        <w:jc w:val="both"/>
        <w:rPr>
          <w:sz w:val="20"/>
        </w:rPr>
      </w:pPr>
      <w:r>
        <w:rPr>
          <w:sz w:val="20"/>
        </w:rPr>
        <w:t>apresentar o planejamento para cada etapa de trabalho, contendo, no mínimo, os objetivos, justificativa, metodologia, participantes e a programação</w:t>
      </w:r>
      <w:r>
        <w:rPr>
          <w:spacing w:val="-9"/>
          <w:sz w:val="20"/>
        </w:rPr>
        <w:t> </w:t>
      </w:r>
      <w:r>
        <w:rPr>
          <w:sz w:val="20"/>
        </w:rPr>
        <w:t>prevista;</w:t>
      </w:r>
    </w:p>
    <w:p>
      <w:pPr>
        <w:pStyle w:val="ListParagraph"/>
        <w:numPr>
          <w:ilvl w:val="3"/>
          <w:numId w:val="25"/>
        </w:numPr>
        <w:tabs>
          <w:tab w:pos="2555" w:val="left" w:leader="none"/>
        </w:tabs>
        <w:spacing w:line="276" w:lineRule="auto" w:before="0" w:after="0"/>
        <w:ind w:left="2370" w:right="125" w:firstLine="0"/>
        <w:jc w:val="both"/>
        <w:rPr>
          <w:sz w:val="20"/>
        </w:rPr>
      </w:pPr>
      <w:r>
        <w:rPr>
          <w:sz w:val="20"/>
        </w:rPr>
        <w:t>planejar e realizar reuniões de trabalho, sempre que necessário e em acordo com os</w:t>
      </w:r>
      <w:r>
        <w:rPr>
          <w:spacing w:val="-9"/>
          <w:sz w:val="20"/>
        </w:rPr>
        <w:t> </w:t>
      </w:r>
      <w:r>
        <w:rPr>
          <w:sz w:val="20"/>
        </w:rPr>
        <w:t>interessados;</w:t>
      </w:r>
    </w:p>
    <w:p>
      <w:pPr>
        <w:pStyle w:val="ListParagraph"/>
        <w:numPr>
          <w:ilvl w:val="3"/>
          <w:numId w:val="25"/>
        </w:numPr>
        <w:tabs>
          <w:tab w:pos="2620" w:val="left" w:leader="none"/>
        </w:tabs>
        <w:spacing w:line="276" w:lineRule="auto" w:before="0" w:after="0"/>
        <w:ind w:left="2370" w:right="119" w:firstLine="0"/>
        <w:jc w:val="both"/>
        <w:rPr>
          <w:sz w:val="20"/>
        </w:rPr>
      </w:pPr>
      <w:r>
        <w:rPr>
          <w:sz w:val="20"/>
        </w:rPr>
        <w:t>subsidiar e acompanhar as discussões, definições, adequação/elaboração das metas, qualificação das estratégias planos estaduais, distrital e municipais de educação, tendo como referência o PLC Nº</w:t>
      </w:r>
      <w:r>
        <w:rPr>
          <w:spacing w:val="-13"/>
          <w:sz w:val="20"/>
        </w:rPr>
        <w:t> </w:t>
      </w:r>
      <w:r>
        <w:rPr>
          <w:sz w:val="20"/>
        </w:rPr>
        <w:t>103/2012;</w:t>
      </w:r>
    </w:p>
    <w:p>
      <w:pPr>
        <w:pStyle w:val="ListParagraph"/>
        <w:numPr>
          <w:ilvl w:val="3"/>
          <w:numId w:val="25"/>
        </w:numPr>
        <w:tabs>
          <w:tab w:pos="2593" w:val="left" w:leader="none"/>
        </w:tabs>
        <w:spacing w:line="276" w:lineRule="auto" w:before="0" w:after="0"/>
        <w:ind w:left="2370" w:right="124" w:firstLine="0"/>
        <w:jc w:val="both"/>
        <w:rPr>
          <w:sz w:val="20"/>
        </w:rPr>
      </w:pPr>
      <w:r>
        <w:rPr>
          <w:sz w:val="20"/>
        </w:rPr>
        <w:t>elaborar relatórios técnicos de cada etapa de desenvolvimento do trabalho, registrando os avanços e as dificuldades encontradas, conforme as  orientações da SASE/MEC e/ou</w:t>
      </w:r>
      <w:r>
        <w:rPr>
          <w:spacing w:val="-10"/>
          <w:sz w:val="20"/>
        </w:rPr>
        <w:t> </w:t>
      </w:r>
      <w:r>
        <w:rPr>
          <w:sz w:val="20"/>
        </w:rPr>
        <w:t>FNDE/MEC;</w:t>
      </w:r>
    </w:p>
    <w:p>
      <w:pPr>
        <w:pStyle w:val="ListParagraph"/>
        <w:numPr>
          <w:ilvl w:val="3"/>
          <w:numId w:val="25"/>
        </w:numPr>
        <w:tabs>
          <w:tab w:pos="2605" w:val="left" w:leader="none"/>
        </w:tabs>
        <w:spacing w:line="276" w:lineRule="auto" w:before="0" w:after="0"/>
        <w:ind w:left="2370" w:right="126" w:firstLine="0"/>
        <w:jc w:val="both"/>
        <w:rPr>
          <w:sz w:val="20"/>
        </w:rPr>
      </w:pPr>
      <w:r>
        <w:rPr>
          <w:sz w:val="20"/>
        </w:rPr>
        <w:t>orientar as Secretarias Estaduais, Distrital e Municipais de Educação quanto à elaboração das metas e qualificação das estratégias previstas no  PLC Nº 103/2012, e prestar assistência técnica, preferencialmente, a  distância, por meio de correio eletrônico e telefone, de acordo com a necessidade;</w:t>
      </w:r>
    </w:p>
    <w:p>
      <w:pPr>
        <w:pStyle w:val="ListParagraph"/>
        <w:numPr>
          <w:ilvl w:val="3"/>
          <w:numId w:val="25"/>
        </w:numPr>
        <w:tabs>
          <w:tab w:pos="2550" w:val="left" w:leader="none"/>
        </w:tabs>
        <w:spacing w:line="276" w:lineRule="auto" w:before="0" w:after="0"/>
        <w:ind w:left="2370" w:right="122" w:firstLine="0"/>
        <w:jc w:val="both"/>
        <w:rPr>
          <w:sz w:val="20"/>
        </w:rPr>
      </w:pPr>
      <w:r>
        <w:rPr>
          <w:sz w:val="20"/>
        </w:rPr>
        <w:t>elaborar e consolidar relatório final do trabalho realizado em conjunto com os (as) AEs que atuam na mesma unidade federada, a ser inserido no Sistema de Avaliação Educacional –</w:t>
      </w:r>
      <w:r>
        <w:rPr>
          <w:spacing w:val="-12"/>
          <w:sz w:val="20"/>
        </w:rPr>
        <w:t> </w:t>
      </w:r>
      <w:r>
        <w:rPr>
          <w:sz w:val="20"/>
        </w:rPr>
        <w:t>SAE;</w:t>
      </w:r>
    </w:p>
    <w:p>
      <w:pPr>
        <w:pStyle w:val="ListParagraph"/>
        <w:numPr>
          <w:ilvl w:val="3"/>
          <w:numId w:val="25"/>
        </w:numPr>
        <w:tabs>
          <w:tab w:pos="2603" w:val="left" w:leader="none"/>
        </w:tabs>
        <w:spacing w:line="276" w:lineRule="auto" w:before="0" w:after="0"/>
        <w:ind w:left="2370" w:right="122" w:firstLine="0"/>
        <w:jc w:val="both"/>
        <w:rPr>
          <w:sz w:val="20"/>
        </w:rPr>
      </w:pPr>
      <w:r>
        <w:rPr>
          <w:sz w:val="20"/>
        </w:rPr>
        <w:t>articular-se com os Fóruns Estaduais, Distrital e Municipais de Educação ou comissão similar tendo em conta que essa instância participa, no âmbito  do estado, do processo de concepção, implementação e avaliação da política de</w:t>
      </w:r>
      <w:r>
        <w:rPr>
          <w:spacing w:val="-3"/>
          <w:sz w:val="20"/>
        </w:rPr>
        <w:t> </w:t>
      </w:r>
      <w:r>
        <w:rPr>
          <w:sz w:val="20"/>
        </w:rPr>
        <w:t>educação;</w:t>
      </w:r>
    </w:p>
    <w:p>
      <w:pPr>
        <w:pStyle w:val="ListParagraph"/>
        <w:numPr>
          <w:ilvl w:val="3"/>
          <w:numId w:val="25"/>
        </w:numPr>
        <w:tabs>
          <w:tab w:pos="2572" w:val="left" w:leader="none"/>
        </w:tabs>
        <w:spacing w:line="276" w:lineRule="auto" w:before="0" w:after="0"/>
        <w:ind w:left="2370" w:right="124" w:firstLine="0"/>
        <w:jc w:val="both"/>
        <w:rPr>
          <w:sz w:val="20"/>
        </w:rPr>
      </w:pPr>
      <w:r>
        <w:rPr>
          <w:sz w:val="20"/>
        </w:rPr>
        <w:t>estabelecer diálogo permanente com a equipe coordenadora do Plano de Ações Articuladas – PAR nos âmbitos estaduais, distrital e</w:t>
      </w:r>
      <w:r>
        <w:rPr>
          <w:spacing w:val="-20"/>
          <w:sz w:val="20"/>
        </w:rPr>
        <w:t> </w:t>
      </w:r>
      <w:r>
        <w:rPr>
          <w:sz w:val="20"/>
        </w:rPr>
        <w:t>municipais;</w:t>
      </w:r>
    </w:p>
    <w:p>
      <w:pPr>
        <w:pStyle w:val="ListParagraph"/>
        <w:numPr>
          <w:ilvl w:val="3"/>
          <w:numId w:val="25"/>
        </w:numPr>
        <w:tabs>
          <w:tab w:pos="2701" w:val="left" w:leader="none"/>
        </w:tabs>
        <w:spacing w:line="276" w:lineRule="auto" w:before="0" w:after="0"/>
        <w:ind w:left="2370" w:right="125" w:firstLine="0"/>
        <w:jc w:val="both"/>
        <w:rPr>
          <w:sz w:val="20"/>
        </w:rPr>
      </w:pPr>
      <w:r>
        <w:rPr>
          <w:sz w:val="20"/>
        </w:rPr>
        <w:t>assegurar que o PAR seja levado em consideração pelas comissões estaduais, distrital e municipais de elaboração dos respectivos planos de educação;</w:t>
      </w:r>
    </w:p>
    <w:p>
      <w:pPr>
        <w:pStyle w:val="ListParagraph"/>
        <w:numPr>
          <w:ilvl w:val="3"/>
          <w:numId w:val="25"/>
        </w:numPr>
        <w:tabs>
          <w:tab w:pos="2586" w:val="left" w:leader="none"/>
        </w:tabs>
        <w:spacing w:line="240" w:lineRule="auto" w:before="0" w:after="0"/>
        <w:ind w:left="2585" w:right="0" w:hanging="215"/>
        <w:jc w:val="both"/>
        <w:rPr>
          <w:sz w:val="20"/>
        </w:rPr>
      </w:pPr>
      <w:r>
        <w:rPr>
          <w:sz w:val="20"/>
        </w:rPr>
        <w:t>acompanhar a tramitação do PLC 103/2012. (BRASIL, 2014b,</w:t>
      </w:r>
      <w:r>
        <w:rPr>
          <w:spacing w:val="-16"/>
          <w:sz w:val="20"/>
        </w:rPr>
        <w:t> </w:t>
      </w:r>
      <w:r>
        <w:rPr>
          <w:sz w:val="20"/>
        </w:rPr>
        <w:t>p.5).</w:t>
      </w:r>
    </w:p>
    <w:p>
      <w:pPr>
        <w:pStyle w:val="BodyText"/>
        <w:rPr>
          <w:sz w:val="22"/>
        </w:rPr>
      </w:pPr>
    </w:p>
    <w:p>
      <w:pPr>
        <w:pStyle w:val="BodyText"/>
        <w:spacing w:line="360" w:lineRule="auto" w:before="192"/>
        <w:ind w:left="102" w:right="115" w:firstLine="851"/>
        <w:jc w:val="both"/>
      </w:pPr>
      <w:r>
        <w:rPr>
          <w:w w:val="99"/>
        </w:rPr>
        <w:t>N</w:t>
      </w:r>
      <w:r>
        <w:rPr>
          <w:spacing w:val="-2"/>
          <w:w w:val="99"/>
        </w:rPr>
        <w:t>e</w:t>
      </w:r>
      <w:r>
        <w:rPr>
          <w:w w:val="99"/>
        </w:rPr>
        <w:t>ste</w:t>
      </w:r>
      <w:r>
        <w:rPr/>
        <w:t> </w:t>
      </w:r>
      <w:r>
        <w:rPr>
          <w:spacing w:val="-10"/>
        </w:rPr>
        <w:t> </w:t>
      </w:r>
      <w:r>
        <w:rPr/>
        <w:t>p</w:t>
      </w:r>
      <w:r>
        <w:rPr>
          <w:spacing w:val="-1"/>
        </w:rPr>
        <w:t>r</w:t>
      </w:r>
      <w:r>
        <w:rPr/>
        <w:t>o</w:t>
      </w:r>
      <w:r>
        <w:rPr>
          <w:spacing w:val="-1"/>
        </w:rPr>
        <w:t>ce</w:t>
      </w:r>
      <w:r>
        <w:rPr>
          <w:w w:val="99"/>
        </w:rPr>
        <w:t>sso,</w:t>
      </w:r>
      <w:r>
        <w:rPr/>
        <w:t> </w:t>
      </w:r>
      <w:r>
        <w:rPr>
          <w:spacing w:val="-10"/>
        </w:rPr>
        <w:t> </w:t>
      </w:r>
      <w:r>
        <w:rPr/>
        <w:t>o </w:t>
      </w:r>
      <w:r>
        <w:rPr>
          <w:spacing w:val="-10"/>
        </w:rPr>
        <w:t> </w:t>
      </w:r>
      <w:r>
        <w:rPr/>
        <w:t>objetivo </w:t>
      </w:r>
      <w:r>
        <w:rPr>
          <w:spacing w:val="-10"/>
        </w:rPr>
        <w:t> </w:t>
      </w:r>
      <w:r>
        <w:rPr>
          <w:w w:val="99"/>
        </w:rPr>
        <w:t>dos</w:t>
      </w:r>
      <w:r>
        <w:rPr/>
        <w:t> </w:t>
      </w:r>
      <w:r>
        <w:rPr>
          <w:spacing w:val="-10"/>
        </w:rPr>
        <w:t> </w:t>
      </w:r>
      <w:r>
        <w:rPr>
          <w:w w:val="99"/>
        </w:rPr>
        <w:t>AEs</w:t>
      </w:r>
      <w:r>
        <w:rPr/>
        <w:t> </w:t>
      </w:r>
      <w:r>
        <w:rPr>
          <w:spacing w:val="-9"/>
        </w:rPr>
        <w:t> </w:t>
      </w:r>
      <w:r>
        <w:rPr/>
        <w:t>(</w:t>
      </w:r>
      <w:r>
        <w:rPr>
          <w:spacing w:val="-3"/>
        </w:rPr>
        <w:t>B</w:t>
      </w:r>
      <w:r>
        <w:rPr/>
        <w:t>R</w:t>
      </w:r>
      <w:r>
        <w:rPr>
          <w:w w:val="99"/>
        </w:rPr>
        <w:t>A</w:t>
      </w:r>
      <w:r>
        <w:rPr>
          <w:spacing w:val="2"/>
          <w:w w:val="99"/>
        </w:rPr>
        <w:t>S</w:t>
      </w:r>
      <w:r>
        <w:rPr>
          <w:spacing w:val="-4"/>
          <w:w w:val="99"/>
        </w:rPr>
        <w:t>I</w:t>
      </w:r>
      <w:r>
        <w:rPr>
          <w:spacing w:val="-3"/>
          <w:w w:val="99"/>
        </w:rPr>
        <w:t>L</w:t>
      </w:r>
      <w:r>
        <w:rPr>
          <w:w w:val="99"/>
        </w:rPr>
        <w:t>, </w:t>
      </w:r>
      <w:r>
        <w:rPr>
          <w:spacing w:val="-8"/>
          <w:w w:val="99"/>
        </w:rPr>
        <w:t> </w:t>
      </w:r>
      <w:r>
        <w:rPr>
          <w:w w:val="99"/>
        </w:rPr>
        <w:t>2014b, </w:t>
      </w:r>
      <w:r>
        <w:rPr>
          <w:spacing w:val="-10"/>
          <w:w w:val="99"/>
        </w:rPr>
        <w:t> </w:t>
      </w:r>
      <w:r>
        <w:rPr>
          <w:w w:val="99"/>
        </w:rPr>
        <w:t>p.</w:t>
      </w:r>
      <w:r>
        <w:rPr>
          <w:spacing w:val="1"/>
          <w:w w:val="99"/>
        </w:rPr>
        <w:t>6</w:t>
      </w:r>
      <w:r>
        <w:rPr>
          <w:spacing w:val="-1"/>
          <w:w w:val="99"/>
        </w:rPr>
        <w:t>-</w:t>
      </w:r>
      <w:r>
        <w:rPr>
          <w:w w:val="99"/>
        </w:rPr>
        <w:t>7) </w:t>
      </w:r>
      <w:r>
        <w:rPr>
          <w:spacing w:val="-11"/>
          <w:w w:val="99"/>
        </w:rPr>
        <w:t> </w:t>
      </w:r>
      <w:r>
        <w:rPr>
          <w:w w:val="99"/>
        </w:rPr>
        <w:t>s</w:t>
      </w:r>
      <w:r>
        <w:rPr>
          <w:spacing w:val="-1"/>
          <w:w w:val="99"/>
        </w:rPr>
        <w:t>e</w:t>
      </w:r>
      <w:r>
        <w:rPr>
          <w:w w:val="100"/>
        </w:rPr>
        <w:t>ria</w:t>
      </w:r>
      <w:r>
        <w:rPr/>
        <w:t> </w:t>
      </w:r>
      <w:r>
        <w:rPr>
          <w:spacing w:val="-12"/>
        </w:rPr>
        <w:t> </w:t>
      </w:r>
      <w:r>
        <w:rPr>
          <w:spacing w:val="-1"/>
          <w:w w:val="44"/>
        </w:rPr>
        <w:t>―</w:t>
      </w:r>
      <w:r>
        <w:rPr>
          <w:w w:val="99"/>
        </w:rPr>
        <w:t>P</w:t>
      </w:r>
      <w:r>
        <w:rPr>
          <w:w w:val="100"/>
        </w:rPr>
        <w:t>restar </w:t>
      </w:r>
      <w:r>
        <w:rPr/>
        <w:t>assistência técnica aos estados, Distrito Federal e Municípios na adequação/elaboração dos seus planos de educação, de acordo com o PLC 103/2012‖. Para tanto, especificamente,</w:t>
      </w:r>
      <w:r>
        <w:rPr>
          <w:spacing w:val="-3"/>
        </w:rPr>
        <w:t> </w:t>
      </w:r>
      <w:r>
        <w:rPr/>
        <w:t>deveriam:</w:t>
      </w:r>
    </w:p>
    <w:p>
      <w:pPr>
        <w:pStyle w:val="BodyText"/>
        <w:spacing w:before="6"/>
        <w:rPr>
          <w:sz w:val="36"/>
        </w:rPr>
      </w:pPr>
    </w:p>
    <w:p>
      <w:pPr>
        <w:pStyle w:val="ListParagraph"/>
        <w:numPr>
          <w:ilvl w:val="0"/>
          <w:numId w:val="26"/>
        </w:numPr>
        <w:tabs>
          <w:tab w:pos="2592" w:val="left" w:leader="none"/>
        </w:tabs>
        <w:spacing w:line="276" w:lineRule="auto" w:before="0" w:after="0"/>
        <w:ind w:left="2370" w:right="123" w:firstLine="0"/>
        <w:jc w:val="both"/>
        <w:rPr>
          <w:sz w:val="20"/>
        </w:rPr>
      </w:pPr>
      <w:r>
        <w:rPr>
          <w:sz w:val="20"/>
        </w:rPr>
        <w:t>Mobilizar e motivar lideranças políticas e gestores(as) estaduais, distritais e municipais de educação para a adequação/elaboração dos planos estaduais, distrital e municipais de educação, assegurando a participação</w:t>
      </w:r>
      <w:r>
        <w:rPr>
          <w:spacing w:val="-18"/>
          <w:sz w:val="20"/>
        </w:rPr>
        <w:t> </w:t>
      </w:r>
      <w:r>
        <w:rPr>
          <w:sz w:val="20"/>
        </w:rPr>
        <w:t>popular.</w:t>
      </w:r>
    </w:p>
    <w:p>
      <w:pPr>
        <w:pStyle w:val="ListParagraph"/>
        <w:numPr>
          <w:ilvl w:val="0"/>
          <w:numId w:val="26"/>
        </w:numPr>
        <w:tabs>
          <w:tab w:pos="2607" w:val="left" w:leader="none"/>
        </w:tabs>
        <w:spacing w:line="278" w:lineRule="auto" w:before="0" w:after="0"/>
        <w:ind w:left="2370" w:right="121" w:firstLine="0"/>
        <w:jc w:val="both"/>
        <w:rPr>
          <w:sz w:val="20"/>
        </w:rPr>
      </w:pPr>
      <w:r>
        <w:rPr>
          <w:sz w:val="20"/>
        </w:rPr>
        <w:t>Orientar sobre o significado e a importância da adequação/elaboração do PEE e do PME, em consonância com o PLC</w:t>
      </w:r>
      <w:r>
        <w:rPr>
          <w:spacing w:val="-18"/>
          <w:sz w:val="20"/>
        </w:rPr>
        <w:t> </w:t>
      </w:r>
      <w:r>
        <w:rPr>
          <w:sz w:val="20"/>
        </w:rPr>
        <w:t>103/2012.</w:t>
      </w:r>
    </w:p>
    <w:p>
      <w:pPr>
        <w:pStyle w:val="ListParagraph"/>
        <w:numPr>
          <w:ilvl w:val="0"/>
          <w:numId w:val="26"/>
        </w:numPr>
        <w:tabs>
          <w:tab w:pos="2586" w:val="left" w:leader="none"/>
        </w:tabs>
        <w:spacing w:line="276" w:lineRule="auto" w:before="0" w:after="0"/>
        <w:ind w:left="2370" w:right="122" w:firstLine="0"/>
        <w:jc w:val="both"/>
        <w:rPr>
          <w:sz w:val="20"/>
        </w:rPr>
      </w:pPr>
      <w:r>
        <w:rPr>
          <w:sz w:val="20"/>
        </w:rPr>
        <w:t>Assegurar apoio técnico para a organização do trabalho das equipes locais responsáveis pela adequação/elaboração do PEE e do</w:t>
      </w:r>
      <w:r>
        <w:rPr>
          <w:spacing w:val="-16"/>
          <w:sz w:val="20"/>
        </w:rPr>
        <w:t> </w:t>
      </w:r>
      <w:r>
        <w:rPr>
          <w:sz w:val="20"/>
        </w:rPr>
        <w:t>PME.</w:t>
      </w:r>
    </w:p>
    <w:p>
      <w:pPr>
        <w:pStyle w:val="ListParagraph"/>
        <w:numPr>
          <w:ilvl w:val="0"/>
          <w:numId w:val="26"/>
        </w:numPr>
        <w:tabs>
          <w:tab w:pos="2627" w:val="left" w:leader="none"/>
        </w:tabs>
        <w:spacing w:line="276" w:lineRule="auto" w:before="3" w:after="0"/>
        <w:ind w:left="2370" w:right="121" w:firstLine="0"/>
        <w:jc w:val="both"/>
        <w:rPr>
          <w:sz w:val="20"/>
        </w:rPr>
      </w:pPr>
      <w:r>
        <w:rPr>
          <w:sz w:val="20"/>
        </w:rPr>
        <w:t>Prestar assistência técnica para a elaboração da análise situacional dos planos  estaduais,  distrital  e  municipais  de  educação,  a  partir  dos  </w:t>
      </w:r>
      <w:r>
        <w:rPr>
          <w:spacing w:val="38"/>
          <w:sz w:val="20"/>
        </w:rPr>
        <w:t> </w:t>
      </w:r>
      <w:r>
        <w:rPr>
          <w:sz w:val="20"/>
        </w:rPr>
        <w:t>dados</w:t>
      </w:r>
    </w:p>
    <w:p>
      <w:pPr>
        <w:spacing w:after="0" w:line="276" w:lineRule="auto"/>
        <w:jc w:val="both"/>
        <w:rPr>
          <w:sz w:val="20"/>
        </w:rPr>
        <w:sectPr>
          <w:pgSz w:w="11910" w:h="16840"/>
          <w:pgMar w:header="749" w:footer="0" w:top="960" w:bottom="280" w:left="1600" w:right="1580"/>
        </w:sectPr>
      </w:pPr>
    </w:p>
    <w:p>
      <w:pPr>
        <w:pStyle w:val="BodyText"/>
        <w:rPr>
          <w:sz w:val="20"/>
        </w:rPr>
      </w:pPr>
    </w:p>
    <w:p>
      <w:pPr>
        <w:pStyle w:val="BodyText"/>
        <w:spacing w:before="5"/>
        <w:rPr>
          <w:sz w:val="18"/>
        </w:rPr>
      </w:pPr>
    </w:p>
    <w:p>
      <w:pPr>
        <w:spacing w:line="278" w:lineRule="auto" w:before="0"/>
        <w:ind w:left="2370" w:right="123" w:firstLine="0"/>
        <w:jc w:val="both"/>
        <w:rPr>
          <w:sz w:val="20"/>
        </w:rPr>
      </w:pPr>
      <w:r>
        <w:rPr>
          <w:sz w:val="20"/>
        </w:rPr>
        <w:t>demográficos e educacionais sobre a situação de cada estado, do Distrito Federal e Municípios em relação às metas do PLC 103/2012.</w:t>
      </w:r>
    </w:p>
    <w:p>
      <w:pPr>
        <w:pStyle w:val="ListParagraph"/>
        <w:numPr>
          <w:ilvl w:val="0"/>
          <w:numId w:val="26"/>
        </w:numPr>
        <w:tabs>
          <w:tab w:pos="2591" w:val="left" w:leader="none"/>
        </w:tabs>
        <w:spacing w:line="276" w:lineRule="auto" w:before="0" w:after="0"/>
        <w:ind w:left="2370" w:right="125" w:firstLine="0"/>
        <w:jc w:val="both"/>
        <w:rPr>
          <w:sz w:val="20"/>
        </w:rPr>
      </w:pPr>
      <w:r>
        <w:rPr>
          <w:sz w:val="20"/>
        </w:rPr>
        <w:t>Prestar assistência técnica na definição das metas e estratégias dos planos estaduais, distrital e municipais de</w:t>
      </w:r>
      <w:r>
        <w:rPr>
          <w:spacing w:val="-12"/>
          <w:sz w:val="20"/>
        </w:rPr>
        <w:t> </w:t>
      </w:r>
      <w:r>
        <w:rPr>
          <w:sz w:val="20"/>
        </w:rPr>
        <w:t>educação.</w:t>
      </w:r>
    </w:p>
    <w:p>
      <w:pPr>
        <w:pStyle w:val="ListParagraph"/>
        <w:numPr>
          <w:ilvl w:val="0"/>
          <w:numId w:val="26"/>
        </w:numPr>
        <w:tabs>
          <w:tab w:pos="2555" w:val="left" w:leader="none"/>
        </w:tabs>
        <w:spacing w:line="240" w:lineRule="auto" w:before="2" w:after="0"/>
        <w:ind w:left="2554" w:right="0" w:hanging="184"/>
        <w:jc w:val="both"/>
        <w:rPr>
          <w:sz w:val="20"/>
        </w:rPr>
      </w:pPr>
      <w:r>
        <w:rPr>
          <w:sz w:val="20"/>
        </w:rPr>
        <w:t>Acompanhar a tramitação do PLC</w:t>
      </w:r>
      <w:r>
        <w:rPr>
          <w:spacing w:val="-13"/>
          <w:sz w:val="20"/>
        </w:rPr>
        <w:t> </w:t>
      </w:r>
      <w:r>
        <w:rPr>
          <w:sz w:val="20"/>
        </w:rPr>
        <w:t>103/2012.</w:t>
      </w:r>
    </w:p>
    <w:p>
      <w:pPr>
        <w:pStyle w:val="ListParagraph"/>
        <w:numPr>
          <w:ilvl w:val="0"/>
          <w:numId w:val="26"/>
        </w:numPr>
        <w:tabs>
          <w:tab w:pos="2646" w:val="left" w:leader="none"/>
        </w:tabs>
        <w:spacing w:line="278" w:lineRule="auto" w:before="34" w:after="0"/>
        <w:ind w:left="2370" w:right="126" w:firstLine="0"/>
        <w:jc w:val="both"/>
        <w:rPr>
          <w:sz w:val="20"/>
        </w:rPr>
      </w:pPr>
      <w:r>
        <w:rPr>
          <w:sz w:val="20"/>
        </w:rPr>
        <w:t>Realizar encontros periódicos de formação com os(as) gestores(as) e técnicos(as) da administração estadual, distrital e</w:t>
      </w:r>
      <w:r>
        <w:rPr>
          <w:spacing w:val="-18"/>
          <w:sz w:val="20"/>
        </w:rPr>
        <w:t> </w:t>
      </w:r>
      <w:r>
        <w:rPr>
          <w:sz w:val="20"/>
        </w:rPr>
        <w:t>municipal.</w:t>
      </w:r>
    </w:p>
    <w:p>
      <w:pPr>
        <w:pStyle w:val="ListParagraph"/>
        <w:numPr>
          <w:ilvl w:val="0"/>
          <w:numId w:val="26"/>
        </w:numPr>
        <w:tabs>
          <w:tab w:pos="2752" w:val="left" w:leader="none"/>
        </w:tabs>
        <w:spacing w:line="276" w:lineRule="auto" w:before="0" w:after="0"/>
        <w:ind w:left="2370" w:right="116" w:firstLine="0"/>
        <w:jc w:val="both"/>
        <w:rPr>
          <w:sz w:val="20"/>
        </w:rPr>
      </w:pPr>
      <w:r>
        <w:rPr>
          <w:sz w:val="20"/>
        </w:rPr>
        <w:t>Fortalecer a colaboração entre MEC/SASE, FNDE, Governo Estadual/Distrital, administrações municipais, arranjos territoriais,  instituições de educação básica e instituições de ensino superior públicas, </w:t>
      </w:r>
      <w:r>
        <w:rPr>
          <w:spacing w:val="2"/>
          <w:sz w:val="20"/>
        </w:rPr>
        <w:t>por </w:t>
      </w:r>
      <w:r>
        <w:rPr>
          <w:sz w:val="20"/>
        </w:rPr>
        <w:t>meio de ações que visem a melhoria da qualidade de</w:t>
      </w:r>
      <w:r>
        <w:rPr>
          <w:spacing w:val="-21"/>
          <w:sz w:val="20"/>
        </w:rPr>
        <w:t> </w:t>
      </w:r>
      <w:r>
        <w:rPr>
          <w:sz w:val="20"/>
        </w:rPr>
        <w:t>ensino</w:t>
      </w:r>
    </w:p>
    <w:p>
      <w:pPr>
        <w:pStyle w:val="BodyText"/>
        <w:rPr>
          <w:sz w:val="22"/>
        </w:rPr>
      </w:pPr>
    </w:p>
    <w:p>
      <w:pPr>
        <w:pStyle w:val="BodyText"/>
        <w:spacing w:line="360" w:lineRule="auto" w:before="163"/>
        <w:ind w:left="102" w:right="122" w:firstLine="851"/>
        <w:jc w:val="both"/>
      </w:pPr>
      <w:r>
        <w:rPr/>
        <w:t>As indicações dos AEs poderiam ser pelas Secretarias de Estados de Educação e pela Undime, sendo sujeitos com um perfil profissional de trabalhador da educação e outras habilidades (BRASIL, 2014b, p.5):</w:t>
      </w:r>
    </w:p>
    <w:p>
      <w:pPr>
        <w:pStyle w:val="BodyText"/>
        <w:spacing w:before="6"/>
        <w:rPr>
          <w:sz w:val="36"/>
        </w:rPr>
      </w:pPr>
    </w:p>
    <w:p>
      <w:pPr>
        <w:spacing w:line="276" w:lineRule="auto" w:before="0"/>
        <w:ind w:left="2370" w:right="124" w:firstLine="0"/>
        <w:jc w:val="both"/>
        <w:rPr>
          <w:sz w:val="20"/>
        </w:rPr>
      </w:pPr>
      <w:r>
        <w:rPr>
          <w:sz w:val="20"/>
        </w:rPr>
        <w:t>Para atuarem como AE, foi solicitado que os(as) indicados(as) tivessem um perfil profissional com as seguintes características:</w:t>
      </w:r>
    </w:p>
    <w:p>
      <w:pPr>
        <w:pStyle w:val="ListParagraph"/>
        <w:numPr>
          <w:ilvl w:val="0"/>
          <w:numId w:val="27"/>
        </w:numPr>
        <w:tabs>
          <w:tab w:pos="2629" w:val="left" w:leader="none"/>
        </w:tabs>
        <w:spacing w:line="278" w:lineRule="auto" w:before="0" w:after="0"/>
        <w:ind w:left="2370" w:right="116" w:firstLine="0"/>
        <w:jc w:val="both"/>
        <w:rPr>
          <w:sz w:val="20"/>
        </w:rPr>
      </w:pPr>
      <w:r>
        <w:rPr>
          <w:sz w:val="20"/>
        </w:rPr>
        <w:t>ser, </w:t>
      </w:r>
      <w:r>
        <w:rPr>
          <w:b/>
          <w:sz w:val="20"/>
        </w:rPr>
        <w:t>preferencialmente, servidor público efetivo e na ativa </w:t>
      </w:r>
      <w:r>
        <w:rPr>
          <w:sz w:val="20"/>
        </w:rPr>
        <w:t>da rede estadual e/ou</w:t>
      </w:r>
      <w:r>
        <w:rPr>
          <w:spacing w:val="-7"/>
          <w:sz w:val="20"/>
        </w:rPr>
        <w:t> </w:t>
      </w:r>
      <w:r>
        <w:rPr>
          <w:sz w:val="20"/>
        </w:rPr>
        <w:t>municipal;</w:t>
      </w:r>
    </w:p>
    <w:p>
      <w:pPr>
        <w:pStyle w:val="ListParagraph"/>
        <w:numPr>
          <w:ilvl w:val="0"/>
          <w:numId w:val="27"/>
        </w:numPr>
        <w:tabs>
          <w:tab w:pos="2615" w:val="left" w:leader="none"/>
        </w:tabs>
        <w:spacing w:line="280" w:lineRule="auto" w:before="0" w:after="0"/>
        <w:ind w:left="2370" w:right="123" w:firstLine="0"/>
        <w:jc w:val="both"/>
        <w:rPr>
          <w:b/>
          <w:sz w:val="20"/>
        </w:rPr>
      </w:pPr>
      <w:r>
        <w:rPr>
          <w:sz w:val="20"/>
        </w:rPr>
        <w:t>possuir </w:t>
      </w:r>
      <w:r>
        <w:rPr>
          <w:b/>
          <w:sz w:val="20"/>
        </w:rPr>
        <w:t>formação em nível superior na área de educação ou ciências humanas;</w:t>
      </w:r>
    </w:p>
    <w:p>
      <w:pPr>
        <w:pStyle w:val="ListParagraph"/>
        <w:numPr>
          <w:ilvl w:val="0"/>
          <w:numId w:val="27"/>
        </w:numPr>
        <w:tabs>
          <w:tab w:pos="2648" w:val="left" w:leader="none"/>
        </w:tabs>
        <w:spacing w:line="276" w:lineRule="auto" w:before="0" w:after="0"/>
        <w:ind w:left="2370" w:right="115" w:firstLine="0"/>
        <w:jc w:val="both"/>
        <w:rPr>
          <w:sz w:val="20"/>
        </w:rPr>
      </w:pPr>
      <w:r>
        <w:rPr>
          <w:sz w:val="20"/>
        </w:rPr>
        <w:t>comprovar </w:t>
      </w:r>
      <w:r>
        <w:rPr>
          <w:b/>
          <w:sz w:val="20"/>
        </w:rPr>
        <w:t>experiência mínima de 2 (dois) anos em educação </w:t>
      </w:r>
      <w:r>
        <w:rPr>
          <w:sz w:val="20"/>
        </w:rPr>
        <w:t>e, </w:t>
      </w:r>
      <w:r>
        <w:rPr>
          <w:b/>
          <w:sz w:val="20"/>
        </w:rPr>
        <w:t>preferencialmente, com conhecimento da legislação brasileira</w:t>
      </w:r>
      <w:r>
        <w:rPr>
          <w:sz w:val="20"/>
        </w:rPr>
        <w:t>, especialmente a relativa à educação entre elas prioritariamente a CF, LDB, PLC 103/2012, PDE, PAR, e as políticas</w:t>
      </w:r>
      <w:r>
        <w:rPr>
          <w:spacing w:val="-22"/>
          <w:sz w:val="20"/>
        </w:rPr>
        <w:t> </w:t>
      </w:r>
      <w:r>
        <w:rPr>
          <w:sz w:val="20"/>
        </w:rPr>
        <w:t>educacionais;</w:t>
      </w:r>
    </w:p>
    <w:p>
      <w:pPr>
        <w:pStyle w:val="ListParagraph"/>
        <w:numPr>
          <w:ilvl w:val="0"/>
          <w:numId w:val="27"/>
        </w:numPr>
        <w:tabs>
          <w:tab w:pos="2588" w:val="left" w:leader="none"/>
        </w:tabs>
        <w:spacing w:line="240" w:lineRule="auto" w:before="7" w:after="0"/>
        <w:ind w:left="2587" w:right="0" w:hanging="217"/>
        <w:jc w:val="both"/>
        <w:rPr>
          <w:sz w:val="20"/>
        </w:rPr>
      </w:pPr>
      <w:r>
        <w:rPr>
          <w:sz w:val="20"/>
        </w:rPr>
        <w:t>ter </w:t>
      </w:r>
      <w:r>
        <w:rPr>
          <w:b/>
          <w:sz w:val="20"/>
        </w:rPr>
        <w:t>disponibilidade para eventuais</w:t>
      </w:r>
      <w:r>
        <w:rPr>
          <w:b/>
          <w:spacing w:val="-10"/>
          <w:sz w:val="20"/>
        </w:rPr>
        <w:t> </w:t>
      </w:r>
      <w:r>
        <w:rPr>
          <w:b/>
          <w:sz w:val="20"/>
        </w:rPr>
        <w:t>viagens</w:t>
      </w:r>
      <w:r>
        <w:rPr>
          <w:sz w:val="20"/>
        </w:rPr>
        <w:t>;</w:t>
      </w:r>
    </w:p>
    <w:p>
      <w:pPr>
        <w:pStyle w:val="ListParagraph"/>
        <w:numPr>
          <w:ilvl w:val="0"/>
          <w:numId w:val="27"/>
        </w:numPr>
        <w:tabs>
          <w:tab w:pos="2624" w:val="left" w:leader="none"/>
        </w:tabs>
        <w:spacing w:line="276" w:lineRule="auto" w:before="34" w:after="0"/>
        <w:ind w:left="2370" w:right="117" w:firstLine="0"/>
        <w:jc w:val="both"/>
        <w:rPr>
          <w:sz w:val="20"/>
        </w:rPr>
      </w:pPr>
      <w:r>
        <w:rPr>
          <w:sz w:val="20"/>
        </w:rPr>
        <w:t>possuir </w:t>
      </w:r>
      <w:r>
        <w:rPr>
          <w:b/>
          <w:sz w:val="20"/>
        </w:rPr>
        <w:t>conhecimento em informática </w:t>
      </w:r>
      <w:r>
        <w:rPr>
          <w:sz w:val="20"/>
        </w:rPr>
        <w:t>(Pacote Office - Word, Excel, Power Point etc. - sistemas SIMEC, Mozilla, Skype</w:t>
      </w:r>
      <w:r>
        <w:rPr>
          <w:spacing w:val="-18"/>
          <w:sz w:val="20"/>
        </w:rPr>
        <w:t> </w:t>
      </w:r>
      <w:r>
        <w:rPr>
          <w:sz w:val="20"/>
        </w:rPr>
        <w:t>etc.);</w:t>
      </w:r>
    </w:p>
    <w:p>
      <w:pPr>
        <w:pStyle w:val="ListParagraph"/>
        <w:numPr>
          <w:ilvl w:val="0"/>
          <w:numId w:val="27"/>
        </w:numPr>
        <w:tabs>
          <w:tab w:pos="2552" w:val="left" w:leader="none"/>
        </w:tabs>
        <w:spacing w:line="240" w:lineRule="auto" w:before="3" w:after="0"/>
        <w:ind w:left="2551" w:right="0" w:hanging="181"/>
        <w:jc w:val="both"/>
        <w:rPr>
          <w:sz w:val="20"/>
        </w:rPr>
      </w:pPr>
      <w:r>
        <w:rPr>
          <w:sz w:val="20"/>
        </w:rPr>
        <w:t>ter </w:t>
      </w:r>
      <w:r>
        <w:rPr>
          <w:b/>
          <w:sz w:val="20"/>
        </w:rPr>
        <w:t>habilidade para realizar trabalho em</w:t>
      </w:r>
      <w:r>
        <w:rPr>
          <w:b/>
          <w:spacing w:val="-9"/>
          <w:sz w:val="20"/>
        </w:rPr>
        <w:t> </w:t>
      </w:r>
      <w:r>
        <w:rPr>
          <w:b/>
          <w:sz w:val="20"/>
        </w:rPr>
        <w:t>equipe</w:t>
      </w:r>
      <w:r>
        <w:rPr>
          <w:sz w:val="20"/>
        </w:rPr>
        <w:t>;</w:t>
      </w:r>
    </w:p>
    <w:p>
      <w:pPr>
        <w:pStyle w:val="ListParagraph"/>
        <w:numPr>
          <w:ilvl w:val="0"/>
          <w:numId w:val="27"/>
        </w:numPr>
        <w:tabs>
          <w:tab w:pos="2586" w:val="left" w:leader="none"/>
        </w:tabs>
        <w:spacing w:line="240" w:lineRule="auto" w:before="34" w:after="0"/>
        <w:ind w:left="2585" w:right="0" w:hanging="215"/>
        <w:jc w:val="both"/>
        <w:rPr>
          <w:sz w:val="20"/>
        </w:rPr>
      </w:pPr>
      <w:r>
        <w:rPr>
          <w:sz w:val="20"/>
        </w:rPr>
        <w:t>apresentar </w:t>
      </w:r>
      <w:r>
        <w:rPr>
          <w:b/>
          <w:sz w:val="20"/>
        </w:rPr>
        <w:t>facilidade de comunicação e expressão oral e</w:t>
      </w:r>
      <w:r>
        <w:rPr>
          <w:b/>
          <w:spacing w:val="-11"/>
          <w:sz w:val="20"/>
        </w:rPr>
        <w:t> </w:t>
      </w:r>
      <w:r>
        <w:rPr>
          <w:b/>
          <w:sz w:val="20"/>
        </w:rPr>
        <w:t>escrita</w:t>
      </w:r>
      <w:r>
        <w:rPr>
          <w:sz w:val="20"/>
        </w:rPr>
        <w:t>;</w:t>
      </w:r>
    </w:p>
    <w:p>
      <w:pPr>
        <w:pStyle w:val="ListParagraph"/>
        <w:numPr>
          <w:ilvl w:val="0"/>
          <w:numId w:val="27"/>
        </w:numPr>
        <w:tabs>
          <w:tab w:pos="2653" w:val="left" w:leader="none"/>
        </w:tabs>
        <w:spacing w:line="276" w:lineRule="auto" w:before="34" w:after="0"/>
        <w:ind w:left="2370" w:right="122" w:firstLine="0"/>
        <w:jc w:val="both"/>
        <w:rPr>
          <w:sz w:val="20"/>
        </w:rPr>
      </w:pPr>
      <w:r>
        <w:rPr>
          <w:sz w:val="20"/>
        </w:rPr>
        <w:t>ter </w:t>
      </w:r>
      <w:r>
        <w:rPr>
          <w:b/>
          <w:sz w:val="20"/>
        </w:rPr>
        <w:t>iniciativa para resoluções e mediação de possíveis problemas </w:t>
      </w:r>
      <w:r>
        <w:rPr>
          <w:sz w:val="20"/>
        </w:rPr>
        <w:t>encontrados durante a elaboração/adequação do PEE e do PME junto aos agentes envolvidos no processo. (Grifos</w:t>
      </w:r>
      <w:r>
        <w:rPr>
          <w:spacing w:val="-20"/>
          <w:sz w:val="20"/>
        </w:rPr>
        <w:t> </w:t>
      </w:r>
      <w:r>
        <w:rPr>
          <w:sz w:val="20"/>
        </w:rPr>
        <w:t>nossos).</w:t>
      </w:r>
    </w:p>
    <w:p>
      <w:pPr>
        <w:pStyle w:val="BodyText"/>
        <w:rPr>
          <w:sz w:val="22"/>
        </w:rPr>
      </w:pPr>
    </w:p>
    <w:p>
      <w:pPr>
        <w:spacing w:line="360" w:lineRule="auto" w:before="161"/>
        <w:ind w:left="102" w:right="118" w:firstLine="851"/>
        <w:jc w:val="both"/>
        <w:rPr>
          <w:sz w:val="24"/>
        </w:rPr>
      </w:pPr>
      <w:r>
        <w:rPr>
          <w:sz w:val="24"/>
        </w:rPr>
        <w:t>O trabalho a ser desenvolvido pelos AEs, segundo o documento </w:t>
      </w:r>
      <w:r>
        <w:rPr>
          <w:i/>
          <w:sz w:val="24"/>
        </w:rPr>
        <w:t>Orientações </w:t>
      </w:r>
      <w:r>
        <w:rPr>
          <w:i/>
          <w:sz w:val="24"/>
        </w:rPr>
        <w:t>gerais aos(as) avaliadores(as) educacionais no trabalho de adequação/elaboração dos planos estaduais, distrital e municipais de educação </w:t>
      </w:r>
      <w:r>
        <w:rPr>
          <w:sz w:val="24"/>
        </w:rPr>
        <w:t>(BRASIL, 2013, p.2), é  direcionado por dois eixos que o orientam e instrumentos legais que o fundamentam e estruturam, ou seja, não é uma ação aleatória do profissional que atuará nesta</w:t>
      </w:r>
      <w:r>
        <w:rPr>
          <w:spacing w:val="-14"/>
          <w:sz w:val="24"/>
        </w:rPr>
        <w:t> </w:t>
      </w:r>
      <w:r>
        <w:rPr>
          <w:sz w:val="24"/>
        </w:rPr>
        <w:t>frente:</w:t>
      </w:r>
    </w:p>
    <w:p>
      <w:pPr>
        <w:pStyle w:val="BodyText"/>
        <w:spacing w:before="5"/>
        <w:rPr>
          <w:sz w:val="36"/>
        </w:rPr>
      </w:pPr>
    </w:p>
    <w:p>
      <w:pPr>
        <w:spacing w:line="276" w:lineRule="auto" w:before="1"/>
        <w:ind w:left="2370" w:right="119" w:firstLine="0"/>
        <w:jc w:val="both"/>
        <w:rPr>
          <w:sz w:val="20"/>
        </w:rPr>
      </w:pPr>
      <w:r>
        <w:rPr>
          <w:sz w:val="20"/>
        </w:rPr>
        <w:t>[...] por um lado, diretamente a dois eixos orientadores da política pública de educação:</w:t>
      </w:r>
    </w:p>
    <w:p>
      <w:pPr>
        <w:pStyle w:val="ListParagraph"/>
        <w:numPr>
          <w:ilvl w:val="0"/>
          <w:numId w:val="28"/>
        </w:numPr>
        <w:tabs>
          <w:tab w:pos="2585" w:val="left" w:leader="none"/>
        </w:tabs>
        <w:spacing w:line="276" w:lineRule="auto" w:before="1" w:after="0"/>
        <w:ind w:left="2370" w:right="116" w:firstLine="0"/>
        <w:jc w:val="both"/>
        <w:rPr>
          <w:sz w:val="20"/>
        </w:rPr>
      </w:pPr>
      <w:r>
        <w:rPr>
          <w:b/>
          <w:sz w:val="20"/>
        </w:rPr>
        <w:t>Projeto de Lei Nº 8035/2010 </w:t>
      </w:r>
      <w:r>
        <w:rPr>
          <w:sz w:val="20"/>
        </w:rPr>
        <w:t>(tramitando no Senado como Projeto de Lei da Câmara - PLC Nº 103/2012), que aprova o Plano Nacional de Educação - PNE e dá outras</w:t>
      </w:r>
      <w:r>
        <w:rPr>
          <w:spacing w:val="-12"/>
          <w:sz w:val="20"/>
        </w:rPr>
        <w:t> </w:t>
      </w:r>
      <w:r>
        <w:rPr>
          <w:sz w:val="20"/>
        </w:rPr>
        <w:t>providências;</w:t>
      </w:r>
    </w:p>
    <w:p>
      <w:pPr>
        <w:spacing w:after="0" w:line="276" w:lineRule="auto"/>
        <w:jc w:val="both"/>
        <w:rPr>
          <w:sz w:val="20"/>
        </w:rPr>
        <w:sectPr>
          <w:pgSz w:w="11910" w:h="16840"/>
          <w:pgMar w:header="749" w:footer="0" w:top="960" w:bottom="280" w:left="1600" w:right="1580"/>
        </w:sectPr>
      </w:pPr>
    </w:p>
    <w:p>
      <w:pPr>
        <w:pStyle w:val="BodyText"/>
        <w:rPr>
          <w:sz w:val="20"/>
        </w:rPr>
      </w:pPr>
    </w:p>
    <w:p>
      <w:pPr>
        <w:pStyle w:val="BodyText"/>
        <w:spacing w:before="5"/>
        <w:rPr>
          <w:sz w:val="18"/>
        </w:rPr>
      </w:pPr>
    </w:p>
    <w:p>
      <w:pPr>
        <w:pStyle w:val="ListParagraph"/>
        <w:numPr>
          <w:ilvl w:val="0"/>
          <w:numId w:val="28"/>
        </w:numPr>
        <w:tabs>
          <w:tab w:pos="2593" w:val="left" w:leader="none"/>
        </w:tabs>
        <w:spacing w:line="276" w:lineRule="auto" w:before="0" w:after="0"/>
        <w:ind w:left="2370" w:right="118" w:firstLine="0"/>
        <w:jc w:val="both"/>
        <w:rPr>
          <w:sz w:val="20"/>
        </w:rPr>
      </w:pPr>
      <w:r>
        <w:rPr>
          <w:sz w:val="20"/>
        </w:rPr>
        <w:t>ao </w:t>
      </w:r>
      <w:r>
        <w:rPr>
          <w:b/>
          <w:sz w:val="20"/>
        </w:rPr>
        <w:t>Plano de Ações Articuladas – PAR</w:t>
      </w:r>
      <w:r>
        <w:rPr>
          <w:sz w:val="20"/>
        </w:rPr>
        <w:t>. Como é de conhecimento, o PAR faz parte do Sistema Integrado de Monitoramento Execução e Controle do MEC – SIMEC. Os planos estaduais, distrital e municipais de educação são quesitos que integram a Dimensão 1 – Gestão Educacional; Área: Gestão democrática: articulação e desenvolvimento dos sistemas de ensino;  Indicador 1. Existência, acompanhamento e avaliação do Plano Municipal de Educação (PME), desenvolvido com base no Plano Nacional de Educação (PNE).</w:t>
      </w:r>
    </w:p>
    <w:p>
      <w:pPr>
        <w:spacing w:before="0"/>
        <w:ind w:left="2370" w:right="0" w:firstLine="0"/>
        <w:jc w:val="both"/>
        <w:rPr>
          <w:sz w:val="20"/>
        </w:rPr>
      </w:pPr>
      <w:r>
        <w:rPr>
          <w:sz w:val="20"/>
        </w:rPr>
        <w:t>[...]</w:t>
      </w:r>
    </w:p>
    <w:p>
      <w:pPr>
        <w:spacing w:line="280" w:lineRule="auto" w:before="33"/>
        <w:ind w:left="2370" w:right="115" w:firstLine="0"/>
        <w:jc w:val="both"/>
        <w:rPr>
          <w:b/>
          <w:sz w:val="20"/>
        </w:rPr>
      </w:pPr>
      <w:r>
        <w:rPr>
          <w:sz w:val="20"/>
        </w:rPr>
        <w:t>Por outro lado, o trabalho está também </w:t>
      </w:r>
      <w:r>
        <w:rPr>
          <w:b/>
          <w:sz w:val="20"/>
        </w:rPr>
        <w:t>fundamentado e estruturado em três instrumentos</w:t>
      </w:r>
      <w:r>
        <w:rPr>
          <w:b/>
          <w:spacing w:val="-10"/>
          <w:sz w:val="20"/>
        </w:rPr>
        <w:t> </w:t>
      </w:r>
      <w:r>
        <w:rPr>
          <w:b/>
          <w:sz w:val="20"/>
        </w:rPr>
        <w:t>legais:</w:t>
      </w:r>
    </w:p>
    <w:p>
      <w:pPr>
        <w:pStyle w:val="ListParagraph"/>
        <w:numPr>
          <w:ilvl w:val="0"/>
          <w:numId w:val="29"/>
        </w:numPr>
        <w:tabs>
          <w:tab w:pos="2613" w:val="left" w:leader="none"/>
        </w:tabs>
        <w:spacing w:line="276" w:lineRule="auto" w:before="0" w:after="0"/>
        <w:ind w:left="2370" w:right="120" w:firstLine="0"/>
        <w:jc w:val="both"/>
        <w:rPr>
          <w:sz w:val="20"/>
        </w:rPr>
      </w:pPr>
      <w:r>
        <w:rPr>
          <w:sz w:val="20"/>
        </w:rPr>
        <w:t>DECRETO Nº 6.092, DE 24 DE ABRIL DE 2007, que regulamenta o Auxílio de Avaliação Educacional - AAE, instituído pela Medida Provisória nº 361, de 28 de março de</w:t>
      </w:r>
      <w:r>
        <w:rPr>
          <w:spacing w:val="-8"/>
          <w:sz w:val="20"/>
        </w:rPr>
        <w:t> </w:t>
      </w:r>
      <w:r>
        <w:rPr>
          <w:sz w:val="20"/>
        </w:rPr>
        <w:t>2007;</w:t>
      </w:r>
    </w:p>
    <w:p>
      <w:pPr>
        <w:pStyle w:val="ListParagraph"/>
        <w:numPr>
          <w:ilvl w:val="0"/>
          <w:numId w:val="29"/>
        </w:numPr>
        <w:tabs>
          <w:tab w:pos="2624" w:val="left" w:leader="none"/>
        </w:tabs>
        <w:spacing w:line="276" w:lineRule="auto" w:before="7" w:after="0"/>
        <w:ind w:left="2370" w:right="118" w:firstLine="0"/>
        <w:jc w:val="both"/>
        <w:rPr>
          <w:sz w:val="20"/>
        </w:rPr>
      </w:pPr>
      <w:r>
        <w:rPr>
          <w:sz w:val="20"/>
        </w:rPr>
        <w:t>DECRETO Nº 7.114, DE 19 DE FEVEREIRO DE 2010, que dá nova redação a dispositivos do Decreto nº 6.092, de 24 de abril de 2007, que regulamenta o Auxílio de Avaliação Educacional – AAE;</w:t>
      </w:r>
      <w:r>
        <w:rPr>
          <w:spacing w:val="-17"/>
          <w:sz w:val="20"/>
        </w:rPr>
        <w:t> </w:t>
      </w:r>
      <w:r>
        <w:rPr>
          <w:sz w:val="20"/>
        </w:rPr>
        <w:t>e</w:t>
      </w:r>
    </w:p>
    <w:p>
      <w:pPr>
        <w:pStyle w:val="ListParagraph"/>
        <w:numPr>
          <w:ilvl w:val="0"/>
          <w:numId w:val="29"/>
        </w:numPr>
        <w:tabs>
          <w:tab w:pos="2644" w:val="left" w:leader="none"/>
        </w:tabs>
        <w:spacing w:line="276" w:lineRule="auto" w:before="0" w:after="0"/>
        <w:ind w:left="2370" w:right="118" w:firstLine="0"/>
        <w:jc w:val="both"/>
        <w:rPr>
          <w:sz w:val="20"/>
        </w:rPr>
      </w:pPr>
      <w:r>
        <w:rPr>
          <w:sz w:val="20"/>
        </w:rPr>
        <w:t>RESOLUÇÃO CD/FNDE Nº 24, DE 25 DE MAIO DE 2011, que Regulamenta o pagamento do Auxílio de Avaliação Educacional no âmbito do Fundo Nacional de Desenvolvimento da Educação (FNDE). (Grifos nossos).</w:t>
      </w:r>
    </w:p>
    <w:p>
      <w:pPr>
        <w:pStyle w:val="BodyText"/>
        <w:rPr>
          <w:sz w:val="22"/>
        </w:rPr>
      </w:pPr>
    </w:p>
    <w:p>
      <w:pPr>
        <w:pStyle w:val="BodyText"/>
        <w:rPr>
          <w:sz w:val="22"/>
        </w:rPr>
      </w:pPr>
    </w:p>
    <w:p>
      <w:pPr>
        <w:pStyle w:val="BodyText"/>
        <w:spacing w:before="11"/>
        <w:rPr>
          <w:sz w:val="19"/>
        </w:rPr>
      </w:pPr>
    </w:p>
    <w:p>
      <w:pPr>
        <w:pStyle w:val="Heading2"/>
        <w:numPr>
          <w:ilvl w:val="2"/>
          <w:numId w:val="25"/>
        </w:numPr>
        <w:tabs>
          <w:tab w:pos="642" w:val="left" w:leader="none"/>
        </w:tabs>
        <w:spacing w:line="240" w:lineRule="auto" w:before="0" w:after="0"/>
        <w:ind w:left="642" w:right="0" w:hanging="540"/>
        <w:jc w:val="left"/>
        <w:rPr>
          <w:i/>
        </w:rPr>
      </w:pPr>
      <w:bookmarkStart w:name="_TOC_250012" w:id="5"/>
      <w:r>
        <w:rPr>
          <w:i/>
        </w:rPr>
        <w:t>Dinâmica e sujeitos do processo no Estado do</w:t>
      </w:r>
      <w:r>
        <w:rPr>
          <w:i/>
          <w:spacing w:val="-9"/>
        </w:rPr>
        <w:t> </w:t>
      </w:r>
      <w:bookmarkEnd w:id="5"/>
      <w:r>
        <w:rPr>
          <w:i/>
        </w:rPr>
        <w:t>Tocantins</w:t>
      </w:r>
    </w:p>
    <w:p>
      <w:pPr>
        <w:pStyle w:val="BodyText"/>
        <w:rPr>
          <w:b/>
          <w:i/>
          <w:sz w:val="26"/>
        </w:rPr>
      </w:pPr>
    </w:p>
    <w:p>
      <w:pPr>
        <w:pStyle w:val="BodyText"/>
        <w:rPr>
          <w:b/>
          <w:i/>
          <w:sz w:val="26"/>
        </w:rPr>
      </w:pPr>
    </w:p>
    <w:p>
      <w:pPr>
        <w:pStyle w:val="BodyText"/>
        <w:spacing w:before="7"/>
        <w:rPr>
          <w:b/>
          <w:i/>
          <w:sz w:val="31"/>
        </w:rPr>
      </w:pPr>
    </w:p>
    <w:p>
      <w:pPr>
        <w:pStyle w:val="ListParagraph"/>
        <w:numPr>
          <w:ilvl w:val="3"/>
          <w:numId w:val="25"/>
        </w:numPr>
        <w:tabs>
          <w:tab w:pos="863" w:val="left" w:leader="none"/>
        </w:tabs>
        <w:spacing w:line="360" w:lineRule="auto" w:before="1" w:after="0"/>
        <w:ind w:left="102" w:right="116" w:firstLine="0"/>
        <w:jc w:val="left"/>
        <w:rPr>
          <w:i/>
          <w:sz w:val="24"/>
        </w:rPr>
      </w:pPr>
      <w:r>
        <w:rPr>
          <w:i/>
          <w:sz w:val="24"/>
        </w:rPr>
        <w:t>Ano de 2013: implantação da Rede de Assistência Técnica – Projeto Piloto, </w:t>
      </w:r>
      <w:r>
        <w:rPr>
          <w:i/>
          <w:sz w:val="24"/>
        </w:rPr>
        <w:t>Oficio,</w:t>
      </w:r>
      <w:r>
        <w:rPr>
          <w:i/>
          <w:spacing w:val="-4"/>
          <w:sz w:val="24"/>
        </w:rPr>
        <w:t> </w:t>
      </w:r>
      <w:r>
        <w:rPr>
          <w:i/>
          <w:sz w:val="24"/>
        </w:rPr>
        <w:t>Capacitações</w:t>
      </w:r>
    </w:p>
    <w:p>
      <w:pPr>
        <w:pStyle w:val="BodyText"/>
        <w:spacing w:before="5"/>
        <w:rPr>
          <w:i/>
          <w:sz w:val="36"/>
        </w:rPr>
      </w:pPr>
    </w:p>
    <w:p>
      <w:pPr>
        <w:pStyle w:val="BodyText"/>
        <w:spacing w:line="360" w:lineRule="auto"/>
        <w:ind w:left="102" w:right="117" w:firstLine="851"/>
        <w:jc w:val="both"/>
      </w:pPr>
      <w:r>
        <w:rPr/>
        <w:t>No Estadodo Tocantins, antes que o PNE 2014-2024 (BRASIL, 2014) tivesse sido sancionado, ainda no ano de 2013, um Projeto Pilotofoi organizado de forma a iniciar o trabalho da rede de assistência técnica </w:t>
      </w:r>
      <w:r>
        <w:rPr>
          <w:sz w:val="22"/>
        </w:rPr>
        <w:t>(TOCANTINS/SEDUC/UNDIME, 2013)</w:t>
      </w:r>
      <w:r>
        <w:rPr/>
        <w:t>. Neste período, o MEC, por meio da SASE, inicia um processo de adequação e/ou elaboração dos PEEs e PMEs em todo o País, tendo em vista a eminente aprovação da Lei do PNE.</w:t>
      </w:r>
    </w:p>
    <w:p>
      <w:pPr>
        <w:pStyle w:val="BodyText"/>
        <w:spacing w:line="360" w:lineRule="auto" w:before="3"/>
        <w:ind w:left="102" w:right="120" w:firstLine="851"/>
        <w:jc w:val="both"/>
      </w:pPr>
      <w:r>
        <w:rPr/>
        <w:t>Acompanhando as orientações nacionais de atender a Municípios específicos, </w:t>
      </w:r>
      <w:r>
        <w:rPr>
          <w:w w:val="100"/>
        </w:rPr>
        <w:t>definidos</w:t>
      </w:r>
      <w:r>
        <w:rPr/>
        <w:t> por </w:t>
      </w:r>
      <w:r>
        <w:rPr>
          <w:w w:val="100"/>
        </w:rPr>
        <w:t>critér</w:t>
      </w:r>
      <w:r>
        <w:rPr/>
        <w:t>ios </w:t>
      </w:r>
      <w:r>
        <w:rPr>
          <w:w w:val="44"/>
        </w:rPr>
        <w:t>―</w:t>
      </w:r>
      <w:r>
        <w:rPr/>
        <w:t>populacionais, I</w:t>
      </w:r>
      <w:r>
        <w:rPr>
          <w:w w:val="99"/>
        </w:rPr>
        <w:t>DE</w:t>
      </w:r>
      <w:r>
        <w:rPr/>
        <w:t>B – Índice de </w:t>
      </w:r>
      <w:r>
        <w:rPr>
          <w:w w:val="99"/>
        </w:rPr>
        <w:t>De</w:t>
      </w:r>
      <w:r>
        <w:rPr>
          <w:w w:val="99"/>
        </w:rPr>
        <w:t>s</w:t>
      </w:r>
      <w:r>
        <w:rPr/>
        <w:t>envolvimento da Educação Básica, IDH – Índice de Desenvolvimento Humano‖ (TOCANTINS/SEDUC/UNDIME, 2013, p. 10), no Tocantins é encaminhado convite aos Municípios que atendessem a esses critérios para fazerem parte do Projeto Piloto de elaboração e/ou adequação de</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2" w:lineRule="auto" w:before="210"/>
        <w:ind w:left="102"/>
      </w:pPr>
      <w:r>
        <w:rPr/>
        <w:t>PMEs, formalizado por meio do Ofício nº 105, de 28 de agosto de 2013 (UNDIME, 2013).</w:t>
      </w:r>
    </w:p>
    <w:p>
      <w:pPr>
        <w:pStyle w:val="BodyText"/>
        <w:spacing w:line="360" w:lineRule="auto"/>
        <w:ind w:left="102" w:right="123" w:firstLine="851"/>
        <w:jc w:val="both"/>
      </w:pPr>
      <w:r>
        <w:rPr/>
        <w:t>O Ofício, além de esclarecer brevemente o objetivo do convite, indicava deveres, passos a serem seguidos pelos Municípios no decorrer do processo como:</w:t>
      </w:r>
    </w:p>
    <w:p>
      <w:pPr>
        <w:pStyle w:val="BodyText"/>
        <w:spacing w:before="3"/>
        <w:rPr>
          <w:sz w:val="36"/>
        </w:rPr>
      </w:pPr>
    </w:p>
    <w:p>
      <w:pPr>
        <w:pStyle w:val="ListParagraph"/>
        <w:numPr>
          <w:ilvl w:val="0"/>
          <w:numId w:val="30"/>
        </w:numPr>
        <w:tabs>
          <w:tab w:pos="2579" w:val="left" w:leader="none"/>
        </w:tabs>
        <w:spacing w:line="240" w:lineRule="auto" w:before="0" w:after="0"/>
        <w:ind w:left="2370" w:right="121" w:firstLine="0"/>
        <w:jc w:val="left"/>
        <w:rPr>
          <w:sz w:val="20"/>
        </w:rPr>
      </w:pPr>
      <w:r>
        <w:rPr>
          <w:sz w:val="20"/>
        </w:rPr>
        <w:t>Instituir a </w:t>
      </w:r>
      <w:r>
        <w:rPr>
          <w:b/>
          <w:sz w:val="20"/>
        </w:rPr>
        <w:t>comissão </w:t>
      </w:r>
      <w:r>
        <w:rPr>
          <w:sz w:val="20"/>
        </w:rPr>
        <w:t>que conduzirá o processo de elaboração/adequação do plano municipal de</w:t>
      </w:r>
      <w:r>
        <w:rPr>
          <w:spacing w:val="-9"/>
          <w:sz w:val="20"/>
        </w:rPr>
        <w:t> </w:t>
      </w:r>
      <w:r>
        <w:rPr>
          <w:sz w:val="20"/>
        </w:rPr>
        <w:t>educação;</w:t>
      </w:r>
    </w:p>
    <w:p>
      <w:pPr>
        <w:pStyle w:val="ListParagraph"/>
        <w:numPr>
          <w:ilvl w:val="0"/>
          <w:numId w:val="30"/>
        </w:numPr>
        <w:tabs>
          <w:tab w:pos="2608" w:val="left" w:leader="none"/>
        </w:tabs>
        <w:spacing w:line="240" w:lineRule="auto" w:before="0" w:after="0"/>
        <w:ind w:left="2370" w:right="120" w:firstLine="0"/>
        <w:jc w:val="left"/>
        <w:rPr>
          <w:sz w:val="20"/>
        </w:rPr>
      </w:pPr>
      <w:r>
        <w:rPr>
          <w:sz w:val="20"/>
        </w:rPr>
        <w:t>Promover o </w:t>
      </w:r>
      <w:r>
        <w:rPr>
          <w:b/>
          <w:sz w:val="20"/>
        </w:rPr>
        <w:t>debate na sociedade local</w:t>
      </w:r>
      <w:r>
        <w:rPr>
          <w:sz w:val="20"/>
        </w:rPr>
        <w:t>, promovendo a democracia nas ações;</w:t>
      </w:r>
    </w:p>
    <w:p>
      <w:pPr>
        <w:pStyle w:val="ListParagraph"/>
        <w:numPr>
          <w:ilvl w:val="0"/>
          <w:numId w:val="30"/>
        </w:numPr>
        <w:tabs>
          <w:tab w:pos="2574" w:val="left" w:leader="none"/>
        </w:tabs>
        <w:spacing w:line="240" w:lineRule="auto" w:before="3" w:after="0"/>
        <w:ind w:left="2370" w:right="123" w:firstLine="0"/>
        <w:jc w:val="left"/>
        <w:rPr>
          <w:sz w:val="20"/>
        </w:rPr>
      </w:pPr>
      <w:r>
        <w:rPr>
          <w:sz w:val="20"/>
        </w:rPr>
        <w:t>Oferecer </w:t>
      </w:r>
      <w:r>
        <w:rPr>
          <w:b/>
          <w:sz w:val="20"/>
        </w:rPr>
        <w:t>condições de trabalho e infraestrutura </w:t>
      </w:r>
      <w:r>
        <w:rPr>
          <w:sz w:val="20"/>
        </w:rPr>
        <w:t>para a efetiva realização do processo de elaboração/adequação dos</w:t>
      </w:r>
      <w:r>
        <w:rPr>
          <w:spacing w:val="-13"/>
          <w:sz w:val="20"/>
        </w:rPr>
        <w:t> </w:t>
      </w:r>
      <w:r>
        <w:rPr>
          <w:sz w:val="20"/>
        </w:rPr>
        <w:t>planos;</w:t>
      </w:r>
    </w:p>
    <w:p>
      <w:pPr>
        <w:pStyle w:val="ListParagraph"/>
        <w:numPr>
          <w:ilvl w:val="0"/>
          <w:numId w:val="30"/>
        </w:numPr>
        <w:tabs>
          <w:tab w:pos="2588" w:val="left" w:leader="none"/>
        </w:tabs>
        <w:spacing w:line="240" w:lineRule="auto" w:before="0" w:after="0"/>
        <w:ind w:left="2370" w:right="125" w:firstLine="0"/>
        <w:jc w:val="left"/>
        <w:rPr>
          <w:sz w:val="20"/>
        </w:rPr>
      </w:pPr>
      <w:r>
        <w:rPr>
          <w:sz w:val="20"/>
        </w:rPr>
        <w:t>Elaborar e encaminhar o plano municipal de educação para aprovação na câmara municipal. (UNDIME, 2013, s/p). (Grifos</w:t>
      </w:r>
      <w:r>
        <w:rPr>
          <w:spacing w:val="-20"/>
          <w:sz w:val="20"/>
        </w:rPr>
        <w:t> </w:t>
      </w:r>
      <w:r>
        <w:rPr>
          <w:sz w:val="20"/>
        </w:rPr>
        <w:t>nossos).</w:t>
      </w:r>
    </w:p>
    <w:p>
      <w:pPr>
        <w:pStyle w:val="BodyText"/>
        <w:rPr>
          <w:sz w:val="22"/>
        </w:rPr>
      </w:pPr>
    </w:p>
    <w:p>
      <w:pPr>
        <w:pStyle w:val="BodyText"/>
        <w:spacing w:line="360" w:lineRule="auto" w:before="161"/>
        <w:ind w:left="102" w:right="115" w:firstLine="851"/>
        <w:jc w:val="both"/>
      </w:pPr>
      <w:r>
        <w:rPr/>
        <w:t>Inicialmente, como o trabalho estava voltado para o acompanhamento e a orientação em um Projeto Piloto, apenas dez Municípios do Tocantins que demonstrassem interesse em elaborar e/ou adequar seus PMEs foram inseridos, sendo Araguaína, Porto Nacional, Colinas do Tocantins, Miranorte, Pedro Afonso, Cariri, Monte Santo, Recursolândia, São Felix e São Bento. Mas, no decorrer do processo, outros três Municípios demonstraram interesse e passaram a integrar o conjunto de localidades que fariam parte desse Projeto Piloto, sendo Miracema, Paranã e Santa Maria, somando um total de treze.</w:t>
      </w:r>
    </w:p>
    <w:p>
      <w:pPr>
        <w:pStyle w:val="BodyText"/>
        <w:spacing w:line="360" w:lineRule="auto" w:before="6"/>
        <w:ind w:left="102" w:right="119" w:firstLine="851"/>
        <w:jc w:val="both"/>
      </w:pPr>
      <w:r>
        <w:rPr/>
        <w:t>Nesse contexto, a Rede de Assistência Técnica agrega duas AEs Técnicas, sendo uma indicada pela Undime-Tocantins, a pedagoga Rute Soares Rodrigues, atuando, também, como assessora Pedagógica da Undime; e outra, indicada pela Seduc, Janeydes Gaspar, pedagoga e assessora técnica na Seduc-Tocantins.</w:t>
      </w:r>
    </w:p>
    <w:p>
      <w:pPr>
        <w:pStyle w:val="BodyText"/>
        <w:spacing w:line="360" w:lineRule="auto" w:before="6"/>
        <w:ind w:left="102" w:right="119" w:firstLine="851"/>
        <w:jc w:val="both"/>
      </w:pPr>
      <w:r>
        <w:rPr/>
        <w:t>O objetivo registrado no ‗Projeto de adequação/elaboração dos planos de educação Estadual e Municipais – Projeto Piloto‘ (TOCANTINS/SEDUC/UNDIME, </w:t>
      </w:r>
      <w:r>
        <w:rPr>
          <w:w w:val="99"/>
        </w:rPr>
        <w:t>2013,  p.  5),  refere-se  </w:t>
      </w:r>
      <w:r>
        <w:rPr>
          <w:w w:val="100"/>
        </w:rPr>
        <w:t>a</w:t>
      </w:r>
      <w:r>
        <w:rPr/>
        <w:t>  pr</w:t>
      </w:r>
      <w:r>
        <w:rPr>
          <w:w w:val="100"/>
        </w:rPr>
        <w:t>opicia</w:t>
      </w:r>
      <w:r>
        <w:rPr>
          <w:w w:val="99"/>
        </w:rPr>
        <w:t>r  </w:t>
      </w:r>
      <w:r>
        <w:rPr>
          <w:w w:val="44"/>
        </w:rPr>
        <w:t>―</w:t>
      </w:r>
      <w:r>
        <w:rPr>
          <w:w w:val="100"/>
        </w:rPr>
        <w:t>articula</w:t>
      </w:r>
      <w:r>
        <w:rPr/>
        <w:t>ção,  entre  </w:t>
      </w:r>
      <w:r>
        <w:rPr>
          <w:w w:val="99"/>
        </w:rPr>
        <w:t>os</w:t>
      </w:r>
      <w:r>
        <w:rPr/>
        <w:t>  entes  federad</w:t>
      </w:r>
      <w:r>
        <w:rPr>
          <w:w w:val="99"/>
        </w:rPr>
        <w:t>os,</w:t>
      </w:r>
      <w:r>
        <w:rPr/>
        <w:t>  buscando mobilizar e orientar a elaboração e/ou adequação dos planos educacionais Estadual e Municipais, de forma que atenda a realidade de cada território e esteja em consonância com a política nacional‖.</w:t>
      </w:r>
    </w:p>
    <w:p>
      <w:pPr>
        <w:pStyle w:val="BodyText"/>
        <w:spacing w:before="6"/>
        <w:ind w:left="954"/>
      </w:pPr>
      <w:r>
        <w:rPr/>
        <w:t>Para  o  atendimento  desse  objetivo,  uma  das  primeiras  ações  realizadas foi</w:t>
      </w:r>
    </w:p>
    <w:p>
      <w:pPr>
        <w:spacing w:line="360" w:lineRule="auto" w:before="136"/>
        <w:ind w:left="102" w:right="115" w:firstLine="0"/>
        <w:jc w:val="both"/>
        <w:rPr>
          <w:sz w:val="24"/>
        </w:rPr>
      </w:pPr>
      <w:r>
        <w:rPr>
          <w:w w:val="44"/>
          <w:sz w:val="24"/>
        </w:rPr>
        <w:t>―</w:t>
      </w:r>
      <w:r>
        <w:rPr>
          <w:w w:val="99"/>
          <w:sz w:val="24"/>
        </w:rPr>
        <w:t>se</w:t>
      </w:r>
      <w:r>
        <w:rPr>
          <w:w w:val="100"/>
          <w:sz w:val="24"/>
        </w:rPr>
        <w:t>nsibi</w:t>
      </w:r>
      <w:r>
        <w:rPr>
          <w:w w:val="100"/>
          <w:sz w:val="24"/>
        </w:rPr>
        <w:t>li</w:t>
      </w:r>
      <w:r>
        <w:rPr>
          <w:w w:val="100"/>
          <w:sz w:val="24"/>
        </w:rPr>
        <w:t>za</w:t>
      </w:r>
      <w:r>
        <w:rPr>
          <w:w w:val="99"/>
          <w:sz w:val="24"/>
        </w:rPr>
        <w:t>r por </w:t>
      </w:r>
      <w:r>
        <w:rPr>
          <w:w w:val="100"/>
          <w:sz w:val="24"/>
        </w:rPr>
        <w:t>meio</w:t>
      </w:r>
      <w:r>
        <w:rPr>
          <w:sz w:val="24"/>
        </w:rPr>
        <w:t> </w:t>
      </w:r>
      <w:r>
        <w:rPr>
          <w:w w:val="100"/>
          <w:sz w:val="24"/>
        </w:rPr>
        <w:t>de</w:t>
      </w:r>
      <w:r>
        <w:rPr>
          <w:sz w:val="24"/>
        </w:rPr>
        <w:t> </w:t>
      </w:r>
      <w:r>
        <w:rPr>
          <w:w w:val="100"/>
          <w:sz w:val="24"/>
        </w:rPr>
        <w:t>c</w:t>
      </w:r>
      <w:r>
        <w:rPr>
          <w:w w:val="100"/>
          <w:sz w:val="24"/>
        </w:rPr>
        <w:t>ontatos</w:t>
      </w:r>
      <w:r>
        <w:rPr>
          <w:sz w:val="24"/>
        </w:rPr>
        <w:t> </w:t>
      </w:r>
      <w:r>
        <w:rPr>
          <w:w w:val="100"/>
          <w:sz w:val="24"/>
        </w:rPr>
        <w:t>tele</w:t>
      </w:r>
      <w:r>
        <w:rPr>
          <w:w w:val="100"/>
          <w:sz w:val="24"/>
        </w:rPr>
        <w:t>fônic</w:t>
      </w:r>
      <w:r>
        <w:rPr>
          <w:w w:val="99"/>
          <w:sz w:val="24"/>
        </w:rPr>
        <w:t>os,</w:t>
      </w:r>
      <w:r>
        <w:rPr>
          <w:sz w:val="24"/>
        </w:rPr>
        <w:t> </w:t>
      </w:r>
      <w:r>
        <w:rPr>
          <w:w w:val="100"/>
          <w:sz w:val="24"/>
        </w:rPr>
        <w:t>e</w:t>
      </w:r>
      <w:r>
        <w:rPr>
          <w:w w:val="99"/>
          <w:sz w:val="24"/>
        </w:rPr>
        <w:t>-mails, </w:t>
      </w:r>
      <w:r>
        <w:rPr>
          <w:w w:val="99"/>
          <w:sz w:val="24"/>
        </w:rPr>
        <w:t>sit</w:t>
      </w:r>
      <w:r>
        <w:rPr>
          <w:sz w:val="24"/>
        </w:rPr>
        <w:t>e da </w:t>
      </w:r>
      <w:r>
        <w:rPr>
          <w:w w:val="99"/>
          <w:sz w:val="24"/>
        </w:rPr>
        <w:t>S</w:t>
      </w:r>
      <w:r>
        <w:rPr>
          <w:w w:val="99"/>
          <w:sz w:val="24"/>
        </w:rPr>
        <w:t>EDU</w:t>
      </w:r>
      <w:r>
        <w:rPr>
          <w:sz w:val="24"/>
        </w:rPr>
        <w:t>C e </w:t>
      </w:r>
      <w:r>
        <w:rPr>
          <w:w w:val="99"/>
          <w:sz w:val="24"/>
        </w:rPr>
        <w:t>UND</w:t>
      </w:r>
      <w:r>
        <w:rPr>
          <w:w w:val="99"/>
          <w:sz w:val="24"/>
        </w:rPr>
        <w:t>IME, </w:t>
      </w:r>
      <w:r>
        <w:rPr>
          <w:b/>
          <w:w w:val="99"/>
          <w:sz w:val="24"/>
        </w:rPr>
        <w:t>os </w:t>
      </w:r>
      <w:r>
        <w:rPr>
          <w:b/>
          <w:sz w:val="24"/>
        </w:rPr>
        <w:t>profissionais da educação, que tenham interesse em participar do processo  </w:t>
      </w:r>
      <w:r>
        <w:rPr>
          <w:sz w:val="24"/>
        </w:rPr>
        <w:t>de debate das políticas educacionais para a construção dos planos de educação‖. (TOCANTINS/SEDUC/UNDIME, 2013, p. 5). (Grifos nossos).</w:t>
      </w:r>
    </w:p>
    <w:p>
      <w:pPr>
        <w:spacing w:after="0" w:line="360" w:lineRule="auto"/>
        <w:jc w:val="both"/>
        <w:rPr>
          <w:sz w:val="24"/>
        </w:rPr>
        <w:sectPr>
          <w:headerReference w:type="default" r:id="rId54"/>
          <w:pgSz w:w="11910" w:h="16840"/>
          <w:pgMar w:header="749" w:footer="0" w:top="960" w:bottom="280" w:left="1600" w:right="1580"/>
          <w:pgNumType w:start="110"/>
        </w:sectPr>
      </w:pPr>
    </w:p>
    <w:p>
      <w:pPr>
        <w:pStyle w:val="BodyText"/>
        <w:rPr>
          <w:sz w:val="20"/>
        </w:rPr>
      </w:pPr>
    </w:p>
    <w:p>
      <w:pPr>
        <w:pStyle w:val="BodyText"/>
        <w:spacing w:line="360" w:lineRule="auto" w:before="210"/>
        <w:ind w:left="102" w:right="119" w:firstLine="851"/>
        <w:jc w:val="both"/>
      </w:pPr>
      <w:r>
        <w:rPr/>
        <w:t>O Projeto Piloto (TOCANTINS/SEDUC/UNDIME, 2013) e o Ofício nº 105,  de 28 de agosto de 2013 (UNDIME, 2013), ambos mencionados anteriormente, são os indícios da implantação da Rede de Assistência Técnica no Estado do Tocantins, ainda, no ano de</w:t>
      </w:r>
      <w:r>
        <w:rPr>
          <w:spacing w:val="-2"/>
        </w:rPr>
        <w:t> </w:t>
      </w:r>
      <w:r>
        <w:rPr/>
        <w:t>2013.</w:t>
      </w:r>
    </w:p>
    <w:p>
      <w:pPr>
        <w:pStyle w:val="BodyText"/>
        <w:spacing w:line="360" w:lineRule="auto" w:before="3"/>
        <w:ind w:left="102" w:right="116" w:firstLine="851"/>
        <w:jc w:val="both"/>
      </w:pPr>
      <w:r>
        <w:rPr/>
        <w:t>Segundo Lagares e Sousa (2015, p. 5), em 2013, é possível perceber uma dinâmica de trabalhos mediante o contato entre a SASE/MEC e os AEs atuantes no p</w:t>
      </w:r>
      <w:r>
        <w:rPr>
          <w:spacing w:val="-1"/>
        </w:rPr>
        <w:t>e</w:t>
      </w:r>
      <w:r>
        <w:rPr/>
        <w:t>ríodo, </w:t>
      </w:r>
      <w:r>
        <w:rPr>
          <w:spacing w:val="-25"/>
        </w:rPr>
        <w:t> </w:t>
      </w:r>
      <w:r>
        <w:rPr/>
        <w:t>por </w:t>
      </w:r>
      <w:r>
        <w:rPr>
          <w:spacing w:val="-25"/>
        </w:rPr>
        <w:t> </w:t>
      </w:r>
      <w:r>
        <w:rPr/>
        <w:t>meio </w:t>
      </w:r>
      <w:r>
        <w:rPr>
          <w:spacing w:val="-25"/>
        </w:rPr>
        <w:t> </w:t>
      </w:r>
      <w:r>
        <w:rPr/>
        <w:t>de </w:t>
      </w:r>
      <w:r>
        <w:rPr>
          <w:spacing w:val="-25"/>
        </w:rPr>
        <w:t> </w:t>
      </w:r>
      <w:r>
        <w:rPr>
          <w:spacing w:val="2"/>
        </w:rPr>
        <w:t>C</w:t>
      </w:r>
      <w:r>
        <w:rPr>
          <w:spacing w:val="-1"/>
        </w:rPr>
        <w:t>a</w:t>
      </w:r>
      <w:r>
        <w:rPr/>
        <w:t>rt</w:t>
      </w:r>
      <w:r>
        <w:rPr>
          <w:spacing w:val="-2"/>
        </w:rPr>
        <w:t>a</w:t>
      </w:r>
      <w:r>
        <w:rPr>
          <w:w w:val="99"/>
        </w:rPr>
        <w:t>s,</w:t>
      </w:r>
      <w:r>
        <w:rPr/>
        <w:t> </w:t>
      </w:r>
      <w:r>
        <w:rPr>
          <w:spacing w:val="-24"/>
        </w:rPr>
        <w:t> </w:t>
      </w:r>
      <w:r>
        <w:rPr>
          <w:spacing w:val="-1"/>
        </w:rPr>
        <w:t>a</w:t>
      </w:r>
      <w:r>
        <w:rPr/>
        <w:t>o </w:t>
      </w:r>
      <w:r>
        <w:rPr>
          <w:spacing w:val="-25"/>
        </w:rPr>
        <w:t> </w:t>
      </w:r>
      <w:r>
        <w:rPr/>
        <w:t>indi</w:t>
      </w:r>
      <w:r>
        <w:rPr>
          <w:spacing w:val="-1"/>
        </w:rPr>
        <w:t>c</w:t>
      </w:r>
      <w:r>
        <w:rPr>
          <w:spacing w:val="1"/>
        </w:rPr>
        <w:t>a</w:t>
      </w:r>
      <w:r>
        <w:rPr/>
        <w:t>r</w:t>
      </w:r>
      <w:r>
        <w:rPr>
          <w:spacing w:val="-2"/>
        </w:rPr>
        <w:t>e</w:t>
      </w:r>
      <w:r>
        <w:rPr/>
        <w:t>m </w:t>
      </w:r>
      <w:r>
        <w:rPr>
          <w:spacing w:val="-24"/>
        </w:rPr>
        <w:t> </w:t>
      </w:r>
      <w:r>
        <w:rPr/>
        <w:t>que </w:t>
      </w:r>
      <w:r>
        <w:rPr>
          <w:spacing w:val="-21"/>
        </w:rPr>
        <w:t> </w:t>
      </w:r>
      <w:r>
        <w:rPr>
          <w:spacing w:val="-1"/>
          <w:w w:val="44"/>
        </w:rPr>
        <w:t>―</w:t>
      </w:r>
      <w:r>
        <w:rPr>
          <w:w w:val="99"/>
        </w:rPr>
        <w:t>fo</w:t>
      </w:r>
      <w:r>
        <w:rPr>
          <w:spacing w:val="-2"/>
          <w:w w:val="99"/>
        </w:rPr>
        <w:t>r</w:t>
      </w:r>
      <w:r>
        <w:rPr>
          <w:spacing w:val="-1"/>
          <w:w w:val="100"/>
        </w:rPr>
        <w:t>a</w:t>
      </w:r>
      <w:r>
        <w:rPr>
          <w:w w:val="100"/>
        </w:rPr>
        <w:t>m</w:t>
      </w:r>
      <w:r>
        <w:rPr/>
        <w:t> </w:t>
      </w:r>
      <w:r>
        <w:rPr>
          <w:spacing w:val="-22"/>
        </w:rPr>
        <w:t> </w:t>
      </w:r>
      <w:r>
        <w:rPr>
          <w:spacing w:val="-1"/>
          <w:w w:val="100"/>
        </w:rPr>
        <w:t>e</w:t>
      </w:r>
      <w:r>
        <w:rPr>
          <w:w w:val="100"/>
        </w:rPr>
        <w:t>mi</w:t>
      </w:r>
      <w:r>
        <w:rPr>
          <w:w w:val="100"/>
        </w:rPr>
        <w:t>ti</w:t>
      </w:r>
      <w:r>
        <w:rPr>
          <w:w w:val="100"/>
        </w:rPr>
        <w:t>d</w:t>
      </w:r>
      <w:r>
        <w:rPr>
          <w:spacing w:val="-1"/>
          <w:w w:val="100"/>
        </w:rPr>
        <w:t>a</w:t>
      </w:r>
      <w:r>
        <w:rPr>
          <w:w w:val="99"/>
        </w:rPr>
        <w:t>s</w:t>
      </w:r>
      <w:r>
        <w:rPr/>
        <w:t> </w:t>
      </w:r>
      <w:r>
        <w:rPr>
          <w:spacing w:val="-24"/>
        </w:rPr>
        <w:t> </w:t>
      </w:r>
      <w:r>
        <w:rPr>
          <w:spacing w:val="-1"/>
          <w:w w:val="100"/>
        </w:rPr>
        <w:t>ce</w:t>
      </w:r>
      <w:r>
        <w:rPr>
          <w:w w:val="100"/>
        </w:rPr>
        <w:t>rc</w:t>
      </w:r>
      <w:r>
        <w:rPr>
          <w:w w:val="100"/>
        </w:rPr>
        <w:t>a</w:t>
      </w:r>
      <w:r>
        <w:rPr/>
        <w:t> </w:t>
      </w:r>
      <w:r>
        <w:rPr>
          <w:spacing w:val="-26"/>
        </w:rPr>
        <w:t> </w:t>
      </w:r>
      <w:r>
        <w:rPr>
          <w:spacing w:val="2"/>
        </w:rPr>
        <w:t>d</w:t>
      </w:r>
      <w:r>
        <w:rPr>
          <w:w w:val="100"/>
        </w:rPr>
        <w:t>e</w:t>
      </w:r>
      <w:r>
        <w:rPr/>
        <w:t> </w:t>
      </w:r>
      <w:r>
        <w:rPr>
          <w:spacing w:val="-26"/>
        </w:rPr>
        <w:t> </w:t>
      </w:r>
      <w:r>
        <w:rPr>
          <w:w w:val="100"/>
        </w:rPr>
        <w:t>d</w:t>
      </w:r>
      <w:r>
        <w:rPr>
          <w:spacing w:val="-1"/>
          <w:w w:val="100"/>
        </w:rPr>
        <w:t>e</w:t>
      </w:r>
      <w:r>
        <w:rPr>
          <w:w w:val="100"/>
        </w:rPr>
        <w:t>z</w:t>
      </w:r>
      <w:r>
        <w:rPr/>
        <w:t> </w:t>
      </w:r>
      <w:r>
        <w:rPr>
          <w:spacing w:val="-24"/>
        </w:rPr>
        <w:t> </w:t>
      </w:r>
      <w:r>
        <w:rPr/>
        <w:t>C</w:t>
      </w:r>
      <w:r>
        <w:rPr>
          <w:spacing w:val="-1"/>
          <w:w w:val="100"/>
        </w:rPr>
        <w:t>a</w:t>
      </w:r>
      <w:r>
        <w:rPr>
          <w:w w:val="100"/>
        </w:rPr>
        <w:t>rt</w:t>
      </w:r>
      <w:r>
        <w:rPr>
          <w:spacing w:val="-2"/>
          <w:w w:val="100"/>
        </w:rPr>
        <w:t>a</w:t>
      </w:r>
      <w:r>
        <w:rPr>
          <w:w w:val="99"/>
        </w:rPr>
        <w:t>s, </w:t>
      </w:r>
      <w:r>
        <w:rPr/>
        <w:t>entre os meses de maio a outubro, todas assinadas por Geraldo Grossi Júnior, Diretor na Diretoria de Cooperação e Planos de Educação (Dicope) da SASE/MEC‖.  Nestas  Cartas, por meio de seus conteúdos, é possível apreender a dinâmica desenvolvida no período, sendo de leituras, estudos e análises de textos, de legislações e de  notas técnicas sobre o ‗PNE 2011-2020‘, assim como de informações quanto aos</w:t>
      </w:r>
      <w:r>
        <w:rPr>
          <w:spacing w:val="41"/>
        </w:rPr>
        <w:t> </w:t>
      </w:r>
      <w:r>
        <w:rPr/>
        <w:t>documentos</w:t>
      </w:r>
    </w:p>
    <w:p>
      <w:pPr>
        <w:pStyle w:val="BodyText"/>
        <w:spacing w:line="360" w:lineRule="auto" w:before="3"/>
        <w:ind w:left="102" w:right="117"/>
        <w:jc w:val="both"/>
      </w:pPr>
      <w:r>
        <w:rPr/>
        <w:t>‗Planejando a Próxima Década‘ e do cadastramento dos AEs. Uma das leituras sugeridas foi o livro ‗Plano Municipal de Educação – da decisão à ação, de João Monlevade. Em síntese, tudo com vistas a preparação para o trabalho de</w:t>
      </w:r>
      <w:r>
        <w:rPr>
          <w:spacing w:val="-11"/>
        </w:rPr>
        <w:t> </w:t>
      </w:r>
      <w:r>
        <w:rPr/>
        <w:t>AE.</w:t>
      </w:r>
    </w:p>
    <w:p>
      <w:pPr>
        <w:pStyle w:val="BodyText"/>
        <w:spacing w:line="360" w:lineRule="auto" w:before="5"/>
        <w:ind w:left="102" w:right="115" w:firstLine="851"/>
        <w:jc w:val="both"/>
      </w:pPr>
      <w:r>
        <w:rPr/>
        <w:t>No período de 16 a 19 de julho de 2013 (BRASIL, 2013a, p. 1), foi realizada em Brasília-DF, a 1ª Capacitação dos(as) Avaliadores Educacionais (AES), com a participação das AEs Técnicas Rute Soares Rodrigues e </w:t>
      </w:r>
      <w:r>
        <w:rPr>
          <w:sz w:val="22"/>
        </w:rPr>
        <w:t>Janeydes Gaspar</w:t>
      </w:r>
      <w:r>
        <w:rPr/>
        <w:t>. O trabalho referia-se   </w:t>
      </w:r>
      <w:r>
        <w:rPr>
          <w:w w:val="100"/>
        </w:rPr>
        <w:t>a</w:t>
      </w:r>
      <w:r>
        <w:rPr/>
        <w:t>o   </w:t>
      </w:r>
      <w:r>
        <w:rPr>
          <w:w w:val="44"/>
        </w:rPr>
        <w:t>―</w:t>
      </w:r>
      <w:r>
        <w:rPr>
          <w:b/>
          <w:w w:val="99"/>
        </w:rPr>
        <w:t>ass</w:t>
      </w:r>
      <w:r>
        <w:rPr>
          <w:b/>
        </w:rPr>
        <w:t>e</w:t>
      </w:r>
      <w:r>
        <w:rPr>
          <w:b/>
          <w:w w:val="99"/>
        </w:rPr>
        <w:t>ssor</w:t>
      </w:r>
      <w:r>
        <w:rPr>
          <w:b/>
          <w:w w:val="99"/>
        </w:rPr>
        <w:t>ame</w:t>
      </w:r>
      <w:r>
        <w:rPr>
          <w:b/>
          <w:w w:val="99"/>
        </w:rPr>
        <w:t>n</w:t>
      </w:r>
      <w:r>
        <w:rPr>
          <w:b/>
          <w:w w:val="99"/>
        </w:rPr>
        <w:t>to   </w:t>
      </w:r>
      <w:r>
        <w:rPr>
          <w:w w:val="99"/>
        </w:rPr>
        <w:t>a</w:t>
      </w:r>
      <w:r>
        <w:rPr>
          <w:w w:val="99"/>
        </w:rPr>
        <w:t>os</w:t>
      </w:r>
      <w:r>
        <w:rPr/>
        <w:t>   e</w:t>
      </w:r>
      <w:r>
        <w:rPr>
          <w:w w:val="99"/>
        </w:rPr>
        <w:t>stados,</w:t>
      </w:r>
      <w:r>
        <w:rPr/>
        <w:t>   </w:t>
      </w:r>
      <w:r>
        <w:rPr>
          <w:w w:val="99"/>
        </w:rPr>
        <w:t>Dist</w:t>
      </w:r>
      <w:r>
        <w:rPr>
          <w:w w:val="99"/>
        </w:rPr>
        <w:t>rito   </w:t>
      </w:r>
      <w:r>
        <w:rPr>
          <w:w w:val="99"/>
        </w:rPr>
        <w:t>F</w:t>
      </w:r>
      <w:r>
        <w:rPr/>
        <w:t>ederal   e   municípi</w:t>
      </w:r>
      <w:r>
        <w:rPr>
          <w:w w:val="99"/>
        </w:rPr>
        <w:t>os</w:t>
      </w:r>
      <w:r>
        <w:rPr/>
        <w:t>   na elaboração/adequação dos planos de educação‖. (Grifos nossos). Uma capacitação destinada aos Estados que já possuíam o PEE aprovado em instrumento legal publicado, estando em vigência ou não, segundo informações constantes do Plano de Ações Articuladas (PAR), com os objetivos de:</w:t>
      </w:r>
    </w:p>
    <w:p>
      <w:pPr>
        <w:pStyle w:val="BodyText"/>
        <w:spacing w:before="3"/>
        <w:rPr>
          <w:sz w:val="36"/>
        </w:rPr>
      </w:pPr>
    </w:p>
    <w:p>
      <w:pPr>
        <w:pStyle w:val="ListParagraph"/>
        <w:numPr>
          <w:ilvl w:val="0"/>
          <w:numId w:val="31"/>
        </w:numPr>
        <w:tabs>
          <w:tab w:pos="2576" w:val="left" w:leader="none"/>
        </w:tabs>
        <w:spacing w:line="240" w:lineRule="auto" w:before="0" w:after="0"/>
        <w:ind w:left="2370" w:right="0" w:firstLine="0"/>
        <w:jc w:val="both"/>
        <w:rPr>
          <w:sz w:val="20"/>
        </w:rPr>
      </w:pPr>
      <w:r>
        <w:rPr>
          <w:sz w:val="20"/>
        </w:rPr>
        <w:t>apresentar, em linhas gerais, a estrutura e o funcionamento da</w:t>
      </w:r>
      <w:r>
        <w:rPr>
          <w:spacing w:val="-29"/>
          <w:sz w:val="20"/>
        </w:rPr>
        <w:t> </w:t>
      </w:r>
      <w:r>
        <w:rPr>
          <w:sz w:val="20"/>
        </w:rPr>
        <w:t>SASE/MEC;</w:t>
      </w:r>
    </w:p>
    <w:p>
      <w:pPr>
        <w:pStyle w:val="ListParagraph"/>
        <w:numPr>
          <w:ilvl w:val="0"/>
          <w:numId w:val="31"/>
        </w:numPr>
        <w:tabs>
          <w:tab w:pos="2588" w:val="left" w:leader="none"/>
        </w:tabs>
        <w:spacing w:line="240" w:lineRule="auto" w:before="0" w:after="0"/>
        <w:ind w:left="2587" w:right="0" w:hanging="217"/>
        <w:jc w:val="both"/>
        <w:rPr>
          <w:sz w:val="20"/>
        </w:rPr>
      </w:pPr>
      <w:r>
        <w:rPr>
          <w:spacing w:val="1"/>
          <w:w w:val="99"/>
          <w:sz w:val="20"/>
        </w:rPr>
        <w:t>d</w:t>
      </w:r>
      <w:r>
        <w:rPr>
          <w:w w:val="99"/>
          <w:sz w:val="20"/>
        </w:rPr>
        <w:t>i</w:t>
      </w:r>
      <w:r>
        <w:rPr>
          <w:spacing w:val="-1"/>
          <w:w w:val="99"/>
          <w:sz w:val="20"/>
        </w:rPr>
        <w:t>s</w:t>
      </w:r>
      <w:r>
        <w:rPr>
          <w:w w:val="99"/>
          <w:sz w:val="20"/>
        </w:rPr>
        <w:t>c</w:t>
      </w:r>
      <w:r>
        <w:rPr>
          <w:spacing w:val="-1"/>
          <w:w w:val="99"/>
          <w:sz w:val="20"/>
        </w:rPr>
        <w:t>u</w:t>
      </w:r>
      <w:r>
        <w:rPr>
          <w:w w:val="99"/>
          <w:sz w:val="20"/>
        </w:rPr>
        <w:t>tir</w:t>
      </w:r>
      <w:r>
        <w:rPr>
          <w:sz w:val="20"/>
        </w:rPr>
        <w:t> </w:t>
      </w:r>
      <w:r>
        <w:rPr>
          <w:spacing w:val="-1"/>
          <w:w w:val="99"/>
          <w:sz w:val="20"/>
        </w:rPr>
        <w:t>s</w:t>
      </w:r>
      <w:r>
        <w:rPr>
          <w:spacing w:val="1"/>
          <w:w w:val="99"/>
          <w:sz w:val="20"/>
        </w:rPr>
        <w:t>ob</w:t>
      </w:r>
      <w:r>
        <w:rPr>
          <w:w w:val="99"/>
          <w:sz w:val="20"/>
        </w:rPr>
        <w:t>r</w:t>
      </w:r>
      <w:r>
        <w:rPr>
          <w:w w:val="99"/>
          <w:sz w:val="20"/>
        </w:rPr>
        <w:t>e</w:t>
      </w:r>
      <w:r>
        <w:rPr>
          <w:sz w:val="20"/>
        </w:rPr>
        <w:t> </w:t>
      </w:r>
      <w:r>
        <w:rPr>
          <w:w w:val="99"/>
          <w:sz w:val="20"/>
        </w:rPr>
        <w:t>o</w:t>
      </w:r>
      <w:r>
        <w:rPr>
          <w:spacing w:val="1"/>
          <w:sz w:val="20"/>
        </w:rPr>
        <w:t> </w:t>
      </w:r>
      <w:r>
        <w:rPr>
          <w:w w:val="99"/>
          <w:sz w:val="20"/>
        </w:rPr>
        <w:t>c</w:t>
      </w:r>
      <w:r>
        <w:rPr>
          <w:spacing w:val="1"/>
          <w:w w:val="99"/>
          <w:sz w:val="20"/>
        </w:rPr>
        <w:t>o</w:t>
      </w:r>
      <w:r>
        <w:rPr>
          <w:spacing w:val="-4"/>
          <w:w w:val="99"/>
          <w:sz w:val="20"/>
        </w:rPr>
        <w:t>n</w:t>
      </w:r>
      <w:r>
        <w:rPr>
          <w:spacing w:val="2"/>
          <w:w w:val="99"/>
          <w:sz w:val="20"/>
        </w:rPr>
        <w:t>j</w:t>
      </w:r>
      <w:r>
        <w:rPr>
          <w:spacing w:val="-2"/>
          <w:w w:val="99"/>
          <w:sz w:val="20"/>
        </w:rPr>
        <w:t>un</w:t>
      </w:r>
      <w:r>
        <w:rPr>
          <w:w w:val="99"/>
          <w:sz w:val="20"/>
        </w:rPr>
        <w:t>to</w:t>
      </w:r>
      <w:r>
        <w:rPr>
          <w:spacing w:val="1"/>
          <w:sz w:val="20"/>
        </w:rPr>
        <w:t> </w:t>
      </w:r>
      <w:r>
        <w:rPr>
          <w:spacing w:val="1"/>
          <w:w w:val="99"/>
          <w:sz w:val="20"/>
        </w:rPr>
        <w:t>d</w:t>
      </w:r>
      <w:r>
        <w:rPr>
          <w:w w:val="99"/>
          <w:sz w:val="20"/>
        </w:rPr>
        <w:t>e</w:t>
      </w:r>
      <w:r>
        <w:rPr>
          <w:sz w:val="20"/>
        </w:rPr>
        <w:t> </w:t>
      </w:r>
      <w:r>
        <w:rPr>
          <w:spacing w:val="1"/>
          <w:w w:val="99"/>
          <w:sz w:val="20"/>
        </w:rPr>
        <w:t>do</w:t>
      </w:r>
      <w:r>
        <w:rPr>
          <w:w w:val="99"/>
          <w:sz w:val="20"/>
        </w:rPr>
        <w:t>c</w:t>
      </w:r>
      <w:r>
        <w:rPr>
          <w:spacing w:val="1"/>
          <w:w w:val="99"/>
          <w:sz w:val="20"/>
        </w:rPr>
        <w:t>u</w:t>
      </w:r>
      <w:r>
        <w:rPr>
          <w:spacing w:val="-4"/>
          <w:w w:val="99"/>
          <w:sz w:val="20"/>
        </w:rPr>
        <w:t>m</w:t>
      </w:r>
      <w:r>
        <w:rPr>
          <w:w w:val="99"/>
          <w:sz w:val="20"/>
        </w:rPr>
        <w:t>e</w:t>
      </w:r>
      <w:r>
        <w:rPr>
          <w:spacing w:val="-1"/>
          <w:w w:val="99"/>
          <w:sz w:val="20"/>
        </w:rPr>
        <w:t>n</w:t>
      </w:r>
      <w:r>
        <w:rPr>
          <w:w w:val="99"/>
          <w:sz w:val="20"/>
        </w:rPr>
        <w:t>t</w:t>
      </w:r>
      <w:r>
        <w:rPr>
          <w:spacing w:val="3"/>
          <w:w w:val="99"/>
          <w:sz w:val="20"/>
        </w:rPr>
        <w:t>o</w:t>
      </w:r>
      <w:r>
        <w:rPr>
          <w:w w:val="99"/>
          <w:sz w:val="20"/>
        </w:rPr>
        <w:t>s</w:t>
      </w:r>
      <w:r>
        <w:rPr>
          <w:spacing w:val="-1"/>
          <w:sz w:val="20"/>
        </w:rPr>
        <w:t> </w:t>
      </w:r>
      <w:r>
        <w:rPr>
          <w:spacing w:val="-2"/>
          <w:w w:val="44"/>
          <w:sz w:val="20"/>
        </w:rPr>
        <w:t>―</w:t>
      </w:r>
      <w:r>
        <w:rPr>
          <w:spacing w:val="1"/>
          <w:w w:val="99"/>
          <w:sz w:val="20"/>
        </w:rPr>
        <w:t>P</w:t>
      </w:r>
      <w:r>
        <w:rPr>
          <w:w w:val="99"/>
          <w:sz w:val="20"/>
        </w:rPr>
        <w:t>l</w:t>
      </w:r>
      <w:r>
        <w:rPr>
          <w:spacing w:val="2"/>
          <w:w w:val="99"/>
          <w:sz w:val="20"/>
        </w:rPr>
        <w:t>a</w:t>
      </w:r>
      <w:r>
        <w:rPr>
          <w:spacing w:val="-2"/>
          <w:w w:val="99"/>
          <w:sz w:val="20"/>
        </w:rPr>
        <w:t>n</w:t>
      </w:r>
      <w:r>
        <w:rPr>
          <w:w w:val="99"/>
          <w:sz w:val="20"/>
        </w:rPr>
        <w:t>e</w:t>
      </w:r>
      <w:r>
        <w:rPr>
          <w:spacing w:val="2"/>
          <w:w w:val="99"/>
          <w:sz w:val="20"/>
        </w:rPr>
        <w:t>j</w:t>
      </w:r>
      <w:r>
        <w:rPr>
          <w:w w:val="99"/>
          <w:sz w:val="20"/>
        </w:rPr>
        <w:t>a</w:t>
      </w:r>
      <w:r>
        <w:rPr>
          <w:spacing w:val="-1"/>
          <w:w w:val="99"/>
          <w:sz w:val="20"/>
        </w:rPr>
        <w:t>n</w:t>
      </w:r>
      <w:r>
        <w:rPr>
          <w:spacing w:val="1"/>
          <w:w w:val="99"/>
          <w:sz w:val="20"/>
        </w:rPr>
        <w:t>d</w:t>
      </w:r>
      <w:r>
        <w:rPr>
          <w:w w:val="99"/>
          <w:sz w:val="20"/>
        </w:rPr>
        <w:t>o</w:t>
      </w:r>
      <w:r>
        <w:rPr>
          <w:spacing w:val="1"/>
          <w:sz w:val="20"/>
        </w:rPr>
        <w:t> </w:t>
      </w:r>
      <w:r>
        <w:rPr>
          <w:w w:val="99"/>
          <w:sz w:val="20"/>
        </w:rPr>
        <w:t>a</w:t>
      </w:r>
      <w:r>
        <w:rPr>
          <w:sz w:val="20"/>
        </w:rPr>
        <w:t> </w:t>
      </w:r>
      <w:r>
        <w:rPr>
          <w:w w:val="99"/>
          <w:sz w:val="20"/>
        </w:rPr>
        <w:t>P</w:t>
      </w:r>
      <w:r>
        <w:rPr>
          <w:spacing w:val="-2"/>
          <w:w w:val="99"/>
          <w:sz w:val="20"/>
        </w:rPr>
        <w:t>r</w:t>
      </w:r>
      <w:r>
        <w:rPr>
          <w:spacing w:val="1"/>
          <w:w w:val="99"/>
          <w:sz w:val="20"/>
        </w:rPr>
        <w:t>ó</w:t>
      </w:r>
      <w:r>
        <w:rPr>
          <w:spacing w:val="-2"/>
          <w:w w:val="99"/>
          <w:sz w:val="20"/>
        </w:rPr>
        <w:t>x</w:t>
      </w:r>
      <w:r>
        <w:rPr>
          <w:spacing w:val="2"/>
          <w:w w:val="99"/>
          <w:sz w:val="20"/>
        </w:rPr>
        <w:t>i</w:t>
      </w:r>
      <w:r>
        <w:rPr>
          <w:spacing w:val="-4"/>
          <w:w w:val="99"/>
          <w:sz w:val="20"/>
        </w:rPr>
        <w:t>m</w:t>
      </w:r>
      <w:r>
        <w:rPr>
          <w:w w:val="99"/>
          <w:sz w:val="20"/>
        </w:rPr>
        <w:t>a</w:t>
      </w:r>
      <w:r>
        <w:rPr>
          <w:sz w:val="20"/>
        </w:rPr>
        <w:t> </w:t>
      </w:r>
      <w:r>
        <w:rPr>
          <w:w w:val="99"/>
          <w:sz w:val="20"/>
        </w:rPr>
        <w:t>Déca</w:t>
      </w:r>
      <w:r>
        <w:rPr>
          <w:spacing w:val="1"/>
          <w:w w:val="99"/>
          <w:sz w:val="20"/>
        </w:rPr>
        <w:t>d</w:t>
      </w:r>
      <w:r>
        <w:rPr>
          <w:w w:val="122"/>
          <w:sz w:val="20"/>
        </w:rPr>
        <w:t>a‖</w:t>
      </w:r>
      <w:r>
        <w:rPr>
          <w:w w:val="99"/>
          <w:sz w:val="20"/>
        </w:rPr>
        <w:t>;</w:t>
      </w:r>
    </w:p>
    <w:p>
      <w:pPr>
        <w:pStyle w:val="ListParagraph"/>
        <w:numPr>
          <w:ilvl w:val="0"/>
          <w:numId w:val="31"/>
        </w:numPr>
        <w:tabs>
          <w:tab w:pos="2579" w:val="left" w:leader="none"/>
        </w:tabs>
        <w:spacing w:line="240" w:lineRule="auto" w:before="0" w:after="0"/>
        <w:ind w:left="2370" w:right="125" w:firstLine="0"/>
        <w:jc w:val="both"/>
        <w:rPr>
          <w:sz w:val="20"/>
        </w:rPr>
      </w:pPr>
      <w:r>
        <w:rPr>
          <w:sz w:val="20"/>
        </w:rPr>
        <w:t>estruturar o diagnóstico que subsidiará a elaboração dos Planos Estaduais e Municipais de Educação (OFICINA</w:t>
      </w:r>
      <w:r>
        <w:rPr>
          <w:spacing w:val="-12"/>
          <w:sz w:val="20"/>
        </w:rPr>
        <w:t> </w:t>
      </w:r>
      <w:r>
        <w:rPr>
          <w:sz w:val="20"/>
        </w:rPr>
        <w:t>1);</w:t>
      </w:r>
    </w:p>
    <w:p>
      <w:pPr>
        <w:pStyle w:val="ListParagraph"/>
        <w:numPr>
          <w:ilvl w:val="0"/>
          <w:numId w:val="31"/>
        </w:numPr>
        <w:tabs>
          <w:tab w:pos="2591" w:val="left" w:leader="none"/>
        </w:tabs>
        <w:spacing w:line="240" w:lineRule="auto" w:before="0" w:after="0"/>
        <w:ind w:left="2370" w:right="120" w:firstLine="0"/>
        <w:jc w:val="both"/>
        <w:rPr>
          <w:sz w:val="20"/>
        </w:rPr>
      </w:pPr>
      <w:r>
        <w:rPr>
          <w:sz w:val="20"/>
        </w:rPr>
        <w:t>apresentar o Sistema de Avaliação Educacional - SAE do FNDE/MEC que será utilizado pelos(as) AEs durante a execução das ações de elaboração/adequação dos Planos Estaduais e Municipais de Educação em 2013 (OFICINA</w:t>
      </w:r>
      <w:r>
        <w:rPr>
          <w:spacing w:val="-7"/>
          <w:sz w:val="20"/>
        </w:rPr>
        <w:t> </w:t>
      </w:r>
      <w:r>
        <w:rPr>
          <w:sz w:val="20"/>
        </w:rPr>
        <w:t>2);</w:t>
      </w:r>
    </w:p>
    <w:p>
      <w:pPr>
        <w:pStyle w:val="BodyText"/>
        <w:rPr>
          <w:sz w:val="22"/>
        </w:rPr>
      </w:pPr>
    </w:p>
    <w:p>
      <w:pPr>
        <w:pStyle w:val="BodyText"/>
        <w:spacing w:line="360" w:lineRule="auto" w:before="164"/>
        <w:ind w:left="102" w:right="121" w:firstLine="851"/>
        <w:jc w:val="both"/>
      </w:pPr>
      <w:r>
        <w:rPr/>
        <w:t>No período de 18 a 22 de novembro de 2013 (BRASIL, 2013b, p. 1), foi realizada em Brasília-DF, a 2ª Capacitação dos AES, com a participação das Técnicas Rute Soares Rodrigues e Cleidiana Santana Parente, com os objetivos de:</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before="2"/>
        <w:rPr>
          <w:sz w:val="18"/>
        </w:rPr>
      </w:pPr>
    </w:p>
    <w:p>
      <w:pPr>
        <w:spacing w:before="0"/>
        <w:ind w:left="2370" w:right="116" w:firstLine="0"/>
        <w:jc w:val="both"/>
        <w:rPr>
          <w:sz w:val="20"/>
        </w:rPr>
      </w:pPr>
      <w:r>
        <w:rPr>
          <w:b/>
          <w:sz w:val="20"/>
        </w:rPr>
        <w:t>retomar os principais fundamentos da análise situacional</w:t>
      </w:r>
      <w:r>
        <w:rPr>
          <w:sz w:val="20"/>
        </w:rPr>
        <w:t>, tema da primeira capacitação, e </w:t>
      </w:r>
      <w:r>
        <w:rPr>
          <w:b/>
          <w:sz w:val="20"/>
        </w:rPr>
        <w:t>avaliar os resultados </w:t>
      </w:r>
      <w:r>
        <w:rPr>
          <w:sz w:val="20"/>
        </w:rPr>
        <w:t>da implementação do trabalho realizado pelos(as) AEs nos estados e nos municípios; </w:t>
      </w:r>
      <w:r>
        <w:rPr>
          <w:b/>
          <w:sz w:val="20"/>
        </w:rPr>
        <w:t>apresentar e discutir sobre os elementos centrais que devem ser abordados no texto-base </w:t>
      </w:r>
      <w:r>
        <w:rPr>
          <w:sz w:val="20"/>
        </w:rPr>
        <w:t>que fundamenta a elaboração ou adequação dos planos estaduais, distrital e municipais de educação em consonância com o [PNE]; </w:t>
      </w:r>
      <w:r>
        <w:rPr>
          <w:b/>
          <w:sz w:val="20"/>
        </w:rPr>
        <w:t>debater sobre temas relativos a política educacional, </w:t>
      </w:r>
      <w:r>
        <w:rPr>
          <w:sz w:val="20"/>
        </w:rPr>
        <w:t>tais como Sistema Nacional de Educação, Regime de Colaboração, Territórios de Cooperação Educacional etc. que são centrais a elaboração do PNE; </w:t>
      </w:r>
      <w:r>
        <w:rPr>
          <w:b/>
          <w:sz w:val="20"/>
        </w:rPr>
        <w:t>orientar sobre a organização e realização das conferências de educação </w:t>
      </w:r>
      <w:r>
        <w:rPr>
          <w:sz w:val="20"/>
        </w:rPr>
        <w:t>que deliberarão sobre o texto-base dos planos estaduais, distrital e municipais de educação, adequados ou elaborados em consonância com o PLC 103/2012. (Grifos nossos).</w:t>
      </w:r>
    </w:p>
    <w:p>
      <w:pPr>
        <w:pStyle w:val="BodyText"/>
        <w:rPr>
          <w:sz w:val="22"/>
        </w:rPr>
      </w:pPr>
    </w:p>
    <w:p>
      <w:pPr>
        <w:pStyle w:val="BodyText"/>
        <w:rPr>
          <w:sz w:val="22"/>
        </w:rPr>
      </w:pPr>
    </w:p>
    <w:p>
      <w:pPr>
        <w:pStyle w:val="BodyText"/>
        <w:rPr>
          <w:sz w:val="28"/>
        </w:rPr>
      </w:pPr>
    </w:p>
    <w:p>
      <w:pPr>
        <w:pStyle w:val="ListParagraph"/>
        <w:numPr>
          <w:ilvl w:val="3"/>
          <w:numId w:val="25"/>
        </w:numPr>
        <w:tabs>
          <w:tab w:pos="873" w:val="left" w:leader="none"/>
        </w:tabs>
        <w:spacing w:line="360" w:lineRule="auto" w:before="1" w:after="0"/>
        <w:ind w:left="102" w:right="116" w:firstLine="0"/>
        <w:jc w:val="left"/>
        <w:rPr>
          <w:i/>
          <w:sz w:val="24"/>
        </w:rPr>
      </w:pPr>
      <w:r>
        <w:rPr>
          <w:i/>
          <w:sz w:val="24"/>
        </w:rPr>
        <w:t>Ano de 2014: ampliação da Rede de Assistência Técnica – vasta produção </w:t>
      </w:r>
      <w:r>
        <w:rPr>
          <w:i/>
          <w:sz w:val="24"/>
        </w:rPr>
        <w:t>documental e</w:t>
      </w:r>
      <w:r>
        <w:rPr>
          <w:i/>
          <w:spacing w:val="-5"/>
          <w:sz w:val="24"/>
        </w:rPr>
        <w:t> </w:t>
      </w:r>
      <w:r>
        <w:rPr>
          <w:i/>
          <w:sz w:val="24"/>
        </w:rPr>
        <w:t>atuação</w:t>
      </w:r>
    </w:p>
    <w:p>
      <w:pPr>
        <w:pStyle w:val="BodyText"/>
        <w:rPr>
          <w:i/>
          <w:sz w:val="26"/>
        </w:rPr>
      </w:pPr>
    </w:p>
    <w:p>
      <w:pPr>
        <w:pStyle w:val="BodyText"/>
        <w:rPr>
          <w:i/>
          <w:sz w:val="26"/>
        </w:rPr>
      </w:pPr>
    </w:p>
    <w:p>
      <w:pPr>
        <w:pStyle w:val="BodyText"/>
        <w:spacing w:before="4"/>
        <w:rPr>
          <w:i/>
          <w:sz w:val="20"/>
        </w:rPr>
      </w:pPr>
    </w:p>
    <w:p>
      <w:pPr>
        <w:pStyle w:val="BodyText"/>
        <w:spacing w:line="360" w:lineRule="auto"/>
        <w:ind w:left="102" w:right="116" w:firstLine="851"/>
        <w:jc w:val="both"/>
      </w:pPr>
      <w:r>
        <w:rPr/>
        <w:t>Em janeiro de 2014, na eminência da aprovação e sanção do PL do PNE, o Projeto Piloto é alterado, pois uma nova estrutura se forma em torno da orientação e apoio aos Municípios. O que inicialmente estava voltado para um conjunto de apenas treze localidades estende-se a todos os Municípios do Estado. Desse modo, no dia 29 de abril, dois meses antes da sanção do PNE 2014-2024, é encaminhado a todos os Municípios, por meio da Undime, o Ofício nº 087 (UNDIME, 2014a) convidando os Dirigentes Municipais de Educação (DMEs) e mais um técnico de cada Município a fazerem-se presentes em uma Capacitação Estadual sobre elaboração e/ou adequação dos</w:t>
      </w:r>
      <w:r>
        <w:rPr>
          <w:spacing w:val="-1"/>
        </w:rPr>
        <w:t> </w:t>
      </w:r>
      <w:r>
        <w:rPr/>
        <w:t>PMEs.</w:t>
      </w:r>
    </w:p>
    <w:p>
      <w:pPr>
        <w:pStyle w:val="BodyText"/>
        <w:spacing w:line="360" w:lineRule="auto" w:before="5"/>
        <w:ind w:left="102" w:right="119" w:firstLine="851"/>
        <w:jc w:val="both"/>
      </w:pPr>
      <w:r>
        <w:rPr/>
        <w:t>Segundo o cronograma da Capacitação Estadual, os Municípios seriam atendidos em dois grupos, sendo de 13 a 15 de maio de 2014, 67, e entre 21 a 23 de maio, os demais 72 Municípios. E, nos dias 27, 28 e 29 de maio, a capacitação envolveria os membros da Comissão Estadual de Educação para elaboração/adequação do PEE.</w:t>
      </w:r>
    </w:p>
    <w:p>
      <w:pPr>
        <w:pStyle w:val="BodyText"/>
        <w:spacing w:line="360" w:lineRule="auto" w:before="3"/>
        <w:ind w:left="102" w:right="117" w:firstLine="851"/>
        <w:jc w:val="both"/>
      </w:pPr>
      <w:r>
        <w:rPr/>
        <w:t>Nesse novo contexto, o desenho da Rede de Assistência Técnica no âmbito do Estado do Tocantins passa a agregar nove AEs, sendo um AE-Executivo, responsável pela coordenação da Rede no Estado, fazendo, também, a interlocução com o MEC; dois AEs-Supervisores, com a função de ordem técnica e administrativa em relação aos AEs-Técnicos; e seis AEs-Técnicos, responsáveis diretos pela assistência técnica, ou seja, cada um acompanhando e orientando até 25</w:t>
      </w:r>
      <w:r>
        <w:rPr>
          <w:spacing w:val="-7"/>
        </w:rPr>
        <w:t> </w:t>
      </w:r>
      <w:r>
        <w:rPr/>
        <w:t>Municípios.</w:t>
      </w:r>
    </w:p>
    <w:p>
      <w:pPr>
        <w:pStyle w:val="BodyText"/>
        <w:spacing w:before="6"/>
        <w:ind w:left="954"/>
      </w:pPr>
      <w:r>
        <w:rPr/>
        <w:t>Assim, no Estado do Tocantins, temos o seguinte organograma.</w:t>
      </w:r>
    </w:p>
    <w:p>
      <w:pPr>
        <w:spacing w:after="0"/>
        <w:sectPr>
          <w:pgSz w:w="11910" w:h="16840"/>
          <w:pgMar w:header="749" w:footer="0" w:top="960" w:bottom="280" w:left="1600" w:right="1580"/>
        </w:sectPr>
      </w:pPr>
    </w:p>
    <w:p>
      <w:pPr>
        <w:pStyle w:val="BodyText"/>
        <w:rPr>
          <w:sz w:val="20"/>
        </w:rPr>
      </w:pPr>
    </w:p>
    <w:p>
      <w:pPr>
        <w:pStyle w:val="BodyText"/>
        <w:rPr>
          <w:sz w:val="20"/>
        </w:rPr>
      </w:pPr>
    </w:p>
    <w:p>
      <w:pPr>
        <w:pStyle w:val="BodyText"/>
        <w:spacing w:before="1"/>
        <w:rPr>
          <w:sz w:val="22"/>
        </w:rPr>
      </w:pPr>
    </w:p>
    <w:p>
      <w:pPr>
        <w:pStyle w:val="BodyText"/>
        <w:ind w:left="222"/>
      </w:pPr>
      <w:r>
        <w:rPr>
          <w:b/>
        </w:rPr>
        <w:t>Figura 1 </w:t>
      </w:r>
      <w:r>
        <w:rPr/>
        <w:t>Organograma – Avaliadores Educacionais no Estado do Tocantins</w:t>
      </w:r>
    </w:p>
    <w:p>
      <w:pPr>
        <w:pStyle w:val="BodyText"/>
        <w:rPr>
          <w:sz w:val="20"/>
        </w:rPr>
      </w:pPr>
    </w:p>
    <w:p>
      <w:pPr>
        <w:pStyle w:val="BodyText"/>
        <w:spacing w:before="7"/>
        <w:rPr>
          <w:sz w:val="12"/>
        </w:rPr>
      </w:pPr>
      <w:r>
        <w:rPr/>
        <w:pict>
          <v:group style="position:absolute;margin-left:92.175003pt;margin-top:9.220371pt;width:406.45pt;height:176.5pt;mso-position-horizontal-relative:page;mso-position-vertical-relative:paragraph;z-index:1912;mso-wrap-distance-left:0;mso-wrap-distance-right:0" coordorigin="1844,184" coordsize="8129,3530">
            <v:shape style="position:absolute;left:4924;top:894;width:2082;height:498" type="#_x0000_t75" stroked="false">
              <v:imagedata r:id="rId55" o:title=""/>
            </v:shape>
            <v:line style="position:absolute" from="5965,1390" to="5966,1513" stroked="true" strokeweight=".75pt" strokecolor="#000000">
              <v:stroke dashstyle="solid"/>
            </v:line>
            <v:line style="position:absolute" from="8023,1523" to="3787,1523" stroked="true" strokeweight=".75pt" strokecolor="#000000">
              <v:stroke dashstyle="solid"/>
            </v:line>
            <v:shape style="position:absolute;left:2996;top:1676;width:1586;height:498" type="#_x0000_t75" stroked="false">
              <v:imagedata r:id="rId56" o:title=""/>
            </v:shape>
            <v:line style="position:absolute" from="3787,1522" to="3787,1662" stroked="true" strokeweight=".75pt" strokecolor="#000000">
              <v:stroke dashstyle="solid"/>
            </v:line>
            <v:shape style="position:absolute;left:7231;top:1676;width:1586;height:498" type="#_x0000_t75" stroked="false">
              <v:imagedata r:id="rId56" o:title=""/>
            </v:shape>
            <v:line style="position:absolute" from="8023,1522" to="8023,1662" stroked="true" strokeweight=".75pt" strokecolor="#000000">
              <v:stroke dashstyle="solid"/>
            </v:line>
            <v:line style="position:absolute" from="3787,2167" to="3787,3224" stroked="true" strokeweight=".75pt" strokecolor="#000000">
              <v:stroke dashstyle="solid"/>
            </v:line>
            <v:line style="position:absolute" from="3422,2654" to="4152,2654" stroked="true" strokeweight=".75pt" strokecolor="#000000">
              <v:stroke dashstyle="solid"/>
            </v:line>
            <v:line style="position:absolute" from="7664,2659" to="8394,2659" stroked="true" strokeweight=".75pt" strokecolor="#000000">
              <v:stroke dashstyle="solid"/>
            </v:line>
            <v:shape style="position:absolute;left:4145;top:2408;width:1586;height:498" type="#_x0000_t75" stroked="false">
              <v:imagedata r:id="rId57" o:title=""/>
            </v:shape>
            <v:shape style="position:absolute;left:1844;top:2399;width:1586;height:498" type="#_x0000_t75" stroked="false">
              <v:imagedata r:id="rId58" o:title=""/>
            </v:shape>
            <v:line style="position:absolute" from="8023,2167" to="8023,3224" stroked="true" strokeweight=".75pt" strokecolor="#000000">
              <v:stroke dashstyle="solid"/>
            </v:line>
            <v:shape style="position:absolute;left:2997;top:3216;width:1586;height:498" type="#_x0000_t75" stroked="false">
              <v:imagedata r:id="rId58" o:title=""/>
            </v:shape>
            <v:shape style="position:absolute;left:6086;top:2411;width:1586;height:498" type="#_x0000_t75" stroked="false">
              <v:imagedata r:id="rId59" o:title=""/>
            </v:shape>
            <v:shape style="position:absolute;left:8386;top:2402;width:1586;height:498" type="#_x0000_t75" stroked="false">
              <v:imagedata r:id="rId60" o:title=""/>
            </v:shape>
            <v:shape style="position:absolute;left:7231;top:3216;width:1586;height:498" type="#_x0000_t75" stroked="false">
              <v:imagedata r:id="rId59" o:title=""/>
            </v:shape>
            <v:shape style="position:absolute;left:5065;top:184;width:1792;height:498" type="#_x0000_t75" stroked="false">
              <v:imagedata r:id="rId61" o:title=""/>
            </v:shape>
            <v:line style="position:absolute" from="5965,675" to="5966,899" stroked="true" strokeweight=".75pt" strokecolor="#000000">
              <v:stroke dashstyle="solid"/>
            </v:line>
            <v:shape style="position:absolute;left:5223;top:277;width:1381;height:221" type="#_x0000_t202" filled="false" stroked="false">
              <v:textbox inset="0,0,0,0">
                <w:txbxContent>
                  <w:p>
                    <w:pPr>
                      <w:spacing w:line="221" w:lineRule="exact" w:before="0"/>
                      <w:ind w:left="0" w:right="0" w:firstLine="0"/>
                      <w:jc w:val="left"/>
                      <w:rPr>
                        <w:sz w:val="20"/>
                      </w:rPr>
                    </w:pPr>
                    <w:r>
                      <w:rPr>
                        <w:sz w:val="20"/>
                      </w:rPr>
                      <w:t>AE Coordenador</w:t>
                    </w:r>
                  </w:p>
                </w:txbxContent>
              </v:textbox>
              <w10:wrap type="none"/>
            </v:shape>
            <v:shape style="position:absolute;left:5084;top:987;width:1696;height:221" type="#_x0000_t202" filled="false" stroked="false">
              <v:textbox inset="0,0,0,0">
                <w:txbxContent>
                  <w:p>
                    <w:pPr>
                      <w:spacing w:line="221" w:lineRule="exact" w:before="0"/>
                      <w:ind w:left="0" w:right="0" w:firstLine="0"/>
                      <w:jc w:val="left"/>
                      <w:rPr>
                        <w:sz w:val="20"/>
                      </w:rPr>
                    </w:pPr>
                    <w:r>
                      <w:rPr>
                        <w:sz w:val="20"/>
                      </w:rPr>
                      <w:t>AE Supervisor Geral</w:t>
                    </w:r>
                  </w:p>
                </w:txbxContent>
              </v:textbox>
              <w10:wrap type="none"/>
            </v:shape>
            <v:shape style="position:absolute;left:3154;top:1767;width:1201;height:221" type="#_x0000_t202" filled="false" stroked="false">
              <v:textbox inset="0,0,0,0">
                <w:txbxContent>
                  <w:p>
                    <w:pPr>
                      <w:spacing w:line="221" w:lineRule="exact" w:before="0"/>
                      <w:ind w:left="0" w:right="0" w:firstLine="0"/>
                      <w:jc w:val="left"/>
                      <w:rPr>
                        <w:sz w:val="20"/>
                      </w:rPr>
                    </w:pPr>
                    <w:r>
                      <w:rPr>
                        <w:sz w:val="20"/>
                      </w:rPr>
                      <w:t>AE Supervisor</w:t>
                    </w:r>
                  </w:p>
                </w:txbxContent>
              </v:textbox>
              <w10:wrap type="none"/>
            </v:shape>
            <v:shape style="position:absolute;left:7391;top:1767;width:1201;height:221" type="#_x0000_t202" filled="false" stroked="false">
              <v:textbox inset="0,0,0,0">
                <w:txbxContent>
                  <w:p>
                    <w:pPr>
                      <w:spacing w:line="221" w:lineRule="exact" w:before="0"/>
                      <w:ind w:left="0" w:right="0" w:firstLine="0"/>
                      <w:jc w:val="left"/>
                      <w:rPr>
                        <w:sz w:val="20"/>
                      </w:rPr>
                    </w:pPr>
                    <w:r>
                      <w:rPr>
                        <w:sz w:val="20"/>
                      </w:rPr>
                      <w:t>AE Supervisor</w:t>
                    </w:r>
                  </w:p>
                </w:txbxContent>
              </v:textbox>
              <w10:wrap type="none"/>
            </v:shape>
            <v:shape style="position:absolute;left:2002;top:2492;width:978;height:221" type="#_x0000_t202" filled="false" stroked="false">
              <v:textbox inset="0,0,0,0">
                <w:txbxContent>
                  <w:p>
                    <w:pPr>
                      <w:spacing w:line="221" w:lineRule="exact" w:before="0"/>
                      <w:ind w:left="0" w:right="0" w:firstLine="0"/>
                      <w:jc w:val="left"/>
                      <w:rPr>
                        <w:sz w:val="20"/>
                      </w:rPr>
                    </w:pPr>
                    <w:r>
                      <w:rPr>
                        <w:sz w:val="20"/>
                      </w:rPr>
                      <w:t>AE Técnico</w:t>
                    </w:r>
                  </w:p>
                </w:txbxContent>
              </v:textbox>
              <w10:wrap type="none"/>
            </v:shape>
            <v:shape style="position:absolute;left:4304;top:2501;width:978;height:221" type="#_x0000_t202" filled="false" stroked="false">
              <v:textbox inset="0,0,0,0">
                <w:txbxContent>
                  <w:p>
                    <w:pPr>
                      <w:spacing w:line="221" w:lineRule="exact" w:before="0"/>
                      <w:ind w:left="0" w:right="0" w:firstLine="0"/>
                      <w:jc w:val="left"/>
                      <w:rPr>
                        <w:sz w:val="20"/>
                      </w:rPr>
                    </w:pPr>
                    <w:r>
                      <w:rPr>
                        <w:sz w:val="20"/>
                      </w:rPr>
                      <w:t>AE Técnico</w:t>
                    </w:r>
                  </w:p>
                </w:txbxContent>
              </v:textbox>
              <w10:wrap type="none"/>
            </v:shape>
            <v:shape style="position:absolute;left:6246;top:2504;width:978;height:221" type="#_x0000_t202" filled="false" stroked="false">
              <v:textbox inset="0,0,0,0">
                <w:txbxContent>
                  <w:p>
                    <w:pPr>
                      <w:spacing w:line="221" w:lineRule="exact" w:before="0"/>
                      <w:ind w:left="0" w:right="0" w:firstLine="0"/>
                      <w:jc w:val="left"/>
                      <w:rPr>
                        <w:sz w:val="20"/>
                      </w:rPr>
                    </w:pPr>
                    <w:r>
                      <w:rPr>
                        <w:sz w:val="20"/>
                      </w:rPr>
                      <w:t>AE Técnico</w:t>
                    </w:r>
                  </w:p>
                </w:txbxContent>
              </v:textbox>
              <w10:wrap type="none"/>
            </v:shape>
            <v:shape style="position:absolute;left:8545;top:2494;width:978;height:221" type="#_x0000_t202" filled="false" stroked="false">
              <v:textbox inset="0,0,0,0">
                <w:txbxContent>
                  <w:p>
                    <w:pPr>
                      <w:spacing w:line="221" w:lineRule="exact" w:before="0"/>
                      <w:ind w:left="0" w:right="0" w:firstLine="0"/>
                      <w:jc w:val="left"/>
                      <w:rPr>
                        <w:sz w:val="20"/>
                      </w:rPr>
                    </w:pPr>
                    <w:r>
                      <w:rPr>
                        <w:sz w:val="20"/>
                      </w:rPr>
                      <w:t>AE Técnico</w:t>
                    </w:r>
                  </w:p>
                </w:txbxContent>
              </v:textbox>
              <w10:wrap type="none"/>
            </v:shape>
            <v:shape style="position:absolute;left:3156;top:3308;width:978;height:221" type="#_x0000_t202" filled="false" stroked="false">
              <v:textbox inset="0,0,0,0">
                <w:txbxContent>
                  <w:p>
                    <w:pPr>
                      <w:spacing w:line="221" w:lineRule="exact" w:before="0"/>
                      <w:ind w:left="0" w:right="0" w:firstLine="0"/>
                      <w:jc w:val="left"/>
                      <w:rPr>
                        <w:sz w:val="20"/>
                      </w:rPr>
                    </w:pPr>
                    <w:r>
                      <w:rPr>
                        <w:sz w:val="20"/>
                      </w:rPr>
                      <w:t>AE Técnico</w:t>
                    </w:r>
                  </w:p>
                </w:txbxContent>
              </v:textbox>
              <w10:wrap type="none"/>
            </v:shape>
            <v:shape style="position:absolute;left:7391;top:3308;width:978;height:221" type="#_x0000_t202" filled="false" stroked="false">
              <v:textbox inset="0,0,0,0">
                <w:txbxContent>
                  <w:p>
                    <w:pPr>
                      <w:spacing w:line="221" w:lineRule="exact" w:before="0"/>
                      <w:ind w:left="0" w:right="0" w:firstLine="0"/>
                      <w:jc w:val="left"/>
                      <w:rPr>
                        <w:sz w:val="20"/>
                      </w:rPr>
                    </w:pPr>
                    <w:r>
                      <w:rPr>
                        <w:sz w:val="20"/>
                      </w:rPr>
                      <w:t>AE Técnico</w:t>
                    </w:r>
                  </w:p>
                </w:txbxContent>
              </v:textbox>
              <w10:wrap type="none"/>
            </v:shape>
            <w10:wrap type="topAndBottom"/>
          </v:group>
        </w:pict>
      </w:r>
    </w:p>
    <w:p>
      <w:pPr>
        <w:spacing w:before="33"/>
        <w:ind w:left="222" w:right="0" w:firstLine="0"/>
        <w:jc w:val="left"/>
        <w:rPr>
          <w:sz w:val="20"/>
        </w:rPr>
      </w:pPr>
      <w:r>
        <w:rPr>
          <w:sz w:val="20"/>
        </w:rPr>
        <w:t>Fonte: Elaborado a partir do Ofício Seduc-TO nº 1.143/2014 (TOCANTINS, 2014).</w:t>
      </w:r>
    </w:p>
    <w:p>
      <w:pPr>
        <w:pStyle w:val="BodyText"/>
        <w:rPr>
          <w:sz w:val="22"/>
        </w:rPr>
      </w:pPr>
    </w:p>
    <w:p>
      <w:pPr>
        <w:pStyle w:val="BodyText"/>
        <w:spacing w:line="360" w:lineRule="auto" w:before="192"/>
        <w:ind w:left="222" w:right="115" w:firstLine="851"/>
        <w:jc w:val="both"/>
      </w:pPr>
      <w:r>
        <w:rPr/>
        <w:t>A composição destas funções é oficialmente estabelecida em 14 de maio de 2014, com a indicação dos nomes, por meio do Ofício nº 2.143 (TOCANTINS/SEDUC, 2014), encaminhado pela Seduc ao diretor da Diretoria de Cooperação e Planos de Educação da SASE/MEC, Geraldo Grossi Júnior, com exceção do AE-Executivo que entra para a equipe a partir de 21 de novembro de 2014.</w:t>
      </w:r>
    </w:p>
    <w:p>
      <w:pPr>
        <w:pStyle w:val="BodyText"/>
        <w:spacing w:line="360" w:lineRule="auto" w:before="6"/>
        <w:ind w:left="222" w:right="124" w:firstLine="851"/>
        <w:jc w:val="both"/>
      </w:pPr>
      <w:r>
        <w:rPr/>
        <w:t>O quadro que segue descreve a função de cada AE no processo, o local de trabalho e formação.</w:t>
      </w:r>
    </w:p>
    <w:p>
      <w:pPr>
        <w:pStyle w:val="BodyText"/>
        <w:spacing w:before="1"/>
        <w:rPr>
          <w:sz w:val="28"/>
        </w:rPr>
      </w:pPr>
    </w:p>
    <w:p>
      <w:pPr>
        <w:pStyle w:val="BodyText"/>
        <w:spacing w:line="276" w:lineRule="auto" w:after="6"/>
        <w:ind w:left="222"/>
      </w:pPr>
      <w:r>
        <w:rPr>
          <w:b/>
        </w:rPr>
        <w:t>Quadro 1 </w:t>
      </w:r>
      <w:r>
        <w:rPr/>
        <w:t>Avaliador Educacional no Tocantins: função na Rede de Assistência Técnica, local de trabalho e formação</w:t>
      </w: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7"/>
        <w:gridCol w:w="1133"/>
        <w:gridCol w:w="1418"/>
        <w:gridCol w:w="4681"/>
      </w:tblGrid>
      <w:tr>
        <w:trPr>
          <w:trHeight w:val="1070" w:hRule="exact"/>
        </w:trPr>
        <w:tc>
          <w:tcPr>
            <w:tcW w:w="1387" w:type="dxa"/>
            <w:shd w:val="clear" w:color="auto" w:fill="F1F1F1"/>
          </w:tcPr>
          <w:p>
            <w:pPr>
              <w:pStyle w:val="TableParagraph"/>
              <w:spacing w:line="266" w:lineRule="auto" w:before="0"/>
              <w:ind w:left="160" w:right="161" w:hanging="1"/>
              <w:jc w:val="center"/>
              <w:rPr>
                <w:b/>
                <w:sz w:val="13"/>
              </w:rPr>
            </w:pPr>
            <w:r>
              <w:rPr>
                <w:b/>
                <w:sz w:val="20"/>
              </w:rPr>
              <w:t>Avaliador </w:t>
            </w:r>
            <w:r>
              <w:rPr>
                <w:b/>
                <w:w w:val="95"/>
                <w:sz w:val="20"/>
              </w:rPr>
              <w:t>Educacional </w:t>
            </w:r>
            <w:r>
              <w:rPr>
                <w:b/>
                <w:sz w:val="20"/>
              </w:rPr>
              <w:t>no     Tocantins</w:t>
            </w:r>
            <w:r>
              <w:rPr>
                <w:b/>
                <w:position w:val="9"/>
                <w:sz w:val="13"/>
              </w:rPr>
              <w:t>23</w:t>
            </w:r>
          </w:p>
        </w:tc>
        <w:tc>
          <w:tcPr>
            <w:tcW w:w="1133" w:type="dxa"/>
            <w:shd w:val="clear" w:color="auto" w:fill="F1F1F1"/>
          </w:tcPr>
          <w:p>
            <w:pPr>
              <w:pStyle w:val="TableParagraph"/>
              <w:spacing w:line="276" w:lineRule="auto" w:before="0"/>
              <w:ind w:left="110" w:right="117"/>
              <w:jc w:val="center"/>
              <w:rPr>
                <w:b/>
                <w:sz w:val="20"/>
              </w:rPr>
            </w:pPr>
            <w:r>
              <w:rPr>
                <w:b/>
                <w:sz w:val="20"/>
              </w:rPr>
              <w:t>Função na</w:t>
            </w:r>
            <w:r>
              <w:rPr>
                <w:b/>
                <w:w w:val="99"/>
                <w:sz w:val="20"/>
              </w:rPr>
              <w:t> </w:t>
            </w:r>
            <w:r>
              <w:rPr>
                <w:b/>
                <w:sz w:val="20"/>
              </w:rPr>
              <w:t>Rede de Assistênci a Técnica</w:t>
            </w:r>
          </w:p>
        </w:tc>
        <w:tc>
          <w:tcPr>
            <w:tcW w:w="1418" w:type="dxa"/>
            <w:shd w:val="clear" w:color="auto" w:fill="F1F1F1"/>
          </w:tcPr>
          <w:p>
            <w:pPr>
              <w:pStyle w:val="TableParagraph"/>
              <w:spacing w:before="0"/>
              <w:rPr>
                <w:sz w:val="23"/>
              </w:rPr>
            </w:pPr>
          </w:p>
          <w:p>
            <w:pPr>
              <w:pStyle w:val="TableParagraph"/>
              <w:spacing w:line="276" w:lineRule="auto" w:before="0"/>
              <w:ind w:left="304" w:right="232" w:firstLine="36"/>
              <w:rPr>
                <w:b/>
                <w:sz w:val="20"/>
              </w:rPr>
            </w:pPr>
            <w:r>
              <w:rPr>
                <w:b/>
                <w:sz w:val="20"/>
              </w:rPr>
              <w:t>Local de </w:t>
            </w:r>
            <w:r>
              <w:rPr>
                <w:b/>
                <w:w w:val="95"/>
                <w:sz w:val="20"/>
              </w:rPr>
              <w:t>Trabalho</w:t>
            </w:r>
          </w:p>
        </w:tc>
        <w:tc>
          <w:tcPr>
            <w:tcW w:w="4681" w:type="dxa"/>
            <w:shd w:val="clear" w:color="auto" w:fill="F1F1F1"/>
          </w:tcPr>
          <w:p>
            <w:pPr>
              <w:pStyle w:val="TableParagraph"/>
              <w:spacing w:before="0"/>
              <w:rPr>
                <w:sz w:val="22"/>
              </w:rPr>
            </w:pPr>
          </w:p>
          <w:p>
            <w:pPr>
              <w:pStyle w:val="TableParagraph"/>
              <w:spacing w:before="143"/>
              <w:ind w:left="1881" w:right="1883"/>
              <w:jc w:val="center"/>
              <w:rPr>
                <w:b/>
                <w:sz w:val="20"/>
              </w:rPr>
            </w:pPr>
            <w:r>
              <w:rPr>
                <w:b/>
                <w:sz w:val="20"/>
              </w:rPr>
              <w:t>Formação</w:t>
            </w:r>
          </w:p>
        </w:tc>
      </w:tr>
      <w:tr>
        <w:trPr>
          <w:trHeight w:val="3070" w:hRule="exact"/>
        </w:trPr>
        <w:tc>
          <w:tcPr>
            <w:tcW w:w="1387" w:type="dxa"/>
          </w:tcPr>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7"/>
              <w:rPr>
                <w:sz w:val="21"/>
              </w:rPr>
            </w:pPr>
          </w:p>
          <w:p>
            <w:pPr>
              <w:pStyle w:val="TableParagraph"/>
              <w:spacing w:line="276" w:lineRule="auto" w:before="0"/>
              <w:ind w:left="335" w:right="234" w:hanging="84"/>
              <w:rPr>
                <w:sz w:val="20"/>
              </w:rPr>
            </w:pPr>
            <w:r>
              <w:rPr>
                <w:sz w:val="20"/>
              </w:rPr>
              <w:t>Jocirley de Oliveira.</w:t>
            </w:r>
          </w:p>
        </w:tc>
        <w:tc>
          <w:tcPr>
            <w:tcW w:w="1133" w:type="dxa"/>
          </w:tcPr>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1"/>
              <w:rPr>
                <w:sz w:val="32"/>
              </w:rPr>
            </w:pPr>
          </w:p>
          <w:p>
            <w:pPr>
              <w:pStyle w:val="TableParagraph"/>
              <w:spacing w:before="0"/>
              <w:ind w:left="100"/>
              <w:rPr>
                <w:sz w:val="20"/>
              </w:rPr>
            </w:pPr>
            <w:r>
              <w:rPr>
                <w:sz w:val="20"/>
              </w:rPr>
              <w:t>AE</w:t>
            </w:r>
          </w:p>
          <w:p>
            <w:pPr>
              <w:pStyle w:val="TableParagraph"/>
              <w:spacing w:before="33"/>
              <w:ind w:left="100"/>
              <w:rPr>
                <w:sz w:val="20"/>
              </w:rPr>
            </w:pPr>
            <w:r>
              <w:rPr>
                <w:sz w:val="20"/>
              </w:rPr>
              <w:t>Executivo</w:t>
            </w:r>
          </w:p>
          <w:p>
            <w:pPr>
              <w:pStyle w:val="TableParagraph"/>
              <w:spacing w:before="34"/>
              <w:ind w:left="100"/>
              <w:rPr>
                <w:sz w:val="20"/>
              </w:rPr>
            </w:pPr>
            <w:r>
              <w:rPr>
                <w:sz w:val="20"/>
              </w:rPr>
              <w:t>– Undime</w:t>
            </w:r>
          </w:p>
        </w:tc>
        <w:tc>
          <w:tcPr>
            <w:tcW w:w="1418" w:type="dxa"/>
          </w:tcPr>
          <w:p>
            <w:pPr>
              <w:pStyle w:val="TableParagraph"/>
              <w:spacing w:before="0"/>
              <w:rPr>
                <w:sz w:val="22"/>
              </w:rPr>
            </w:pPr>
          </w:p>
          <w:p>
            <w:pPr>
              <w:pStyle w:val="TableParagraph"/>
              <w:spacing w:before="0"/>
              <w:rPr>
                <w:sz w:val="22"/>
              </w:rPr>
            </w:pPr>
          </w:p>
          <w:p>
            <w:pPr>
              <w:pStyle w:val="TableParagraph"/>
              <w:spacing w:before="8"/>
              <w:rPr>
                <w:sz w:val="19"/>
              </w:rPr>
            </w:pPr>
          </w:p>
          <w:p>
            <w:pPr>
              <w:pStyle w:val="TableParagraph"/>
              <w:spacing w:line="276" w:lineRule="auto" w:before="0"/>
              <w:ind w:left="103" w:right="232"/>
              <w:rPr>
                <w:sz w:val="20"/>
              </w:rPr>
            </w:pPr>
            <w:r>
              <w:rPr>
                <w:sz w:val="20"/>
              </w:rPr>
              <w:t>Dirigente Municipal de Educação de Araguaína e Presidente da Undime-TO.</w:t>
            </w:r>
          </w:p>
        </w:tc>
        <w:tc>
          <w:tcPr>
            <w:tcW w:w="4681" w:type="dxa"/>
          </w:tcPr>
          <w:p>
            <w:pPr>
              <w:pStyle w:val="TableParagraph"/>
              <w:numPr>
                <w:ilvl w:val="0"/>
                <w:numId w:val="32"/>
              </w:numPr>
              <w:tabs>
                <w:tab w:pos="233" w:val="left" w:leader="none"/>
              </w:tabs>
              <w:spacing w:line="240" w:lineRule="auto" w:before="29" w:after="0"/>
              <w:ind w:left="103" w:right="110" w:firstLine="0"/>
              <w:jc w:val="both"/>
              <w:rPr>
                <w:sz w:val="20"/>
              </w:rPr>
            </w:pPr>
            <w:r>
              <w:rPr>
                <w:sz w:val="20"/>
              </w:rPr>
              <w:t>Pedagogia pela Fundação Universidade do Tocantins (2004) e Licenciatura Plena em Geografia pela Universidade de Marília –</w:t>
            </w:r>
            <w:r>
              <w:rPr>
                <w:spacing w:val="-5"/>
                <w:sz w:val="20"/>
              </w:rPr>
              <w:t> </w:t>
            </w:r>
            <w:r>
              <w:rPr>
                <w:sz w:val="20"/>
              </w:rPr>
              <w:t>SP.</w:t>
            </w:r>
          </w:p>
          <w:p>
            <w:pPr>
              <w:pStyle w:val="TableParagraph"/>
              <w:numPr>
                <w:ilvl w:val="0"/>
                <w:numId w:val="32"/>
              </w:numPr>
              <w:tabs>
                <w:tab w:pos="274" w:val="left" w:leader="none"/>
              </w:tabs>
              <w:spacing w:line="240" w:lineRule="auto" w:before="0" w:after="0"/>
              <w:ind w:left="103" w:right="107" w:firstLine="0"/>
              <w:jc w:val="both"/>
              <w:rPr>
                <w:sz w:val="20"/>
              </w:rPr>
            </w:pPr>
            <w:r>
              <w:rPr>
                <w:sz w:val="20"/>
              </w:rPr>
              <w:t>Experiência na área de educação, com ênfase em métodos e Técnicas de Ensino, gestão pedagógica, administrativa e financeira escolar e formação de professores.</w:t>
            </w:r>
          </w:p>
          <w:p>
            <w:pPr>
              <w:pStyle w:val="TableParagraph"/>
              <w:spacing w:before="1"/>
              <w:ind w:left="103" w:right="105"/>
              <w:jc w:val="both"/>
              <w:rPr>
                <w:sz w:val="20"/>
              </w:rPr>
            </w:pPr>
            <w:r>
              <w:rPr>
                <w:sz w:val="20"/>
              </w:rPr>
              <w:t>Pós Graduado em: Psicopedagogia Clínica pela Faculdade Internacional de Curitiba; Orientação Educacional e Planejamento Educacional pela Universidade Salgado de Oliveira; Gestão e Coordenação Escolar e Gestão Pública pela Faculdade de Tecnologia Equipe Darwin.</w:t>
            </w:r>
          </w:p>
        </w:tc>
      </w:tr>
      <w:tr>
        <w:trPr>
          <w:trHeight w:val="209" w:hRule="exact"/>
        </w:trPr>
        <w:tc>
          <w:tcPr>
            <w:tcW w:w="8620" w:type="dxa"/>
            <w:gridSpan w:val="4"/>
            <w:tcBorders>
              <w:left w:val="nil"/>
              <w:bottom w:val="nil"/>
              <w:right w:val="nil"/>
            </w:tcBorders>
          </w:tcPr>
          <w:p>
            <w:pPr/>
          </w:p>
        </w:tc>
      </w:tr>
    </w:tbl>
    <w:p>
      <w:pPr>
        <w:spacing w:before="72"/>
        <w:ind w:left="222" w:right="0" w:firstLine="0"/>
        <w:jc w:val="left"/>
        <w:rPr>
          <w:sz w:val="20"/>
        </w:rPr>
      </w:pPr>
      <w:r>
        <w:rPr>
          <w:position w:val="9"/>
          <w:sz w:val="13"/>
        </w:rPr>
        <w:t>23 </w:t>
      </w:r>
      <w:r>
        <w:rPr>
          <w:sz w:val="20"/>
        </w:rPr>
        <w:t>Os Avaliadores Educacionais foram apresentados publicamente e seus nomes divulgados junto aos Municípios, por meio de documentos e em eventos da Undime-Seccional Tocantins.</w:t>
      </w:r>
    </w:p>
    <w:p>
      <w:pPr>
        <w:spacing w:after="0"/>
        <w:jc w:val="left"/>
        <w:rPr>
          <w:sz w:val="20"/>
        </w:rPr>
        <w:sectPr>
          <w:pgSz w:w="11910" w:h="16840"/>
          <w:pgMar w:header="749" w:footer="0" w:top="960" w:bottom="280" w:left="1480" w:right="1580"/>
        </w:sectPr>
      </w:pPr>
    </w:p>
    <w:p>
      <w:pPr>
        <w:pStyle w:val="BodyText"/>
        <w:rPr>
          <w:sz w:val="20"/>
        </w:rPr>
      </w:pPr>
    </w:p>
    <w:p>
      <w:pPr>
        <w:pStyle w:val="BodyText"/>
        <w:spacing w:before="7"/>
        <w:rPr>
          <w:sz w:val="18"/>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7"/>
        <w:gridCol w:w="1133"/>
        <w:gridCol w:w="1418"/>
        <w:gridCol w:w="4681"/>
      </w:tblGrid>
      <w:tr>
        <w:trPr>
          <w:trHeight w:val="1070" w:hRule="exact"/>
        </w:trPr>
        <w:tc>
          <w:tcPr>
            <w:tcW w:w="1387" w:type="dxa"/>
            <w:shd w:val="clear" w:color="auto" w:fill="F1F1F1"/>
          </w:tcPr>
          <w:p>
            <w:pPr>
              <w:pStyle w:val="TableParagraph"/>
              <w:spacing w:line="266" w:lineRule="auto" w:before="1"/>
              <w:ind w:left="160" w:right="161" w:hanging="1"/>
              <w:jc w:val="center"/>
              <w:rPr>
                <w:b/>
                <w:sz w:val="13"/>
              </w:rPr>
            </w:pPr>
            <w:r>
              <w:rPr>
                <w:b/>
                <w:sz w:val="20"/>
              </w:rPr>
              <w:t>Avaliador </w:t>
            </w:r>
            <w:r>
              <w:rPr>
                <w:b/>
                <w:w w:val="95"/>
                <w:sz w:val="20"/>
              </w:rPr>
              <w:t>Educacional </w:t>
            </w:r>
            <w:r>
              <w:rPr>
                <w:b/>
                <w:sz w:val="20"/>
              </w:rPr>
              <w:t>no     Tocantins</w:t>
            </w:r>
            <w:r>
              <w:rPr>
                <w:b/>
                <w:position w:val="9"/>
                <w:sz w:val="13"/>
              </w:rPr>
              <w:t>24</w:t>
            </w:r>
          </w:p>
        </w:tc>
        <w:tc>
          <w:tcPr>
            <w:tcW w:w="1133" w:type="dxa"/>
            <w:shd w:val="clear" w:color="auto" w:fill="F1F1F1"/>
          </w:tcPr>
          <w:p>
            <w:pPr>
              <w:pStyle w:val="TableParagraph"/>
              <w:spacing w:line="276" w:lineRule="auto" w:before="1"/>
              <w:ind w:left="108" w:right="117"/>
              <w:jc w:val="center"/>
              <w:rPr>
                <w:b/>
                <w:sz w:val="20"/>
              </w:rPr>
            </w:pPr>
            <w:r>
              <w:rPr>
                <w:b/>
                <w:sz w:val="20"/>
              </w:rPr>
              <w:t>Função na</w:t>
            </w:r>
            <w:r>
              <w:rPr>
                <w:b/>
                <w:w w:val="99"/>
                <w:sz w:val="20"/>
              </w:rPr>
              <w:t> </w:t>
            </w:r>
            <w:r>
              <w:rPr>
                <w:b/>
                <w:sz w:val="20"/>
              </w:rPr>
              <w:t>Rede de Assistênci a Técnica</w:t>
            </w:r>
          </w:p>
        </w:tc>
        <w:tc>
          <w:tcPr>
            <w:tcW w:w="1418" w:type="dxa"/>
            <w:shd w:val="clear" w:color="auto" w:fill="F1F1F1"/>
          </w:tcPr>
          <w:p>
            <w:pPr>
              <w:pStyle w:val="TableParagraph"/>
              <w:spacing w:before="1"/>
              <w:rPr>
                <w:sz w:val="23"/>
              </w:rPr>
            </w:pPr>
          </w:p>
          <w:p>
            <w:pPr>
              <w:pStyle w:val="TableParagraph"/>
              <w:spacing w:line="276" w:lineRule="auto" w:before="0"/>
              <w:ind w:left="304" w:right="232" w:firstLine="36"/>
              <w:rPr>
                <w:b/>
                <w:sz w:val="20"/>
              </w:rPr>
            </w:pPr>
            <w:r>
              <w:rPr>
                <w:b/>
                <w:sz w:val="20"/>
              </w:rPr>
              <w:t>Local de </w:t>
            </w:r>
            <w:r>
              <w:rPr>
                <w:b/>
                <w:w w:val="95"/>
                <w:sz w:val="20"/>
              </w:rPr>
              <w:t>Trabalho</w:t>
            </w:r>
          </w:p>
        </w:tc>
        <w:tc>
          <w:tcPr>
            <w:tcW w:w="4681" w:type="dxa"/>
            <w:shd w:val="clear" w:color="auto" w:fill="F1F1F1"/>
          </w:tcPr>
          <w:p>
            <w:pPr>
              <w:pStyle w:val="TableParagraph"/>
              <w:spacing w:before="0"/>
              <w:rPr>
                <w:sz w:val="22"/>
              </w:rPr>
            </w:pPr>
          </w:p>
          <w:p>
            <w:pPr>
              <w:pStyle w:val="TableParagraph"/>
              <w:spacing w:before="145"/>
              <w:ind w:left="1881" w:right="1883"/>
              <w:jc w:val="center"/>
              <w:rPr>
                <w:b/>
                <w:sz w:val="20"/>
              </w:rPr>
            </w:pPr>
            <w:r>
              <w:rPr>
                <w:b/>
                <w:sz w:val="20"/>
              </w:rPr>
              <w:t>Formação</w:t>
            </w:r>
          </w:p>
        </w:tc>
      </w:tr>
      <w:tr>
        <w:trPr>
          <w:trHeight w:val="3272" w:hRule="exact"/>
        </w:trPr>
        <w:tc>
          <w:tcPr>
            <w:tcW w:w="1387" w:type="dxa"/>
          </w:tcPr>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4"/>
              <w:rPr>
                <w:sz w:val="29"/>
              </w:rPr>
            </w:pPr>
          </w:p>
          <w:p>
            <w:pPr>
              <w:pStyle w:val="TableParagraph"/>
              <w:spacing w:line="276" w:lineRule="auto" w:before="1"/>
              <w:ind w:left="244" w:right="241" w:firstLine="103"/>
              <w:rPr>
                <w:sz w:val="20"/>
              </w:rPr>
            </w:pPr>
            <w:r>
              <w:rPr>
                <w:sz w:val="20"/>
              </w:rPr>
              <w:t>Amanda </w:t>
            </w:r>
            <w:r>
              <w:rPr>
                <w:w w:val="95"/>
                <w:sz w:val="20"/>
              </w:rPr>
              <w:t>Cavalcante </w:t>
            </w:r>
            <w:r>
              <w:rPr>
                <w:sz w:val="20"/>
              </w:rPr>
              <w:t>Rodrigues.</w:t>
            </w:r>
          </w:p>
        </w:tc>
        <w:tc>
          <w:tcPr>
            <w:tcW w:w="1133" w:type="dxa"/>
          </w:tcPr>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10"/>
              <w:rPr>
                <w:sz w:val="18"/>
              </w:rPr>
            </w:pPr>
          </w:p>
          <w:p>
            <w:pPr>
              <w:pStyle w:val="TableParagraph"/>
              <w:spacing w:before="0"/>
              <w:ind w:left="100"/>
              <w:rPr>
                <w:sz w:val="20"/>
              </w:rPr>
            </w:pPr>
            <w:r>
              <w:rPr>
                <w:sz w:val="20"/>
              </w:rPr>
              <w:t>AE</w:t>
            </w:r>
          </w:p>
          <w:p>
            <w:pPr>
              <w:pStyle w:val="TableParagraph"/>
              <w:spacing w:line="276" w:lineRule="auto" w:before="36"/>
              <w:ind w:left="100" w:right="156"/>
              <w:rPr>
                <w:sz w:val="20"/>
              </w:rPr>
            </w:pPr>
            <w:r>
              <w:rPr>
                <w:w w:val="95"/>
                <w:sz w:val="20"/>
              </w:rPr>
              <w:t>Supervisor </w:t>
            </w:r>
            <w:r>
              <w:rPr>
                <w:sz w:val="20"/>
              </w:rPr>
              <w:t>a – Seduc</w:t>
            </w:r>
          </w:p>
        </w:tc>
        <w:tc>
          <w:tcPr>
            <w:tcW w:w="1418" w:type="dxa"/>
          </w:tcPr>
          <w:p>
            <w:pPr>
              <w:pStyle w:val="TableParagraph"/>
              <w:spacing w:line="276" w:lineRule="auto" w:before="41"/>
              <w:ind w:left="134" w:right="135" w:hanging="1"/>
              <w:jc w:val="center"/>
              <w:rPr>
                <w:sz w:val="20"/>
              </w:rPr>
            </w:pPr>
            <w:r>
              <w:rPr>
                <w:sz w:val="20"/>
              </w:rPr>
              <w:t>Servidora Pública do Governo do Estado do Tocantins atuando na Diretoria de Apoio aos Sistemas Municipais de Ensino da Seduc</w:t>
            </w:r>
          </w:p>
        </w:tc>
        <w:tc>
          <w:tcPr>
            <w:tcW w:w="4681" w:type="dxa"/>
          </w:tcPr>
          <w:p>
            <w:pPr>
              <w:pStyle w:val="TableParagraph"/>
              <w:spacing w:before="0"/>
              <w:rPr>
                <w:sz w:val="22"/>
              </w:rPr>
            </w:pPr>
          </w:p>
          <w:p>
            <w:pPr>
              <w:pStyle w:val="TableParagraph"/>
              <w:spacing w:before="0"/>
              <w:rPr>
                <w:sz w:val="22"/>
              </w:rPr>
            </w:pPr>
          </w:p>
          <w:p>
            <w:pPr>
              <w:pStyle w:val="TableParagraph"/>
              <w:numPr>
                <w:ilvl w:val="0"/>
                <w:numId w:val="33"/>
              </w:numPr>
              <w:tabs>
                <w:tab w:pos="348" w:val="left" w:leader="none"/>
              </w:tabs>
              <w:spacing w:line="276" w:lineRule="auto" w:before="195" w:after="0"/>
              <w:ind w:left="103" w:right="106" w:firstLine="0"/>
              <w:jc w:val="both"/>
              <w:rPr>
                <w:sz w:val="20"/>
              </w:rPr>
            </w:pPr>
            <w:r>
              <w:rPr>
                <w:sz w:val="20"/>
              </w:rPr>
              <w:t>Graduada em Pedagogia com habilitação em Orientação Educacional pela Universidade Católica de Goiás</w:t>
            </w:r>
            <w:r>
              <w:rPr>
                <w:spacing w:val="-4"/>
                <w:sz w:val="20"/>
              </w:rPr>
              <w:t> </w:t>
            </w:r>
            <w:r>
              <w:rPr>
                <w:sz w:val="20"/>
              </w:rPr>
              <w:t>(1988).</w:t>
            </w:r>
          </w:p>
          <w:p>
            <w:pPr>
              <w:pStyle w:val="TableParagraph"/>
              <w:numPr>
                <w:ilvl w:val="0"/>
                <w:numId w:val="33"/>
              </w:numPr>
              <w:tabs>
                <w:tab w:pos="312" w:val="left" w:leader="none"/>
              </w:tabs>
              <w:spacing w:line="276" w:lineRule="auto" w:before="3" w:after="0"/>
              <w:ind w:left="103" w:right="104" w:firstLine="0"/>
              <w:jc w:val="both"/>
              <w:rPr>
                <w:sz w:val="20"/>
              </w:rPr>
            </w:pPr>
            <w:r>
              <w:rPr>
                <w:sz w:val="20"/>
              </w:rPr>
              <w:t>Especialista em Tecnologias em Educação pela Pontifícia Universidade Católica do Rio de Janeiro – PUC-RIO (2006); Inspeção Escolar pela Fundação Universidade do Tocantins – UNITINS</w:t>
            </w:r>
            <w:r>
              <w:rPr>
                <w:spacing w:val="-11"/>
                <w:sz w:val="20"/>
              </w:rPr>
              <w:t> </w:t>
            </w:r>
            <w:r>
              <w:rPr>
                <w:sz w:val="20"/>
              </w:rPr>
              <w:t>(2004)</w:t>
            </w:r>
          </w:p>
        </w:tc>
      </w:tr>
      <w:tr>
        <w:trPr>
          <w:trHeight w:val="1200" w:hRule="exact"/>
        </w:trPr>
        <w:tc>
          <w:tcPr>
            <w:tcW w:w="1387" w:type="dxa"/>
          </w:tcPr>
          <w:p>
            <w:pPr>
              <w:pStyle w:val="TableParagraph"/>
              <w:spacing w:line="276" w:lineRule="auto" w:before="63"/>
              <w:ind w:left="155" w:right="160" w:firstLine="3"/>
              <w:jc w:val="center"/>
              <w:rPr>
                <w:sz w:val="20"/>
              </w:rPr>
            </w:pPr>
            <w:r>
              <w:rPr>
                <w:sz w:val="20"/>
              </w:rPr>
              <w:t>Maria Solange Rodrigues de Sousa</w:t>
            </w:r>
          </w:p>
        </w:tc>
        <w:tc>
          <w:tcPr>
            <w:tcW w:w="1133" w:type="dxa"/>
          </w:tcPr>
          <w:p>
            <w:pPr>
              <w:pStyle w:val="TableParagraph"/>
              <w:spacing w:before="63"/>
              <w:ind w:left="100"/>
              <w:rPr>
                <w:sz w:val="20"/>
              </w:rPr>
            </w:pPr>
            <w:r>
              <w:rPr>
                <w:sz w:val="20"/>
              </w:rPr>
              <w:t>AE</w:t>
            </w:r>
          </w:p>
          <w:p>
            <w:pPr>
              <w:pStyle w:val="TableParagraph"/>
              <w:spacing w:line="276" w:lineRule="auto" w:before="34"/>
              <w:ind w:left="100" w:right="156"/>
              <w:rPr>
                <w:sz w:val="20"/>
              </w:rPr>
            </w:pPr>
            <w:r>
              <w:rPr>
                <w:w w:val="95"/>
                <w:sz w:val="20"/>
              </w:rPr>
              <w:t>Supervisor </w:t>
            </w:r>
            <w:r>
              <w:rPr>
                <w:sz w:val="20"/>
              </w:rPr>
              <w:t>a – Undime</w:t>
            </w:r>
          </w:p>
        </w:tc>
        <w:tc>
          <w:tcPr>
            <w:tcW w:w="1418" w:type="dxa"/>
          </w:tcPr>
          <w:p>
            <w:pPr>
              <w:pStyle w:val="TableParagraph"/>
              <w:spacing w:line="276" w:lineRule="auto" w:before="195"/>
              <w:ind w:left="103" w:right="227"/>
              <w:rPr>
                <w:sz w:val="20"/>
              </w:rPr>
            </w:pPr>
            <w:r>
              <w:rPr>
                <w:sz w:val="20"/>
              </w:rPr>
              <w:t>Secretária Executiva da Undime-TO</w:t>
            </w:r>
          </w:p>
        </w:tc>
        <w:tc>
          <w:tcPr>
            <w:tcW w:w="4681" w:type="dxa"/>
          </w:tcPr>
          <w:p>
            <w:pPr>
              <w:pStyle w:val="TableParagraph"/>
              <w:spacing w:before="4"/>
              <w:rPr>
                <w:sz w:val="28"/>
              </w:rPr>
            </w:pPr>
          </w:p>
          <w:p>
            <w:pPr>
              <w:pStyle w:val="TableParagraph"/>
              <w:tabs>
                <w:tab w:pos="1081" w:val="left" w:leader="none"/>
                <w:tab w:pos="2561" w:val="left" w:leader="none"/>
                <w:tab w:pos="3095" w:val="left" w:leader="none"/>
                <w:tab w:pos="4362" w:val="left" w:leader="none"/>
              </w:tabs>
              <w:spacing w:line="276" w:lineRule="auto" w:before="1"/>
              <w:ind w:left="103" w:right="106"/>
              <w:rPr>
                <w:sz w:val="20"/>
              </w:rPr>
            </w:pPr>
            <w:r>
              <w:rPr>
                <w:sz w:val="20"/>
              </w:rPr>
              <w:t>Graduada</w:t>
              <w:tab/>
              <w:t>em  </w:t>
            </w:r>
            <w:r>
              <w:rPr>
                <w:spacing w:val="45"/>
                <w:sz w:val="20"/>
              </w:rPr>
              <w:t> </w:t>
            </w:r>
            <w:r>
              <w:rPr>
                <w:sz w:val="20"/>
              </w:rPr>
              <w:t>Pedagogia</w:t>
              <w:tab/>
              <w:t>pela</w:t>
              <w:tab/>
              <w:t>Universidade</w:t>
              <w:tab/>
              <w:t>do Tocantins</w:t>
            </w:r>
            <w:r>
              <w:rPr>
                <w:spacing w:val="-9"/>
                <w:sz w:val="20"/>
              </w:rPr>
              <w:t> </w:t>
            </w:r>
            <w:r>
              <w:rPr>
                <w:sz w:val="20"/>
              </w:rPr>
              <w:t>(Unitins)</w:t>
            </w:r>
          </w:p>
        </w:tc>
      </w:tr>
      <w:tr>
        <w:trPr>
          <w:trHeight w:val="2655" w:hRule="exact"/>
        </w:trPr>
        <w:tc>
          <w:tcPr>
            <w:tcW w:w="1387" w:type="dxa"/>
          </w:tcPr>
          <w:p>
            <w:pPr>
              <w:pStyle w:val="TableParagraph"/>
              <w:spacing w:before="0"/>
              <w:rPr>
                <w:sz w:val="22"/>
              </w:rPr>
            </w:pPr>
          </w:p>
          <w:p>
            <w:pPr>
              <w:pStyle w:val="TableParagraph"/>
              <w:spacing w:before="0"/>
              <w:rPr>
                <w:sz w:val="22"/>
              </w:rPr>
            </w:pPr>
          </w:p>
          <w:p>
            <w:pPr>
              <w:pStyle w:val="TableParagraph"/>
              <w:spacing w:before="8"/>
              <w:rPr>
                <w:sz w:val="24"/>
              </w:rPr>
            </w:pPr>
          </w:p>
          <w:p>
            <w:pPr>
              <w:pStyle w:val="TableParagraph"/>
              <w:spacing w:line="276" w:lineRule="auto" w:before="0"/>
              <w:ind w:left="155" w:right="160" w:firstLine="1"/>
              <w:jc w:val="center"/>
              <w:rPr>
                <w:sz w:val="20"/>
              </w:rPr>
            </w:pPr>
            <w:r>
              <w:rPr>
                <w:sz w:val="20"/>
              </w:rPr>
              <w:t>Adaires Rodrigues de Sousa.</w:t>
            </w:r>
          </w:p>
        </w:tc>
        <w:tc>
          <w:tcPr>
            <w:tcW w:w="1133" w:type="dxa"/>
          </w:tcPr>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163"/>
              <w:ind w:left="100"/>
              <w:rPr>
                <w:sz w:val="20"/>
              </w:rPr>
            </w:pPr>
            <w:r>
              <w:rPr>
                <w:sz w:val="20"/>
              </w:rPr>
              <w:t>AE</w:t>
            </w:r>
          </w:p>
          <w:p>
            <w:pPr>
              <w:pStyle w:val="TableParagraph"/>
              <w:spacing w:line="278" w:lineRule="auto" w:before="34"/>
              <w:ind w:left="100" w:right="243"/>
              <w:rPr>
                <w:sz w:val="20"/>
              </w:rPr>
            </w:pPr>
            <w:r>
              <w:rPr>
                <w:sz w:val="20"/>
              </w:rPr>
              <w:t>Técnico - Undime</w:t>
            </w:r>
          </w:p>
        </w:tc>
        <w:tc>
          <w:tcPr>
            <w:tcW w:w="1418" w:type="dxa"/>
          </w:tcPr>
          <w:p>
            <w:pPr>
              <w:pStyle w:val="TableParagraph"/>
              <w:spacing w:before="0"/>
              <w:rPr>
                <w:sz w:val="22"/>
              </w:rPr>
            </w:pPr>
          </w:p>
          <w:p>
            <w:pPr>
              <w:pStyle w:val="TableParagraph"/>
              <w:spacing w:line="276" w:lineRule="auto" w:before="141"/>
              <w:ind w:left="103" w:right="86"/>
              <w:rPr>
                <w:sz w:val="20"/>
              </w:rPr>
            </w:pPr>
            <w:r>
              <w:rPr>
                <w:sz w:val="20"/>
              </w:rPr>
              <w:t>Servidor do Quadro Geral do Governo do Estado do Tocantins – Técnico Pedagogo</w:t>
            </w:r>
          </w:p>
        </w:tc>
        <w:tc>
          <w:tcPr>
            <w:tcW w:w="4681" w:type="dxa"/>
          </w:tcPr>
          <w:p>
            <w:pPr>
              <w:pStyle w:val="TableParagraph"/>
              <w:numPr>
                <w:ilvl w:val="0"/>
                <w:numId w:val="34"/>
              </w:numPr>
              <w:tabs>
                <w:tab w:pos="308" w:val="left" w:leader="none"/>
              </w:tabs>
              <w:spacing w:line="276" w:lineRule="auto" w:before="0" w:after="0"/>
              <w:ind w:left="103" w:right="106" w:firstLine="0"/>
              <w:jc w:val="both"/>
              <w:rPr>
                <w:sz w:val="20"/>
              </w:rPr>
            </w:pPr>
            <w:r>
              <w:rPr>
                <w:sz w:val="20"/>
              </w:rPr>
              <w:t>Graduado em Pedagogia – Docência dos Anos Iniciais do Ensino Fundamental com Habilitação </w:t>
            </w:r>
            <w:r>
              <w:rPr>
                <w:spacing w:val="2"/>
                <w:sz w:val="20"/>
              </w:rPr>
              <w:t>em </w:t>
            </w:r>
            <w:r>
              <w:rPr>
                <w:sz w:val="20"/>
              </w:rPr>
              <w:t>Supervisão Educacional pela Universidade Federal do Tocantins –</w:t>
            </w:r>
            <w:r>
              <w:rPr>
                <w:spacing w:val="-5"/>
                <w:sz w:val="20"/>
              </w:rPr>
              <w:t> </w:t>
            </w:r>
            <w:r>
              <w:rPr>
                <w:sz w:val="20"/>
              </w:rPr>
              <w:t>UFT</w:t>
            </w:r>
          </w:p>
          <w:p>
            <w:pPr>
              <w:pStyle w:val="TableParagraph"/>
              <w:numPr>
                <w:ilvl w:val="0"/>
                <w:numId w:val="34"/>
              </w:numPr>
              <w:tabs>
                <w:tab w:pos="300" w:val="left" w:leader="none"/>
              </w:tabs>
              <w:spacing w:line="276" w:lineRule="auto" w:before="5" w:after="0"/>
              <w:ind w:left="103" w:right="106" w:firstLine="0"/>
              <w:jc w:val="both"/>
              <w:rPr>
                <w:sz w:val="20"/>
              </w:rPr>
            </w:pPr>
            <w:r>
              <w:rPr>
                <w:sz w:val="20"/>
              </w:rPr>
              <w:t>Mestrando em Educação pelo Programa de Pós Graduação em Educação – Mestrado em Educação, da UFT.</w:t>
            </w:r>
          </w:p>
          <w:p>
            <w:pPr>
              <w:pStyle w:val="TableParagraph"/>
              <w:numPr>
                <w:ilvl w:val="0"/>
                <w:numId w:val="34"/>
              </w:numPr>
              <w:tabs>
                <w:tab w:pos="317" w:val="left" w:leader="none"/>
              </w:tabs>
              <w:spacing w:line="276" w:lineRule="auto" w:before="0" w:after="0"/>
              <w:ind w:left="103" w:right="108" w:firstLine="0"/>
              <w:jc w:val="both"/>
              <w:rPr>
                <w:sz w:val="20"/>
              </w:rPr>
            </w:pPr>
            <w:r>
              <w:rPr>
                <w:sz w:val="20"/>
              </w:rPr>
              <w:t>Técnico Pedagogo na gerência Proteção Social Especial em cargo efetivo do Quadro Geral do Estado do</w:t>
            </w:r>
            <w:r>
              <w:rPr>
                <w:spacing w:val="-6"/>
                <w:sz w:val="20"/>
              </w:rPr>
              <w:t> </w:t>
            </w:r>
            <w:r>
              <w:rPr>
                <w:sz w:val="20"/>
              </w:rPr>
              <w:t>Tocantins.</w:t>
            </w:r>
          </w:p>
        </w:tc>
      </w:tr>
      <w:tr>
        <w:trPr>
          <w:trHeight w:val="5038" w:hRule="exact"/>
        </w:trPr>
        <w:tc>
          <w:tcPr>
            <w:tcW w:w="1387" w:type="dxa"/>
          </w:tcPr>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2"/>
              <w:rPr>
                <w:sz w:val="19"/>
              </w:rPr>
            </w:pPr>
          </w:p>
          <w:p>
            <w:pPr>
              <w:pStyle w:val="TableParagraph"/>
              <w:spacing w:line="278" w:lineRule="auto" w:before="0"/>
              <w:ind w:left="345" w:right="329" w:hanging="8"/>
              <w:rPr>
                <w:sz w:val="20"/>
              </w:rPr>
            </w:pPr>
            <w:r>
              <w:rPr>
                <w:w w:val="95"/>
                <w:sz w:val="20"/>
              </w:rPr>
              <w:t>Rosilene </w:t>
            </w:r>
            <w:r>
              <w:rPr>
                <w:sz w:val="20"/>
              </w:rPr>
              <w:t>Lagares.</w:t>
            </w:r>
          </w:p>
        </w:tc>
        <w:tc>
          <w:tcPr>
            <w:tcW w:w="1133" w:type="dxa"/>
          </w:tcPr>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8"/>
              <w:rPr>
                <w:sz w:val="29"/>
              </w:rPr>
            </w:pPr>
          </w:p>
          <w:p>
            <w:pPr>
              <w:pStyle w:val="TableParagraph"/>
              <w:spacing w:before="0"/>
              <w:ind w:left="100"/>
              <w:rPr>
                <w:sz w:val="20"/>
              </w:rPr>
            </w:pPr>
            <w:r>
              <w:rPr>
                <w:sz w:val="20"/>
              </w:rPr>
              <w:t>AE</w:t>
            </w:r>
          </w:p>
          <w:p>
            <w:pPr>
              <w:pStyle w:val="TableParagraph"/>
              <w:spacing w:line="278" w:lineRule="auto" w:before="34"/>
              <w:ind w:left="100" w:right="254"/>
              <w:rPr>
                <w:sz w:val="20"/>
              </w:rPr>
            </w:pPr>
            <w:r>
              <w:rPr>
                <w:sz w:val="20"/>
              </w:rPr>
              <w:t>Técnica - Undime</w:t>
            </w:r>
          </w:p>
        </w:tc>
        <w:tc>
          <w:tcPr>
            <w:tcW w:w="1418" w:type="dxa"/>
          </w:tcPr>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2"/>
              <w:rPr>
                <w:sz w:val="19"/>
              </w:rPr>
            </w:pPr>
          </w:p>
          <w:p>
            <w:pPr>
              <w:pStyle w:val="TableParagraph"/>
              <w:spacing w:line="278" w:lineRule="auto" w:before="0"/>
              <w:ind w:left="103" w:right="202"/>
              <w:rPr>
                <w:sz w:val="20"/>
              </w:rPr>
            </w:pPr>
            <w:r>
              <w:rPr>
                <w:sz w:val="20"/>
              </w:rPr>
              <w:t>Professora da UFT</w:t>
            </w:r>
          </w:p>
        </w:tc>
        <w:tc>
          <w:tcPr>
            <w:tcW w:w="4681" w:type="dxa"/>
          </w:tcPr>
          <w:p>
            <w:pPr>
              <w:pStyle w:val="TableParagraph"/>
              <w:numPr>
                <w:ilvl w:val="0"/>
                <w:numId w:val="35"/>
              </w:numPr>
              <w:tabs>
                <w:tab w:pos="272" w:val="left" w:leader="none"/>
              </w:tabs>
              <w:spacing w:line="276" w:lineRule="auto" w:before="0" w:after="0"/>
              <w:ind w:left="103" w:right="107" w:firstLine="0"/>
              <w:jc w:val="both"/>
              <w:rPr>
                <w:sz w:val="20"/>
              </w:rPr>
            </w:pPr>
            <w:r>
              <w:rPr>
                <w:sz w:val="20"/>
              </w:rPr>
              <w:t>Doutora e Mestre em Educação pela UFG (2007, 1998) e graduada em Pedagogia (UFG,</w:t>
            </w:r>
            <w:r>
              <w:rPr>
                <w:spacing w:val="-14"/>
                <w:sz w:val="20"/>
              </w:rPr>
              <w:t> </w:t>
            </w:r>
            <w:r>
              <w:rPr>
                <w:sz w:val="20"/>
              </w:rPr>
              <w:t>1989).</w:t>
            </w:r>
          </w:p>
          <w:p>
            <w:pPr>
              <w:pStyle w:val="TableParagraph"/>
              <w:spacing w:line="276" w:lineRule="auto" w:before="2"/>
              <w:ind w:left="103" w:right="106"/>
              <w:jc w:val="both"/>
              <w:rPr>
                <w:sz w:val="20"/>
              </w:rPr>
            </w:pPr>
            <w:r>
              <w:rPr>
                <w:sz w:val="20"/>
              </w:rPr>
              <w:t>Professora da UFT/Campus de Palmas/Curso de Pedagogia/Mestrado em Educação/Coordenadora da Associação Nacional de Administração em Educação no Tocantins (Anpae)/Coordena no Tocantins, o  projeto de pesquisa da Rede Mapa (Gestão democrática do ensino público: mapeamento das bases normativas e das condições político-institucionais dos Sistemas Municipais de Ensino). Coordena o Curso de Aperfeiçoamento em Docência na Escola de Tempo Integral/DTE/UFT</w:t>
            </w:r>
          </w:p>
          <w:p>
            <w:pPr>
              <w:pStyle w:val="TableParagraph"/>
              <w:numPr>
                <w:ilvl w:val="0"/>
                <w:numId w:val="35"/>
              </w:numPr>
              <w:tabs>
                <w:tab w:pos="224" w:val="left" w:leader="none"/>
              </w:tabs>
              <w:spacing w:line="276" w:lineRule="auto" w:before="0" w:after="0"/>
              <w:ind w:left="103" w:right="107" w:firstLine="0"/>
              <w:jc w:val="both"/>
              <w:rPr>
                <w:sz w:val="20"/>
              </w:rPr>
            </w:pPr>
            <w:r>
              <w:rPr>
                <w:sz w:val="20"/>
              </w:rPr>
              <w:t>Tem experiência na área de educação, com ênfase em direito à educação; direito, políticas públicas e gestão educacional e ensino</w:t>
            </w:r>
            <w:r>
              <w:rPr>
                <w:spacing w:val="-14"/>
                <w:sz w:val="20"/>
              </w:rPr>
              <w:t> </w:t>
            </w:r>
            <w:r>
              <w:rPr>
                <w:sz w:val="20"/>
              </w:rPr>
              <w:t>fundamental.</w:t>
            </w:r>
          </w:p>
          <w:p>
            <w:pPr>
              <w:pStyle w:val="TableParagraph"/>
              <w:numPr>
                <w:ilvl w:val="0"/>
                <w:numId w:val="35"/>
              </w:numPr>
              <w:tabs>
                <w:tab w:pos="324" w:val="left" w:leader="none"/>
              </w:tabs>
              <w:spacing w:line="276" w:lineRule="auto" w:before="3" w:after="0"/>
              <w:ind w:left="103" w:right="109" w:firstLine="0"/>
              <w:jc w:val="both"/>
              <w:rPr>
                <w:sz w:val="20"/>
              </w:rPr>
            </w:pPr>
            <w:r>
              <w:rPr>
                <w:sz w:val="20"/>
              </w:rPr>
              <w:t>Desenvolve pesquisa na temática da Educação Municipal, abordando as redes de ensino e os sistemas de educação, nos aspectos da gestão, legislação, políticas públicas, história,</w:t>
            </w:r>
            <w:r>
              <w:rPr>
                <w:spacing w:val="-15"/>
                <w:sz w:val="20"/>
              </w:rPr>
              <w:t> </w:t>
            </w:r>
            <w:r>
              <w:rPr>
                <w:sz w:val="20"/>
              </w:rPr>
              <w:t>memória.</w:t>
            </w:r>
          </w:p>
        </w:tc>
      </w:tr>
      <w:tr>
        <w:trPr>
          <w:trHeight w:val="199" w:hRule="exact"/>
        </w:trPr>
        <w:tc>
          <w:tcPr>
            <w:tcW w:w="8620" w:type="dxa"/>
            <w:gridSpan w:val="4"/>
            <w:tcBorders>
              <w:left w:val="nil"/>
              <w:bottom w:val="nil"/>
              <w:right w:val="nil"/>
            </w:tcBorders>
          </w:tcPr>
          <w:p>
            <w:pPr/>
          </w:p>
        </w:tc>
      </w:tr>
    </w:tbl>
    <w:p>
      <w:pPr>
        <w:spacing w:before="72"/>
        <w:ind w:left="222" w:right="0" w:firstLine="0"/>
        <w:jc w:val="left"/>
        <w:rPr>
          <w:sz w:val="20"/>
        </w:rPr>
      </w:pPr>
      <w:r>
        <w:rPr>
          <w:position w:val="9"/>
          <w:sz w:val="13"/>
        </w:rPr>
        <w:t>24 </w:t>
      </w:r>
      <w:r>
        <w:rPr>
          <w:sz w:val="20"/>
        </w:rPr>
        <w:t>Os Avaliadores Educacionais foram apresentados publicamente e seus nomes divulgados junto aos Municípios, por meio de documentos e em eventos da Undime-Seccional Tocantins.</w:t>
      </w:r>
    </w:p>
    <w:p>
      <w:pPr>
        <w:spacing w:after="0"/>
        <w:jc w:val="left"/>
        <w:rPr>
          <w:sz w:val="20"/>
        </w:rPr>
        <w:sectPr>
          <w:pgSz w:w="11910" w:h="16840"/>
          <w:pgMar w:header="749" w:footer="0" w:top="960" w:bottom="280" w:left="1480" w:right="1580"/>
        </w:sectPr>
      </w:pPr>
    </w:p>
    <w:p>
      <w:pPr>
        <w:pStyle w:val="BodyText"/>
        <w:rPr>
          <w:sz w:val="20"/>
        </w:rPr>
      </w:pPr>
    </w:p>
    <w:p>
      <w:pPr>
        <w:pStyle w:val="BodyText"/>
        <w:spacing w:before="10"/>
        <w:rPr>
          <w:sz w:val="1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133"/>
        <w:gridCol w:w="1418"/>
        <w:gridCol w:w="4679"/>
      </w:tblGrid>
      <w:tr>
        <w:trPr>
          <w:trHeight w:val="1067" w:hRule="exact"/>
        </w:trPr>
        <w:tc>
          <w:tcPr>
            <w:tcW w:w="1385" w:type="dxa"/>
            <w:shd w:val="clear" w:color="auto" w:fill="F1F1F1"/>
          </w:tcPr>
          <w:p>
            <w:pPr>
              <w:pStyle w:val="TableParagraph"/>
              <w:spacing w:line="266" w:lineRule="auto" w:before="1"/>
              <w:ind w:left="160" w:right="159" w:hanging="1"/>
              <w:jc w:val="center"/>
              <w:rPr>
                <w:b/>
                <w:sz w:val="13"/>
              </w:rPr>
            </w:pPr>
            <w:r>
              <w:rPr>
                <w:b/>
                <w:sz w:val="20"/>
              </w:rPr>
              <w:t>Avaliador </w:t>
            </w:r>
            <w:r>
              <w:rPr>
                <w:b/>
                <w:w w:val="95"/>
                <w:sz w:val="20"/>
              </w:rPr>
              <w:t>Educacional </w:t>
            </w:r>
            <w:r>
              <w:rPr>
                <w:b/>
                <w:sz w:val="20"/>
              </w:rPr>
              <w:t>no     Tocantins</w:t>
            </w:r>
            <w:r>
              <w:rPr>
                <w:b/>
                <w:position w:val="9"/>
                <w:sz w:val="13"/>
              </w:rPr>
              <w:t>25</w:t>
            </w:r>
          </w:p>
        </w:tc>
        <w:tc>
          <w:tcPr>
            <w:tcW w:w="1133" w:type="dxa"/>
            <w:shd w:val="clear" w:color="auto" w:fill="F1F1F1"/>
          </w:tcPr>
          <w:p>
            <w:pPr>
              <w:pStyle w:val="TableParagraph"/>
              <w:spacing w:line="276" w:lineRule="auto" w:before="1"/>
              <w:ind w:left="108" w:right="117"/>
              <w:jc w:val="center"/>
              <w:rPr>
                <w:b/>
                <w:sz w:val="20"/>
              </w:rPr>
            </w:pPr>
            <w:r>
              <w:rPr>
                <w:b/>
                <w:sz w:val="20"/>
              </w:rPr>
              <w:t>Função na</w:t>
            </w:r>
            <w:r>
              <w:rPr>
                <w:b/>
                <w:w w:val="99"/>
                <w:sz w:val="20"/>
              </w:rPr>
              <w:t> </w:t>
            </w:r>
            <w:r>
              <w:rPr>
                <w:b/>
                <w:sz w:val="20"/>
              </w:rPr>
              <w:t>Rede de Assistênci a Técnica</w:t>
            </w:r>
          </w:p>
        </w:tc>
        <w:tc>
          <w:tcPr>
            <w:tcW w:w="1418" w:type="dxa"/>
            <w:shd w:val="clear" w:color="auto" w:fill="F1F1F1"/>
          </w:tcPr>
          <w:p>
            <w:pPr>
              <w:pStyle w:val="TableParagraph"/>
              <w:spacing w:before="1"/>
              <w:rPr>
                <w:sz w:val="23"/>
              </w:rPr>
            </w:pPr>
          </w:p>
          <w:p>
            <w:pPr>
              <w:pStyle w:val="TableParagraph"/>
              <w:spacing w:line="276" w:lineRule="auto" w:before="0"/>
              <w:ind w:left="304" w:right="232" w:firstLine="36"/>
              <w:rPr>
                <w:b/>
                <w:sz w:val="20"/>
              </w:rPr>
            </w:pPr>
            <w:r>
              <w:rPr>
                <w:b/>
                <w:sz w:val="20"/>
              </w:rPr>
              <w:t>Local de </w:t>
            </w:r>
            <w:r>
              <w:rPr>
                <w:b/>
                <w:w w:val="95"/>
                <w:sz w:val="20"/>
              </w:rPr>
              <w:t>Trabalho</w:t>
            </w:r>
          </w:p>
        </w:tc>
        <w:tc>
          <w:tcPr>
            <w:tcW w:w="4679" w:type="dxa"/>
            <w:shd w:val="clear" w:color="auto" w:fill="F1F1F1"/>
          </w:tcPr>
          <w:p>
            <w:pPr>
              <w:pStyle w:val="TableParagraph"/>
              <w:spacing w:before="0"/>
              <w:rPr>
                <w:sz w:val="22"/>
              </w:rPr>
            </w:pPr>
          </w:p>
          <w:p>
            <w:pPr>
              <w:pStyle w:val="TableParagraph"/>
              <w:spacing w:before="145"/>
              <w:ind w:left="1881" w:right="1881"/>
              <w:jc w:val="center"/>
              <w:rPr>
                <w:b/>
                <w:sz w:val="20"/>
              </w:rPr>
            </w:pPr>
            <w:r>
              <w:rPr>
                <w:b/>
                <w:sz w:val="20"/>
              </w:rPr>
              <w:t>Formação</w:t>
            </w:r>
          </w:p>
        </w:tc>
      </w:tr>
      <w:tr>
        <w:trPr>
          <w:trHeight w:val="3980" w:hRule="exact"/>
        </w:trPr>
        <w:tc>
          <w:tcPr>
            <w:tcW w:w="1385" w:type="dxa"/>
          </w:tcPr>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line="276" w:lineRule="auto" w:before="187"/>
              <w:ind w:left="196" w:right="195" w:hanging="1"/>
              <w:jc w:val="center"/>
              <w:rPr>
                <w:sz w:val="20"/>
              </w:rPr>
            </w:pPr>
            <w:r>
              <w:rPr>
                <w:sz w:val="20"/>
              </w:rPr>
              <w:t>Carmem Lúcia Sousa Santos Fonseca.</w:t>
            </w:r>
          </w:p>
        </w:tc>
        <w:tc>
          <w:tcPr>
            <w:tcW w:w="1133" w:type="dxa"/>
          </w:tcPr>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9"/>
              <w:rPr>
                <w:sz w:val="27"/>
              </w:rPr>
            </w:pPr>
          </w:p>
          <w:p>
            <w:pPr>
              <w:pStyle w:val="TableParagraph"/>
              <w:spacing w:before="0"/>
              <w:ind w:left="100"/>
              <w:rPr>
                <w:sz w:val="20"/>
              </w:rPr>
            </w:pPr>
            <w:r>
              <w:rPr>
                <w:sz w:val="20"/>
              </w:rPr>
              <w:t>AE</w:t>
            </w:r>
          </w:p>
          <w:p>
            <w:pPr>
              <w:pStyle w:val="TableParagraph"/>
              <w:spacing w:line="276" w:lineRule="auto" w:before="34"/>
              <w:ind w:left="100" w:right="221"/>
              <w:rPr>
                <w:sz w:val="20"/>
              </w:rPr>
            </w:pPr>
            <w:r>
              <w:rPr>
                <w:sz w:val="20"/>
              </w:rPr>
              <w:t>Técnica – Seduc</w:t>
            </w:r>
          </w:p>
        </w:tc>
        <w:tc>
          <w:tcPr>
            <w:tcW w:w="1418" w:type="dxa"/>
          </w:tcPr>
          <w:p>
            <w:pPr>
              <w:pStyle w:val="TableParagraph"/>
              <w:spacing w:line="276" w:lineRule="auto" w:before="0"/>
              <w:ind w:left="103" w:right="123"/>
              <w:rPr>
                <w:sz w:val="20"/>
              </w:rPr>
            </w:pPr>
            <w:r>
              <w:rPr>
                <w:sz w:val="20"/>
              </w:rPr>
              <w:t>Funcionária pública</w:t>
            </w:r>
            <w:r>
              <w:rPr>
                <w:spacing w:val="-6"/>
                <w:sz w:val="20"/>
              </w:rPr>
              <w:t> </w:t>
            </w:r>
            <w:r>
              <w:rPr>
                <w:sz w:val="20"/>
              </w:rPr>
              <w:t>efetiva do Estado do Tocantins (desde 1993). Atualmente Técnica Pedagógica no Departamento de assessoria aos Municípios – Diretoria de Educação, SEDUC/TO</w:t>
            </w:r>
          </w:p>
        </w:tc>
        <w:tc>
          <w:tcPr>
            <w:tcW w:w="4679" w:type="dxa"/>
          </w:tcPr>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line="276" w:lineRule="auto" w:before="187"/>
              <w:ind w:left="103" w:right="103"/>
              <w:jc w:val="both"/>
              <w:rPr>
                <w:sz w:val="20"/>
              </w:rPr>
            </w:pPr>
            <w:r>
              <w:rPr>
                <w:sz w:val="20"/>
              </w:rPr>
              <w:t>Graduada em Pedagogia - Universidade do Tocantins (UNITINS) - Arraias - 1996. Especialização em Psicopedagogia - IBPEX (Instituto Brasileiro de Pesquisa e Extensão).</w:t>
            </w:r>
          </w:p>
        </w:tc>
      </w:tr>
      <w:tr>
        <w:trPr>
          <w:trHeight w:val="2388" w:hRule="exact"/>
        </w:trPr>
        <w:tc>
          <w:tcPr>
            <w:tcW w:w="1385" w:type="dxa"/>
          </w:tcPr>
          <w:p>
            <w:pPr>
              <w:pStyle w:val="TableParagraph"/>
              <w:spacing w:before="0"/>
              <w:rPr>
                <w:sz w:val="22"/>
              </w:rPr>
            </w:pPr>
          </w:p>
          <w:p>
            <w:pPr>
              <w:pStyle w:val="TableParagraph"/>
              <w:spacing w:before="0"/>
              <w:rPr>
                <w:sz w:val="22"/>
              </w:rPr>
            </w:pPr>
          </w:p>
          <w:p>
            <w:pPr>
              <w:pStyle w:val="TableParagraph"/>
              <w:spacing w:before="5"/>
              <w:rPr>
                <w:sz w:val="24"/>
              </w:rPr>
            </w:pPr>
          </w:p>
          <w:p>
            <w:pPr>
              <w:pStyle w:val="TableParagraph"/>
              <w:spacing w:line="276" w:lineRule="auto" w:before="0"/>
              <w:ind w:left="139" w:right="138" w:firstLine="1"/>
              <w:jc w:val="center"/>
              <w:rPr>
                <w:sz w:val="20"/>
              </w:rPr>
            </w:pPr>
            <w:r>
              <w:rPr>
                <w:sz w:val="20"/>
              </w:rPr>
              <w:t>Celestina Maria Pereira de Sousa.</w:t>
            </w:r>
          </w:p>
        </w:tc>
        <w:tc>
          <w:tcPr>
            <w:tcW w:w="1133" w:type="dxa"/>
          </w:tcPr>
          <w:p>
            <w:pPr>
              <w:pStyle w:val="TableParagraph"/>
              <w:spacing w:before="0"/>
              <w:rPr>
                <w:sz w:val="22"/>
              </w:rPr>
            </w:pPr>
          </w:p>
          <w:p>
            <w:pPr>
              <w:pStyle w:val="TableParagraph"/>
              <w:spacing w:before="0"/>
              <w:rPr>
                <w:sz w:val="22"/>
              </w:rPr>
            </w:pPr>
          </w:p>
          <w:p>
            <w:pPr>
              <w:pStyle w:val="TableParagraph"/>
              <w:spacing w:before="5"/>
              <w:rPr>
                <w:sz w:val="24"/>
              </w:rPr>
            </w:pPr>
          </w:p>
          <w:p>
            <w:pPr>
              <w:pStyle w:val="TableParagraph"/>
              <w:spacing w:before="0"/>
              <w:ind w:left="100"/>
              <w:rPr>
                <w:sz w:val="20"/>
              </w:rPr>
            </w:pPr>
            <w:r>
              <w:rPr>
                <w:sz w:val="20"/>
              </w:rPr>
              <w:t>AE</w:t>
            </w:r>
          </w:p>
          <w:p>
            <w:pPr>
              <w:pStyle w:val="TableParagraph"/>
              <w:spacing w:line="278" w:lineRule="auto" w:before="33"/>
              <w:ind w:left="100" w:right="221"/>
              <w:rPr>
                <w:sz w:val="20"/>
              </w:rPr>
            </w:pPr>
            <w:r>
              <w:rPr>
                <w:sz w:val="20"/>
              </w:rPr>
              <w:t>Técnica – Seduc</w:t>
            </w:r>
          </w:p>
        </w:tc>
        <w:tc>
          <w:tcPr>
            <w:tcW w:w="1418" w:type="dxa"/>
          </w:tcPr>
          <w:p>
            <w:pPr>
              <w:pStyle w:val="TableParagraph"/>
              <w:spacing w:line="276" w:lineRule="auto" w:before="0"/>
              <w:ind w:left="103" w:right="128"/>
              <w:rPr>
                <w:sz w:val="20"/>
              </w:rPr>
            </w:pPr>
            <w:r>
              <w:rPr>
                <w:sz w:val="20"/>
              </w:rPr>
              <w:t>Técnica Pedagógica no Departamento de assessoria aos Municípios – Diretoria de Educação, SEDUC/TO.</w:t>
            </w:r>
          </w:p>
        </w:tc>
        <w:tc>
          <w:tcPr>
            <w:tcW w:w="4679" w:type="dxa"/>
          </w:tcPr>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line="278" w:lineRule="auto" w:before="160"/>
              <w:ind w:left="103"/>
              <w:rPr>
                <w:sz w:val="20"/>
              </w:rPr>
            </w:pPr>
            <w:r>
              <w:rPr>
                <w:sz w:val="20"/>
              </w:rPr>
              <w:t>Não foi possível identificar a Formação. No entanto, possui Formação Superior</w:t>
            </w:r>
          </w:p>
        </w:tc>
      </w:tr>
      <w:tr>
        <w:trPr>
          <w:trHeight w:val="2127" w:hRule="exact"/>
        </w:trPr>
        <w:tc>
          <w:tcPr>
            <w:tcW w:w="1385" w:type="dxa"/>
          </w:tcPr>
          <w:p>
            <w:pPr>
              <w:pStyle w:val="TableParagraph"/>
              <w:spacing w:before="0"/>
              <w:rPr>
                <w:sz w:val="22"/>
              </w:rPr>
            </w:pPr>
          </w:p>
          <w:p>
            <w:pPr>
              <w:pStyle w:val="TableParagraph"/>
              <w:spacing w:before="0"/>
              <w:rPr>
                <w:sz w:val="22"/>
              </w:rPr>
            </w:pPr>
          </w:p>
          <w:p>
            <w:pPr>
              <w:pStyle w:val="TableParagraph"/>
              <w:spacing w:line="276" w:lineRule="auto" w:before="152"/>
              <w:ind w:left="362" w:right="189" w:hanging="58"/>
              <w:rPr>
                <w:sz w:val="20"/>
              </w:rPr>
            </w:pPr>
            <w:r>
              <w:rPr>
                <w:w w:val="95"/>
                <w:sz w:val="20"/>
              </w:rPr>
              <w:t>Cleidiana </w:t>
            </w:r>
            <w:r>
              <w:rPr>
                <w:sz w:val="20"/>
              </w:rPr>
              <w:t>Santana Parente.</w:t>
            </w:r>
          </w:p>
        </w:tc>
        <w:tc>
          <w:tcPr>
            <w:tcW w:w="1133" w:type="dxa"/>
          </w:tcPr>
          <w:p>
            <w:pPr>
              <w:pStyle w:val="TableParagraph"/>
              <w:spacing w:before="0"/>
              <w:rPr>
                <w:sz w:val="22"/>
              </w:rPr>
            </w:pPr>
          </w:p>
          <w:p>
            <w:pPr>
              <w:pStyle w:val="TableParagraph"/>
              <w:spacing w:before="0"/>
              <w:rPr>
                <w:sz w:val="22"/>
              </w:rPr>
            </w:pPr>
          </w:p>
          <w:p>
            <w:pPr>
              <w:pStyle w:val="TableParagraph"/>
              <w:spacing w:before="152"/>
              <w:ind w:left="100"/>
              <w:rPr>
                <w:sz w:val="20"/>
              </w:rPr>
            </w:pPr>
            <w:r>
              <w:rPr>
                <w:sz w:val="20"/>
              </w:rPr>
              <w:t>AE</w:t>
            </w:r>
          </w:p>
          <w:p>
            <w:pPr>
              <w:pStyle w:val="TableParagraph"/>
              <w:spacing w:line="278" w:lineRule="auto" w:before="33"/>
              <w:ind w:left="100" w:right="221"/>
              <w:rPr>
                <w:sz w:val="20"/>
              </w:rPr>
            </w:pPr>
            <w:r>
              <w:rPr>
                <w:sz w:val="20"/>
              </w:rPr>
              <w:t>Técnica – Seduc</w:t>
            </w:r>
          </w:p>
        </w:tc>
        <w:tc>
          <w:tcPr>
            <w:tcW w:w="1418" w:type="dxa"/>
          </w:tcPr>
          <w:p>
            <w:pPr>
              <w:pStyle w:val="TableParagraph"/>
              <w:spacing w:line="276" w:lineRule="auto" w:before="0"/>
              <w:ind w:left="103" w:right="148"/>
              <w:rPr>
                <w:sz w:val="20"/>
              </w:rPr>
            </w:pPr>
            <w:r>
              <w:rPr>
                <w:sz w:val="20"/>
              </w:rPr>
              <w:t>Técnica do </w:t>
            </w:r>
            <w:r>
              <w:rPr>
                <w:w w:val="95"/>
                <w:sz w:val="20"/>
              </w:rPr>
              <w:t>Departamento </w:t>
            </w:r>
            <w:r>
              <w:rPr>
                <w:sz w:val="20"/>
              </w:rPr>
              <w:t>de assessoria aos Municípios – Diretoria de Educação, SEDUC/TO.</w:t>
            </w:r>
          </w:p>
        </w:tc>
        <w:tc>
          <w:tcPr>
            <w:tcW w:w="4679" w:type="dxa"/>
          </w:tcPr>
          <w:p>
            <w:pPr>
              <w:pStyle w:val="TableParagraph"/>
              <w:spacing w:before="0"/>
              <w:rPr>
                <w:sz w:val="22"/>
              </w:rPr>
            </w:pPr>
          </w:p>
          <w:p>
            <w:pPr>
              <w:pStyle w:val="TableParagraph"/>
              <w:spacing w:before="9"/>
              <w:rPr>
                <w:sz w:val="23"/>
              </w:rPr>
            </w:pPr>
          </w:p>
          <w:p>
            <w:pPr>
              <w:pStyle w:val="TableParagraph"/>
              <w:spacing w:line="276" w:lineRule="auto" w:before="0"/>
              <w:ind w:left="103" w:right="106"/>
              <w:jc w:val="both"/>
              <w:rPr>
                <w:sz w:val="20"/>
              </w:rPr>
            </w:pPr>
            <w:r>
              <w:rPr>
                <w:sz w:val="20"/>
              </w:rPr>
              <w:t>Graduada em Letras - Língua Portuguesa pela Fundação Universidade Federal do Tocantins (UFT, 1998). Tem experiência na área de Letras, com ênfase em Língua</w:t>
            </w:r>
            <w:r>
              <w:rPr>
                <w:spacing w:val="-14"/>
                <w:sz w:val="20"/>
              </w:rPr>
              <w:t> </w:t>
            </w:r>
            <w:r>
              <w:rPr>
                <w:sz w:val="20"/>
              </w:rPr>
              <w:t>Portuguesa.</w:t>
            </w:r>
          </w:p>
        </w:tc>
      </w:tr>
      <w:tr>
        <w:trPr>
          <w:trHeight w:val="1068" w:hRule="exact"/>
        </w:trPr>
        <w:tc>
          <w:tcPr>
            <w:tcW w:w="1385" w:type="dxa"/>
          </w:tcPr>
          <w:p>
            <w:pPr>
              <w:pStyle w:val="TableParagraph"/>
              <w:spacing w:before="9"/>
              <w:rPr>
                <w:sz w:val="22"/>
              </w:rPr>
            </w:pPr>
          </w:p>
          <w:p>
            <w:pPr>
              <w:pStyle w:val="TableParagraph"/>
              <w:spacing w:line="276" w:lineRule="auto" w:before="0"/>
              <w:ind w:left="251" w:right="189" w:hanging="46"/>
              <w:rPr>
                <w:sz w:val="20"/>
              </w:rPr>
            </w:pPr>
            <w:r>
              <w:rPr>
                <w:sz w:val="20"/>
              </w:rPr>
              <w:t>Rute Soares Rodrigues.</w:t>
            </w:r>
          </w:p>
        </w:tc>
        <w:tc>
          <w:tcPr>
            <w:tcW w:w="1133" w:type="dxa"/>
          </w:tcPr>
          <w:p>
            <w:pPr>
              <w:pStyle w:val="TableParagraph"/>
              <w:spacing w:before="130"/>
              <w:ind w:left="110" w:right="114"/>
              <w:jc w:val="center"/>
              <w:rPr>
                <w:sz w:val="20"/>
              </w:rPr>
            </w:pPr>
            <w:r>
              <w:rPr>
                <w:sz w:val="20"/>
              </w:rPr>
              <w:t>AE</w:t>
            </w:r>
          </w:p>
          <w:p>
            <w:pPr>
              <w:pStyle w:val="TableParagraph"/>
              <w:spacing w:line="276" w:lineRule="auto" w:before="34"/>
              <w:ind w:left="110" w:right="117"/>
              <w:jc w:val="center"/>
              <w:rPr>
                <w:sz w:val="20"/>
              </w:rPr>
            </w:pPr>
            <w:r>
              <w:rPr>
                <w:sz w:val="20"/>
              </w:rPr>
              <w:t>Técnica – Undime</w:t>
            </w:r>
          </w:p>
        </w:tc>
        <w:tc>
          <w:tcPr>
            <w:tcW w:w="1418" w:type="dxa"/>
          </w:tcPr>
          <w:p>
            <w:pPr>
              <w:pStyle w:val="TableParagraph"/>
              <w:spacing w:line="276" w:lineRule="auto" w:before="0"/>
              <w:ind w:left="103" w:right="143"/>
              <w:rPr>
                <w:sz w:val="20"/>
              </w:rPr>
            </w:pPr>
            <w:r>
              <w:rPr>
                <w:sz w:val="20"/>
              </w:rPr>
              <w:t>Atua como assessora Pedagógica da UNDIME-TO</w:t>
            </w:r>
          </w:p>
        </w:tc>
        <w:tc>
          <w:tcPr>
            <w:tcW w:w="4679" w:type="dxa"/>
          </w:tcPr>
          <w:p>
            <w:pPr>
              <w:pStyle w:val="TableParagraph"/>
              <w:numPr>
                <w:ilvl w:val="0"/>
                <w:numId w:val="36"/>
              </w:numPr>
              <w:tabs>
                <w:tab w:pos="260" w:val="left" w:leader="none"/>
              </w:tabs>
              <w:spacing w:line="278" w:lineRule="auto" w:before="0" w:after="0"/>
              <w:ind w:left="103" w:right="103" w:firstLine="0"/>
              <w:jc w:val="left"/>
              <w:rPr>
                <w:sz w:val="20"/>
              </w:rPr>
            </w:pPr>
            <w:r>
              <w:rPr>
                <w:sz w:val="20"/>
              </w:rPr>
              <w:t>Graduada em História pela Fundação Universidade Federal do Tocantins (1999) e</w:t>
            </w:r>
            <w:r>
              <w:rPr>
                <w:spacing w:val="-13"/>
                <w:sz w:val="20"/>
              </w:rPr>
              <w:t> </w:t>
            </w:r>
            <w:r>
              <w:rPr>
                <w:sz w:val="20"/>
              </w:rPr>
              <w:t>Pedagogia.</w:t>
            </w:r>
          </w:p>
          <w:p>
            <w:pPr>
              <w:pStyle w:val="TableParagraph"/>
              <w:numPr>
                <w:ilvl w:val="0"/>
                <w:numId w:val="36"/>
              </w:numPr>
              <w:tabs>
                <w:tab w:pos="221" w:val="left" w:leader="none"/>
              </w:tabs>
              <w:spacing w:line="276" w:lineRule="auto" w:before="3" w:after="0"/>
              <w:ind w:left="103" w:right="107" w:firstLine="0"/>
              <w:jc w:val="left"/>
              <w:rPr>
                <w:sz w:val="20"/>
              </w:rPr>
            </w:pPr>
            <w:r>
              <w:rPr>
                <w:sz w:val="20"/>
              </w:rPr>
              <w:t>Tem experiência na área de Educação, com ênfase em Gestão</w:t>
            </w:r>
            <w:r>
              <w:rPr>
                <w:spacing w:val="-8"/>
                <w:sz w:val="20"/>
              </w:rPr>
              <w:t> </w:t>
            </w:r>
            <w:r>
              <w:rPr>
                <w:sz w:val="20"/>
              </w:rPr>
              <w:t>Educacional.</w:t>
            </w:r>
          </w:p>
        </w:tc>
      </w:tr>
      <w:tr>
        <w:trPr>
          <w:trHeight w:val="2165" w:hRule="exact"/>
        </w:trPr>
        <w:tc>
          <w:tcPr>
            <w:tcW w:w="1385" w:type="dxa"/>
          </w:tcPr>
          <w:p>
            <w:pPr>
              <w:pStyle w:val="TableParagraph"/>
              <w:spacing w:before="0"/>
              <w:rPr>
                <w:sz w:val="22"/>
              </w:rPr>
            </w:pPr>
          </w:p>
          <w:p>
            <w:pPr>
              <w:pStyle w:val="TableParagraph"/>
              <w:spacing w:before="0"/>
              <w:rPr>
                <w:sz w:val="22"/>
              </w:rPr>
            </w:pPr>
          </w:p>
          <w:p>
            <w:pPr>
              <w:pStyle w:val="TableParagraph"/>
              <w:spacing w:before="4"/>
              <w:rPr>
                <w:sz w:val="26"/>
              </w:rPr>
            </w:pPr>
          </w:p>
          <w:p>
            <w:pPr>
              <w:pStyle w:val="TableParagraph"/>
              <w:spacing w:line="276" w:lineRule="auto" w:before="0"/>
              <w:ind w:left="379" w:right="189" w:hanging="92"/>
              <w:rPr>
                <w:sz w:val="20"/>
              </w:rPr>
            </w:pPr>
            <w:r>
              <w:rPr>
                <w:w w:val="95"/>
                <w:sz w:val="20"/>
              </w:rPr>
              <w:t>Crisstiane </w:t>
            </w:r>
            <w:r>
              <w:rPr>
                <w:sz w:val="20"/>
              </w:rPr>
              <w:t>Vidotti.</w:t>
            </w:r>
          </w:p>
        </w:tc>
        <w:tc>
          <w:tcPr>
            <w:tcW w:w="1133" w:type="dxa"/>
          </w:tcPr>
          <w:p>
            <w:pPr>
              <w:pStyle w:val="TableParagraph"/>
              <w:spacing w:before="0"/>
              <w:rPr>
                <w:sz w:val="22"/>
              </w:rPr>
            </w:pPr>
          </w:p>
          <w:p>
            <w:pPr>
              <w:pStyle w:val="TableParagraph"/>
              <w:spacing w:before="4"/>
              <w:rPr>
                <w:sz w:val="25"/>
              </w:rPr>
            </w:pPr>
          </w:p>
          <w:p>
            <w:pPr>
              <w:pStyle w:val="TableParagraph"/>
              <w:spacing w:before="1"/>
              <w:ind w:left="100"/>
              <w:rPr>
                <w:sz w:val="20"/>
              </w:rPr>
            </w:pPr>
            <w:r>
              <w:rPr>
                <w:sz w:val="20"/>
              </w:rPr>
              <w:t>AE</w:t>
            </w:r>
          </w:p>
          <w:p>
            <w:pPr>
              <w:pStyle w:val="TableParagraph"/>
              <w:spacing w:line="276" w:lineRule="auto" w:before="34"/>
              <w:ind w:left="100" w:right="156"/>
              <w:rPr>
                <w:sz w:val="20"/>
              </w:rPr>
            </w:pPr>
            <w:r>
              <w:rPr>
                <w:w w:val="95"/>
                <w:sz w:val="20"/>
              </w:rPr>
              <w:t>Supervisor </w:t>
            </w:r>
            <w:r>
              <w:rPr>
                <w:sz w:val="20"/>
              </w:rPr>
              <w:t>a Geral – Undime</w:t>
            </w:r>
          </w:p>
        </w:tc>
        <w:tc>
          <w:tcPr>
            <w:tcW w:w="1418" w:type="dxa"/>
          </w:tcPr>
          <w:p>
            <w:pPr>
              <w:pStyle w:val="TableParagraph"/>
              <w:spacing w:before="0"/>
              <w:rPr>
                <w:sz w:val="22"/>
              </w:rPr>
            </w:pPr>
          </w:p>
          <w:p>
            <w:pPr>
              <w:pStyle w:val="TableParagraph"/>
              <w:spacing w:line="276" w:lineRule="auto" w:before="160"/>
              <w:ind w:left="103"/>
              <w:rPr>
                <w:sz w:val="20"/>
              </w:rPr>
            </w:pPr>
            <w:r>
              <w:rPr>
                <w:sz w:val="20"/>
              </w:rPr>
              <w:t>Servidora da Seduc e prestando serviços para a Undime</w:t>
            </w:r>
          </w:p>
        </w:tc>
        <w:tc>
          <w:tcPr>
            <w:tcW w:w="4679" w:type="dxa"/>
          </w:tcPr>
          <w:p>
            <w:pPr>
              <w:pStyle w:val="TableParagraph"/>
              <w:spacing w:before="0"/>
              <w:rPr>
                <w:sz w:val="22"/>
              </w:rPr>
            </w:pPr>
          </w:p>
          <w:p>
            <w:pPr>
              <w:pStyle w:val="TableParagraph"/>
              <w:spacing w:before="0"/>
              <w:rPr>
                <w:sz w:val="22"/>
              </w:rPr>
            </w:pPr>
          </w:p>
          <w:p>
            <w:pPr>
              <w:pStyle w:val="TableParagraph"/>
              <w:spacing w:before="4"/>
              <w:rPr>
                <w:sz w:val="26"/>
              </w:rPr>
            </w:pPr>
          </w:p>
          <w:p>
            <w:pPr>
              <w:pStyle w:val="TableParagraph"/>
              <w:spacing w:line="276" w:lineRule="auto" w:before="0"/>
              <w:ind w:left="103"/>
              <w:rPr>
                <w:sz w:val="20"/>
              </w:rPr>
            </w:pPr>
            <w:r>
              <w:rPr>
                <w:sz w:val="20"/>
              </w:rPr>
              <w:t>Licenciada em Filosofia e História pela Universidade estadual do Oeste do Paraná (UNIOESTE)</w:t>
            </w:r>
          </w:p>
        </w:tc>
      </w:tr>
    </w:tbl>
    <w:p>
      <w:pPr>
        <w:spacing w:line="226" w:lineRule="exact" w:before="0"/>
        <w:ind w:left="222" w:right="0" w:firstLine="0"/>
        <w:jc w:val="left"/>
        <w:rPr>
          <w:sz w:val="20"/>
        </w:rPr>
      </w:pPr>
      <w:r>
        <w:rPr>
          <w:sz w:val="20"/>
        </w:rPr>
        <w:t>Fonte: Adaires Rodrigues de Sousa (2015).</w:t>
      </w:r>
    </w:p>
    <w:p>
      <w:pPr>
        <w:pStyle w:val="BodyText"/>
        <w:rPr>
          <w:sz w:val="20"/>
        </w:rPr>
      </w:pPr>
    </w:p>
    <w:p>
      <w:pPr>
        <w:pStyle w:val="BodyText"/>
        <w:spacing w:before="2"/>
        <w:rPr>
          <w:sz w:val="11"/>
        </w:rPr>
      </w:pPr>
      <w:r>
        <w:rPr/>
        <w:pict>
          <v:line style="position:absolute;mso-position-horizontal-relative:page;mso-position-vertical-relative:paragraph;z-index:1936;mso-wrap-distance-left:0;mso-wrap-distance-right:0" from="85.103996pt,8.773903pt" to="229.123996pt,8.773903pt" stroked="true" strokeweight=".71997pt" strokecolor="#000000">
            <v:stroke dashstyle="solid"/>
            <w10:wrap type="topAndBottom"/>
          </v:line>
        </w:pict>
      </w:r>
    </w:p>
    <w:p>
      <w:pPr>
        <w:spacing w:before="42"/>
        <w:ind w:left="222" w:right="0" w:firstLine="0"/>
        <w:jc w:val="left"/>
        <w:rPr>
          <w:sz w:val="20"/>
        </w:rPr>
      </w:pPr>
      <w:r>
        <w:rPr>
          <w:position w:val="9"/>
          <w:sz w:val="13"/>
        </w:rPr>
        <w:t>25 </w:t>
      </w:r>
      <w:r>
        <w:rPr>
          <w:sz w:val="20"/>
        </w:rPr>
        <w:t>Os Avaliadores Educacionais foram apresentados publicamente e seus nomes divulgados junto aos Municípios, por meio de documentos e em eventos da Undime-Seccional Tocantins.</w:t>
      </w:r>
    </w:p>
    <w:p>
      <w:pPr>
        <w:spacing w:after="0"/>
        <w:jc w:val="left"/>
        <w:rPr>
          <w:sz w:val="20"/>
        </w:rPr>
        <w:sectPr>
          <w:pgSz w:w="11910" w:h="16840"/>
          <w:pgMar w:header="749" w:footer="0" w:top="960" w:bottom="280" w:left="1480" w:right="1580"/>
        </w:sectPr>
      </w:pPr>
    </w:p>
    <w:p>
      <w:pPr>
        <w:pStyle w:val="BodyText"/>
        <w:rPr>
          <w:sz w:val="20"/>
        </w:rPr>
      </w:pPr>
    </w:p>
    <w:p>
      <w:pPr>
        <w:pStyle w:val="BodyText"/>
        <w:spacing w:line="360" w:lineRule="auto" w:before="210"/>
        <w:ind w:left="222" w:right="157" w:firstLine="851"/>
        <w:jc w:val="both"/>
      </w:pPr>
      <w:r>
        <w:rPr/>
        <w:t>No dia 07 de agosto de 2014, a referida equipe é apresentada oficialmente aos Municípios, por meio do Ofício nº 136 (UNDIME, 2014b), encaminhado pela Undime, com distribuição dos Municípios organizada de forma a agrupá-los em regionais conforme as treze Diretorias Regionais de Gestão e Formação da Seduc.</w:t>
      </w:r>
    </w:p>
    <w:p>
      <w:pPr>
        <w:pStyle w:val="BodyText"/>
        <w:spacing w:line="360" w:lineRule="auto" w:before="3"/>
        <w:ind w:left="222" w:right="159" w:firstLine="851"/>
        <w:jc w:val="both"/>
      </w:pPr>
      <w:r>
        <w:rPr/>
        <w:t>Desse modo, os 139 Municípios do Tocantins ficam distribuídos entre os AEs Técnicos como segue:</w:t>
      </w:r>
    </w:p>
    <w:p>
      <w:pPr>
        <w:pStyle w:val="BodyText"/>
        <w:spacing w:before="5"/>
        <w:rPr>
          <w:sz w:val="36"/>
        </w:rPr>
      </w:pPr>
    </w:p>
    <w:p>
      <w:pPr>
        <w:pStyle w:val="BodyText"/>
        <w:spacing w:line="276" w:lineRule="auto" w:after="7"/>
        <w:ind w:left="222"/>
      </w:pPr>
      <w:r>
        <w:rPr>
          <w:b/>
        </w:rPr>
        <w:t>Quadro 2 </w:t>
      </w:r>
      <w:r>
        <w:rPr/>
        <w:t>Avaliadores Educacionais Técnicos do Tocantins, Regionais de Ensino do Tocantins e Municípios para Assistência Técnica</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60"/>
        <w:gridCol w:w="1843"/>
        <w:gridCol w:w="4143"/>
      </w:tblGrid>
      <w:tr>
        <w:trPr>
          <w:trHeight w:val="701" w:hRule="exact"/>
        </w:trPr>
        <w:tc>
          <w:tcPr>
            <w:tcW w:w="2660" w:type="dxa"/>
            <w:tcBorders>
              <w:bottom w:val="single" w:sz="4" w:space="0" w:color="000000"/>
            </w:tcBorders>
            <w:shd w:val="clear" w:color="auto" w:fill="F1F1F1"/>
          </w:tcPr>
          <w:p>
            <w:pPr>
              <w:pStyle w:val="TableParagraph"/>
              <w:spacing w:before="10"/>
              <w:rPr>
                <w:sz w:val="19"/>
              </w:rPr>
            </w:pPr>
          </w:p>
          <w:p>
            <w:pPr>
              <w:pStyle w:val="TableParagraph"/>
              <w:spacing w:before="0"/>
              <w:ind w:left="379"/>
              <w:rPr>
                <w:b/>
                <w:sz w:val="20"/>
              </w:rPr>
            </w:pPr>
            <w:r>
              <w:rPr>
                <w:b/>
                <w:sz w:val="20"/>
              </w:rPr>
              <w:t>AE Técnico Tocantins</w:t>
            </w:r>
          </w:p>
        </w:tc>
        <w:tc>
          <w:tcPr>
            <w:tcW w:w="1843" w:type="dxa"/>
            <w:tcBorders>
              <w:bottom w:val="single" w:sz="4" w:space="0" w:color="000000"/>
            </w:tcBorders>
            <w:shd w:val="clear" w:color="auto" w:fill="F1F1F1"/>
          </w:tcPr>
          <w:p>
            <w:pPr>
              <w:pStyle w:val="TableParagraph"/>
              <w:spacing w:before="0"/>
              <w:ind w:left="491" w:right="397" w:hanging="80"/>
              <w:rPr>
                <w:b/>
                <w:sz w:val="20"/>
              </w:rPr>
            </w:pPr>
            <w:r>
              <w:rPr>
                <w:b/>
                <w:sz w:val="20"/>
              </w:rPr>
              <w:t>Regional de Ensino do Tocantins</w:t>
            </w:r>
          </w:p>
        </w:tc>
        <w:tc>
          <w:tcPr>
            <w:tcW w:w="4143" w:type="dxa"/>
            <w:tcBorders>
              <w:bottom w:val="single" w:sz="4" w:space="0" w:color="000000"/>
            </w:tcBorders>
            <w:shd w:val="clear" w:color="auto" w:fill="F1F1F1"/>
          </w:tcPr>
          <w:p>
            <w:pPr>
              <w:pStyle w:val="TableParagraph"/>
              <w:spacing w:before="10"/>
              <w:rPr>
                <w:sz w:val="19"/>
              </w:rPr>
            </w:pPr>
          </w:p>
          <w:p>
            <w:pPr>
              <w:pStyle w:val="TableParagraph"/>
              <w:spacing w:before="0"/>
              <w:ind w:left="506"/>
              <w:rPr>
                <w:b/>
                <w:sz w:val="20"/>
              </w:rPr>
            </w:pPr>
            <w:r>
              <w:rPr>
                <w:b/>
                <w:sz w:val="20"/>
              </w:rPr>
              <w:t>Municípios para Assistência Técnica</w:t>
            </w:r>
          </w:p>
        </w:tc>
      </w:tr>
      <w:tr>
        <w:trPr>
          <w:trHeight w:val="1428" w:hRule="exact"/>
        </w:trPr>
        <w:tc>
          <w:tcPr>
            <w:tcW w:w="2660" w:type="dxa"/>
            <w:vMerge w:val="restart"/>
            <w:tcBorders>
              <w:top w:val="single" w:sz="4" w:space="0" w:color="000000"/>
            </w:tcBorders>
          </w:tcPr>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178"/>
              <w:ind w:left="103"/>
              <w:rPr>
                <w:sz w:val="20"/>
              </w:rPr>
            </w:pPr>
            <w:r>
              <w:rPr>
                <w:sz w:val="20"/>
              </w:rPr>
              <w:t>Adaires Rodrigues de Sousa</w:t>
            </w:r>
          </w:p>
        </w:tc>
        <w:tc>
          <w:tcPr>
            <w:tcW w:w="1843" w:type="dxa"/>
            <w:tcBorders>
              <w:top w:val="single" w:sz="4" w:space="0" w:color="000000"/>
            </w:tcBorders>
          </w:tcPr>
          <w:p>
            <w:pPr>
              <w:pStyle w:val="TableParagraph"/>
              <w:spacing w:before="0"/>
              <w:rPr>
                <w:sz w:val="22"/>
              </w:rPr>
            </w:pPr>
          </w:p>
          <w:p>
            <w:pPr>
              <w:pStyle w:val="TableParagraph"/>
              <w:spacing w:before="4"/>
              <w:rPr>
                <w:sz w:val="19"/>
              </w:rPr>
            </w:pPr>
          </w:p>
          <w:p>
            <w:pPr>
              <w:pStyle w:val="TableParagraph"/>
              <w:spacing w:line="228" w:lineRule="exact" w:before="0"/>
              <w:ind w:left="103"/>
              <w:rPr>
                <w:b/>
                <w:sz w:val="20"/>
              </w:rPr>
            </w:pPr>
            <w:r>
              <w:rPr>
                <w:b/>
                <w:sz w:val="20"/>
              </w:rPr>
              <w:t>Colinas</w:t>
            </w:r>
          </w:p>
          <w:p>
            <w:pPr>
              <w:pStyle w:val="TableParagraph"/>
              <w:spacing w:line="228" w:lineRule="exact" w:before="0"/>
              <w:ind w:left="103"/>
              <w:rPr>
                <w:sz w:val="20"/>
              </w:rPr>
            </w:pPr>
            <w:r>
              <w:rPr>
                <w:sz w:val="20"/>
              </w:rPr>
              <w:t>(11 Municípios)</w:t>
            </w:r>
          </w:p>
        </w:tc>
        <w:tc>
          <w:tcPr>
            <w:tcW w:w="4143" w:type="dxa"/>
            <w:tcBorders>
              <w:top w:val="single" w:sz="4" w:space="0" w:color="000000"/>
            </w:tcBorders>
          </w:tcPr>
          <w:p>
            <w:pPr>
              <w:pStyle w:val="TableParagraph"/>
              <w:spacing w:before="1"/>
              <w:rPr>
                <w:sz w:val="21"/>
              </w:rPr>
            </w:pPr>
          </w:p>
          <w:p>
            <w:pPr>
              <w:pStyle w:val="TableParagraph"/>
              <w:spacing w:before="0"/>
              <w:ind w:left="103" w:right="108"/>
              <w:jc w:val="both"/>
              <w:rPr>
                <w:sz w:val="20"/>
              </w:rPr>
            </w:pPr>
            <w:r>
              <w:rPr>
                <w:sz w:val="20"/>
              </w:rPr>
              <w:t>Arapoema, Bandeirantes do Tocantins, Bernardo Sayão, Brasilândia do Tocantins, Colinas do Tocantins, Itapiratins, Juarina, Nova Olinda, Palmeirante, Pau D‘arco e Tupitatins</w:t>
            </w:r>
          </w:p>
        </w:tc>
      </w:tr>
      <w:tr>
        <w:trPr>
          <w:trHeight w:val="1709" w:hRule="exact"/>
        </w:trPr>
        <w:tc>
          <w:tcPr>
            <w:tcW w:w="2660" w:type="dxa"/>
            <w:vMerge/>
          </w:tcPr>
          <w:p>
            <w:pPr/>
          </w:p>
        </w:tc>
        <w:tc>
          <w:tcPr>
            <w:tcW w:w="1843" w:type="dxa"/>
          </w:tcPr>
          <w:p>
            <w:pPr>
              <w:pStyle w:val="TableParagraph"/>
              <w:spacing w:before="0"/>
              <w:rPr>
                <w:sz w:val="22"/>
              </w:rPr>
            </w:pPr>
          </w:p>
          <w:p>
            <w:pPr>
              <w:pStyle w:val="TableParagraph"/>
              <w:spacing w:before="7"/>
              <w:rPr>
                <w:sz w:val="31"/>
              </w:rPr>
            </w:pPr>
          </w:p>
          <w:p>
            <w:pPr>
              <w:pStyle w:val="TableParagraph"/>
              <w:spacing w:line="228" w:lineRule="exact" w:before="1"/>
              <w:ind w:left="103"/>
              <w:rPr>
                <w:b/>
                <w:sz w:val="20"/>
              </w:rPr>
            </w:pPr>
            <w:r>
              <w:rPr>
                <w:b/>
                <w:sz w:val="20"/>
              </w:rPr>
              <w:t>Gurupi</w:t>
            </w:r>
          </w:p>
          <w:p>
            <w:pPr>
              <w:pStyle w:val="TableParagraph"/>
              <w:spacing w:line="228" w:lineRule="exact" w:before="0"/>
              <w:ind w:left="103"/>
              <w:rPr>
                <w:sz w:val="20"/>
              </w:rPr>
            </w:pPr>
            <w:r>
              <w:rPr>
                <w:sz w:val="20"/>
              </w:rPr>
              <w:t>(17 Municípios)</w:t>
            </w:r>
          </w:p>
        </w:tc>
        <w:tc>
          <w:tcPr>
            <w:tcW w:w="4143" w:type="dxa"/>
          </w:tcPr>
          <w:p>
            <w:pPr>
              <w:pStyle w:val="TableParagraph"/>
              <w:spacing w:before="154"/>
              <w:ind w:left="103" w:right="106"/>
              <w:jc w:val="both"/>
              <w:rPr>
                <w:sz w:val="20"/>
              </w:rPr>
            </w:pPr>
            <w:r>
              <w:rPr>
                <w:sz w:val="20"/>
              </w:rPr>
              <w:t>Aliança do Tocantins, Alvorada, Araguaçu, Cariri do Tocantins, Crixás, Dueré, Figueirópolis, Formoso do Araguaia, Gurupi,  Jaú do Tocantins, Palmeirópolis, Peixe, Sandolândia, São Salvador do Tocantins, São Valério, Sucupira e</w:t>
            </w:r>
            <w:r>
              <w:rPr>
                <w:spacing w:val="-11"/>
                <w:sz w:val="20"/>
              </w:rPr>
              <w:t> </w:t>
            </w:r>
            <w:r>
              <w:rPr>
                <w:sz w:val="20"/>
              </w:rPr>
              <w:t>Talismã</w:t>
            </w:r>
          </w:p>
        </w:tc>
      </w:tr>
      <w:tr>
        <w:trPr>
          <w:trHeight w:val="975" w:hRule="exact"/>
        </w:trPr>
        <w:tc>
          <w:tcPr>
            <w:tcW w:w="2660" w:type="dxa"/>
            <w:vMerge w:val="restart"/>
          </w:tcPr>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7"/>
              <w:rPr>
                <w:sz w:val="20"/>
              </w:rPr>
            </w:pPr>
          </w:p>
          <w:p>
            <w:pPr>
              <w:pStyle w:val="TableParagraph"/>
              <w:spacing w:before="0"/>
              <w:ind w:left="103" w:right="221"/>
              <w:rPr>
                <w:sz w:val="20"/>
              </w:rPr>
            </w:pPr>
            <w:r>
              <w:rPr>
                <w:sz w:val="20"/>
              </w:rPr>
              <w:t>Carmem Lúcia Sousa Santos Fonseca</w:t>
            </w:r>
          </w:p>
        </w:tc>
        <w:tc>
          <w:tcPr>
            <w:tcW w:w="1843" w:type="dxa"/>
          </w:tcPr>
          <w:p>
            <w:pPr>
              <w:pStyle w:val="TableParagraph"/>
              <w:spacing w:before="11"/>
              <w:rPr>
                <w:sz w:val="21"/>
              </w:rPr>
            </w:pPr>
          </w:p>
          <w:p>
            <w:pPr>
              <w:pStyle w:val="TableParagraph"/>
              <w:spacing w:line="227" w:lineRule="exact" w:before="0"/>
              <w:ind w:left="103"/>
              <w:rPr>
                <w:b/>
                <w:sz w:val="20"/>
              </w:rPr>
            </w:pPr>
            <w:r>
              <w:rPr>
                <w:b/>
                <w:sz w:val="20"/>
              </w:rPr>
              <w:t>Arraias</w:t>
            </w:r>
          </w:p>
          <w:p>
            <w:pPr>
              <w:pStyle w:val="TableParagraph"/>
              <w:spacing w:line="227" w:lineRule="exact" w:before="0"/>
              <w:ind w:left="103"/>
              <w:rPr>
                <w:sz w:val="20"/>
              </w:rPr>
            </w:pPr>
            <w:r>
              <w:rPr>
                <w:sz w:val="20"/>
              </w:rPr>
              <w:t>(6 Municípios)</w:t>
            </w:r>
          </w:p>
        </w:tc>
        <w:tc>
          <w:tcPr>
            <w:tcW w:w="4143" w:type="dxa"/>
          </w:tcPr>
          <w:p>
            <w:pPr>
              <w:pStyle w:val="TableParagraph"/>
              <w:spacing w:before="6"/>
              <w:rPr>
                <w:sz w:val="21"/>
              </w:rPr>
            </w:pPr>
          </w:p>
          <w:p>
            <w:pPr>
              <w:pStyle w:val="TableParagraph"/>
              <w:spacing w:before="0"/>
              <w:ind w:left="103"/>
              <w:rPr>
                <w:sz w:val="20"/>
              </w:rPr>
            </w:pPr>
            <w:r>
              <w:rPr>
                <w:sz w:val="20"/>
              </w:rPr>
              <w:t>Arraias, Aurora do Tocantins, Combinado, Lavandeira, Novo Alegre e Paranã</w:t>
            </w:r>
          </w:p>
        </w:tc>
      </w:tr>
      <w:tr>
        <w:trPr>
          <w:trHeight w:val="862" w:hRule="exact"/>
        </w:trPr>
        <w:tc>
          <w:tcPr>
            <w:tcW w:w="2660" w:type="dxa"/>
            <w:vMerge/>
          </w:tcPr>
          <w:p>
            <w:pPr/>
          </w:p>
        </w:tc>
        <w:tc>
          <w:tcPr>
            <w:tcW w:w="1843" w:type="dxa"/>
          </w:tcPr>
          <w:p>
            <w:pPr>
              <w:pStyle w:val="TableParagraph"/>
              <w:spacing w:line="228" w:lineRule="exact" w:before="195"/>
              <w:ind w:left="103"/>
              <w:rPr>
                <w:b/>
                <w:sz w:val="20"/>
              </w:rPr>
            </w:pPr>
            <w:r>
              <w:rPr>
                <w:b/>
                <w:sz w:val="20"/>
              </w:rPr>
              <w:t>Miracema</w:t>
            </w:r>
          </w:p>
          <w:p>
            <w:pPr>
              <w:pStyle w:val="TableParagraph"/>
              <w:spacing w:line="228" w:lineRule="exact" w:before="0"/>
              <w:ind w:left="103"/>
              <w:rPr>
                <w:sz w:val="20"/>
              </w:rPr>
            </w:pPr>
            <w:r>
              <w:rPr>
                <w:sz w:val="20"/>
              </w:rPr>
              <w:t>(6 Municípios)</w:t>
            </w:r>
          </w:p>
        </w:tc>
        <w:tc>
          <w:tcPr>
            <w:tcW w:w="4143" w:type="dxa"/>
          </w:tcPr>
          <w:p>
            <w:pPr>
              <w:pStyle w:val="TableParagraph"/>
              <w:tabs>
                <w:tab w:pos="753" w:val="left" w:leader="none"/>
                <w:tab w:pos="1630" w:val="left" w:leader="none"/>
                <w:tab w:pos="2714" w:val="left" w:leader="none"/>
                <w:tab w:pos="3186" w:val="left" w:leader="none"/>
              </w:tabs>
              <w:spacing w:before="190"/>
              <w:ind w:left="103" w:right="108"/>
              <w:rPr>
                <w:sz w:val="20"/>
              </w:rPr>
            </w:pPr>
            <w:r>
              <w:rPr>
                <w:sz w:val="20"/>
              </w:rPr>
              <w:t>Dois</w:t>
              <w:tab/>
              <w:t>Irmãos,</w:t>
              <w:tab/>
              <w:t>Miracema</w:t>
              <w:tab/>
              <w:t>do</w:t>
              <w:tab/>
            </w:r>
            <w:r>
              <w:rPr>
                <w:w w:val="95"/>
                <w:sz w:val="20"/>
              </w:rPr>
              <w:t>Tocantins, </w:t>
            </w:r>
            <w:r>
              <w:rPr>
                <w:sz w:val="20"/>
              </w:rPr>
              <w:t>Miranorte, Lizarda, Rio dos Bois e</w:t>
            </w:r>
            <w:r>
              <w:rPr>
                <w:spacing w:val="-15"/>
                <w:sz w:val="20"/>
              </w:rPr>
              <w:t> </w:t>
            </w:r>
            <w:r>
              <w:rPr>
                <w:sz w:val="20"/>
              </w:rPr>
              <w:t>Tocantínia</w:t>
            </w:r>
          </w:p>
        </w:tc>
      </w:tr>
      <w:tr>
        <w:trPr>
          <w:trHeight w:val="1142" w:hRule="exact"/>
        </w:trPr>
        <w:tc>
          <w:tcPr>
            <w:tcW w:w="2660" w:type="dxa"/>
            <w:vMerge/>
          </w:tcPr>
          <w:p>
            <w:pPr/>
          </w:p>
        </w:tc>
        <w:tc>
          <w:tcPr>
            <w:tcW w:w="1843" w:type="dxa"/>
          </w:tcPr>
          <w:p>
            <w:pPr>
              <w:pStyle w:val="TableParagraph"/>
              <w:spacing w:before="0"/>
              <w:rPr>
                <w:sz w:val="29"/>
              </w:rPr>
            </w:pPr>
          </w:p>
          <w:p>
            <w:pPr>
              <w:pStyle w:val="TableParagraph"/>
              <w:spacing w:line="228" w:lineRule="exact" w:before="0"/>
              <w:ind w:left="103"/>
              <w:rPr>
                <w:b/>
                <w:sz w:val="20"/>
              </w:rPr>
            </w:pPr>
            <w:r>
              <w:rPr>
                <w:b/>
                <w:sz w:val="20"/>
              </w:rPr>
              <w:t>Pedro Afonso</w:t>
            </w:r>
          </w:p>
          <w:p>
            <w:pPr>
              <w:pStyle w:val="TableParagraph"/>
              <w:spacing w:line="228" w:lineRule="exact" w:before="0"/>
              <w:ind w:left="103"/>
              <w:rPr>
                <w:sz w:val="20"/>
              </w:rPr>
            </w:pPr>
            <w:r>
              <w:rPr>
                <w:sz w:val="20"/>
              </w:rPr>
              <w:t>(7 Municípios)</w:t>
            </w:r>
          </w:p>
        </w:tc>
        <w:tc>
          <w:tcPr>
            <w:tcW w:w="4143" w:type="dxa"/>
          </w:tcPr>
          <w:p>
            <w:pPr>
              <w:pStyle w:val="TableParagraph"/>
              <w:spacing w:before="7"/>
              <w:rPr>
                <w:sz w:val="18"/>
              </w:rPr>
            </w:pPr>
          </w:p>
          <w:p>
            <w:pPr>
              <w:pStyle w:val="TableParagraph"/>
              <w:spacing w:before="0"/>
              <w:ind w:left="103" w:right="107"/>
              <w:jc w:val="both"/>
              <w:rPr>
                <w:sz w:val="20"/>
              </w:rPr>
            </w:pPr>
            <w:r>
              <w:rPr>
                <w:sz w:val="20"/>
              </w:rPr>
              <w:t>Bom Jesus do Tocantins, Centenário, Itacajá, Pedro Afonso, Recursolândia, Santa Maria do Tocantins e Tupirama</w:t>
            </w:r>
          </w:p>
        </w:tc>
      </w:tr>
      <w:tr>
        <w:trPr>
          <w:trHeight w:val="1428" w:hRule="exact"/>
        </w:trPr>
        <w:tc>
          <w:tcPr>
            <w:tcW w:w="2660" w:type="dxa"/>
            <w:vMerge w:val="restart"/>
          </w:tcPr>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9"/>
              <w:rPr>
                <w:sz w:val="17"/>
              </w:rPr>
            </w:pPr>
          </w:p>
          <w:p>
            <w:pPr>
              <w:pStyle w:val="TableParagraph"/>
              <w:spacing w:before="0"/>
              <w:ind w:left="103" w:right="400"/>
              <w:rPr>
                <w:sz w:val="20"/>
              </w:rPr>
            </w:pPr>
            <w:r>
              <w:rPr>
                <w:sz w:val="20"/>
              </w:rPr>
              <w:t>Celestina Maria Pereira de Sousa</w:t>
            </w:r>
          </w:p>
        </w:tc>
        <w:tc>
          <w:tcPr>
            <w:tcW w:w="1843" w:type="dxa"/>
            <w:tcBorders>
              <w:bottom w:val="single" w:sz="4" w:space="0" w:color="000000"/>
            </w:tcBorders>
          </w:tcPr>
          <w:p>
            <w:pPr>
              <w:pStyle w:val="TableParagraph"/>
              <w:spacing w:before="0"/>
              <w:rPr>
                <w:sz w:val="22"/>
              </w:rPr>
            </w:pPr>
          </w:p>
          <w:p>
            <w:pPr>
              <w:pStyle w:val="TableParagraph"/>
              <w:spacing w:before="6"/>
              <w:rPr>
                <w:sz w:val="19"/>
              </w:rPr>
            </w:pPr>
          </w:p>
          <w:p>
            <w:pPr>
              <w:pStyle w:val="TableParagraph"/>
              <w:spacing w:line="228" w:lineRule="exact" w:before="0"/>
              <w:ind w:left="103"/>
              <w:rPr>
                <w:b/>
                <w:sz w:val="20"/>
              </w:rPr>
            </w:pPr>
            <w:r>
              <w:rPr>
                <w:b/>
                <w:sz w:val="20"/>
              </w:rPr>
              <w:t>Dianópolis</w:t>
            </w:r>
          </w:p>
          <w:p>
            <w:pPr>
              <w:pStyle w:val="TableParagraph"/>
              <w:spacing w:line="228" w:lineRule="exact" w:before="0"/>
              <w:ind w:left="103"/>
              <w:rPr>
                <w:sz w:val="20"/>
              </w:rPr>
            </w:pPr>
            <w:r>
              <w:rPr>
                <w:sz w:val="20"/>
              </w:rPr>
              <w:t>(9 Municípios)</w:t>
            </w:r>
          </w:p>
        </w:tc>
        <w:tc>
          <w:tcPr>
            <w:tcW w:w="4143" w:type="dxa"/>
            <w:tcBorders>
              <w:bottom w:val="single" w:sz="4" w:space="0" w:color="000000"/>
            </w:tcBorders>
          </w:tcPr>
          <w:p>
            <w:pPr>
              <w:pStyle w:val="TableParagraph"/>
              <w:spacing w:before="1"/>
              <w:rPr>
                <w:sz w:val="21"/>
              </w:rPr>
            </w:pPr>
          </w:p>
          <w:p>
            <w:pPr>
              <w:pStyle w:val="TableParagraph"/>
              <w:spacing w:before="0"/>
              <w:ind w:left="103" w:right="105"/>
              <w:jc w:val="both"/>
              <w:rPr>
                <w:sz w:val="20"/>
              </w:rPr>
            </w:pPr>
            <w:r>
              <w:rPr>
                <w:sz w:val="20"/>
              </w:rPr>
              <w:t>Almas, Conceição do Tocantins, Dianópolis, Novo Jardim, Ponte Alta do Bom Jesus, Porto Alegre do Tocantins, Rio da Conceição, Taguatinga e Taipas do Tocantins</w:t>
            </w:r>
          </w:p>
        </w:tc>
      </w:tr>
      <w:tr>
        <w:trPr>
          <w:trHeight w:val="1995" w:hRule="exact"/>
        </w:trPr>
        <w:tc>
          <w:tcPr>
            <w:tcW w:w="2660" w:type="dxa"/>
            <w:vMerge/>
          </w:tcPr>
          <w:p>
            <w:pPr/>
          </w:p>
        </w:tc>
        <w:tc>
          <w:tcPr>
            <w:tcW w:w="1843" w:type="dxa"/>
            <w:tcBorders>
              <w:top w:val="single" w:sz="4" w:space="0" w:color="000000"/>
            </w:tcBorders>
          </w:tcPr>
          <w:p>
            <w:pPr>
              <w:pStyle w:val="TableParagraph"/>
              <w:spacing w:before="0"/>
              <w:rPr>
                <w:sz w:val="22"/>
              </w:rPr>
            </w:pPr>
          </w:p>
          <w:p>
            <w:pPr>
              <w:pStyle w:val="TableParagraph"/>
              <w:spacing w:before="0"/>
              <w:rPr>
                <w:sz w:val="22"/>
              </w:rPr>
            </w:pPr>
          </w:p>
          <w:p>
            <w:pPr>
              <w:pStyle w:val="TableParagraph"/>
              <w:spacing w:before="2"/>
              <w:rPr>
                <w:sz w:val="22"/>
              </w:rPr>
            </w:pPr>
          </w:p>
          <w:p>
            <w:pPr>
              <w:pStyle w:val="TableParagraph"/>
              <w:spacing w:line="227" w:lineRule="exact" w:before="0"/>
              <w:ind w:left="103"/>
              <w:rPr>
                <w:b/>
                <w:sz w:val="20"/>
              </w:rPr>
            </w:pPr>
            <w:r>
              <w:rPr>
                <w:b/>
                <w:sz w:val="20"/>
              </w:rPr>
              <w:t>Paraíso</w:t>
            </w:r>
          </w:p>
          <w:p>
            <w:pPr>
              <w:pStyle w:val="TableParagraph"/>
              <w:spacing w:line="227" w:lineRule="exact" w:before="0"/>
              <w:ind w:left="103"/>
              <w:rPr>
                <w:sz w:val="20"/>
              </w:rPr>
            </w:pPr>
            <w:r>
              <w:rPr>
                <w:sz w:val="20"/>
              </w:rPr>
              <w:t>(14 Municípios)</w:t>
            </w:r>
          </w:p>
        </w:tc>
        <w:tc>
          <w:tcPr>
            <w:tcW w:w="4143" w:type="dxa"/>
            <w:tcBorders>
              <w:top w:val="single" w:sz="4" w:space="0" w:color="000000"/>
            </w:tcBorders>
          </w:tcPr>
          <w:p>
            <w:pPr>
              <w:pStyle w:val="TableParagraph"/>
              <w:spacing w:before="8"/>
              <w:rPr>
                <w:sz w:val="25"/>
              </w:rPr>
            </w:pPr>
          </w:p>
          <w:p>
            <w:pPr>
              <w:pStyle w:val="TableParagraph"/>
              <w:spacing w:before="0"/>
              <w:ind w:left="103" w:right="102"/>
              <w:jc w:val="both"/>
              <w:rPr>
                <w:sz w:val="20"/>
              </w:rPr>
            </w:pPr>
            <w:r>
              <w:rPr>
                <w:sz w:val="20"/>
              </w:rPr>
              <w:t>Abreulândia, Araguacema,  Barrolândia, Caseara, Chapada de Areia, Cristalândia, Divinópolis do Tocantins, Lagoa da Confusão, Marianópolis do Tocantins, Monte Santo do Tocantins, Nova Rosalândia, Paraíso do Tocantins, Pium e</w:t>
            </w:r>
            <w:r>
              <w:rPr>
                <w:spacing w:val="-11"/>
                <w:sz w:val="20"/>
              </w:rPr>
              <w:t> </w:t>
            </w:r>
            <w:r>
              <w:rPr>
                <w:sz w:val="20"/>
              </w:rPr>
              <w:t>Pugmil</w:t>
            </w:r>
          </w:p>
        </w:tc>
      </w:tr>
    </w:tbl>
    <w:p>
      <w:pPr>
        <w:spacing w:after="0"/>
        <w:jc w:val="both"/>
        <w:rPr>
          <w:sz w:val="20"/>
        </w:rPr>
        <w:sectPr>
          <w:pgSz w:w="11910" w:h="16840"/>
          <w:pgMar w:header="749" w:footer="0" w:top="960" w:bottom="280" w:left="1480" w:right="1540"/>
        </w:sectPr>
      </w:pPr>
    </w:p>
    <w:p>
      <w:pPr>
        <w:pStyle w:val="BodyText"/>
        <w:rPr>
          <w:sz w:val="20"/>
        </w:rPr>
      </w:pPr>
    </w:p>
    <w:p>
      <w:pPr>
        <w:pStyle w:val="BodyText"/>
        <w:spacing w:before="10"/>
        <w:rPr>
          <w:sz w:val="1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60"/>
        <w:gridCol w:w="1843"/>
        <w:gridCol w:w="4143"/>
      </w:tblGrid>
      <w:tr>
        <w:trPr>
          <w:trHeight w:val="700" w:hRule="exact"/>
        </w:trPr>
        <w:tc>
          <w:tcPr>
            <w:tcW w:w="2660" w:type="dxa"/>
            <w:shd w:val="clear" w:color="auto" w:fill="F1F1F1"/>
          </w:tcPr>
          <w:p>
            <w:pPr>
              <w:pStyle w:val="TableParagraph"/>
              <w:spacing w:before="8"/>
              <w:rPr>
                <w:sz w:val="19"/>
              </w:rPr>
            </w:pPr>
          </w:p>
          <w:p>
            <w:pPr>
              <w:pStyle w:val="TableParagraph"/>
              <w:spacing w:before="0"/>
              <w:ind w:left="379"/>
              <w:rPr>
                <w:b/>
                <w:sz w:val="20"/>
              </w:rPr>
            </w:pPr>
            <w:r>
              <w:rPr>
                <w:b/>
                <w:sz w:val="20"/>
              </w:rPr>
              <w:t>AE Técnico Tocantins</w:t>
            </w:r>
          </w:p>
        </w:tc>
        <w:tc>
          <w:tcPr>
            <w:tcW w:w="1843" w:type="dxa"/>
            <w:shd w:val="clear" w:color="auto" w:fill="F1F1F1"/>
          </w:tcPr>
          <w:p>
            <w:pPr>
              <w:pStyle w:val="TableParagraph"/>
              <w:spacing w:before="0"/>
              <w:ind w:left="491" w:right="397" w:hanging="80"/>
              <w:rPr>
                <w:b/>
                <w:sz w:val="20"/>
              </w:rPr>
            </w:pPr>
            <w:r>
              <w:rPr>
                <w:b/>
                <w:sz w:val="20"/>
              </w:rPr>
              <w:t>Regional de Ensino do Tocantins</w:t>
            </w:r>
          </w:p>
        </w:tc>
        <w:tc>
          <w:tcPr>
            <w:tcW w:w="4143" w:type="dxa"/>
            <w:shd w:val="clear" w:color="auto" w:fill="F1F1F1"/>
          </w:tcPr>
          <w:p>
            <w:pPr>
              <w:pStyle w:val="TableParagraph"/>
              <w:spacing w:before="8"/>
              <w:rPr>
                <w:sz w:val="19"/>
              </w:rPr>
            </w:pPr>
          </w:p>
          <w:p>
            <w:pPr>
              <w:pStyle w:val="TableParagraph"/>
              <w:spacing w:before="0"/>
              <w:ind w:left="506"/>
              <w:rPr>
                <w:b/>
                <w:sz w:val="20"/>
              </w:rPr>
            </w:pPr>
            <w:r>
              <w:rPr>
                <w:b/>
                <w:sz w:val="20"/>
              </w:rPr>
              <w:t>Municípios para Assistência Técnica</w:t>
            </w:r>
          </w:p>
        </w:tc>
      </w:tr>
      <w:tr>
        <w:trPr>
          <w:trHeight w:val="1428" w:hRule="exact"/>
        </w:trPr>
        <w:tc>
          <w:tcPr>
            <w:tcW w:w="2660" w:type="dxa"/>
            <w:vMerge w:val="restart"/>
          </w:tcPr>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155"/>
              <w:ind w:left="103"/>
              <w:rPr>
                <w:sz w:val="20"/>
              </w:rPr>
            </w:pPr>
            <w:r>
              <w:rPr>
                <w:sz w:val="20"/>
              </w:rPr>
              <w:t>Cleidiana Santana Parente</w:t>
            </w:r>
          </w:p>
        </w:tc>
        <w:tc>
          <w:tcPr>
            <w:tcW w:w="1843" w:type="dxa"/>
          </w:tcPr>
          <w:p>
            <w:pPr>
              <w:pStyle w:val="TableParagraph"/>
              <w:spacing w:before="0"/>
              <w:rPr>
                <w:sz w:val="22"/>
              </w:rPr>
            </w:pPr>
          </w:p>
          <w:p>
            <w:pPr>
              <w:pStyle w:val="TableParagraph"/>
              <w:spacing w:before="6"/>
              <w:rPr>
                <w:sz w:val="19"/>
              </w:rPr>
            </w:pPr>
          </w:p>
          <w:p>
            <w:pPr>
              <w:pStyle w:val="TableParagraph"/>
              <w:spacing w:line="227" w:lineRule="exact" w:before="0"/>
              <w:ind w:left="103"/>
              <w:rPr>
                <w:b/>
                <w:sz w:val="20"/>
              </w:rPr>
            </w:pPr>
            <w:r>
              <w:rPr>
                <w:b/>
                <w:sz w:val="20"/>
              </w:rPr>
              <w:t>Araguatins</w:t>
            </w:r>
          </w:p>
          <w:p>
            <w:pPr>
              <w:pStyle w:val="TableParagraph"/>
              <w:spacing w:line="227" w:lineRule="exact" w:before="0"/>
              <w:ind w:left="103"/>
              <w:rPr>
                <w:sz w:val="20"/>
              </w:rPr>
            </w:pPr>
            <w:r>
              <w:rPr>
                <w:sz w:val="20"/>
              </w:rPr>
              <w:t>(12 Municípios)</w:t>
            </w:r>
          </w:p>
        </w:tc>
        <w:tc>
          <w:tcPr>
            <w:tcW w:w="4143" w:type="dxa"/>
          </w:tcPr>
          <w:p>
            <w:pPr>
              <w:pStyle w:val="TableParagraph"/>
              <w:spacing w:before="12"/>
              <w:ind w:left="103" w:right="104"/>
              <w:jc w:val="both"/>
              <w:rPr>
                <w:sz w:val="20"/>
              </w:rPr>
            </w:pPr>
            <w:r>
              <w:rPr>
                <w:sz w:val="20"/>
              </w:rPr>
              <w:t>Araguatins, Augustinópolis, Axixá do  Tocantins, Buriti do Tocantins, Carrasco Bonito, Esperantina, Praia Norte, Sampaio, São Bento  do Tocantins, São Miguel do Tocantins, São Sebastião do Tocantins e Sitio Novo do Tocantins</w:t>
            </w:r>
          </w:p>
        </w:tc>
      </w:tr>
      <w:tr>
        <w:trPr>
          <w:trHeight w:val="1159" w:hRule="exact"/>
        </w:trPr>
        <w:tc>
          <w:tcPr>
            <w:tcW w:w="2660" w:type="dxa"/>
            <w:vMerge/>
          </w:tcPr>
          <w:p>
            <w:pPr/>
          </w:p>
        </w:tc>
        <w:tc>
          <w:tcPr>
            <w:tcW w:w="1843" w:type="dxa"/>
          </w:tcPr>
          <w:p>
            <w:pPr>
              <w:pStyle w:val="TableParagraph"/>
              <w:spacing w:before="10"/>
              <w:rPr>
                <w:sz w:val="29"/>
              </w:rPr>
            </w:pPr>
          </w:p>
          <w:p>
            <w:pPr>
              <w:pStyle w:val="TableParagraph"/>
              <w:spacing w:line="227" w:lineRule="exact" w:before="0"/>
              <w:ind w:left="103"/>
              <w:rPr>
                <w:b/>
                <w:sz w:val="20"/>
              </w:rPr>
            </w:pPr>
            <w:r>
              <w:rPr>
                <w:b/>
                <w:sz w:val="20"/>
              </w:rPr>
              <w:t>Tocantinópolis</w:t>
            </w:r>
          </w:p>
          <w:p>
            <w:pPr>
              <w:pStyle w:val="TableParagraph"/>
              <w:spacing w:line="227" w:lineRule="exact" w:before="0"/>
              <w:ind w:left="103"/>
              <w:rPr>
                <w:sz w:val="20"/>
              </w:rPr>
            </w:pPr>
            <w:r>
              <w:rPr>
                <w:sz w:val="20"/>
              </w:rPr>
              <w:t>(11 Municípios)</w:t>
            </w:r>
          </w:p>
        </w:tc>
        <w:tc>
          <w:tcPr>
            <w:tcW w:w="4143" w:type="dxa"/>
          </w:tcPr>
          <w:p>
            <w:pPr>
              <w:pStyle w:val="TableParagraph"/>
              <w:spacing w:before="0"/>
              <w:ind w:left="103" w:right="108"/>
              <w:jc w:val="both"/>
              <w:rPr>
                <w:sz w:val="20"/>
              </w:rPr>
            </w:pPr>
            <w:r>
              <w:rPr>
                <w:sz w:val="20"/>
              </w:rPr>
              <w:t>Aguiarnópolis, Angico, Cachoeirinha, Darcinópolis, Itaguatins, Luzinópolis, Maurilândia do Tocantins, Nazaré, Palmeiras do Tocantins, Santa Terezinha do Tocantins e Tocantinópolis</w:t>
            </w:r>
          </w:p>
        </w:tc>
      </w:tr>
      <w:tr>
        <w:trPr>
          <w:trHeight w:val="1145" w:hRule="exact"/>
        </w:trPr>
        <w:tc>
          <w:tcPr>
            <w:tcW w:w="2660" w:type="dxa"/>
            <w:vMerge w:val="restart"/>
          </w:tcPr>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2"/>
              <w:rPr>
                <w:sz w:val="20"/>
              </w:rPr>
            </w:pPr>
          </w:p>
          <w:p>
            <w:pPr>
              <w:pStyle w:val="TableParagraph"/>
              <w:spacing w:before="0"/>
              <w:ind w:left="103"/>
              <w:rPr>
                <w:sz w:val="20"/>
              </w:rPr>
            </w:pPr>
            <w:r>
              <w:rPr>
                <w:sz w:val="20"/>
              </w:rPr>
              <w:t>Rosilene Lagares</w:t>
            </w:r>
          </w:p>
        </w:tc>
        <w:tc>
          <w:tcPr>
            <w:tcW w:w="1843" w:type="dxa"/>
          </w:tcPr>
          <w:p>
            <w:pPr>
              <w:pStyle w:val="TableParagraph"/>
              <w:spacing w:before="3"/>
              <w:rPr>
                <w:sz w:val="29"/>
              </w:rPr>
            </w:pPr>
          </w:p>
          <w:p>
            <w:pPr>
              <w:pStyle w:val="TableParagraph"/>
              <w:spacing w:line="227" w:lineRule="exact" w:before="0"/>
              <w:ind w:left="103"/>
              <w:rPr>
                <w:b/>
                <w:sz w:val="20"/>
              </w:rPr>
            </w:pPr>
            <w:r>
              <w:rPr>
                <w:b/>
                <w:sz w:val="20"/>
              </w:rPr>
              <w:t>Palmas</w:t>
            </w:r>
          </w:p>
          <w:p>
            <w:pPr>
              <w:pStyle w:val="TableParagraph"/>
              <w:spacing w:line="227" w:lineRule="exact" w:before="0"/>
              <w:ind w:left="103"/>
              <w:rPr>
                <w:sz w:val="20"/>
              </w:rPr>
            </w:pPr>
            <w:r>
              <w:rPr>
                <w:sz w:val="20"/>
              </w:rPr>
              <w:t>(9 Municípios)</w:t>
            </w:r>
          </w:p>
        </w:tc>
        <w:tc>
          <w:tcPr>
            <w:tcW w:w="4143" w:type="dxa"/>
          </w:tcPr>
          <w:p>
            <w:pPr>
              <w:pStyle w:val="TableParagraph"/>
              <w:spacing w:before="101"/>
              <w:ind w:left="103" w:right="107"/>
              <w:jc w:val="both"/>
              <w:rPr>
                <w:sz w:val="20"/>
              </w:rPr>
            </w:pPr>
            <w:r>
              <w:rPr>
                <w:sz w:val="20"/>
              </w:rPr>
              <w:t>Aparecida do Rio Negro, Lagoa do Tocantins, Lajeado, Mateiros, Novo Acordo, Palmas, Rio Sono, Santa Tereza do Tocantins, São Felix do Tocantins</w:t>
            </w:r>
          </w:p>
        </w:tc>
      </w:tr>
      <w:tr>
        <w:trPr>
          <w:trHeight w:val="1596" w:hRule="exact"/>
        </w:trPr>
        <w:tc>
          <w:tcPr>
            <w:tcW w:w="2660" w:type="dxa"/>
            <w:vMerge/>
          </w:tcPr>
          <w:p>
            <w:pPr/>
          </w:p>
        </w:tc>
        <w:tc>
          <w:tcPr>
            <w:tcW w:w="1843" w:type="dxa"/>
          </w:tcPr>
          <w:p>
            <w:pPr>
              <w:pStyle w:val="TableParagraph"/>
              <w:spacing w:before="0"/>
              <w:rPr>
                <w:sz w:val="22"/>
              </w:rPr>
            </w:pPr>
          </w:p>
          <w:p>
            <w:pPr>
              <w:pStyle w:val="TableParagraph"/>
              <w:spacing w:before="10"/>
              <w:rPr>
                <w:sz w:val="26"/>
              </w:rPr>
            </w:pPr>
          </w:p>
          <w:p>
            <w:pPr>
              <w:pStyle w:val="TableParagraph"/>
              <w:spacing w:line="227" w:lineRule="exact" w:before="0"/>
              <w:ind w:left="103"/>
              <w:rPr>
                <w:b/>
                <w:sz w:val="20"/>
              </w:rPr>
            </w:pPr>
            <w:r>
              <w:rPr>
                <w:b/>
                <w:sz w:val="20"/>
              </w:rPr>
              <w:t>Porto Nacional</w:t>
            </w:r>
          </w:p>
          <w:p>
            <w:pPr>
              <w:pStyle w:val="TableParagraph"/>
              <w:spacing w:line="227" w:lineRule="exact" w:before="0"/>
              <w:ind w:left="103"/>
              <w:rPr>
                <w:sz w:val="20"/>
              </w:rPr>
            </w:pPr>
            <w:r>
              <w:rPr>
                <w:sz w:val="20"/>
              </w:rPr>
              <w:t>(13 Municípios)</w:t>
            </w:r>
          </w:p>
        </w:tc>
        <w:tc>
          <w:tcPr>
            <w:tcW w:w="4143" w:type="dxa"/>
          </w:tcPr>
          <w:p>
            <w:pPr>
              <w:pStyle w:val="TableParagraph"/>
              <w:spacing w:before="96"/>
              <w:ind w:left="103" w:right="106"/>
              <w:jc w:val="both"/>
              <w:rPr>
                <w:sz w:val="20"/>
              </w:rPr>
            </w:pPr>
            <w:r>
              <w:rPr>
                <w:sz w:val="20"/>
              </w:rPr>
              <w:t>Brejinho de Nazaré, Chapada da Natividade, Fátima, Ipueiras, Monte do Carmo, Natividade, Oliveira de Fátima, Pindorama do Tocantins, Ponte Alta do Tocantins, Porto Nacional, Santa Rita do Tocantins, Santa Rosa do Tocantins e Silvanópolis</w:t>
            </w:r>
          </w:p>
        </w:tc>
      </w:tr>
      <w:tr>
        <w:trPr>
          <w:trHeight w:val="1315" w:hRule="exact"/>
        </w:trPr>
        <w:tc>
          <w:tcPr>
            <w:tcW w:w="2660" w:type="dxa"/>
            <w:vMerge w:val="restart"/>
          </w:tcPr>
          <w:p>
            <w:pPr>
              <w:pStyle w:val="TableParagraph"/>
              <w:spacing w:before="0"/>
              <w:rPr>
                <w:sz w:val="22"/>
              </w:rPr>
            </w:pPr>
          </w:p>
          <w:p>
            <w:pPr>
              <w:pStyle w:val="TableParagraph"/>
              <w:spacing w:before="0"/>
              <w:rPr>
                <w:sz w:val="22"/>
              </w:rPr>
            </w:pPr>
          </w:p>
          <w:p>
            <w:pPr>
              <w:pStyle w:val="TableParagraph"/>
              <w:spacing w:before="0"/>
              <w:rPr>
                <w:sz w:val="22"/>
              </w:rPr>
            </w:pPr>
          </w:p>
          <w:p>
            <w:pPr>
              <w:pStyle w:val="TableParagraph"/>
              <w:spacing w:before="172"/>
              <w:ind w:left="103"/>
              <w:rPr>
                <w:sz w:val="20"/>
              </w:rPr>
            </w:pPr>
            <w:r>
              <w:rPr>
                <w:sz w:val="20"/>
              </w:rPr>
              <w:t>Rute Soares Rodrigues</w:t>
            </w:r>
          </w:p>
        </w:tc>
        <w:tc>
          <w:tcPr>
            <w:tcW w:w="1843" w:type="dxa"/>
          </w:tcPr>
          <w:p>
            <w:pPr>
              <w:pStyle w:val="TableParagraph"/>
              <w:spacing w:before="0"/>
              <w:rPr>
                <w:sz w:val="22"/>
              </w:rPr>
            </w:pPr>
          </w:p>
          <w:p>
            <w:pPr>
              <w:pStyle w:val="TableParagraph"/>
              <w:spacing w:line="228" w:lineRule="exact" w:before="167"/>
              <w:ind w:left="103"/>
              <w:rPr>
                <w:b/>
                <w:sz w:val="20"/>
              </w:rPr>
            </w:pPr>
            <w:r>
              <w:rPr>
                <w:b/>
                <w:sz w:val="20"/>
              </w:rPr>
              <w:t>Araguaína</w:t>
            </w:r>
          </w:p>
          <w:p>
            <w:pPr>
              <w:pStyle w:val="TableParagraph"/>
              <w:spacing w:line="228" w:lineRule="exact" w:before="0"/>
              <w:ind w:left="103"/>
              <w:rPr>
                <w:sz w:val="20"/>
              </w:rPr>
            </w:pPr>
            <w:r>
              <w:rPr>
                <w:sz w:val="20"/>
              </w:rPr>
              <w:t>(16 Municípios)</w:t>
            </w:r>
          </w:p>
        </w:tc>
        <w:tc>
          <w:tcPr>
            <w:tcW w:w="4143" w:type="dxa"/>
          </w:tcPr>
          <w:p>
            <w:pPr>
              <w:pStyle w:val="TableParagraph"/>
              <w:spacing w:before="70"/>
              <w:ind w:left="103" w:right="106"/>
              <w:jc w:val="both"/>
              <w:rPr>
                <w:sz w:val="20"/>
              </w:rPr>
            </w:pPr>
            <w:r>
              <w:rPr>
                <w:sz w:val="20"/>
              </w:rPr>
              <w:t>Ananás, Aragominas, Araguaína, Araguanã, Babaçulândia, Barra do Ouro, Campos Lindos, Carmolândia, Filadélfia, Goiatins, Muricilândia, Piraquê, Riachinho, Santa Fé do Araguaia, Wanderlândia e Xambioá</w:t>
            </w:r>
          </w:p>
        </w:tc>
      </w:tr>
      <w:tr>
        <w:trPr>
          <w:trHeight w:val="804" w:hRule="exact"/>
        </w:trPr>
        <w:tc>
          <w:tcPr>
            <w:tcW w:w="2660" w:type="dxa"/>
            <w:vMerge/>
          </w:tcPr>
          <w:p>
            <w:pPr/>
          </w:p>
        </w:tc>
        <w:tc>
          <w:tcPr>
            <w:tcW w:w="1843" w:type="dxa"/>
          </w:tcPr>
          <w:p>
            <w:pPr>
              <w:pStyle w:val="TableParagraph"/>
              <w:spacing w:line="228" w:lineRule="exact" w:before="163"/>
              <w:ind w:left="103"/>
              <w:rPr>
                <w:b/>
                <w:sz w:val="20"/>
              </w:rPr>
            </w:pPr>
            <w:r>
              <w:rPr>
                <w:b/>
                <w:sz w:val="20"/>
              </w:rPr>
              <w:t>Guaraí</w:t>
            </w:r>
          </w:p>
          <w:p>
            <w:pPr>
              <w:pStyle w:val="TableParagraph"/>
              <w:spacing w:line="228" w:lineRule="exact" w:before="0"/>
              <w:ind w:left="103"/>
              <w:rPr>
                <w:sz w:val="20"/>
              </w:rPr>
            </w:pPr>
            <w:r>
              <w:rPr>
                <w:sz w:val="20"/>
              </w:rPr>
              <w:t>(8 Municípios)</w:t>
            </w:r>
          </w:p>
        </w:tc>
        <w:tc>
          <w:tcPr>
            <w:tcW w:w="4143" w:type="dxa"/>
          </w:tcPr>
          <w:p>
            <w:pPr>
              <w:pStyle w:val="TableParagraph"/>
              <w:spacing w:before="43"/>
              <w:ind w:left="103" w:right="106"/>
              <w:jc w:val="both"/>
              <w:rPr>
                <w:sz w:val="20"/>
              </w:rPr>
            </w:pPr>
            <w:r>
              <w:rPr>
                <w:sz w:val="20"/>
              </w:rPr>
              <w:t>Colméia, Couto Magalhães, Fortaleza do Tabocão, Goianorte, Guaraí, Itaporã do Tocantins, Pequizeiro e Presidente Kennedy</w:t>
            </w:r>
          </w:p>
        </w:tc>
      </w:tr>
    </w:tbl>
    <w:p>
      <w:pPr>
        <w:spacing w:line="223" w:lineRule="exact" w:before="0"/>
        <w:ind w:left="222" w:right="0" w:firstLine="0"/>
        <w:jc w:val="left"/>
        <w:rPr>
          <w:sz w:val="20"/>
        </w:rPr>
      </w:pPr>
      <w:r>
        <w:rPr>
          <w:sz w:val="20"/>
        </w:rPr>
        <w:t>Fonte: Ofício UNDIME nº 136/2014 (UNDIME, 2014b).</w:t>
      </w:r>
    </w:p>
    <w:p>
      <w:pPr>
        <w:pStyle w:val="BodyText"/>
        <w:rPr>
          <w:sz w:val="22"/>
        </w:rPr>
      </w:pPr>
    </w:p>
    <w:p>
      <w:pPr>
        <w:pStyle w:val="BodyText"/>
      </w:pPr>
    </w:p>
    <w:p>
      <w:pPr>
        <w:pStyle w:val="BodyText"/>
        <w:spacing w:line="360" w:lineRule="auto"/>
        <w:ind w:left="222" w:right="159" w:firstLine="851"/>
        <w:jc w:val="both"/>
      </w:pPr>
      <w:r>
        <w:rPr/>
        <w:t>A partir de maio de 2014, o trabalho no Tocantins passa a se fundamentar e estruturar, além das diretrizes e orientações emanadas pela SASE/MEC, por um novo ordenamento, sendoo ‗Projeto de apoio para adequação e/ou elaboração dos Planos de Educação Estadual e Municipais no Tocantins‘ (TOCANTINS/SEDUC/UNDIME-TO, 2014a), reelaborado por nove AEs da equipe no Estado.</w:t>
      </w:r>
    </w:p>
    <w:p>
      <w:pPr>
        <w:spacing w:line="360" w:lineRule="auto" w:before="3"/>
        <w:ind w:left="222" w:right="158" w:firstLine="851"/>
        <w:jc w:val="both"/>
        <w:rPr>
          <w:sz w:val="24"/>
        </w:rPr>
      </w:pPr>
      <w:r>
        <w:rPr>
          <w:w w:val="99"/>
          <w:sz w:val="24"/>
        </w:rPr>
        <w:t>S</w:t>
      </w:r>
      <w:r>
        <w:rPr>
          <w:w w:val="100"/>
          <w:sz w:val="24"/>
        </w:rPr>
        <w:t>e</w:t>
      </w:r>
      <w:r>
        <w:rPr>
          <w:sz w:val="24"/>
        </w:rPr>
        <w:t>gundo o </w:t>
      </w:r>
      <w:r>
        <w:rPr>
          <w:w w:val="100"/>
          <w:sz w:val="24"/>
        </w:rPr>
        <w:t>referido</w:t>
      </w:r>
      <w:r>
        <w:rPr>
          <w:sz w:val="24"/>
        </w:rPr>
        <w:t> </w:t>
      </w:r>
      <w:r>
        <w:rPr>
          <w:w w:val="99"/>
          <w:sz w:val="24"/>
        </w:rPr>
        <w:t>P</w:t>
      </w:r>
      <w:r>
        <w:rPr>
          <w:w w:val="100"/>
          <w:sz w:val="24"/>
        </w:rPr>
        <w:t>rojeto</w:t>
      </w:r>
      <w:r>
        <w:rPr>
          <w:sz w:val="24"/>
        </w:rPr>
        <w:t> (p.6), o </w:t>
      </w:r>
      <w:r>
        <w:rPr>
          <w:w w:val="100"/>
          <w:sz w:val="24"/>
        </w:rPr>
        <w:t>tra</w:t>
      </w:r>
      <w:r>
        <w:rPr>
          <w:w w:val="100"/>
          <w:sz w:val="24"/>
        </w:rPr>
        <w:t>balho</w:t>
      </w:r>
      <w:r>
        <w:rPr>
          <w:sz w:val="24"/>
        </w:rPr>
        <w:t> </w:t>
      </w:r>
      <w:r>
        <w:rPr>
          <w:w w:val="44"/>
          <w:sz w:val="24"/>
        </w:rPr>
        <w:t>―</w:t>
      </w:r>
      <w:r>
        <w:rPr>
          <w:w w:val="99"/>
          <w:sz w:val="24"/>
        </w:rPr>
        <w:t>se</w:t>
      </w:r>
      <w:r>
        <w:rPr>
          <w:w w:val="100"/>
          <w:sz w:val="24"/>
        </w:rPr>
        <w:t>rá</w:t>
      </w:r>
      <w:r>
        <w:rPr>
          <w:sz w:val="24"/>
        </w:rPr>
        <w:t> </w:t>
      </w:r>
      <w:r>
        <w:rPr>
          <w:w w:val="100"/>
          <w:sz w:val="24"/>
        </w:rPr>
        <w:t>impleme</w:t>
      </w:r>
      <w:r>
        <w:rPr>
          <w:w w:val="100"/>
          <w:sz w:val="24"/>
        </w:rPr>
        <w:t>ntado</w:t>
      </w:r>
      <w:r>
        <w:rPr>
          <w:sz w:val="24"/>
        </w:rPr>
        <w:t> por </w:t>
      </w:r>
      <w:r>
        <w:rPr>
          <w:w w:val="100"/>
          <w:sz w:val="24"/>
        </w:rPr>
        <w:t>meio</w:t>
      </w:r>
      <w:r>
        <w:rPr>
          <w:sz w:val="24"/>
        </w:rPr>
        <w:t> </w:t>
      </w:r>
      <w:r>
        <w:rPr>
          <w:w w:val="99"/>
          <w:sz w:val="24"/>
        </w:rPr>
        <w:t>dos </w:t>
      </w:r>
      <w:r>
        <w:rPr>
          <w:b/>
          <w:sz w:val="24"/>
        </w:rPr>
        <w:t>parceiros </w:t>
      </w:r>
      <w:r>
        <w:rPr>
          <w:sz w:val="24"/>
        </w:rPr>
        <w:t>SASE/MEC, FNDE/MEC, CONSED, UNDIME e Secretarias Municipais de Educação, cada um desenvolvendo as responsabilidades que lhes foram atribuídas‖, e </w:t>
      </w:r>
      <w:r>
        <w:rPr>
          <w:w w:val="100"/>
          <w:sz w:val="24"/>
        </w:rPr>
        <w:t>c</w:t>
      </w:r>
      <w:r>
        <w:rPr>
          <w:w w:val="100"/>
          <w:sz w:val="24"/>
        </w:rPr>
        <w:t>om</w:t>
      </w:r>
      <w:r>
        <w:rPr>
          <w:sz w:val="24"/>
        </w:rPr>
        <w:t> o </w:t>
      </w:r>
      <w:r>
        <w:rPr>
          <w:w w:val="100"/>
          <w:sz w:val="24"/>
        </w:rPr>
        <w:t>objetivo</w:t>
      </w:r>
      <w:r>
        <w:rPr>
          <w:sz w:val="24"/>
        </w:rPr>
        <w:t> </w:t>
      </w:r>
      <w:r>
        <w:rPr>
          <w:w w:val="100"/>
          <w:sz w:val="24"/>
        </w:rPr>
        <w:t>de</w:t>
      </w:r>
      <w:r>
        <w:rPr>
          <w:sz w:val="24"/>
        </w:rPr>
        <w:t> </w:t>
      </w:r>
      <w:r>
        <w:rPr>
          <w:w w:val="44"/>
          <w:sz w:val="24"/>
        </w:rPr>
        <w:t>―</w:t>
      </w:r>
      <w:r>
        <w:rPr>
          <w:w w:val="100"/>
          <w:sz w:val="24"/>
        </w:rPr>
        <w:t>mobi</w:t>
      </w:r>
      <w:r>
        <w:rPr>
          <w:w w:val="100"/>
          <w:sz w:val="24"/>
        </w:rPr>
        <w:t>li</w:t>
      </w:r>
      <w:r>
        <w:rPr>
          <w:w w:val="100"/>
          <w:sz w:val="24"/>
        </w:rPr>
        <w:t>za</w:t>
      </w:r>
      <w:r>
        <w:rPr>
          <w:w w:val="99"/>
          <w:sz w:val="24"/>
        </w:rPr>
        <w:t>r </w:t>
      </w:r>
      <w:r>
        <w:rPr>
          <w:w w:val="100"/>
          <w:sz w:val="24"/>
        </w:rPr>
        <w:t>e</w:t>
      </w:r>
      <w:r>
        <w:rPr>
          <w:sz w:val="24"/>
        </w:rPr>
        <w:t> </w:t>
      </w:r>
      <w:r>
        <w:rPr>
          <w:w w:val="100"/>
          <w:sz w:val="24"/>
        </w:rPr>
        <w:t>a</w:t>
      </w:r>
      <w:r>
        <w:rPr>
          <w:w w:val="100"/>
          <w:sz w:val="24"/>
        </w:rPr>
        <w:t>poiar</w:t>
      </w:r>
      <w:r>
        <w:rPr>
          <w:sz w:val="24"/>
        </w:rPr>
        <w:t> por </w:t>
      </w:r>
      <w:r>
        <w:rPr>
          <w:w w:val="100"/>
          <w:sz w:val="24"/>
        </w:rPr>
        <w:t>meio</w:t>
      </w:r>
      <w:r>
        <w:rPr>
          <w:sz w:val="24"/>
        </w:rPr>
        <w:t> </w:t>
      </w:r>
      <w:r>
        <w:rPr>
          <w:w w:val="100"/>
          <w:sz w:val="24"/>
        </w:rPr>
        <w:t>de</w:t>
      </w:r>
      <w:r>
        <w:rPr>
          <w:sz w:val="24"/>
        </w:rPr>
        <w:t> </w:t>
      </w:r>
      <w:r>
        <w:rPr>
          <w:w w:val="100"/>
          <w:sz w:val="24"/>
        </w:rPr>
        <w:t>a</w:t>
      </w:r>
      <w:r>
        <w:rPr>
          <w:w w:val="99"/>
          <w:sz w:val="24"/>
        </w:rPr>
        <w:t>ssi</w:t>
      </w:r>
      <w:r>
        <w:rPr>
          <w:w w:val="100"/>
          <w:sz w:val="24"/>
        </w:rPr>
        <w:t>stênc</w:t>
      </w:r>
      <w:r>
        <w:rPr>
          <w:w w:val="100"/>
          <w:sz w:val="24"/>
        </w:rPr>
        <w:t>ia</w:t>
      </w:r>
      <w:r>
        <w:rPr>
          <w:sz w:val="24"/>
        </w:rPr>
        <w:t> </w:t>
      </w:r>
      <w:r>
        <w:rPr>
          <w:w w:val="100"/>
          <w:sz w:val="24"/>
        </w:rPr>
        <w:t>téc</w:t>
      </w:r>
      <w:r>
        <w:rPr>
          <w:w w:val="100"/>
          <w:sz w:val="24"/>
        </w:rPr>
        <w:t>nica</w:t>
      </w:r>
      <w:r>
        <w:rPr>
          <w:sz w:val="24"/>
        </w:rPr>
        <w:t> </w:t>
      </w:r>
      <w:r>
        <w:rPr>
          <w:w w:val="100"/>
          <w:sz w:val="24"/>
        </w:rPr>
        <w:t>a</w:t>
      </w:r>
      <w:r>
        <w:rPr>
          <w:sz w:val="24"/>
        </w:rPr>
        <w:t> </w:t>
      </w:r>
      <w:r>
        <w:rPr>
          <w:w w:val="100"/>
          <w:sz w:val="24"/>
        </w:rPr>
        <w:t>e</w:t>
      </w:r>
      <w:r>
        <w:rPr>
          <w:w w:val="100"/>
          <w:sz w:val="24"/>
        </w:rPr>
        <w:t>l</w:t>
      </w:r>
      <w:r>
        <w:rPr>
          <w:w w:val="100"/>
          <w:sz w:val="24"/>
        </w:rPr>
        <w:t>a</w:t>
      </w:r>
      <w:r>
        <w:rPr>
          <w:w w:val="100"/>
          <w:sz w:val="24"/>
        </w:rPr>
        <w:t>bora</w:t>
      </w:r>
      <w:r>
        <w:rPr>
          <w:w w:val="100"/>
          <w:sz w:val="24"/>
        </w:rPr>
        <w:t>çã</w:t>
      </w:r>
      <w:r>
        <w:rPr>
          <w:sz w:val="24"/>
        </w:rPr>
        <w:t>o </w:t>
      </w:r>
      <w:r>
        <w:rPr>
          <w:w w:val="100"/>
          <w:sz w:val="24"/>
        </w:rPr>
        <w:t>e</w:t>
      </w:r>
      <w:r>
        <w:rPr>
          <w:w w:val="100"/>
          <w:sz w:val="24"/>
        </w:rPr>
        <w:t>/ou </w:t>
      </w:r>
      <w:r>
        <w:rPr>
          <w:sz w:val="24"/>
        </w:rPr>
        <w:t>adequação dos planos educacionais do Estado e dos Municípios do Tocantins, </w:t>
      </w:r>
      <w:r>
        <w:rPr>
          <w:b/>
          <w:sz w:val="24"/>
        </w:rPr>
        <w:t>de forma que atenda a realidade de cada território e esteja em consonância com a política nacional de educação</w:t>
      </w:r>
      <w:r>
        <w:rPr>
          <w:sz w:val="24"/>
        </w:rPr>
        <w:t>‖. (Grifos nossos).</w:t>
      </w:r>
    </w:p>
    <w:p>
      <w:pPr>
        <w:spacing w:after="0" w:line="360" w:lineRule="auto"/>
        <w:jc w:val="both"/>
        <w:rPr>
          <w:sz w:val="24"/>
        </w:rPr>
        <w:sectPr>
          <w:pgSz w:w="11910" w:h="16840"/>
          <w:pgMar w:header="749" w:footer="0" w:top="960" w:bottom="280" w:left="1480" w:right="1540"/>
        </w:sectPr>
      </w:pPr>
    </w:p>
    <w:p>
      <w:pPr>
        <w:pStyle w:val="BodyText"/>
        <w:rPr>
          <w:sz w:val="20"/>
        </w:rPr>
      </w:pPr>
    </w:p>
    <w:p>
      <w:pPr>
        <w:pStyle w:val="BodyText"/>
        <w:spacing w:line="360" w:lineRule="auto" w:before="210"/>
        <w:ind w:left="102" w:right="116" w:firstLine="851"/>
        <w:jc w:val="both"/>
      </w:pPr>
      <w:r>
        <w:rPr/>
        <w:t>Dos 139 Municípios do Tocantins, apenas seis indicaram possuir PME, com base em uma pesquisa realizada pela Seduc e registrada no Projeto de apoio para </w:t>
      </w:r>
      <w:r>
        <w:rPr>
          <w:spacing w:val="-1"/>
          <w:w w:val="100"/>
        </w:rPr>
        <w:t>a</w:t>
      </w:r>
      <w:r>
        <w:rPr>
          <w:w w:val="100"/>
        </w:rPr>
        <w:t>d</w:t>
      </w:r>
      <w:r>
        <w:rPr>
          <w:spacing w:val="-1"/>
          <w:w w:val="100"/>
        </w:rPr>
        <w:t>e</w:t>
      </w:r>
      <w:r>
        <w:rPr>
          <w:w w:val="100"/>
        </w:rPr>
        <w:t>qu</w:t>
      </w:r>
      <w:r>
        <w:rPr>
          <w:spacing w:val="1"/>
          <w:w w:val="100"/>
        </w:rPr>
        <w:t>a</w:t>
      </w:r>
      <w:r>
        <w:rPr>
          <w:spacing w:val="-1"/>
          <w:w w:val="100"/>
        </w:rPr>
        <w:t>çã</w:t>
      </w:r>
      <w:r>
        <w:rPr/>
        <w:t>o </w:t>
      </w:r>
      <w:r>
        <w:rPr>
          <w:spacing w:val="-22"/>
        </w:rPr>
        <w:t> </w:t>
      </w:r>
      <w:r>
        <w:rPr>
          <w:spacing w:val="-1"/>
          <w:w w:val="100"/>
        </w:rPr>
        <w:t>e</w:t>
      </w:r>
      <w:r>
        <w:rPr>
          <w:w w:val="100"/>
        </w:rPr>
        <w:t>/ou</w:t>
      </w:r>
      <w:r>
        <w:rPr/>
        <w:t> </w:t>
      </w:r>
      <w:r>
        <w:rPr>
          <w:spacing w:val="-24"/>
        </w:rPr>
        <w:t> </w:t>
      </w:r>
      <w:r>
        <w:rPr>
          <w:spacing w:val="-1"/>
          <w:w w:val="100"/>
        </w:rPr>
        <w:t>e</w:t>
      </w:r>
      <w:r>
        <w:rPr>
          <w:w w:val="100"/>
        </w:rPr>
        <w:t>labor</w:t>
      </w:r>
      <w:r>
        <w:rPr>
          <w:spacing w:val="-1"/>
          <w:w w:val="100"/>
        </w:rPr>
        <w:t>a</w:t>
      </w:r>
      <w:r>
        <w:rPr>
          <w:spacing w:val="1"/>
          <w:w w:val="100"/>
        </w:rPr>
        <w:t>ç</w:t>
      </w:r>
      <w:r>
        <w:rPr>
          <w:spacing w:val="-1"/>
          <w:w w:val="100"/>
        </w:rPr>
        <w:t>ã</w:t>
      </w:r>
      <w:r>
        <w:rPr/>
        <w:t>o </w:t>
      </w:r>
      <w:r>
        <w:rPr>
          <w:spacing w:val="-25"/>
        </w:rPr>
        <w:t> </w:t>
      </w:r>
      <w:r>
        <w:rPr>
          <w:w w:val="99"/>
        </w:rPr>
        <w:t>dos</w:t>
      </w:r>
      <w:r>
        <w:rPr/>
        <w:t> </w:t>
      </w:r>
      <w:r>
        <w:rPr>
          <w:spacing w:val="-24"/>
        </w:rPr>
        <w:t> </w:t>
      </w:r>
      <w:r>
        <w:rPr>
          <w:w w:val="99"/>
        </w:rPr>
        <w:t>P</w:t>
      </w:r>
      <w:r>
        <w:rPr>
          <w:w w:val="100"/>
        </w:rPr>
        <w:t>lanos </w:t>
      </w:r>
      <w:r>
        <w:rPr>
          <w:spacing w:val="-25"/>
          <w:w w:val="100"/>
        </w:rPr>
        <w:t> </w:t>
      </w:r>
      <w:r>
        <w:rPr>
          <w:w w:val="99"/>
        </w:rPr>
        <w:t>P</w:t>
      </w:r>
      <w:r>
        <w:rPr>
          <w:w w:val="100"/>
        </w:rPr>
        <w:t>EE</w:t>
      </w:r>
      <w:r>
        <w:rPr/>
        <w:t> </w:t>
      </w:r>
      <w:r>
        <w:rPr>
          <w:spacing w:val="-25"/>
        </w:rPr>
        <w:t> </w:t>
      </w:r>
      <w:r>
        <w:rPr>
          <w:w w:val="100"/>
        </w:rPr>
        <w:t>e</w:t>
      </w:r>
      <w:r>
        <w:rPr/>
        <w:t> </w:t>
      </w:r>
      <w:r>
        <w:rPr>
          <w:spacing w:val="-26"/>
        </w:rPr>
        <w:t> </w:t>
      </w:r>
      <w:r>
        <w:rPr>
          <w:spacing w:val="3"/>
          <w:w w:val="99"/>
        </w:rPr>
        <w:t>P</w:t>
      </w:r>
      <w:r>
        <w:rPr>
          <w:w w:val="99"/>
        </w:rPr>
        <w:t>MEs </w:t>
      </w:r>
      <w:r>
        <w:rPr>
          <w:spacing w:val="-24"/>
          <w:w w:val="99"/>
        </w:rPr>
        <w:t> </w:t>
      </w:r>
      <w:r>
        <w:rPr>
          <w:w w:val="99"/>
        </w:rPr>
        <w:t>no </w:t>
      </w:r>
      <w:r>
        <w:rPr>
          <w:spacing w:val="-25"/>
          <w:w w:val="99"/>
        </w:rPr>
        <w:t> </w:t>
      </w:r>
      <w:r>
        <w:rPr>
          <w:w w:val="100"/>
        </w:rPr>
        <w:t>To</w:t>
      </w:r>
      <w:r>
        <w:rPr>
          <w:spacing w:val="-2"/>
          <w:w w:val="100"/>
        </w:rPr>
        <w:t>c</w:t>
      </w:r>
      <w:r>
        <w:rPr>
          <w:spacing w:val="-1"/>
          <w:w w:val="100"/>
        </w:rPr>
        <w:t>a</w:t>
      </w:r>
      <w:r>
        <w:rPr>
          <w:w w:val="100"/>
        </w:rPr>
        <w:t>nti</w:t>
      </w:r>
      <w:r>
        <w:rPr>
          <w:w w:val="99"/>
        </w:rPr>
        <w:t>ns,</w:t>
      </w:r>
      <w:r>
        <w:rPr/>
        <w:t> </w:t>
      </w:r>
      <w:r>
        <w:rPr>
          <w:spacing w:val="-24"/>
        </w:rPr>
        <w:t> </w:t>
      </w:r>
      <w:r>
        <w:rPr/>
        <w:t>o </w:t>
      </w:r>
      <w:r>
        <w:rPr>
          <w:spacing w:val="-25"/>
        </w:rPr>
        <w:t> </w:t>
      </w:r>
      <w:r>
        <w:rPr>
          <w:spacing w:val="-1"/>
          <w:w w:val="44"/>
        </w:rPr>
        <w:t>―</w:t>
      </w:r>
      <w:r>
        <w:rPr>
          <w:spacing w:val="1"/>
          <w:w w:val="99"/>
        </w:rPr>
        <w:t>[</w:t>
      </w:r>
      <w:r>
        <w:rPr>
          <w:spacing w:val="2"/>
          <w:w w:val="99"/>
        </w:rPr>
        <w:t>.</w:t>
      </w:r>
      <w:r>
        <w:rPr>
          <w:w w:val="99"/>
        </w:rPr>
        <w:t>..] </w:t>
      </w:r>
      <w:r>
        <w:rPr>
          <w:spacing w:val="-23"/>
          <w:w w:val="99"/>
        </w:rPr>
        <w:t> </w:t>
      </w:r>
      <w:r>
        <w:rPr>
          <w:w w:val="100"/>
        </w:rPr>
        <w:t>just</w:t>
      </w:r>
      <w:r>
        <w:rPr>
          <w:w w:val="100"/>
        </w:rPr>
        <w:t>ifica</w:t>
      </w:r>
      <w:r>
        <w:rPr/>
        <w:t> </w:t>
      </w:r>
      <w:r>
        <w:rPr>
          <w:spacing w:val="-26"/>
        </w:rPr>
        <w:t> </w:t>
      </w:r>
      <w:r>
        <w:rPr>
          <w:w w:val="100"/>
        </w:rPr>
        <w:t>a </w:t>
      </w:r>
      <w:r>
        <w:rPr/>
        <w:t>necessidade de formações continuadas para as equipes técnicas e acompanhamento sistemático do desenvolvimento dos trabalhos.‖ (TOCANTINS/SEDUC/UNDIME, 2014a, p.</w:t>
      </w:r>
      <w:r>
        <w:rPr>
          <w:spacing w:val="-3"/>
        </w:rPr>
        <w:t> </w:t>
      </w:r>
      <w:r>
        <w:rPr/>
        <w:t>6).</w:t>
      </w:r>
    </w:p>
    <w:p>
      <w:pPr>
        <w:pStyle w:val="BodyText"/>
        <w:spacing w:line="360" w:lineRule="auto" w:before="3"/>
        <w:ind w:left="102" w:right="124" w:firstLine="851"/>
        <w:jc w:val="both"/>
      </w:pPr>
      <w:r>
        <w:rPr/>
        <w:t>Neste sentido, a Assistência Técnica no Estado fica organizada em três etapas por meio de diálogos, formações e trabalho nos Municípios:</w:t>
      </w:r>
    </w:p>
    <w:p>
      <w:pPr>
        <w:pStyle w:val="BodyText"/>
        <w:spacing w:before="11"/>
        <w:rPr>
          <w:sz w:val="36"/>
        </w:rPr>
      </w:pPr>
    </w:p>
    <w:p>
      <w:pPr>
        <w:spacing w:before="0"/>
        <w:ind w:left="2370" w:right="0" w:firstLine="0"/>
        <w:jc w:val="both"/>
        <w:rPr>
          <w:b/>
          <w:sz w:val="20"/>
        </w:rPr>
      </w:pPr>
      <w:r>
        <w:rPr>
          <w:b/>
          <w:sz w:val="20"/>
        </w:rPr>
        <w:t>1ª etapa</w:t>
      </w:r>
    </w:p>
    <w:p>
      <w:pPr>
        <w:spacing w:line="278" w:lineRule="auto" w:before="29"/>
        <w:ind w:left="2370" w:right="119" w:firstLine="0"/>
        <w:jc w:val="left"/>
        <w:rPr>
          <w:b/>
          <w:sz w:val="20"/>
        </w:rPr>
      </w:pPr>
      <w:r>
        <w:rPr>
          <w:b/>
          <w:sz w:val="20"/>
        </w:rPr>
        <w:t>Contato, mobilização e motivação </w:t>
      </w:r>
      <w:r>
        <w:rPr>
          <w:sz w:val="20"/>
        </w:rPr>
        <w:t>de lideranças políticas e gestores(as) estadual e municipais de educação para a adequação e/ou elaboração dos planos estadual e municipais de educação, com vistas a participação popular. </w:t>
      </w:r>
      <w:r>
        <w:rPr>
          <w:b/>
          <w:sz w:val="20"/>
        </w:rPr>
        <w:t>2ª etapa</w:t>
      </w:r>
    </w:p>
    <w:p>
      <w:pPr>
        <w:spacing w:line="276" w:lineRule="auto" w:before="0"/>
        <w:ind w:left="2370" w:right="118" w:firstLine="0"/>
        <w:jc w:val="both"/>
        <w:rPr>
          <w:sz w:val="20"/>
        </w:rPr>
      </w:pPr>
      <w:r>
        <w:rPr>
          <w:b/>
          <w:sz w:val="20"/>
        </w:rPr>
        <w:t>Formação </w:t>
      </w:r>
      <w:r>
        <w:rPr>
          <w:sz w:val="20"/>
        </w:rPr>
        <w:t>de Técnicos Estaduais, Dirigentes e Técnicos Municipais de Educação sobre o significado e a importância da adequação e/ou elaboração dos Planos Estadual e Municipais de Educação, respectivamente, em consonância com os Planos Nacional e Estadual; Realização de Oficinas sobre: Elaboração da Análise Situacional; Elaboração do Texto Base; Realização de Consultas Públicas/Conferências de Educação; Financiamento da Educação e Elaboração do Projeto de Lei.</w:t>
      </w:r>
    </w:p>
    <w:p>
      <w:pPr>
        <w:spacing w:before="12"/>
        <w:ind w:left="2370" w:right="0" w:firstLine="0"/>
        <w:jc w:val="both"/>
        <w:rPr>
          <w:b/>
          <w:sz w:val="20"/>
        </w:rPr>
      </w:pPr>
      <w:r>
        <w:rPr>
          <w:b/>
          <w:sz w:val="20"/>
        </w:rPr>
        <w:t>3ª etapa</w:t>
      </w:r>
    </w:p>
    <w:p>
      <w:pPr>
        <w:spacing w:line="276" w:lineRule="auto" w:before="29"/>
        <w:ind w:left="2370" w:right="120" w:firstLine="0"/>
        <w:jc w:val="both"/>
        <w:rPr>
          <w:sz w:val="20"/>
        </w:rPr>
      </w:pPr>
      <w:r>
        <w:rPr>
          <w:b/>
          <w:sz w:val="20"/>
        </w:rPr>
        <w:t>Monitoramento in loco e apoio técnico a partir das demandas </w:t>
      </w:r>
      <w:r>
        <w:rPr>
          <w:sz w:val="20"/>
        </w:rPr>
        <w:t>das equipes estadual e municipais, de acordo com o andamento do processo (TOCANTINS/SEDUC/UNDIME, 2014a, p. 6). (Grifos nossos).</w:t>
      </w:r>
    </w:p>
    <w:p>
      <w:pPr>
        <w:pStyle w:val="BodyText"/>
        <w:rPr>
          <w:sz w:val="22"/>
        </w:rPr>
      </w:pPr>
    </w:p>
    <w:p>
      <w:pPr>
        <w:pStyle w:val="BodyText"/>
        <w:spacing w:line="360" w:lineRule="auto" w:before="159"/>
        <w:ind w:left="102" w:right="120" w:firstLine="851"/>
        <w:jc w:val="both"/>
      </w:pPr>
      <w:r>
        <w:rPr/>
        <w:t>A primeira etapa, para o Contato, a mobilização e a motivação de lideranças políticas e gestores estadual e municipais, acontece antes que todos os AEs fossem agregados à Rede, por meio das AEs Cleidiana Santana Parente e Rute Soares Rodrigues e continua após a apresentação dos AEs aos Municípios, por meio do Ofício nº 136, de 07 de agosto de 2014 (UNDIME, 2014b), o qual indica que os AEs Técnicos </w:t>
      </w:r>
      <w:r>
        <w:rPr>
          <w:spacing w:val="-1"/>
          <w:w w:val="100"/>
        </w:rPr>
        <w:t>e</w:t>
      </w:r>
      <w:r>
        <w:rPr>
          <w:w w:val="100"/>
        </w:rPr>
        <w:t>sta</w:t>
      </w:r>
      <w:r>
        <w:rPr>
          <w:spacing w:val="-1"/>
          <w:w w:val="100"/>
        </w:rPr>
        <w:t>r</w:t>
      </w:r>
      <w:r>
        <w:rPr>
          <w:w w:val="100"/>
        </w:rPr>
        <w:t>iam</w:t>
      </w:r>
      <w:r>
        <w:rPr>
          <w:spacing w:val="14"/>
        </w:rPr>
        <w:t> </w:t>
      </w:r>
      <w:r>
        <w:rPr>
          <w:spacing w:val="-1"/>
          <w:w w:val="100"/>
        </w:rPr>
        <w:t>e</w:t>
      </w:r>
      <w:r>
        <w:rPr>
          <w:w w:val="100"/>
        </w:rPr>
        <w:t>m</w:t>
      </w:r>
      <w:r>
        <w:rPr>
          <w:spacing w:val="14"/>
        </w:rPr>
        <w:t> </w:t>
      </w:r>
      <w:r>
        <w:rPr>
          <w:spacing w:val="-1"/>
          <w:w w:val="100"/>
        </w:rPr>
        <w:t>c</w:t>
      </w:r>
      <w:r>
        <w:rPr>
          <w:w w:val="100"/>
        </w:rPr>
        <w:t>ontato</w:t>
      </w:r>
      <w:r>
        <w:rPr>
          <w:spacing w:val="14"/>
        </w:rPr>
        <w:t> </w:t>
      </w:r>
      <w:r>
        <w:rPr>
          <w:w w:val="100"/>
        </w:rPr>
        <w:t>ma</w:t>
      </w:r>
      <w:r>
        <w:rPr>
          <w:spacing w:val="2"/>
          <w:w w:val="100"/>
        </w:rPr>
        <w:t>i</w:t>
      </w:r>
      <w:r>
        <w:rPr>
          <w:w w:val="99"/>
        </w:rPr>
        <w:t>s</w:t>
      </w:r>
      <w:r>
        <w:rPr>
          <w:spacing w:val="14"/>
        </w:rPr>
        <w:t> </w:t>
      </w:r>
      <w:r>
        <w:rPr>
          <w:w w:val="100"/>
        </w:rPr>
        <w:t>dir</w:t>
      </w:r>
      <w:r>
        <w:rPr>
          <w:spacing w:val="-2"/>
          <w:w w:val="100"/>
        </w:rPr>
        <w:t>e</w:t>
      </w:r>
      <w:r>
        <w:rPr>
          <w:w w:val="100"/>
        </w:rPr>
        <w:t>to</w:t>
      </w:r>
      <w:r>
        <w:rPr>
          <w:spacing w:val="14"/>
        </w:rPr>
        <w:t> </w:t>
      </w:r>
      <w:r>
        <w:rPr>
          <w:spacing w:val="-1"/>
          <w:w w:val="100"/>
        </w:rPr>
        <w:t>c</w:t>
      </w:r>
      <w:r>
        <w:rPr>
          <w:w w:val="100"/>
        </w:rPr>
        <w:t>om</w:t>
      </w:r>
      <w:r>
        <w:rPr>
          <w:spacing w:val="14"/>
        </w:rPr>
        <w:t> </w:t>
      </w:r>
      <w:r>
        <w:rPr>
          <w:w w:val="99"/>
        </w:rPr>
        <w:t>os</w:t>
      </w:r>
      <w:r>
        <w:rPr>
          <w:spacing w:val="14"/>
        </w:rPr>
        <w:t> </w:t>
      </w:r>
      <w:r>
        <w:rPr/>
        <w:t>Muni</w:t>
      </w:r>
      <w:r>
        <w:rPr>
          <w:spacing w:val="-1"/>
          <w:w w:val="100"/>
        </w:rPr>
        <w:t>c</w:t>
      </w:r>
      <w:r>
        <w:rPr>
          <w:w w:val="100"/>
        </w:rPr>
        <w:t>ípi</w:t>
      </w:r>
      <w:r>
        <w:rPr>
          <w:w w:val="99"/>
        </w:rPr>
        <w:t>os,</w:t>
      </w:r>
      <w:r>
        <w:rPr>
          <w:spacing w:val="14"/>
        </w:rPr>
        <w:t> </w:t>
      </w:r>
      <w:r>
        <w:rPr>
          <w:spacing w:val="-1"/>
          <w:w w:val="100"/>
        </w:rPr>
        <w:t>c</w:t>
      </w:r>
      <w:r>
        <w:rPr>
          <w:w w:val="100"/>
        </w:rPr>
        <w:t>om</w:t>
      </w:r>
      <w:r>
        <w:rPr>
          <w:spacing w:val="14"/>
        </w:rPr>
        <w:t> </w:t>
      </w:r>
      <w:r>
        <w:rPr/>
        <w:t>o</w:t>
      </w:r>
      <w:r>
        <w:rPr>
          <w:spacing w:val="14"/>
        </w:rPr>
        <w:t> </w:t>
      </w:r>
      <w:r>
        <w:rPr>
          <w:w w:val="100"/>
        </w:rPr>
        <w:t>objetivo</w:t>
      </w:r>
      <w:r>
        <w:rPr>
          <w:spacing w:val="14"/>
        </w:rPr>
        <w:t> </w:t>
      </w:r>
      <w:r>
        <w:rPr>
          <w:w w:val="100"/>
        </w:rPr>
        <w:t>de</w:t>
      </w:r>
      <w:r>
        <w:rPr>
          <w:spacing w:val="13"/>
        </w:rPr>
        <w:t> </w:t>
      </w:r>
      <w:r>
        <w:rPr>
          <w:spacing w:val="-1"/>
          <w:w w:val="44"/>
        </w:rPr>
        <w:t>―</w:t>
      </w:r>
      <w:r>
        <w:rPr>
          <w:spacing w:val="-1"/>
          <w:w w:val="100"/>
        </w:rPr>
        <w:t>ac</w:t>
      </w:r>
      <w:r>
        <w:rPr>
          <w:w w:val="100"/>
        </w:rPr>
        <w:t>ompanha</w:t>
      </w:r>
      <w:r>
        <w:rPr>
          <w:w w:val="99"/>
        </w:rPr>
        <w:t>r</w:t>
      </w:r>
      <w:r>
        <w:rPr>
          <w:spacing w:val="13"/>
          <w:w w:val="99"/>
        </w:rPr>
        <w:t> </w:t>
      </w:r>
      <w:r>
        <w:rPr>
          <w:w w:val="100"/>
        </w:rPr>
        <w:t>e </w:t>
      </w:r>
      <w:r>
        <w:rPr/>
        <w:t>orientar os trabalhos de adequação ou elaboração dos Planos Municipais. Cada Avaliador será responsável por um conjunto de Municípios</w:t>
      </w:r>
      <w:r>
        <w:rPr>
          <w:spacing w:val="32"/>
        </w:rPr>
        <w:t> </w:t>
      </w:r>
      <w:r>
        <w:rPr/>
        <w:t>[...]‖.</w:t>
      </w:r>
    </w:p>
    <w:p>
      <w:pPr>
        <w:pStyle w:val="BodyText"/>
        <w:spacing w:line="360" w:lineRule="auto" w:before="4"/>
        <w:ind w:left="102" w:right="119" w:firstLine="851"/>
        <w:jc w:val="both"/>
      </w:pPr>
      <w:r>
        <w:rPr/>
        <w:t>A segunda etapa, da Formaçãode Técnicos Estaduais, Dirigentes e Técnicos Municipais de Educação, conta com a participação da representante da SASE/MEC, Coordenadora Geral de Articulação com os Sistemas de Ensino, Rosilea Maria Roldi Wille, em 13 de maio de 2014, que explana acerca do trabalho a ser desenvolvido em torno da elaboração dos planos dos territórios e, também, a respeito da equipe de AEs</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0" w:lineRule="auto" w:before="210"/>
        <w:ind w:left="122" w:right="122"/>
        <w:jc w:val="both"/>
      </w:pPr>
      <w:r>
        <w:rPr/>
        <w:t>que, devido a nova cobertura do trabalho, ou seja, o atendimento a todos os Municípios, apresentando o novo desenho e dinâmica para o trabalho de apoio e orientação aos Municípios no Tocantins.</w:t>
      </w:r>
    </w:p>
    <w:p>
      <w:pPr>
        <w:pStyle w:val="BodyText"/>
        <w:spacing w:line="360" w:lineRule="auto" w:before="5"/>
        <w:ind w:left="122" w:right="118" w:firstLine="851"/>
        <w:jc w:val="both"/>
      </w:pPr>
      <w:r>
        <w:rPr/>
        <w:t>A terceira etapa, de Monitoramento </w:t>
      </w:r>
      <w:r>
        <w:rPr>
          <w:i/>
        </w:rPr>
        <w:t>in loco </w:t>
      </w:r>
      <w:r>
        <w:rPr/>
        <w:t>e apoio técnico a partir das demandas dos Municípios aos AEs, acontece por meio de formações e atendimentos individuais e/ou coletivos regionalizados de forma que cada Avaliador atendesse diretamente o Município sob sua responsabilidade, no período de novembro de 2014 a junho de 2015.</w:t>
      </w:r>
    </w:p>
    <w:p>
      <w:pPr>
        <w:pStyle w:val="BodyText"/>
        <w:spacing w:line="360" w:lineRule="auto" w:before="3"/>
        <w:ind w:left="122" w:right="119" w:firstLine="851"/>
        <w:jc w:val="both"/>
      </w:pPr>
      <w:r>
        <w:rPr/>
        <w:t>Todas as ações a serem desenvolvidas por cada AE são fundamentadas e estruturadas por um conjunto de documentos, elaborados pela equipe do Tocantins, de forma a orientar e apoiar os Municípios em relação às etapas apontadas no Caderno ‗O Plano Municipal de Educação: caderno de orientações‘.</w:t>
      </w:r>
    </w:p>
    <w:p>
      <w:pPr>
        <w:pStyle w:val="BodyText"/>
        <w:spacing w:line="360" w:lineRule="auto" w:before="3"/>
        <w:ind w:left="122" w:right="115" w:firstLine="851"/>
        <w:jc w:val="both"/>
      </w:pPr>
      <w:r>
        <w:rPr/>
        <w:t>O documento ‗Orientações e Cronograma: DME, Equipe Técnica e Comissão Municipal Representativa da Sociedade‘ (TOCANTINS/SEDUC/UNDIME, 2014b)apresenta aspectos importantes sobre o PME e, também, define um cronograma para realização de todas as etapas do trabalho: 1. Instituir comissão e equipe técnica – Momento em que as equipes serão reafirmadas e/ou criadas – até 30/10/2014; 2. Coletar os dados e as informações sobre a oferta e a demanda educacional do Município para o diagnóstico e sistematizar o documento base com diretrizes, objetivos, metas e estratégias – até 30/11/2014; 3. Realizar a consulta pública – entre janeiro e março de 2015; 4. Discutir e validar o documento base – até abril de 2015; 5. Redigir o projeto de lei – até maio de 2015 e 6. Acompanhar a tramitação do projeto de lei na câmara municipal e a sanção da lei pelo prefeito – entre maio e junho de 2015.</w:t>
      </w:r>
    </w:p>
    <w:p>
      <w:pPr>
        <w:pStyle w:val="BodyText"/>
        <w:spacing w:line="360" w:lineRule="auto" w:before="5"/>
        <w:ind w:left="122" w:right="119" w:firstLine="851"/>
        <w:jc w:val="both"/>
      </w:pPr>
      <w:r>
        <w:rPr/>
        <w:t>Contudo, como AEs Técnicos temos informações que o referido cronograma foi alterado várias vezes em uma tentativa de acomodar o andamento do processo, tendo em vista que diversos Municípios se encontravam em atraso em relação aos cronogramas</w:t>
      </w:r>
      <w:r>
        <w:rPr>
          <w:spacing w:val="-7"/>
        </w:rPr>
        <w:t> </w:t>
      </w:r>
      <w:r>
        <w:rPr/>
        <w:t>anteriores.</w:t>
      </w:r>
    </w:p>
    <w:p>
      <w:pPr>
        <w:pStyle w:val="BodyText"/>
        <w:spacing w:line="282" w:lineRule="exact"/>
        <w:ind w:left="122" w:firstLine="851"/>
        <w:jc w:val="both"/>
      </w:pPr>
      <w:r>
        <w:rPr/>
        <w:t>O documento ‗Relação de Municípios participantes das formações</w:t>
      </w:r>
      <w:r>
        <w:rPr>
          <w:position w:val="11"/>
          <w:sz w:val="16"/>
        </w:rPr>
        <w:t>26  </w:t>
      </w:r>
      <w:r>
        <w:rPr/>
        <w:t>por  polo‘</w:t>
      </w:r>
    </w:p>
    <w:p>
      <w:pPr>
        <w:pStyle w:val="BodyText"/>
        <w:spacing w:line="360" w:lineRule="auto" w:before="138"/>
        <w:ind w:left="122" w:right="119"/>
        <w:jc w:val="both"/>
      </w:pPr>
      <w:r>
        <w:rPr/>
        <w:t>(TOCANTINS/SEDUC/UNDIME, 2014c) apresenta a programação de formação a ser promovida pelos AEs Técnicos nos respectivos polos, ou seja, nas Regionais de Ensino do Tocantins, as quais aconteceram nos meses de outubro e novembro do ano de 2014 e também nos meses de fevereiro, março e abril do ano de 2015.</w:t>
      </w:r>
    </w:p>
    <w:p>
      <w:pPr>
        <w:pStyle w:val="BodyText"/>
        <w:spacing w:before="2"/>
        <w:rPr>
          <w:sz w:val="13"/>
        </w:rPr>
      </w:pPr>
      <w:r>
        <w:rPr/>
        <w:pict>
          <v:line style="position:absolute;mso-position-horizontal-relative:page;mso-position-vertical-relative:paragraph;z-index:1960;mso-wrap-distance-left:0;mso-wrap-distance-right:0" from="85.103996pt,9.946832pt" to="229.123996pt,9.946832pt" stroked="true" strokeweight=".71997pt" strokecolor="#000000">
            <v:stroke dashstyle="solid"/>
            <w10:wrap type="topAndBottom"/>
          </v:line>
        </w:pict>
      </w:r>
    </w:p>
    <w:p>
      <w:pPr>
        <w:spacing w:before="42"/>
        <w:ind w:left="122" w:right="32" w:firstLine="0"/>
        <w:jc w:val="left"/>
        <w:rPr>
          <w:sz w:val="20"/>
        </w:rPr>
      </w:pPr>
      <w:r>
        <w:rPr>
          <w:position w:val="9"/>
          <w:sz w:val="13"/>
        </w:rPr>
        <w:t>26 </w:t>
      </w:r>
      <w:r>
        <w:rPr>
          <w:sz w:val="20"/>
        </w:rPr>
        <w:t>A despeito da expressão formação, nestes encontros os AEs realizam várias outras atividades como consta do documento Orientações Gerais aos Avaliadores Educacionais (BRASIL, 2013).</w:t>
      </w:r>
    </w:p>
    <w:p>
      <w:pPr>
        <w:spacing w:after="0"/>
        <w:jc w:val="left"/>
        <w:rPr>
          <w:sz w:val="20"/>
        </w:rPr>
        <w:sectPr>
          <w:pgSz w:w="11910" w:h="16840"/>
          <w:pgMar w:header="749" w:footer="0" w:top="960" w:bottom="280" w:left="1580" w:right="1580"/>
        </w:sectPr>
      </w:pPr>
    </w:p>
    <w:p>
      <w:pPr>
        <w:pStyle w:val="BodyText"/>
        <w:rPr>
          <w:sz w:val="20"/>
        </w:rPr>
      </w:pPr>
    </w:p>
    <w:p>
      <w:pPr>
        <w:pStyle w:val="BodyText"/>
        <w:spacing w:line="360" w:lineRule="auto" w:before="210"/>
        <w:ind w:left="102" w:right="120" w:firstLine="851"/>
        <w:jc w:val="both"/>
      </w:pPr>
      <w:r>
        <w:rPr/>
        <w:t>Para as formações e outras ações de assitência técnica, que aconteceram entre outubro e novembro de 2014, de acordo com o documento ‗Relação de Municípios participantes das formações por polo‘ (TOCANTINS/SEDUC/UNDIME, 2014c), apreendemos dois movimentos específicos, tendo em vista o perfil dos Municípios neste período, ou seja, ainda, em sua maioria, iniciando os trabalhos. Assim, para todos  os seis AEs, dos três dias de trabalho, o primeiro dedica-se àqueles Municípios sem Comissão Representativa da Sociedade e Equipe Técnica instituídas e, o segundo e terceiro dias, para o desenvolvimento de outras etapas como orientações sobre o diagnóstico e o documento-base:</w:t>
      </w:r>
    </w:p>
    <w:p>
      <w:pPr>
        <w:pStyle w:val="BodyText"/>
        <w:spacing w:before="11"/>
        <w:rPr>
          <w:sz w:val="36"/>
        </w:rPr>
      </w:pPr>
    </w:p>
    <w:p>
      <w:pPr>
        <w:spacing w:line="276" w:lineRule="auto" w:before="0"/>
        <w:ind w:left="2370" w:right="123" w:firstLine="0"/>
        <w:jc w:val="both"/>
        <w:rPr>
          <w:b/>
          <w:sz w:val="20"/>
        </w:rPr>
      </w:pPr>
      <w:r>
        <w:rPr>
          <w:b/>
          <w:sz w:val="20"/>
        </w:rPr>
        <w:t>1º Dia: Municípios sem instituição da Comissão Representativa da Sociedade e Equipe Técnica.</w:t>
      </w:r>
    </w:p>
    <w:p>
      <w:pPr>
        <w:spacing w:line="276" w:lineRule="auto" w:before="0"/>
        <w:ind w:left="2370" w:right="121" w:firstLine="0"/>
        <w:jc w:val="both"/>
        <w:rPr>
          <w:sz w:val="20"/>
        </w:rPr>
      </w:pPr>
      <w:r>
        <w:rPr>
          <w:sz w:val="20"/>
        </w:rPr>
        <w:t>Pauta: Orientação sobre Formação da Comissão Representativa da Sociedade e sobre a Formação da Equipe Técnica; Levantamento das possíveis representações municipais, social e governamental, a comporem a comissão representativa da sociedade; Oficina: Elaborar minuta do documento de nomeação da Comissão Representativa da Sociedade e da Equipe Técnica;</w:t>
      </w:r>
    </w:p>
    <w:p>
      <w:pPr>
        <w:spacing w:before="9"/>
        <w:ind w:left="2370" w:right="0" w:firstLine="0"/>
        <w:jc w:val="both"/>
        <w:rPr>
          <w:b/>
          <w:sz w:val="20"/>
        </w:rPr>
      </w:pPr>
      <w:r>
        <w:rPr>
          <w:b/>
          <w:sz w:val="20"/>
        </w:rPr>
        <w:t>2º Dia: Todos os Municípios da Regional.</w:t>
      </w:r>
    </w:p>
    <w:p>
      <w:pPr>
        <w:spacing w:line="276" w:lineRule="auto" w:before="28"/>
        <w:ind w:left="2370" w:right="117" w:firstLine="0"/>
        <w:jc w:val="both"/>
        <w:rPr>
          <w:sz w:val="20"/>
        </w:rPr>
      </w:pPr>
      <w:r>
        <w:rPr>
          <w:sz w:val="20"/>
        </w:rPr>
        <w:t>Pauta: Levantamento do trabalho desenvolvido em cada Município (preenchimento de planilha georreferenciadora constando relato do trabalho desenvolvido); Orientação sobre o diagnóstico e o Documento-base; Levantamento de dados de um Município para realização da oficina;</w:t>
      </w:r>
    </w:p>
    <w:p>
      <w:pPr>
        <w:spacing w:before="7"/>
        <w:ind w:left="2370" w:right="0" w:firstLine="0"/>
        <w:jc w:val="both"/>
        <w:rPr>
          <w:b/>
          <w:sz w:val="20"/>
        </w:rPr>
      </w:pPr>
      <w:r>
        <w:rPr>
          <w:b/>
          <w:sz w:val="20"/>
        </w:rPr>
        <w:t>3º Dia: Todos os Municípios.</w:t>
      </w:r>
    </w:p>
    <w:p>
      <w:pPr>
        <w:spacing w:line="276" w:lineRule="auto" w:before="28"/>
        <w:ind w:left="2370" w:right="124" w:firstLine="0"/>
        <w:jc w:val="both"/>
        <w:rPr>
          <w:sz w:val="20"/>
        </w:rPr>
      </w:pPr>
      <w:r>
        <w:rPr>
          <w:sz w:val="20"/>
        </w:rPr>
        <w:t>Pauta: Oficina: Elaborar o diagnóstico de um Município; Oficina: Elaborar o documento-base de um Município; Atendimento individualizado sobre o diagnóstico e o documento-base. (TOCANTINS/SEDUC/UNDIME, 2014c).</w:t>
      </w:r>
    </w:p>
    <w:p>
      <w:pPr>
        <w:pStyle w:val="BodyText"/>
        <w:rPr>
          <w:sz w:val="22"/>
        </w:rPr>
      </w:pPr>
    </w:p>
    <w:p>
      <w:pPr>
        <w:pStyle w:val="BodyText"/>
        <w:rPr>
          <w:sz w:val="22"/>
        </w:rPr>
      </w:pPr>
    </w:p>
    <w:p>
      <w:pPr>
        <w:pStyle w:val="BodyText"/>
        <w:spacing w:before="10"/>
        <w:rPr>
          <w:sz w:val="27"/>
        </w:rPr>
      </w:pPr>
    </w:p>
    <w:p>
      <w:pPr>
        <w:pStyle w:val="ListParagraph"/>
        <w:numPr>
          <w:ilvl w:val="3"/>
          <w:numId w:val="25"/>
        </w:numPr>
        <w:tabs>
          <w:tab w:pos="823" w:val="left" w:leader="none"/>
        </w:tabs>
        <w:spacing w:line="240" w:lineRule="auto" w:before="0" w:after="0"/>
        <w:ind w:left="822" w:right="0" w:hanging="720"/>
        <w:jc w:val="left"/>
        <w:rPr>
          <w:i/>
          <w:sz w:val="24"/>
        </w:rPr>
      </w:pPr>
      <w:r>
        <w:rPr>
          <w:i/>
          <w:sz w:val="24"/>
        </w:rPr>
        <w:t>Ano de 2015: continuidade da Rede de Assistência</w:t>
      </w:r>
      <w:r>
        <w:rPr>
          <w:i/>
          <w:spacing w:val="-8"/>
          <w:sz w:val="24"/>
        </w:rPr>
        <w:t> </w:t>
      </w:r>
      <w:r>
        <w:rPr>
          <w:i/>
          <w:sz w:val="24"/>
        </w:rPr>
        <w:t>Técnica</w:t>
      </w:r>
    </w:p>
    <w:p>
      <w:pPr>
        <w:pStyle w:val="BodyText"/>
        <w:rPr>
          <w:i/>
          <w:sz w:val="26"/>
        </w:rPr>
      </w:pPr>
    </w:p>
    <w:p>
      <w:pPr>
        <w:pStyle w:val="BodyText"/>
        <w:spacing w:before="11"/>
        <w:rPr>
          <w:i/>
          <w:sz w:val="21"/>
        </w:rPr>
      </w:pPr>
    </w:p>
    <w:p>
      <w:pPr>
        <w:pStyle w:val="BodyText"/>
        <w:spacing w:line="360" w:lineRule="auto"/>
        <w:ind w:left="102" w:right="118" w:firstLine="851"/>
        <w:jc w:val="both"/>
      </w:pPr>
      <w:r>
        <w:rPr/>
        <w:t>No ano de 2015, continua a Rede de Assistência Técnica, e as formações e outras ações que acontecem entre fevereiro, março e abrilse dão de forma mais individualizada por cada AE e por Município. Isto é, no decorrer de três dias, cada Município  têm  entre  duas  e  três  horas  de  atendimento  individual,  para orientações</w:t>
      </w:r>
    </w:p>
    <w:p>
      <w:pPr>
        <w:pStyle w:val="BodyText"/>
        <w:spacing w:before="4"/>
        <w:ind w:left="102"/>
      </w:pPr>
      <w:r>
        <w:rPr>
          <w:spacing w:val="-1"/>
          <w:w w:val="44"/>
        </w:rPr>
        <w:t>―</w:t>
      </w:r>
      <w:r>
        <w:rPr>
          <w:w w:val="99"/>
        </w:rPr>
        <w:t>sobre</w:t>
      </w:r>
      <w:r>
        <w:rPr>
          <w:spacing w:val="-2"/>
          <w:w w:val="99"/>
        </w:rPr>
        <w:t> </w:t>
      </w:r>
      <w:r>
        <w:rPr>
          <w:w w:val="100"/>
        </w:rPr>
        <w:t>a</w:t>
      </w:r>
      <w:r>
        <w:rPr>
          <w:spacing w:val="1"/>
        </w:rPr>
        <w:t> </w:t>
      </w:r>
      <w:r>
        <w:rPr>
          <w:spacing w:val="-1"/>
          <w:w w:val="100"/>
        </w:rPr>
        <w:t>e</w:t>
      </w:r>
      <w:r>
        <w:rPr>
          <w:w w:val="100"/>
        </w:rPr>
        <w:t>labor</w:t>
      </w:r>
      <w:r>
        <w:rPr>
          <w:spacing w:val="-1"/>
          <w:w w:val="100"/>
        </w:rPr>
        <w:t>açã</w:t>
      </w:r>
      <w:r>
        <w:rPr/>
        <w:t>o do </w:t>
      </w:r>
      <w:r>
        <w:rPr>
          <w:w w:val="100"/>
        </w:rPr>
        <w:t>d</w:t>
      </w:r>
      <w:r>
        <w:rPr>
          <w:spacing w:val="2"/>
          <w:w w:val="100"/>
        </w:rPr>
        <w:t>i</w:t>
      </w:r>
      <w:r>
        <w:rPr>
          <w:spacing w:val="-1"/>
          <w:w w:val="100"/>
        </w:rPr>
        <w:t>a</w:t>
      </w:r>
      <w:r>
        <w:rPr>
          <w:spacing w:val="-3"/>
        </w:rPr>
        <w:t>g</w:t>
      </w:r>
      <w:r>
        <w:rPr/>
        <w:t>nóst</w:t>
      </w:r>
      <w:r>
        <w:rPr>
          <w:w w:val="100"/>
        </w:rPr>
        <w:t>ico</w:t>
      </w:r>
      <w:r>
        <w:rPr>
          <w:spacing w:val="1"/>
        </w:rPr>
        <w:t> </w:t>
      </w:r>
      <w:r>
        <w:rPr>
          <w:w w:val="100"/>
        </w:rPr>
        <w:t>e</w:t>
      </w:r>
      <w:r>
        <w:rPr>
          <w:spacing w:val="-1"/>
        </w:rPr>
        <w:t> </w:t>
      </w:r>
      <w:r>
        <w:rPr/>
        <w:t>do Do</w:t>
      </w:r>
      <w:r>
        <w:rPr>
          <w:spacing w:val="-2"/>
        </w:rPr>
        <w:t>c</w:t>
      </w:r>
      <w:r>
        <w:rPr>
          <w:w w:val="100"/>
        </w:rPr>
        <w:t>umen</w:t>
      </w:r>
      <w:r>
        <w:rPr>
          <w:spacing w:val="2"/>
          <w:w w:val="100"/>
        </w:rPr>
        <w:t>t</w:t>
      </w:r>
      <w:r>
        <w:rPr>
          <w:spacing w:val="2"/>
        </w:rPr>
        <w:t>o</w:t>
      </w:r>
      <w:r>
        <w:rPr>
          <w:spacing w:val="-1"/>
        </w:rPr>
        <w:t>-</w:t>
      </w:r>
      <w:r>
        <w:rPr>
          <w:spacing w:val="-2"/>
        </w:rPr>
        <w:t>B</w:t>
      </w:r>
      <w:r>
        <w:rPr>
          <w:spacing w:val="-1"/>
          <w:w w:val="100"/>
        </w:rPr>
        <w:t>a</w:t>
      </w:r>
      <w:r>
        <w:rPr>
          <w:spacing w:val="2"/>
          <w:w w:val="99"/>
        </w:rPr>
        <w:t>s</w:t>
      </w:r>
      <w:r>
        <w:rPr>
          <w:spacing w:val="-1"/>
          <w:w w:val="100"/>
        </w:rPr>
        <w:t>e</w:t>
      </w:r>
      <w:r>
        <w:rPr>
          <w:w w:val="158"/>
        </w:rPr>
        <w:t>‖</w:t>
      </w:r>
      <w:r>
        <w:rPr>
          <w:spacing w:val="-1"/>
        </w:rPr>
        <w:t> </w:t>
      </w:r>
      <w:r>
        <w:rPr>
          <w:spacing w:val="1"/>
        </w:rPr>
        <w:t>(</w:t>
      </w:r>
      <w:r>
        <w:rPr>
          <w:w w:val="99"/>
        </w:rPr>
        <w:t>U</w:t>
      </w:r>
      <w:r>
        <w:rPr>
          <w:spacing w:val="-1"/>
          <w:w w:val="99"/>
        </w:rPr>
        <w:t>N</w:t>
      </w:r>
      <w:r>
        <w:rPr>
          <w:spacing w:val="1"/>
          <w:w w:val="99"/>
        </w:rPr>
        <w:t>D</w:t>
      </w:r>
      <w:r>
        <w:rPr>
          <w:spacing w:val="-4"/>
          <w:w w:val="99"/>
        </w:rPr>
        <w:t>I</w:t>
      </w:r>
      <w:r>
        <w:rPr>
          <w:w w:val="99"/>
        </w:rPr>
        <w:t>M</w:t>
      </w:r>
      <w:r>
        <w:rPr>
          <w:spacing w:val="3"/>
          <w:w w:val="99"/>
        </w:rPr>
        <w:t>E</w:t>
      </w:r>
      <w:r>
        <w:rPr>
          <w:spacing w:val="-1"/>
          <w:w w:val="99"/>
        </w:rPr>
        <w:t>-</w:t>
      </w:r>
      <w:r>
        <w:rPr>
          <w:w w:val="99"/>
        </w:rPr>
        <w:t>TO,</w:t>
      </w:r>
      <w:r>
        <w:rPr>
          <w:spacing w:val="1"/>
          <w:w w:val="99"/>
        </w:rPr>
        <w:t> </w:t>
      </w:r>
      <w:r>
        <w:rPr>
          <w:w w:val="99"/>
        </w:rPr>
        <w:t>2015</w:t>
      </w:r>
      <w:r>
        <w:rPr>
          <w:spacing w:val="-1"/>
          <w:w w:val="99"/>
        </w:rPr>
        <w:t>a</w:t>
      </w:r>
      <w:r>
        <w:rPr>
          <w:w w:val="99"/>
        </w:rPr>
        <w:t>, </w:t>
      </w:r>
      <w:r>
        <w:rPr>
          <w:w w:val="99"/>
        </w:rPr>
        <w:t>s/</w:t>
      </w:r>
      <w:r>
        <w:rPr>
          <w:spacing w:val="1"/>
          <w:w w:val="99"/>
        </w:rPr>
        <w:t>p</w:t>
      </w:r>
      <w:r>
        <w:rPr>
          <w:spacing w:val="-1"/>
          <w:w w:val="99"/>
        </w:rPr>
        <w:t>).</w:t>
      </w:r>
    </w:p>
    <w:p>
      <w:pPr>
        <w:pStyle w:val="BodyText"/>
        <w:spacing w:line="360" w:lineRule="auto" w:before="139"/>
        <w:ind w:left="102" w:right="121" w:firstLine="851"/>
        <w:jc w:val="both"/>
      </w:pPr>
      <w:r>
        <w:rPr/>
        <w:t>No decorrer do trabalho, nos anos de 2014 e 2015, boa parte do contato e das informações foram mediadas por tecnologias de informação e comunicação, sobretudo </w:t>
      </w:r>
      <w:r>
        <w:rPr>
          <w:i/>
        </w:rPr>
        <w:t>e</w:t>
      </w:r>
      <w:r>
        <w:rPr/>
        <w:t>-</w:t>
      </w:r>
      <w:r>
        <w:rPr>
          <w:i/>
        </w:rPr>
        <w:t>mail </w:t>
      </w:r>
      <w:r>
        <w:rPr/>
        <w:t>e </w:t>
      </w:r>
      <w:r>
        <w:rPr>
          <w:i/>
        </w:rPr>
        <w:t>whatsapp</w:t>
      </w:r>
      <w:r>
        <w:rPr/>
        <w:t>. Ainda, os AEs do Tocantins se reuniram, aproximadamente, oito vezes:</w:t>
      </w:r>
    </w:p>
    <w:p>
      <w:pPr>
        <w:spacing w:after="0" w:line="360" w:lineRule="auto"/>
        <w:jc w:val="both"/>
        <w:sectPr>
          <w:headerReference w:type="default" r:id="rId62"/>
          <w:pgSz w:w="11910" w:h="16840"/>
          <w:pgMar w:header="749" w:footer="0" w:top="960" w:bottom="280" w:left="1600" w:right="1580"/>
          <w:pgNumType w:start="120"/>
        </w:sectPr>
      </w:pPr>
    </w:p>
    <w:p>
      <w:pPr>
        <w:pStyle w:val="BodyText"/>
        <w:rPr>
          <w:sz w:val="20"/>
        </w:rPr>
      </w:pPr>
    </w:p>
    <w:p>
      <w:pPr>
        <w:pStyle w:val="ListParagraph"/>
        <w:numPr>
          <w:ilvl w:val="0"/>
          <w:numId w:val="37"/>
        </w:numPr>
        <w:tabs>
          <w:tab w:pos="1130" w:val="left" w:leader="none"/>
        </w:tabs>
        <w:spacing w:line="360" w:lineRule="auto" w:before="210" w:after="0"/>
        <w:ind w:left="122" w:right="120" w:firstLine="852"/>
        <w:jc w:val="both"/>
        <w:rPr>
          <w:sz w:val="24"/>
        </w:rPr>
      </w:pPr>
      <w:r>
        <w:rPr>
          <w:sz w:val="24"/>
        </w:rPr>
        <w:t>uma vez nas dependências do Conselho Estadual de Educação do Tocantins, para iniciar a adequação do segundo Projeto de Apoio para Adequação e/ou Elaboração dos Planos de Educação Estadual e Municipais no</w:t>
      </w:r>
      <w:r>
        <w:rPr>
          <w:spacing w:val="-9"/>
          <w:sz w:val="24"/>
        </w:rPr>
        <w:t> </w:t>
      </w:r>
      <w:r>
        <w:rPr>
          <w:sz w:val="24"/>
        </w:rPr>
        <w:t>Tocantins;</w:t>
      </w:r>
    </w:p>
    <w:p>
      <w:pPr>
        <w:pStyle w:val="ListParagraph"/>
        <w:numPr>
          <w:ilvl w:val="0"/>
          <w:numId w:val="37"/>
        </w:numPr>
        <w:tabs>
          <w:tab w:pos="1114" w:val="left" w:leader="none"/>
        </w:tabs>
        <w:spacing w:line="240" w:lineRule="auto" w:before="5" w:after="0"/>
        <w:ind w:left="1113" w:right="0" w:hanging="139"/>
        <w:jc w:val="left"/>
        <w:rPr>
          <w:sz w:val="24"/>
        </w:rPr>
      </w:pPr>
      <w:r>
        <w:rPr>
          <w:sz w:val="24"/>
        </w:rPr>
        <w:t>três vezes na Seduc, para continuar a adequar do referido</w:t>
      </w:r>
      <w:r>
        <w:rPr>
          <w:spacing w:val="-9"/>
          <w:sz w:val="24"/>
        </w:rPr>
        <w:t> </w:t>
      </w:r>
      <w:r>
        <w:rPr>
          <w:sz w:val="24"/>
        </w:rPr>
        <w:t>Projeto;</w:t>
      </w:r>
    </w:p>
    <w:p>
      <w:pPr>
        <w:pStyle w:val="ListParagraph"/>
        <w:numPr>
          <w:ilvl w:val="0"/>
          <w:numId w:val="37"/>
        </w:numPr>
        <w:tabs>
          <w:tab w:pos="1198" w:val="left" w:leader="none"/>
        </w:tabs>
        <w:spacing w:line="360" w:lineRule="auto" w:before="136" w:after="0"/>
        <w:ind w:left="122" w:right="122" w:firstLine="852"/>
        <w:jc w:val="both"/>
        <w:rPr>
          <w:sz w:val="24"/>
        </w:rPr>
      </w:pPr>
      <w:r>
        <w:rPr>
          <w:sz w:val="24"/>
        </w:rPr>
        <w:t>uma vez no Anexo da Seduc, para informações acerca do trabalho e pagamento do auxílio dos</w:t>
      </w:r>
      <w:r>
        <w:rPr>
          <w:spacing w:val="-3"/>
          <w:sz w:val="24"/>
        </w:rPr>
        <w:t> </w:t>
      </w:r>
      <w:r>
        <w:rPr>
          <w:sz w:val="24"/>
        </w:rPr>
        <w:t>AEs;</w:t>
      </w:r>
    </w:p>
    <w:p>
      <w:pPr>
        <w:pStyle w:val="ListParagraph"/>
        <w:numPr>
          <w:ilvl w:val="0"/>
          <w:numId w:val="37"/>
        </w:numPr>
        <w:tabs>
          <w:tab w:pos="1116" w:val="left" w:leader="none"/>
        </w:tabs>
        <w:spacing w:line="360" w:lineRule="auto" w:before="3" w:after="0"/>
        <w:ind w:left="122" w:right="122" w:firstLine="852"/>
        <w:jc w:val="both"/>
        <w:rPr>
          <w:sz w:val="24"/>
        </w:rPr>
      </w:pPr>
      <w:r>
        <w:rPr>
          <w:sz w:val="24"/>
        </w:rPr>
        <w:t>uma vez na Universidade Federal do Tocantins (UFT), para acompanhamento dos</w:t>
      </w:r>
      <w:r>
        <w:rPr>
          <w:spacing w:val="-4"/>
          <w:sz w:val="24"/>
        </w:rPr>
        <w:t> </w:t>
      </w:r>
      <w:r>
        <w:rPr>
          <w:sz w:val="24"/>
        </w:rPr>
        <w:t>trabalhos;</w:t>
      </w:r>
    </w:p>
    <w:p>
      <w:pPr>
        <w:pStyle w:val="ListParagraph"/>
        <w:numPr>
          <w:ilvl w:val="0"/>
          <w:numId w:val="37"/>
        </w:numPr>
        <w:tabs>
          <w:tab w:pos="1114" w:val="left" w:leader="none"/>
        </w:tabs>
        <w:spacing w:line="240" w:lineRule="auto" w:before="3" w:after="0"/>
        <w:ind w:left="1113" w:right="0" w:hanging="139"/>
        <w:jc w:val="left"/>
        <w:rPr>
          <w:sz w:val="24"/>
        </w:rPr>
      </w:pPr>
      <w:r>
        <w:rPr>
          <w:sz w:val="24"/>
        </w:rPr>
        <w:t>uma vez na Undime, para avaliação dos trabalhos realizados no ano de</w:t>
      </w:r>
      <w:r>
        <w:rPr>
          <w:spacing w:val="-8"/>
          <w:sz w:val="24"/>
        </w:rPr>
        <w:t> </w:t>
      </w:r>
      <w:r>
        <w:rPr>
          <w:sz w:val="24"/>
        </w:rPr>
        <w:t>2014;</w:t>
      </w:r>
    </w:p>
    <w:p>
      <w:pPr>
        <w:pStyle w:val="ListParagraph"/>
        <w:numPr>
          <w:ilvl w:val="0"/>
          <w:numId w:val="37"/>
        </w:numPr>
        <w:tabs>
          <w:tab w:pos="1116" w:val="left" w:leader="none"/>
        </w:tabs>
        <w:spacing w:line="360" w:lineRule="auto" w:before="139" w:after="0"/>
        <w:ind w:left="122" w:right="125" w:firstLine="852"/>
        <w:jc w:val="both"/>
        <w:rPr>
          <w:sz w:val="24"/>
        </w:rPr>
      </w:pPr>
      <w:r>
        <w:rPr>
          <w:sz w:val="24"/>
        </w:rPr>
        <w:t>uma vez com o Secretário de Estado da Educação, para discutir a continuação dos AEs no</w:t>
      </w:r>
      <w:r>
        <w:rPr>
          <w:spacing w:val="-4"/>
          <w:sz w:val="24"/>
        </w:rPr>
        <w:t> </w:t>
      </w:r>
      <w:r>
        <w:rPr>
          <w:sz w:val="24"/>
        </w:rPr>
        <w:t>Tocantins.</w:t>
      </w:r>
    </w:p>
    <w:p>
      <w:pPr>
        <w:pStyle w:val="BodyText"/>
        <w:spacing w:line="352" w:lineRule="auto" w:before="6"/>
        <w:ind w:left="122" w:right="118" w:firstLine="851"/>
        <w:jc w:val="both"/>
      </w:pPr>
      <w:r>
        <w:rPr/>
        <w:t>Dessa dinâmica de trabalho, os relatórios quinzenais ou mensais, elaborados  por cada AE, demonstram os resultados parciais indicando o avanço, ou não, de etapas pelos Municípios e, também, o que fora realizado no período como assistência técnica. Ainda, diariamente, os dados são inseridos no Sistema Integrado de Monitoramento Execução e Controle do Ministério da Educação (SiMEC)</w:t>
      </w:r>
      <w:r>
        <w:rPr>
          <w:position w:val="11"/>
          <w:sz w:val="16"/>
        </w:rPr>
        <w:t>27 </w:t>
      </w:r>
      <w:r>
        <w:rPr/>
        <w:t>por meio do Coordenador Geral</w:t>
      </w:r>
      <w:r>
        <w:rPr>
          <w:spacing w:val="24"/>
        </w:rPr>
        <w:t> </w:t>
      </w:r>
      <w:r>
        <w:rPr/>
        <w:t>no</w:t>
      </w:r>
      <w:r>
        <w:rPr>
          <w:spacing w:val="24"/>
        </w:rPr>
        <w:t> </w:t>
      </w:r>
      <w:r>
        <w:rPr/>
        <w:t>Estado,</w:t>
      </w:r>
      <w:r>
        <w:rPr>
          <w:spacing w:val="23"/>
        </w:rPr>
        <w:t> </w:t>
      </w:r>
      <w:r>
        <w:rPr/>
        <w:t>de</w:t>
      </w:r>
      <w:r>
        <w:rPr>
          <w:spacing w:val="23"/>
        </w:rPr>
        <w:t> </w:t>
      </w:r>
      <w:r>
        <w:rPr/>
        <w:t>forma</w:t>
      </w:r>
      <w:r>
        <w:rPr>
          <w:spacing w:val="23"/>
        </w:rPr>
        <w:t> </w:t>
      </w:r>
      <w:r>
        <w:rPr/>
        <w:t>que</w:t>
      </w:r>
      <w:r>
        <w:rPr>
          <w:spacing w:val="23"/>
        </w:rPr>
        <w:t> </w:t>
      </w:r>
      <w:r>
        <w:rPr/>
        <w:t>o</w:t>
      </w:r>
      <w:r>
        <w:rPr>
          <w:spacing w:val="24"/>
        </w:rPr>
        <w:t> </w:t>
      </w:r>
      <w:r>
        <w:rPr/>
        <w:t>processo</w:t>
      </w:r>
      <w:r>
        <w:rPr>
          <w:spacing w:val="24"/>
        </w:rPr>
        <w:t> </w:t>
      </w:r>
      <w:r>
        <w:rPr/>
        <w:t>possa</w:t>
      </w:r>
      <w:r>
        <w:rPr>
          <w:spacing w:val="23"/>
        </w:rPr>
        <w:t> </w:t>
      </w:r>
      <w:r>
        <w:rPr/>
        <w:t>ser</w:t>
      </w:r>
      <w:r>
        <w:rPr>
          <w:spacing w:val="23"/>
        </w:rPr>
        <w:t> </w:t>
      </w:r>
      <w:r>
        <w:rPr/>
        <w:t>acompanhado</w:t>
      </w:r>
      <w:r>
        <w:rPr>
          <w:spacing w:val="24"/>
        </w:rPr>
        <w:t> </w:t>
      </w:r>
      <w:r>
        <w:rPr/>
        <w:t>em</w:t>
      </w:r>
      <w:r>
        <w:rPr>
          <w:spacing w:val="24"/>
        </w:rPr>
        <w:t> </w:t>
      </w:r>
      <w:r>
        <w:rPr/>
        <w:t>tempo</w:t>
      </w:r>
      <w:r>
        <w:rPr>
          <w:spacing w:val="24"/>
        </w:rPr>
        <w:t> </w:t>
      </w:r>
      <w:r>
        <w:rPr/>
        <w:t>real</w:t>
      </w:r>
      <w:r>
        <w:rPr>
          <w:spacing w:val="24"/>
        </w:rPr>
        <w:t> </w:t>
      </w:r>
      <w:r>
        <w:rPr/>
        <w:t>por</w:t>
      </w:r>
    </w:p>
    <w:p>
      <w:pPr>
        <w:spacing w:before="14"/>
        <w:ind w:left="122" w:right="0" w:firstLine="0"/>
        <w:jc w:val="left"/>
        <w:rPr>
          <w:sz w:val="24"/>
        </w:rPr>
      </w:pPr>
      <w:r>
        <w:rPr>
          <w:sz w:val="24"/>
        </w:rPr>
        <w:t>meio da </w:t>
      </w:r>
      <w:r>
        <w:rPr>
          <w:i/>
          <w:sz w:val="24"/>
        </w:rPr>
        <w:t>internet</w:t>
      </w:r>
      <w:r>
        <w:rPr>
          <w:sz w:val="24"/>
        </w:rPr>
        <w:t>.</w:t>
      </w:r>
    </w:p>
    <w:p>
      <w:pPr>
        <w:pStyle w:val="BodyText"/>
        <w:spacing w:line="360" w:lineRule="auto" w:before="137"/>
        <w:ind w:left="122" w:right="119" w:firstLine="851"/>
        <w:jc w:val="both"/>
      </w:pPr>
      <w:r>
        <w:rPr/>
        <w:t>Entre o dia 29 de novembro de 2014 e 30 de junho de 2015 (cinco dias após o prazo final para que Estados e Municípios adequassem e/ou elaborassem seus PMEs, estabelecido pela Lei do PNE 2014-2024), a coleta de informações, nos registros no SiMEC, também, disponibilizadas no </w:t>
      </w:r>
      <w:r>
        <w:rPr>
          <w:i/>
        </w:rPr>
        <w:t>site pne.mec.gov.br</w:t>
      </w:r>
      <w:r>
        <w:rPr/>
        <w:t>, possibilitou-nos verificar a situação de cada Município frente às etapas do processo.</w:t>
      </w:r>
    </w:p>
    <w:p>
      <w:pPr>
        <w:pStyle w:val="BodyText"/>
        <w:spacing w:line="360" w:lineRule="auto" w:before="6"/>
        <w:ind w:left="122" w:right="118" w:firstLine="851"/>
        <w:jc w:val="both"/>
      </w:pPr>
      <w:r>
        <w:rPr/>
        <w:t>A imagem que segue rerefe-se ao primeiro registro, coletado no dia 29 de novembro de 2014, do qual depreendemos que, após cinco meses de vigência do PNE 2014-2024, os Municípios indicam estar nas seguintes etapas:</w:t>
      </w:r>
    </w:p>
    <w:p>
      <w:pPr>
        <w:pStyle w:val="ListParagraph"/>
        <w:numPr>
          <w:ilvl w:val="0"/>
          <w:numId w:val="37"/>
        </w:numPr>
        <w:tabs>
          <w:tab w:pos="1114" w:val="left" w:leader="none"/>
        </w:tabs>
        <w:spacing w:line="240" w:lineRule="auto" w:before="3" w:after="0"/>
        <w:ind w:left="1113" w:right="0" w:hanging="139"/>
        <w:jc w:val="left"/>
        <w:rPr>
          <w:sz w:val="24"/>
        </w:rPr>
      </w:pPr>
      <w:r>
        <w:rPr>
          <w:sz w:val="24"/>
        </w:rPr>
        <w:t>112 com Comissão coordenadora</w:t>
      </w:r>
      <w:r>
        <w:rPr>
          <w:spacing w:val="-6"/>
          <w:sz w:val="24"/>
        </w:rPr>
        <w:t> </w:t>
      </w:r>
      <w:r>
        <w:rPr>
          <w:sz w:val="24"/>
        </w:rPr>
        <w:t>instituída</w:t>
      </w:r>
    </w:p>
    <w:p>
      <w:pPr>
        <w:pStyle w:val="ListParagraph"/>
        <w:numPr>
          <w:ilvl w:val="0"/>
          <w:numId w:val="37"/>
        </w:numPr>
        <w:tabs>
          <w:tab w:pos="1114" w:val="left" w:leader="none"/>
        </w:tabs>
        <w:spacing w:line="240" w:lineRule="auto" w:before="138" w:after="0"/>
        <w:ind w:left="1113" w:right="0" w:hanging="139"/>
        <w:jc w:val="left"/>
        <w:rPr>
          <w:sz w:val="24"/>
        </w:rPr>
      </w:pPr>
      <w:r>
        <w:rPr>
          <w:sz w:val="24"/>
        </w:rPr>
        <w:t>8 com Diagnóstico</w:t>
      </w:r>
      <w:r>
        <w:rPr>
          <w:spacing w:val="-5"/>
          <w:sz w:val="24"/>
        </w:rPr>
        <w:t> </w:t>
      </w:r>
      <w:r>
        <w:rPr>
          <w:sz w:val="24"/>
        </w:rPr>
        <w:t>concluído</w:t>
      </w:r>
    </w:p>
    <w:p>
      <w:pPr>
        <w:pStyle w:val="ListParagraph"/>
        <w:numPr>
          <w:ilvl w:val="0"/>
          <w:numId w:val="37"/>
        </w:numPr>
        <w:tabs>
          <w:tab w:pos="1114" w:val="left" w:leader="none"/>
        </w:tabs>
        <w:spacing w:line="240" w:lineRule="auto" w:before="136" w:after="0"/>
        <w:ind w:left="1113" w:right="0" w:hanging="139"/>
        <w:jc w:val="left"/>
        <w:rPr>
          <w:sz w:val="24"/>
        </w:rPr>
      </w:pPr>
      <w:r>
        <w:rPr>
          <w:sz w:val="24"/>
        </w:rPr>
        <w:t>6 com o Documento base</w:t>
      </w:r>
      <w:r>
        <w:rPr>
          <w:spacing w:val="-5"/>
          <w:sz w:val="24"/>
        </w:rPr>
        <w:t> </w:t>
      </w:r>
      <w:r>
        <w:rPr>
          <w:sz w:val="24"/>
        </w:rPr>
        <w:t>elaborado.</w:t>
      </w:r>
    </w:p>
    <w:p>
      <w:pPr>
        <w:pStyle w:val="BodyText"/>
        <w:spacing w:line="360" w:lineRule="auto" w:before="136"/>
        <w:ind w:left="122" w:right="120" w:firstLine="851"/>
        <w:jc w:val="both"/>
      </w:pPr>
      <w:r>
        <w:rPr/>
        <w:t>Na data explicitada, 12 Municípios ainda não indicam ter a Comissão Coordenadora instituída.</w:t>
      </w:r>
    </w:p>
    <w:p>
      <w:pPr>
        <w:pStyle w:val="BodyText"/>
        <w:rPr>
          <w:sz w:val="20"/>
        </w:rPr>
      </w:pPr>
    </w:p>
    <w:p>
      <w:pPr>
        <w:pStyle w:val="BodyText"/>
        <w:spacing w:before="1"/>
        <w:rPr>
          <w:sz w:val="29"/>
        </w:rPr>
      </w:pPr>
      <w:r>
        <w:rPr/>
        <w:pict>
          <v:line style="position:absolute;mso-position-horizontal-relative:page;mso-position-vertical-relative:paragraph;z-index:1984;mso-wrap-distance-left:0;mso-wrap-distance-right:0" from="85.103996pt,19.089249pt" to="229.123996pt,19.089249pt" stroked="true" strokeweight=".71997pt" strokecolor="#000000">
            <v:stroke dashstyle="solid"/>
            <w10:wrap type="topAndBottom"/>
          </v:line>
        </w:pict>
      </w:r>
    </w:p>
    <w:p>
      <w:pPr>
        <w:spacing w:before="42"/>
        <w:ind w:left="122" w:right="0" w:firstLine="0"/>
        <w:jc w:val="left"/>
        <w:rPr>
          <w:sz w:val="20"/>
        </w:rPr>
      </w:pPr>
      <w:r>
        <w:rPr>
          <w:position w:val="9"/>
          <w:sz w:val="13"/>
        </w:rPr>
        <w:t>27  </w:t>
      </w:r>
      <w:r>
        <w:rPr>
          <w:sz w:val="20"/>
        </w:rPr>
        <w:t>Um portal operacional e de gestão do MEC, que trata do orçamento e do monitoramento das  propostas</w:t>
      </w:r>
    </w:p>
    <w:p>
      <w:pPr>
        <w:spacing w:before="0"/>
        <w:ind w:left="122" w:right="0" w:firstLine="0"/>
        <w:jc w:val="left"/>
        <w:rPr>
          <w:sz w:val="20"/>
        </w:rPr>
      </w:pPr>
      <w:r>
        <w:rPr>
          <w:i/>
          <w:sz w:val="20"/>
        </w:rPr>
        <w:t>on-line </w:t>
      </w:r>
      <w:r>
        <w:rPr>
          <w:sz w:val="20"/>
        </w:rPr>
        <w:t>do governo federal na área da educação (BRASIL/MEC, 2015).</w:t>
      </w:r>
    </w:p>
    <w:p>
      <w:pPr>
        <w:spacing w:after="0"/>
        <w:jc w:val="left"/>
        <w:rPr>
          <w:sz w:val="20"/>
        </w:rPr>
        <w:sectPr>
          <w:pgSz w:w="11910" w:h="16840"/>
          <w:pgMar w:header="749" w:footer="0" w:top="960" w:bottom="280" w:left="1580" w:right="1580"/>
        </w:sectPr>
      </w:pPr>
    </w:p>
    <w:p>
      <w:pPr>
        <w:pStyle w:val="BodyText"/>
        <w:rPr>
          <w:sz w:val="20"/>
        </w:rPr>
      </w:pPr>
    </w:p>
    <w:p>
      <w:pPr>
        <w:pStyle w:val="BodyText"/>
        <w:spacing w:line="278" w:lineRule="auto" w:before="210" w:after="3"/>
        <w:ind w:left="122" w:right="32"/>
      </w:pPr>
      <w:r>
        <w:rPr>
          <w:b/>
        </w:rPr>
        <w:t>Figura 2 </w:t>
      </w:r>
      <w:r>
        <w:rPr/>
        <w:t>Mapa de situação dos Municípios do Tocantins em relação as etapas do processo de elaboração e/ou adequação dos PMEs, em 2014</w:t>
      </w:r>
    </w:p>
    <w:p>
      <w:pPr>
        <w:pStyle w:val="BodyText"/>
        <w:ind w:left="121"/>
        <w:rPr>
          <w:sz w:val="20"/>
        </w:rPr>
      </w:pPr>
      <w:r>
        <w:rPr>
          <w:sz w:val="20"/>
        </w:rPr>
        <w:pict>
          <v:group style="width:328.5pt;height:339pt;mso-position-horizontal-relative:char;mso-position-vertical-relative:line" coordorigin="0,0" coordsize="6570,6780">
            <v:shape style="position:absolute;left:0;top:0;width:4155;height:6780" type="#_x0000_t75" stroked="false">
              <v:imagedata r:id="rId63" o:title=""/>
            </v:shape>
            <v:shape style="position:absolute;left:4155;top:1860;width:2415;height:4920" type="#_x0000_t75" stroked="false">
              <v:imagedata r:id="rId64" o:title=""/>
            </v:shape>
          </v:group>
        </w:pict>
      </w:r>
      <w:r>
        <w:rPr>
          <w:sz w:val="20"/>
        </w:rPr>
      </w:r>
    </w:p>
    <w:p>
      <w:pPr>
        <w:spacing w:before="123"/>
        <w:ind w:left="122" w:right="0" w:firstLine="0"/>
        <w:jc w:val="left"/>
        <w:rPr>
          <w:sz w:val="20"/>
        </w:rPr>
      </w:pPr>
      <w:r>
        <w:rPr>
          <w:sz w:val="20"/>
        </w:rPr>
        <w:t>Fonte: </w:t>
      </w:r>
      <w:r>
        <w:rPr>
          <w:i/>
          <w:sz w:val="20"/>
        </w:rPr>
        <w:t>print screen </w:t>
      </w:r>
      <w:r>
        <w:rPr>
          <w:sz w:val="20"/>
        </w:rPr>
        <w:t>da página pne.mec.gov.br. Acesso em: 29/11/2014.</w:t>
      </w:r>
    </w:p>
    <w:p>
      <w:pPr>
        <w:pStyle w:val="BodyText"/>
        <w:rPr>
          <w:sz w:val="22"/>
        </w:rPr>
      </w:pPr>
    </w:p>
    <w:p>
      <w:pPr>
        <w:pStyle w:val="BodyText"/>
        <w:spacing w:line="360" w:lineRule="auto" w:before="195"/>
        <w:ind w:left="122" w:right="119" w:firstLine="851"/>
        <w:jc w:val="both"/>
      </w:pPr>
      <w:r>
        <w:rPr/>
        <w:t>Assim, por meio do acompanhamento realizado durante o período  especificado, construímos uma tabela apresentando a situação dos Municípios frente às etapas definidas para o trabalho. Os relatórios mensais elaborados pelo Coordenador Geral no Tocantins, também, proporcionam esse acompanhamento, mas com informações referentes ao final de cada mês. Desses, utilizamos os dados do mês de fevereiro de</w:t>
      </w:r>
      <w:r>
        <w:rPr>
          <w:spacing w:val="-6"/>
        </w:rPr>
        <w:t> </w:t>
      </w:r>
      <w:r>
        <w:rPr/>
        <w:t>2015.</w:t>
      </w:r>
    </w:p>
    <w:p>
      <w:pPr>
        <w:pStyle w:val="BodyText"/>
        <w:spacing w:before="10"/>
        <w:rPr>
          <w:sz w:val="27"/>
        </w:rPr>
      </w:pPr>
    </w:p>
    <w:p>
      <w:pPr>
        <w:pStyle w:val="BodyText"/>
        <w:spacing w:line="276" w:lineRule="auto"/>
        <w:ind w:left="122"/>
      </w:pPr>
      <w:r>
        <w:rPr>
          <w:b/>
        </w:rPr>
        <w:t>Tabela 1 </w:t>
      </w:r>
      <w:r>
        <w:rPr/>
        <w:t>Situação dos Municípios no Tocantins em relação às etapas do processo de elaboração e/ou adequação dos PMEs</w:t>
      </w:r>
    </w:p>
    <w:p>
      <w:pPr>
        <w:pStyle w:val="BodyText"/>
        <w:spacing w:before="7"/>
        <w:rPr>
          <w:sz w:val="21"/>
        </w:rPr>
      </w:pPr>
    </w:p>
    <w:tbl>
      <w:tblPr>
        <w:tblW w:w="0" w:type="auto"/>
        <w:jc w:val="left"/>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254"/>
        <w:gridCol w:w="580"/>
        <w:gridCol w:w="570"/>
        <w:gridCol w:w="532"/>
        <w:gridCol w:w="655"/>
        <w:gridCol w:w="514"/>
        <w:gridCol w:w="568"/>
        <w:gridCol w:w="568"/>
        <w:gridCol w:w="566"/>
        <w:gridCol w:w="564"/>
        <w:gridCol w:w="570"/>
        <w:gridCol w:w="566"/>
      </w:tblGrid>
      <w:tr>
        <w:trPr>
          <w:trHeight w:val="247" w:hRule="exact"/>
        </w:trPr>
        <w:tc>
          <w:tcPr>
            <w:tcW w:w="3404" w:type="dxa"/>
            <w:gridSpan w:val="3"/>
            <w:tcBorders>
              <w:left w:val="nil"/>
            </w:tcBorders>
          </w:tcPr>
          <w:p>
            <w:pPr>
              <w:pStyle w:val="TableParagraph"/>
              <w:spacing w:before="9"/>
              <w:ind w:right="376"/>
              <w:jc w:val="right"/>
              <w:rPr>
                <w:b/>
                <w:sz w:val="18"/>
              </w:rPr>
            </w:pPr>
            <w:r>
              <w:rPr>
                <w:b/>
                <w:sz w:val="18"/>
              </w:rPr>
              <w:t>2014</w:t>
            </w:r>
          </w:p>
        </w:tc>
        <w:tc>
          <w:tcPr>
            <w:tcW w:w="4537" w:type="dxa"/>
            <w:gridSpan w:val="8"/>
          </w:tcPr>
          <w:p>
            <w:pPr>
              <w:pStyle w:val="TableParagraph"/>
              <w:spacing w:before="9"/>
              <w:ind w:left="2058" w:right="2058"/>
              <w:jc w:val="center"/>
              <w:rPr>
                <w:b/>
                <w:sz w:val="18"/>
              </w:rPr>
            </w:pPr>
            <w:r>
              <w:rPr>
                <w:b/>
                <w:sz w:val="18"/>
              </w:rPr>
              <w:t>2015</w:t>
            </w:r>
          </w:p>
        </w:tc>
        <w:tc>
          <w:tcPr>
            <w:tcW w:w="566" w:type="dxa"/>
            <w:tcBorders>
              <w:right w:val="nil"/>
            </w:tcBorders>
          </w:tcPr>
          <w:p>
            <w:pPr/>
          </w:p>
        </w:tc>
      </w:tr>
      <w:tr>
        <w:trPr>
          <w:trHeight w:val="698" w:hRule="exact"/>
        </w:trPr>
        <w:tc>
          <w:tcPr>
            <w:tcW w:w="2254" w:type="dxa"/>
            <w:tcBorders>
              <w:left w:val="nil"/>
              <w:right w:val="nil"/>
            </w:tcBorders>
            <w:shd w:val="clear" w:color="auto" w:fill="F9DECA"/>
          </w:tcPr>
          <w:p>
            <w:pPr>
              <w:pStyle w:val="TableParagraph"/>
              <w:spacing w:before="5"/>
              <w:rPr>
                <w:sz w:val="20"/>
              </w:rPr>
            </w:pPr>
          </w:p>
          <w:p>
            <w:pPr>
              <w:pStyle w:val="TableParagraph"/>
              <w:spacing w:before="0"/>
              <w:ind w:left="485" w:right="474"/>
              <w:jc w:val="center"/>
              <w:rPr>
                <w:b/>
                <w:sz w:val="18"/>
              </w:rPr>
            </w:pPr>
            <w:r>
              <w:rPr>
                <w:b/>
                <w:sz w:val="18"/>
              </w:rPr>
              <w:t>Etapas</w:t>
            </w:r>
          </w:p>
        </w:tc>
        <w:tc>
          <w:tcPr>
            <w:tcW w:w="580" w:type="dxa"/>
            <w:tcBorders>
              <w:left w:val="nil"/>
              <w:right w:val="nil"/>
            </w:tcBorders>
            <w:shd w:val="clear" w:color="auto" w:fill="F9DECA"/>
            <w:textDirection w:val="btLr"/>
          </w:tcPr>
          <w:p>
            <w:pPr>
              <w:pStyle w:val="TableParagraph"/>
              <w:spacing w:before="8"/>
              <w:rPr>
                <w:sz w:val="16"/>
              </w:rPr>
            </w:pPr>
          </w:p>
          <w:p>
            <w:pPr>
              <w:pStyle w:val="TableParagraph"/>
              <w:spacing w:before="0"/>
              <w:ind w:left="134"/>
              <w:rPr>
                <w:b/>
                <w:sz w:val="18"/>
              </w:rPr>
            </w:pPr>
            <w:r>
              <w:rPr>
                <w:b/>
                <w:spacing w:val="1"/>
                <w:sz w:val="18"/>
              </w:rPr>
              <w:t>29</w:t>
            </w:r>
            <w:r>
              <w:rPr>
                <w:b/>
                <w:spacing w:val="-2"/>
                <w:sz w:val="18"/>
              </w:rPr>
              <w:t>/</w:t>
            </w:r>
            <w:r>
              <w:rPr>
                <w:b/>
                <w:spacing w:val="1"/>
                <w:sz w:val="18"/>
              </w:rPr>
              <w:t>1</w:t>
            </w:r>
            <w:r>
              <w:rPr>
                <w:b/>
                <w:sz w:val="18"/>
              </w:rPr>
              <w:t>1</w:t>
            </w:r>
          </w:p>
        </w:tc>
        <w:tc>
          <w:tcPr>
            <w:tcW w:w="570" w:type="dxa"/>
            <w:tcBorders>
              <w:left w:val="nil"/>
            </w:tcBorders>
            <w:shd w:val="clear" w:color="auto" w:fill="F9DECA"/>
            <w:textDirection w:val="btLr"/>
          </w:tcPr>
          <w:p>
            <w:pPr>
              <w:pStyle w:val="TableParagraph"/>
              <w:spacing w:before="173"/>
              <w:ind w:left="134"/>
              <w:rPr>
                <w:b/>
                <w:sz w:val="18"/>
              </w:rPr>
            </w:pPr>
            <w:r>
              <w:rPr>
                <w:b/>
                <w:spacing w:val="1"/>
                <w:sz w:val="18"/>
              </w:rPr>
              <w:t>20</w:t>
            </w:r>
            <w:r>
              <w:rPr>
                <w:b/>
                <w:spacing w:val="-2"/>
                <w:sz w:val="18"/>
              </w:rPr>
              <w:t>/</w:t>
            </w:r>
            <w:r>
              <w:rPr>
                <w:b/>
                <w:spacing w:val="1"/>
                <w:sz w:val="18"/>
              </w:rPr>
              <w:t>1</w:t>
            </w:r>
            <w:r>
              <w:rPr>
                <w:b/>
                <w:sz w:val="18"/>
              </w:rPr>
              <w:t>2</w:t>
            </w:r>
          </w:p>
        </w:tc>
        <w:tc>
          <w:tcPr>
            <w:tcW w:w="532" w:type="dxa"/>
            <w:tcBorders>
              <w:right w:val="nil"/>
            </w:tcBorders>
            <w:shd w:val="clear" w:color="auto" w:fill="F9DECA"/>
            <w:textDirection w:val="btLr"/>
          </w:tcPr>
          <w:p>
            <w:pPr>
              <w:pStyle w:val="TableParagraph"/>
              <w:spacing w:before="172"/>
              <w:ind w:left="134"/>
              <w:rPr>
                <w:b/>
                <w:sz w:val="18"/>
              </w:rPr>
            </w:pPr>
            <w:r>
              <w:rPr>
                <w:b/>
                <w:spacing w:val="1"/>
                <w:sz w:val="18"/>
              </w:rPr>
              <w:t>21</w:t>
            </w:r>
            <w:r>
              <w:rPr>
                <w:b/>
                <w:spacing w:val="-2"/>
                <w:sz w:val="18"/>
              </w:rPr>
              <w:t>/</w:t>
            </w:r>
            <w:r>
              <w:rPr>
                <w:b/>
                <w:spacing w:val="1"/>
                <w:sz w:val="18"/>
              </w:rPr>
              <w:t>0</w:t>
            </w:r>
            <w:r>
              <w:rPr>
                <w:b/>
                <w:sz w:val="18"/>
              </w:rPr>
              <w:t>1</w:t>
            </w:r>
          </w:p>
        </w:tc>
        <w:tc>
          <w:tcPr>
            <w:tcW w:w="655" w:type="dxa"/>
            <w:tcBorders>
              <w:left w:val="nil"/>
              <w:right w:val="nil"/>
            </w:tcBorders>
            <w:shd w:val="clear" w:color="auto" w:fill="F9DECA"/>
            <w:textDirection w:val="btLr"/>
          </w:tcPr>
          <w:p>
            <w:pPr>
              <w:pStyle w:val="TableParagraph"/>
              <w:spacing w:before="106"/>
              <w:ind w:left="118" w:right="118"/>
              <w:jc w:val="center"/>
              <w:rPr>
                <w:b/>
                <w:sz w:val="18"/>
              </w:rPr>
            </w:pPr>
            <w:r>
              <w:rPr>
                <w:b/>
                <w:spacing w:val="1"/>
                <w:sz w:val="18"/>
              </w:rPr>
              <w:t>28</w:t>
            </w:r>
            <w:r>
              <w:rPr>
                <w:b/>
                <w:spacing w:val="-2"/>
                <w:sz w:val="18"/>
              </w:rPr>
              <w:t>/</w:t>
            </w:r>
            <w:r>
              <w:rPr>
                <w:b/>
                <w:spacing w:val="1"/>
                <w:sz w:val="18"/>
              </w:rPr>
              <w:t>0</w:t>
            </w:r>
            <w:r>
              <w:rPr>
                <w:b/>
                <w:sz w:val="18"/>
              </w:rPr>
              <w:t>2</w:t>
            </w:r>
          </w:p>
          <w:p>
            <w:pPr>
              <w:pStyle w:val="TableParagraph"/>
              <w:spacing w:before="4"/>
              <w:ind w:right="1"/>
              <w:jc w:val="center"/>
              <w:rPr>
                <w:b/>
                <w:sz w:val="18"/>
              </w:rPr>
            </w:pPr>
            <w:r>
              <w:rPr>
                <w:b/>
                <w:sz w:val="18"/>
              </w:rPr>
              <w:t>*</w:t>
            </w:r>
          </w:p>
        </w:tc>
        <w:tc>
          <w:tcPr>
            <w:tcW w:w="514" w:type="dxa"/>
            <w:tcBorders>
              <w:left w:val="nil"/>
              <w:right w:val="nil"/>
            </w:tcBorders>
            <w:shd w:val="clear" w:color="auto" w:fill="F9DECA"/>
            <w:textDirection w:val="btLr"/>
          </w:tcPr>
          <w:p>
            <w:pPr>
              <w:pStyle w:val="TableParagraph"/>
              <w:spacing w:before="123"/>
              <w:ind w:left="134"/>
              <w:rPr>
                <w:b/>
                <w:sz w:val="18"/>
              </w:rPr>
            </w:pPr>
            <w:r>
              <w:rPr>
                <w:b/>
                <w:spacing w:val="1"/>
                <w:sz w:val="18"/>
              </w:rPr>
              <w:t>31</w:t>
            </w:r>
            <w:r>
              <w:rPr>
                <w:b/>
                <w:spacing w:val="-2"/>
                <w:sz w:val="18"/>
              </w:rPr>
              <w:t>/</w:t>
            </w:r>
            <w:r>
              <w:rPr>
                <w:b/>
                <w:spacing w:val="1"/>
                <w:sz w:val="18"/>
              </w:rPr>
              <w:t>0</w:t>
            </w:r>
            <w:r>
              <w:rPr>
                <w:b/>
                <w:sz w:val="18"/>
              </w:rPr>
              <w:t>3</w:t>
            </w:r>
          </w:p>
        </w:tc>
        <w:tc>
          <w:tcPr>
            <w:tcW w:w="568" w:type="dxa"/>
            <w:tcBorders>
              <w:left w:val="nil"/>
              <w:right w:val="nil"/>
            </w:tcBorders>
            <w:shd w:val="clear" w:color="auto" w:fill="F9DECA"/>
            <w:textDirection w:val="btLr"/>
          </w:tcPr>
          <w:p>
            <w:pPr>
              <w:pStyle w:val="TableParagraph"/>
              <w:spacing w:before="176"/>
              <w:ind w:left="134"/>
              <w:rPr>
                <w:b/>
                <w:sz w:val="18"/>
              </w:rPr>
            </w:pPr>
            <w:r>
              <w:rPr>
                <w:b/>
                <w:spacing w:val="1"/>
                <w:sz w:val="18"/>
              </w:rPr>
              <w:t>30</w:t>
            </w:r>
            <w:r>
              <w:rPr>
                <w:b/>
                <w:spacing w:val="-2"/>
                <w:sz w:val="18"/>
              </w:rPr>
              <w:t>/</w:t>
            </w:r>
            <w:r>
              <w:rPr>
                <w:b/>
                <w:spacing w:val="1"/>
                <w:sz w:val="18"/>
              </w:rPr>
              <w:t>0</w:t>
            </w:r>
            <w:r>
              <w:rPr>
                <w:b/>
                <w:sz w:val="18"/>
              </w:rPr>
              <w:t>4</w:t>
            </w:r>
          </w:p>
        </w:tc>
        <w:tc>
          <w:tcPr>
            <w:tcW w:w="568" w:type="dxa"/>
            <w:tcBorders>
              <w:left w:val="nil"/>
              <w:right w:val="nil"/>
            </w:tcBorders>
            <w:shd w:val="clear" w:color="auto" w:fill="F9DECA"/>
            <w:textDirection w:val="btLr"/>
          </w:tcPr>
          <w:p>
            <w:pPr>
              <w:pStyle w:val="TableParagraph"/>
              <w:spacing w:before="177"/>
              <w:ind w:left="134"/>
              <w:rPr>
                <w:b/>
                <w:sz w:val="18"/>
              </w:rPr>
            </w:pPr>
            <w:r>
              <w:rPr>
                <w:b/>
                <w:spacing w:val="1"/>
                <w:sz w:val="18"/>
              </w:rPr>
              <w:t>30</w:t>
            </w:r>
            <w:r>
              <w:rPr>
                <w:b/>
                <w:spacing w:val="-2"/>
                <w:sz w:val="18"/>
              </w:rPr>
              <w:t>/</w:t>
            </w:r>
            <w:r>
              <w:rPr>
                <w:b/>
                <w:spacing w:val="1"/>
                <w:sz w:val="18"/>
              </w:rPr>
              <w:t>0</w:t>
            </w:r>
            <w:r>
              <w:rPr>
                <w:b/>
                <w:sz w:val="18"/>
              </w:rPr>
              <w:t>5</w:t>
            </w:r>
          </w:p>
        </w:tc>
        <w:tc>
          <w:tcPr>
            <w:tcW w:w="566" w:type="dxa"/>
            <w:tcBorders>
              <w:left w:val="nil"/>
              <w:right w:val="nil"/>
            </w:tcBorders>
            <w:shd w:val="clear" w:color="auto" w:fill="F9DECA"/>
            <w:textDirection w:val="btLr"/>
          </w:tcPr>
          <w:p>
            <w:pPr>
              <w:pStyle w:val="TableParagraph"/>
              <w:spacing w:before="176"/>
              <w:ind w:left="134"/>
              <w:rPr>
                <w:b/>
                <w:sz w:val="18"/>
              </w:rPr>
            </w:pPr>
            <w:r>
              <w:rPr>
                <w:b/>
                <w:spacing w:val="1"/>
                <w:sz w:val="18"/>
              </w:rPr>
              <w:t>20</w:t>
            </w:r>
            <w:r>
              <w:rPr>
                <w:b/>
                <w:spacing w:val="-2"/>
                <w:sz w:val="18"/>
              </w:rPr>
              <w:t>/</w:t>
            </w:r>
            <w:r>
              <w:rPr>
                <w:b/>
                <w:spacing w:val="1"/>
                <w:sz w:val="18"/>
              </w:rPr>
              <w:t>0</w:t>
            </w:r>
            <w:r>
              <w:rPr>
                <w:b/>
                <w:sz w:val="18"/>
              </w:rPr>
              <w:t>6</w:t>
            </w:r>
          </w:p>
        </w:tc>
        <w:tc>
          <w:tcPr>
            <w:tcW w:w="564" w:type="dxa"/>
            <w:tcBorders>
              <w:left w:val="nil"/>
              <w:right w:val="nil"/>
            </w:tcBorders>
            <w:shd w:val="clear" w:color="auto" w:fill="F9DECA"/>
            <w:textDirection w:val="btLr"/>
          </w:tcPr>
          <w:p>
            <w:pPr>
              <w:pStyle w:val="TableParagraph"/>
              <w:spacing w:before="176"/>
              <w:ind w:left="134"/>
              <w:rPr>
                <w:b/>
                <w:sz w:val="18"/>
              </w:rPr>
            </w:pPr>
            <w:r>
              <w:rPr>
                <w:b/>
                <w:spacing w:val="1"/>
                <w:sz w:val="18"/>
              </w:rPr>
              <w:t>25</w:t>
            </w:r>
            <w:r>
              <w:rPr>
                <w:b/>
                <w:spacing w:val="-2"/>
                <w:sz w:val="18"/>
              </w:rPr>
              <w:t>/</w:t>
            </w:r>
            <w:r>
              <w:rPr>
                <w:b/>
                <w:spacing w:val="1"/>
                <w:sz w:val="18"/>
              </w:rPr>
              <w:t>0</w:t>
            </w:r>
            <w:r>
              <w:rPr>
                <w:b/>
                <w:sz w:val="18"/>
              </w:rPr>
              <w:t>6</w:t>
            </w:r>
          </w:p>
        </w:tc>
        <w:tc>
          <w:tcPr>
            <w:tcW w:w="570" w:type="dxa"/>
            <w:tcBorders>
              <w:left w:val="nil"/>
            </w:tcBorders>
            <w:shd w:val="clear" w:color="auto" w:fill="F9DECA"/>
            <w:textDirection w:val="btLr"/>
          </w:tcPr>
          <w:p>
            <w:pPr>
              <w:pStyle w:val="TableParagraph"/>
              <w:spacing w:before="173"/>
              <w:ind w:left="134"/>
              <w:rPr>
                <w:b/>
                <w:sz w:val="18"/>
              </w:rPr>
            </w:pPr>
            <w:r>
              <w:rPr>
                <w:b/>
                <w:spacing w:val="1"/>
                <w:sz w:val="18"/>
              </w:rPr>
              <w:t>30</w:t>
            </w:r>
            <w:r>
              <w:rPr>
                <w:b/>
                <w:spacing w:val="-2"/>
                <w:sz w:val="18"/>
              </w:rPr>
              <w:t>/</w:t>
            </w:r>
            <w:r>
              <w:rPr>
                <w:b/>
                <w:spacing w:val="1"/>
                <w:sz w:val="18"/>
              </w:rPr>
              <w:t>0</w:t>
            </w:r>
            <w:r>
              <w:rPr>
                <w:b/>
                <w:sz w:val="18"/>
              </w:rPr>
              <w:t>6</w:t>
            </w:r>
          </w:p>
        </w:tc>
        <w:tc>
          <w:tcPr>
            <w:tcW w:w="566" w:type="dxa"/>
            <w:tcBorders>
              <w:right w:val="nil"/>
            </w:tcBorders>
            <w:shd w:val="clear" w:color="auto" w:fill="F9DECA"/>
            <w:textDirection w:val="btLr"/>
          </w:tcPr>
          <w:p>
            <w:pPr>
              <w:pStyle w:val="TableParagraph"/>
              <w:spacing w:before="172"/>
              <w:ind w:left="134"/>
              <w:rPr>
                <w:b/>
                <w:sz w:val="18"/>
              </w:rPr>
            </w:pPr>
            <w:r>
              <w:rPr>
                <w:b/>
                <w:sz w:val="18"/>
              </w:rPr>
              <w:t>Tot</w:t>
            </w:r>
            <w:r>
              <w:rPr>
                <w:b/>
                <w:spacing w:val="1"/>
                <w:sz w:val="18"/>
              </w:rPr>
              <w:t>a</w:t>
            </w:r>
            <w:r>
              <w:rPr>
                <w:b/>
                <w:sz w:val="18"/>
              </w:rPr>
              <w:t>l</w:t>
            </w:r>
          </w:p>
        </w:tc>
      </w:tr>
      <w:tr>
        <w:trPr>
          <w:trHeight w:val="418" w:hRule="exact"/>
        </w:trPr>
        <w:tc>
          <w:tcPr>
            <w:tcW w:w="2254" w:type="dxa"/>
            <w:tcBorders>
              <w:left w:val="nil"/>
              <w:right w:val="nil"/>
            </w:tcBorders>
          </w:tcPr>
          <w:p>
            <w:pPr>
              <w:pStyle w:val="TableParagraph"/>
              <w:spacing w:before="96"/>
              <w:ind w:left="485" w:right="474"/>
              <w:jc w:val="center"/>
              <w:rPr>
                <w:b/>
                <w:sz w:val="18"/>
              </w:rPr>
            </w:pPr>
            <w:r>
              <w:rPr>
                <w:b/>
                <w:sz w:val="18"/>
              </w:rPr>
              <w:t>Sem informação</w:t>
            </w:r>
          </w:p>
        </w:tc>
        <w:tc>
          <w:tcPr>
            <w:tcW w:w="580" w:type="dxa"/>
            <w:tcBorders>
              <w:left w:val="nil"/>
              <w:right w:val="nil"/>
            </w:tcBorders>
          </w:tcPr>
          <w:p>
            <w:pPr>
              <w:pStyle w:val="TableParagraph"/>
              <w:spacing w:before="91"/>
              <w:ind w:left="14"/>
              <w:jc w:val="center"/>
              <w:rPr>
                <w:sz w:val="18"/>
              </w:rPr>
            </w:pPr>
            <w:r>
              <w:rPr>
                <w:sz w:val="18"/>
              </w:rPr>
              <w:t>0</w:t>
            </w:r>
          </w:p>
        </w:tc>
        <w:tc>
          <w:tcPr>
            <w:tcW w:w="570" w:type="dxa"/>
            <w:tcBorders>
              <w:left w:val="nil"/>
            </w:tcBorders>
          </w:tcPr>
          <w:p>
            <w:pPr>
              <w:pStyle w:val="TableParagraph"/>
              <w:spacing w:before="91"/>
              <w:ind w:left="11"/>
              <w:jc w:val="center"/>
              <w:rPr>
                <w:sz w:val="18"/>
              </w:rPr>
            </w:pPr>
            <w:r>
              <w:rPr>
                <w:sz w:val="18"/>
              </w:rPr>
              <w:t>0</w:t>
            </w:r>
          </w:p>
        </w:tc>
        <w:tc>
          <w:tcPr>
            <w:tcW w:w="532" w:type="dxa"/>
            <w:tcBorders>
              <w:right w:val="nil"/>
            </w:tcBorders>
          </w:tcPr>
          <w:p>
            <w:pPr>
              <w:pStyle w:val="TableParagraph"/>
              <w:spacing w:before="91"/>
              <w:ind w:left="117" w:right="94"/>
              <w:jc w:val="center"/>
              <w:rPr>
                <w:sz w:val="18"/>
              </w:rPr>
            </w:pPr>
            <w:r>
              <w:rPr>
                <w:sz w:val="18"/>
              </w:rPr>
              <w:t>1**</w:t>
            </w:r>
          </w:p>
        </w:tc>
        <w:tc>
          <w:tcPr>
            <w:tcW w:w="655" w:type="dxa"/>
            <w:tcBorders>
              <w:left w:val="nil"/>
              <w:right w:val="nil"/>
            </w:tcBorders>
          </w:tcPr>
          <w:p>
            <w:pPr>
              <w:pStyle w:val="TableParagraph"/>
              <w:spacing w:before="91"/>
              <w:ind w:right="19"/>
              <w:jc w:val="center"/>
              <w:rPr>
                <w:sz w:val="18"/>
              </w:rPr>
            </w:pPr>
            <w:r>
              <w:rPr>
                <w:sz w:val="18"/>
              </w:rPr>
              <w:t>0</w:t>
            </w:r>
          </w:p>
        </w:tc>
        <w:tc>
          <w:tcPr>
            <w:tcW w:w="514" w:type="dxa"/>
            <w:tcBorders>
              <w:left w:val="nil"/>
              <w:right w:val="nil"/>
            </w:tcBorders>
          </w:tcPr>
          <w:p>
            <w:pPr>
              <w:pStyle w:val="TableParagraph"/>
              <w:spacing w:before="91"/>
              <w:ind w:left="183"/>
              <w:rPr>
                <w:sz w:val="18"/>
              </w:rPr>
            </w:pPr>
            <w:r>
              <w:rPr>
                <w:sz w:val="18"/>
              </w:rPr>
              <w:t>0</w:t>
            </w:r>
          </w:p>
        </w:tc>
        <w:tc>
          <w:tcPr>
            <w:tcW w:w="568" w:type="dxa"/>
            <w:tcBorders>
              <w:left w:val="nil"/>
              <w:right w:val="nil"/>
            </w:tcBorders>
          </w:tcPr>
          <w:p>
            <w:pPr>
              <w:pStyle w:val="TableParagraph"/>
              <w:spacing w:before="91"/>
              <w:jc w:val="center"/>
              <w:rPr>
                <w:sz w:val="18"/>
              </w:rPr>
            </w:pPr>
            <w:r>
              <w:rPr>
                <w:sz w:val="18"/>
              </w:rPr>
              <w:t>0</w:t>
            </w:r>
          </w:p>
        </w:tc>
        <w:tc>
          <w:tcPr>
            <w:tcW w:w="568" w:type="dxa"/>
            <w:tcBorders>
              <w:left w:val="nil"/>
              <w:right w:val="nil"/>
            </w:tcBorders>
          </w:tcPr>
          <w:p>
            <w:pPr>
              <w:pStyle w:val="TableParagraph"/>
              <w:spacing w:before="91"/>
              <w:ind w:right="1"/>
              <w:jc w:val="center"/>
              <w:rPr>
                <w:sz w:val="18"/>
              </w:rPr>
            </w:pPr>
            <w:r>
              <w:rPr>
                <w:sz w:val="18"/>
              </w:rPr>
              <w:t>0</w:t>
            </w:r>
          </w:p>
        </w:tc>
        <w:tc>
          <w:tcPr>
            <w:tcW w:w="566" w:type="dxa"/>
            <w:tcBorders>
              <w:left w:val="nil"/>
              <w:right w:val="nil"/>
            </w:tcBorders>
          </w:tcPr>
          <w:p>
            <w:pPr>
              <w:pStyle w:val="TableParagraph"/>
              <w:spacing w:before="91"/>
              <w:ind w:right="2"/>
              <w:jc w:val="center"/>
              <w:rPr>
                <w:sz w:val="18"/>
              </w:rPr>
            </w:pPr>
            <w:r>
              <w:rPr>
                <w:sz w:val="18"/>
              </w:rPr>
              <w:t>0</w:t>
            </w:r>
          </w:p>
        </w:tc>
        <w:tc>
          <w:tcPr>
            <w:tcW w:w="564" w:type="dxa"/>
            <w:tcBorders>
              <w:left w:val="nil"/>
              <w:right w:val="nil"/>
            </w:tcBorders>
          </w:tcPr>
          <w:p>
            <w:pPr>
              <w:pStyle w:val="TableParagraph"/>
              <w:spacing w:before="91"/>
              <w:jc w:val="center"/>
              <w:rPr>
                <w:sz w:val="18"/>
              </w:rPr>
            </w:pPr>
            <w:r>
              <w:rPr>
                <w:sz w:val="18"/>
              </w:rPr>
              <w:t>0</w:t>
            </w:r>
          </w:p>
        </w:tc>
        <w:tc>
          <w:tcPr>
            <w:tcW w:w="570" w:type="dxa"/>
            <w:tcBorders>
              <w:left w:val="nil"/>
            </w:tcBorders>
          </w:tcPr>
          <w:p>
            <w:pPr>
              <w:pStyle w:val="TableParagraph"/>
              <w:spacing w:before="91"/>
              <w:ind w:left="11"/>
              <w:jc w:val="center"/>
              <w:rPr>
                <w:sz w:val="18"/>
              </w:rPr>
            </w:pPr>
            <w:r>
              <w:rPr>
                <w:sz w:val="18"/>
              </w:rPr>
              <w:t>0</w:t>
            </w:r>
          </w:p>
        </w:tc>
        <w:tc>
          <w:tcPr>
            <w:tcW w:w="566" w:type="dxa"/>
            <w:tcBorders>
              <w:right w:val="nil"/>
            </w:tcBorders>
          </w:tcPr>
          <w:p>
            <w:pPr>
              <w:pStyle w:val="TableParagraph"/>
              <w:spacing w:before="91"/>
              <w:ind w:left="228"/>
              <w:rPr>
                <w:sz w:val="18"/>
              </w:rPr>
            </w:pPr>
            <w:r>
              <w:rPr>
                <w:sz w:val="18"/>
              </w:rPr>
              <w:t>1</w:t>
            </w:r>
          </w:p>
        </w:tc>
      </w:tr>
      <w:tr>
        <w:trPr>
          <w:trHeight w:val="434" w:hRule="exact"/>
        </w:trPr>
        <w:tc>
          <w:tcPr>
            <w:tcW w:w="2254" w:type="dxa"/>
            <w:tcBorders>
              <w:left w:val="nil"/>
              <w:right w:val="nil"/>
            </w:tcBorders>
            <w:shd w:val="clear" w:color="auto" w:fill="F9DECA"/>
          </w:tcPr>
          <w:p>
            <w:pPr>
              <w:pStyle w:val="TableParagraph"/>
              <w:spacing w:before="0"/>
              <w:ind w:left="211" w:right="177" w:firstLine="391"/>
              <w:rPr>
                <w:b/>
                <w:sz w:val="18"/>
              </w:rPr>
            </w:pPr>
            <w:r>
              <w:rPr>
                <w:b/>
                <w:sz w:val="18"/>
              </w:rPr>
              <w:t>Sem comissão coordenadora instituída</w:t>
            </w:r>
          </w:p>
        </w:tc>
        <w:tc>
          <w:tcPr>
            <w:tcW w:w="580" w:type="dxa"/>
            <w:tcBorders>
              <w:left w:val="nil"/>
              <w:right w:val="nil"/>
            </w:tcBorders>
            <w:shd w:val="clear" w:color="auto" w:fill="F9DECA"/>
          </w:tcPr>
          <w:p>
            <w:pPr>
              <w:pStyle w:val="TableParagraph"/>
              <w:spacing w:before="98"/>
              <w:ind w:left="187" w:right="172"/>
              <w:jc w:val="center"/>
              <w:rPr>
                <w:sz w:val="18"/>
              </w:rPr>
            </w:pPr>
            <w:r>
              <w:rPr>
                <w:sz w:val="18"/>
              </w:rPr>
              <w:t>12</w:t>
            </w:r>
          </w:p>
        </w:tc>
        <w:tc>
          <w:tcPr>
            <w:tcW w:w="570" w:type="dxa"/>
            <w:tcBorders>
              <w:left w:val="nil"/>
            </w:tcBorders>
            <w:shd w:val="clear" w:color="auto" w:fill="F9DECA"/>
          </w:tcPr>
          <w:p>
            <w:pPr>
              <w:pStyle w:val="TableParagraph"/>
              <w:spacing w:before="98"/>
              <w:ind w:left="11"/>
              <w:jc w:val="center"/>
              <w:rPr>
                <w:sz w:val="18"/>
              </w:rPr>
            </w:pPr>
            <w:r>
              <w:rPr>
                <w:sz w:val="18"/>
              </w:rPr>
              <w:t>1</w:t>
            </w:r>
          </w:p>
        </w:tc>
        <w:tc>
          <w:tcPr>
            <w:tcW w:w="532" w:type="dxa"/>
            <w:tcBorders>
              <w:right w:val="nil"/>
            </w:tcBorders>
            <w:shd w:val="clear" w:color="auto" w:fill="F9DECA"/>
          </w:tcPr>
          <w:p>
            <w:pPr>
              <w:pStyle w:val="TableParagraph"/>
              <w:spacing w:before="98"/>
              <w:ind w:left="23"/>
              <w:jc w:val="center"/>
              <w:rPr>
                <w:sz w:val="18"/>
              </w:rPr>
            </w:pPr>
            <w:r>
              <w:rPr>
                <w:sz w:val="18"/>
              </w:rPr>
              <w:t>0</w:t>
            </w:r>
          </w:p>
        </w:tc>
        <w:tc>
          <w:tcPr>
            <w:tcW w:w="655" w:type="dxa"/>
            <w:tcBorders>
              <w:left w:val="nil"/>
              <w:right w:val="nil"/>
            </w:tcBorders>
            <w:shd w:val="clear" w:color="auto" w:fill="F9DECA"/>
          </w:tcPr>
          <w:p>
            <w:pPr>
              <w:pStyle w:val="TableParagraph"/>
              <w:spacing w:before="98"/>
              <w:ind w:right="19"/>
              <w:jc w:val="center"/>
              <w:rPr>
                <w:sz w:val="18"/>
              </w:rPr>
            </w:pPr>
            <w:r>
              <w:rPr>
                <w:sz w:val="18"/>
              </w:rPr>
              <w:t>0</w:t>
            </w:r>
          </w:p>
        </w:tc>
        <w:tc>
          <w:tcPr>
            <w:tcW w:w="514" w:type="dxa"/>
            <w:tcBorders>
              <w:left w:val="nil"/>
              <w:right w:val="nil"/>
            </w:tcBorders>
            <w:shd w:val="clear" w:color="auto" w:fill="F9DECA"/>
          </w:tcPr>
          <w:p>
            <w:pPr>
              <w:pStyle w:val="TableParagraph"/>
              <w:spacing w:before="98"/>
              <w:ind w:left="183"/>
              <w:rPr>
                <w:sz w:val="18"/>
              </w:rPr>
            </w:pPr>
            <w:r>
              <w:rPr>
                <w:sz w:val="18"/>
              </w:rPr>
              <w:t>0</w:t>
            </w:r>
          </w:p>
        </w:tc>
        <w:tc>
          <w:tcPr>
            <w:tcW w:w="568" w:type="dxa"/>
            <w:tcBorders>
              <w:left w:val="nil"/>
              <w:right w:val="nil"/>
            </w:tcBorders>
            <w:shd w:val="clear" w:color="auto" w:fill="F9DECA"/>
          </w:tcPr>
          <w:p>
            <w:pPr>
              <w:pStyle w:val="TableParagraph"/>
              <w:spacing w:before="98"/>
              <w:jc w:val="center"/>
              <w:rPr>
                <w:sz w:val="18"/>
              </w:rPr>
            </w:pPr>
            <w:r>
              <w:rPr>
                <w:sz w:val="18"/>
              </w:rPr>
              <w:t>0</w:t>
            </w:r>
          </w:p>
        </w:tc>
        <w:tc>
          <w:tcPr>
            <w:tcW w:w="568" w:type="dxa"/>
            <w:tcBorders>
              <w:left w:val="nil"/>
              <w:right w:val="nil"/>
            </w:tcBorders>
            <w:shd w:val="clear" w:color="auto" w:fill="F9DECA"/>
          </w:tcPr>
          <w:p>
            <w:pPr>
              <w:pStyle w:val="TableParagraph"/>
              <w:spacing w:before="98"/>
              <w:ind w:right="1"/>
              <w:jc w:val="center"/>
              <w:rPr>
                <w:sz w:val="18"/>
              </w:rPr>
            </w:pPr>
            <w:r>
              <w:rPr>
                <w:sz w:val="18"/>
              </w:rPr>
              <w:t>0</w:t>
            </w:r>
          </w:p>
        </w:tc>
        <w:tc>
          <w:tcPr>
            <w:tcW w:w="566" w:type="dxa"/>
            <w:tcBorders>
              <w:left w:val="nil"/>
              <w:right w:val="nil"/>
            </w:tcBorders>
            <w:shd w:val="clear" w:color="auto" w:fill="F9DECA"/>
          </w:tcPr>
          <w:p>
            <w:pPr>
              <w:pStyle w:val="TableParagraph"/>
              <w:spacing w:before="98"/>
              <w:ind w:right="2"/>
              <w:jc w:val="center"/>
              <w:rPr>
                <w:sz w:val="18"/>
              </w:rPr>
            </w:pPr>
            <w:r>
              <w:rPr>
                <w:sz w:val="18"/>
              </w:rPr>
              <w:t>0</w:t>
            </w:r>
          </w:p>
        </w:tc>
        <w:tc>
          <w:tcPr>
            <w:tcW w:w="564" w:type="dxa"/>
            <w:tcBorders>
              <w:left w:val="nil"/>
              <w:right w:val="nil"/>
            </w:tcBorders>
            <w:shd w:val="clear" w:color="auto" w:fill="F9DECA"/>
          </w:tcPr>
          <w:p>
            <w:pPr>
              <w:pStyle w:val="TableParagraph"/>
              <w:spacing w:before="98"/>
              <w:jc w:val="center"/>
              <w:rPr>
                <w:sz w:val="18"/>
              </w:rPr>
            </w:pPr>
            <w:r>
              <w:rPr>
                <w:sz w:val="18"/>
              </w:rPr>
              <w:t>0</w:t>
            </w:r>
          </w:p>
        </w:tc>
        <w:tc>
          <w:tcPr>
            <w:tcW w:w="570" w:type="dxa"/>
            <w:tcBorders>
              <w:left w:val="nil"/>
            </w:tcBorders>
            <w:shd w:val="clear" w:color="auto" w:fill="F9DECA"/>
          </w:tcPr>
          <w:p>
            <w:pPr>
              <w:pStyle w:val="TableParagraph"/>
              <w:spacing w:before="98"/>
              <w:ind w:left="11"/>
              <w:jc w:val="center"/>
              <w:rPr>
                <w:sz w:val="18"/>
              </w:rPr>
            </w:pPr>
            <w:r>
              <w:rPr>
                <w:sz w:val="18"/>
              </w:rPr>
              <w:t>0</w:t>
            </w:r>
          </w:p>
        </w:tc>
        <w:tc>
          <w:tcPr>
            <w:tcW w:w="566" w:type="dxa"/>
            <w:tcBorders>
              <w:right w:val="nil"/>
            </w:tcBorders>
            <w:shd w:val="clear" w:color="auto" w:fill="F9DECA"/>
          </w:tcPr>
          <w:p>
            <w:pPr>
              <w:pStyle w:val="TableParagraph"/>
              <w:spacing w:before="98"/>
              <w:ind w:left="182"/>
              <w:rPr>
                <w:sz w:val="18"/>
              </w:rPr>
            </w:pPr>
            <w:r>
              <w:rPr>
                <w:sz w:val="18"/>
              </w:rPr>
              <w:t>13</w:t>
            </w:r>
          </w:p>
        </w:tc>
      </w:tr>
    </w:tbl>
    <w:p>
      <w:pPr>
        <w:spacing w:after="0"/>
        <w:rPr>
          <w:sz w:val="18"/>
        </w:rPr>
        <w:sectPr>
          <w:pgSz w:w="11910" w:h="16840"/>
          <w:pgMar w:header="749" w:footer="0" w:top="960" w:bottom="280" w:left="1580" w:right="1580"/>
        </w:sectPr>
      </w:pPr>
    </w:p>
    <w:p>
      <w:pPr>
        <w:pStyle w:val="BodyText"/>
        <w:rPr>
          <w:sz w:val="20"/>
        </w:rPr>
      </w:pPr>
    </w:p>
    <w:p>
      <w:pPr>
        <w:pStyle w:val="BodyText"/>
        <w:spacing w:before="9"/>
        <w:rPr>
          <w:sz w:val="18"/>
        </w:rPr>
      </w:pPr>
    </w:p>
    <w:tbl>
      <w:tblPr>
        <w:tblW w:w="0" w:type="auto"/>
        <w:jc w:val="left"/>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235"/>
        <w:gridCol w:w="602"/>
        <w:gridCol w:w="568"/>
        <w:gridCol w:w="533"/>
        <w:gridCol w:w="654"/>
        <w:gridCol w:w="514"/>
        <w:gridCol w:w="568"/>
        <w:gridCol w:w="568"/>
        <w:gridCol w:w="547"/>
        <w:gridCol w:w="585"/>
        <w:gridCol w:w="568"/>
        <w:gridCol w:w="566"/>
      </w:tblGrid>
      <w:tr>
        <w:trPr>
          <w:trHeight w:val="419" w:hRule="exact"/>
        </w:trPr>
        <w:tc>
          <w:tcPr>
            <w:tcW w:w="3404" w:type="dxa"/>
            <w:gridSpan w:val="3"/>
            <w:tcBorders>
              <w:left w:val="nil"/>
            </w:tcBorders>
          </w:tcPr>
          <w:p>
            <w:pPr>
              <w:pStyle w:val="TableParagraph"/>
              <w:spacing w:before="91"/>
              <w:ind w:left="1501" w:right="1492"/>
              <w:jc w:val="center"/>
              <w:rPr>
                <w:sz w:val="18"/>
              </w:rPr>
            </w:pPr>
            <w:r>
              <w:rPr>
                <w:sz w:val="18"/>
              </w:rPr>
              <w:t>2014</w:t>
            </w:r>
          </w:p>
        </w:tc>
        <w:tc>
          <w:tcPr>
            <w:tcW w:w="4537" w:type="dxa"/>
            <w:gridSpan w:val="8"/>
          </w:tcPr>
          <w:p>
            <w:pPr>
              <w:pStyle w:val="TableParagraph"/>
              <w:spacing w:before="91"/>
              <w:ind w:left="2058" w:right="2058"/>
              <w:jc w:val="center"/>
              <w:rPr>
                <w:sz w:val="18"/>
              </w:rPr>
            </w:pPr>
            <w:r>
              <w:rPr>
                <w:sz w:val="18"/>
              </w:rPr>
              <w:t>2015</w:t>
            </w:r>
          </w:p>
        </w:tc>
        <w:tc>
          <w:tcPr>
            <w:tcW w:w="566" w:type="dxa"/>
            <w:tcBorders>
              <w:right w:val="nil"/>
            </w:tcBorders>
          </w:tcPr>
          <w:p>
            <w:pPr/>
          </w:p>
        </w:tc>
      </w:tr>
      <w:tr>
        <w:trPr>
          <w:trHeight w:val="700" w:hRule="exact"/>
        </w:trPr>
        <w:tc>
          <w:tcPr>
            <w:tcW w:w="2235" w:type="dxa"/>
            <w:tcBorders>
              <w:left w:val="nil"/>
              <w:right w:val="nil"/>
            </w:tcBorders>
            <w:shd w:val="clear" w:color="auto" w:fill="F9DECA"/>
          </w:tcPr>
          <w:p>
            <w:pPr>
              <w:pStyle w:val="TableParagraph"/>
              <w:spacing w:before="6"/>
              <w:rPr>
                <w:sz w:val="20"/>
              </w:rPr>
            </w:pPr>
          </w:p>
          <w:p>
            <w:pPr>
              <w:pStyle w:val="TableParagraph"/>
              <w:spacing w:before="1"/>
              <w:ind w:left="847" w:right="817"/>
              <w:jc w:val="center"/>
              <w:rPr>
                <w:b/>
                <w:sz w:val="18"/>
              </w:rPr>
            </w:pPr>
            <w:r>
              <w:rPr>
                <w:b/>
                <w:sz w:val="18"/>
              </w:rPr>
              <w:t>Etapas</w:t>
            </w:r>
          </w:p>
        </w:tc>
        <w:tc>
          <w:tcPr>
            <w:tcW w:w="602" w:type="dxa"/>
            <w:tcBorders>
              <w:left w:val="nil"/>
              <w:right w:val="nil"/>
            </w:tcBorders>
            <w:shd w:val="clear" w:color="auto" w:fill="F9DECA"/>
            <w:textDirection w:val="btLr"/>
          </w:tcPr>
          <w:p>
            <w:pPr>
              <w:pStyle w:val="TableParagraph"/>
              <w:spacing w:before="4"/>
              <w:rPr>
                <w:sz w:val="18"/>
              </w:rPr>
            </w:pPr>
          </w:p>
          <w:p>
            <w:pPr>
              <w:pStyle w:val="TableParagraph"/>
              <w:spacing w:before="0"/>
              <w:ind w:left="134"/>
              <w:rPr>
                <w:b/>
                <w:sz w:val="18"/>
              </w:rPr>
            </w:pPr>
            <w:r>
              <w:rPr>
                <w:b/>
                <w:spacing w:val="1"/>
                <w:sz w:val="18"/>
              </w:rPr>
              <w:t>29</w:t>
            </w:r>
            <w:r>
              <w:rPr>
                <w:b/>
                <w:spacing w:val="-2"/>
                <w:sz w:val="18"/>
              </w:rPr>
              <w:t>/</w:t>
            </w:r>
            <w:r>
              <w:rPr>
                <w:b/>
                <w:spacing w:val="1"/>
                <w:sz w:val="18"/>
              </w:rPr>
              <w:t>1</w:t>
            </w:r>
            <w:r>
              <w:rPr>
                <w:b/>
                <w:sz w:val="18"/>
              </w:rPr>
              <w:t>1</w:t>
            </w:r>
          </w:p>
        </w:tc>
        <w:tc>
          <w:tcPr>
            <w:tcW w:w="568" w:type="dxa"/>
            <w:tcBorders>
              <w:left w:val="nil"/>
            </w:tcBorders>
            <w:shd w:val="clear" w:color="auto" w:fill="F9DECA"/>
            <w:textDirection w:val="btLr"/>
          </w:tcPr>
          <w:p>
            <w:pPr>
              <w:pStyle w:val="TableParagraph"/>
              <w:spacing w:before="171"/>
              <w:ind w:left="134"/>
              <w:rPr>
                <w:b/>
                <w:sz w:val="18"/>
              </w:rPr>
            </w:pPr>
            <w:r>
              <w:rPr>
                <w:b/>
                <w:spacing w:val="1"/>
                <w:sz w:val="18"/>
              </w:rPr>
              <w:t>20</w:t>
            </w:r>
            <w:r>
              <w:rPr>
                <w:b/>
                <w:spacing w:val="-2"/>
                <w:sz w:val="18"/>
              </w:rPr>
              <w:t>/</w:t>
            </w:r>
            <w:r>
              <w:rPr>
                <w:b/>
                <w:spacing w:val="1"/>
                <w:sz w:val="18"/>
              </w:rPr>
              <w:t>1</w:t>
            </w:r>
            <w:r>
              <w:rPr>
                <w:b/>
                <w:sz w:val="18"/>
              </w:rPr>
              <w:t>2</w:t>
            </w:r>
          </w:p>
        </w:tc>
        <w:tc>
          <w:tcPr>
            <w:tcW w:w="533" w:type="dxa"/>
            <w:tcBorders>
              <w:right w:val="nil"/>
            </w:tcBorders>
            <w:shd w:val="clear" w:color="auto" w:fill="F9DECA"/>
            <w:textDirection w:val="btLr"/>
          </w:tcPr>
          <w:p>
            <w:pPr>
              <w:pStyle w:val="TableParagraph"/>
              <w:spacing w:before="172"/>
              <w:ind w:left="134"/>
              <w:rPr>
                <w:b/>
                <w:sz w:val="18"/>
              </w:rPr>
            </w:pPr>
            <w:r>
              <w:rPr>
                <w:b/>
                <w:spacing w:val="1"/>
                <w:sz w:val="18"/>
              </w:rPr>
              <w:t>21</w:t>
            </w:r>
            <w:r>
              <w:rPr>
                <w:b/>
                <w:spacing w:val="-2"/>
                <w:sz w:val="18"/>
              </w:rPr>
              <w:t>/</w:t>
            </w:r>
            <w:r>
              <w:rPr>
                <w:b/>
                <w:spacing w:val="1"/>
                <w:sz w:val="18"/>
              </w:rPr>
              <w:t>0</w:t>
            </w:r>
            <w:r>
              <w:rPr>
                <w:b/>
                <w:sz w:val="18"/>
              </w:rPr>
              <w:t>1</w:t>
            </w:r>
          </w:p>
        </w:tc>
        <w:tc>
          <w:tcPr>
            <w:tcW w:w="654" w:type="dxa"/>
            <w:tcBorders>
              <w:left w:val="nil"/>
              <w:right w:val="nil"/>
            </w:tcBorders>
            <w:shd w:val="clear" w:color="auto" w:fill="F9DECA"/>
            <w:textDirection w:val="btLr"/>
          </w:tcPr>
          <w:p>
            <w:pPr>
              <w:pStyle w:val="TableParagraph"/>
              <w:spacing w:before="105"/>
              <w:ind w:left="119" w:right="119"/>
              <w:jc w:val="center"/>
              <w:rPr>
                <w:b/>
                <w:sz w:val="18"/>
              </w:rPr>
            </w:pPr>
            <w:r>
              <w:rPr>
                <w:b/>
                <w:spacing w:val="1"/>
                <w:sz w:val="18"/>
              </w:rPr>
              <w:t>28</w:t>
            </w:r>
            <w:r>
              <w:rPr>
                <w:b/>
                <w:spacing w:val="-2"/>
                <w:sz w:val="18"/>
              </w:rPr>
              <w:t>/</w:t>
            </w:r>
            <w:r>
              <w:rPr>
                <w:b/>
                <w:spacing w:val="1"/>
                <w:sz w:val="18"/>
              </w:rPr>
              <w:t>0</w:t>
            </w:r>
            <w:r>
              <w:rPr>
                <w:b/>
                <w:sz w:val="18"/>
              </w:rPr>
              <w:t>2</w:t>
            </w:r>
          </w:p>
          <w:p>
            <w:pPr>
              <w:pStyle w:val="TableParagraph"/>
              <w:spacing w:before="4"/>
              <w:ind w:left="119" w:right="119"/>
              <w:jc w:val="center"/>
              <w:rPr>
                <w:b/>
                <w:sz w:val="18"/>
              </w:rPr>
            </w:pPr>
            <w:r>
              <w:rPr>
                <w:b/>
                <w:spacing w:val="1"/>
                <w:sz w:val="18"/>
              </w:rPr>
              <w:t>**</w:t>
            </w:r>
          </w:p>
        </w:tc>
        <w:tc>
          <w:tcPr>
            <w:tcW w:w="514" w:type="dxa"/>
            <w:tcBorders>
              <w:left w:val="nil"/>
              <w:right w:val="nil"/>
            </w:tcBorders>
            <w:shd w:val="clear" w:color="auto" w:fill="F9DECA"/>
            <w:textDirection w:val="btLr"/>
          </w:tcPr>
          <w:p>
            <w:pPr>
              <w:pStyle w:val="TableParagraph"/>
              <w:spacing w:before="123"/>
              <w:ind w:left="134"/>
              <w:rPr>
                <w:b/>
                <w:sz w:val="18"/>
              </w:rPr>
            </w:pPr>
            <w:r>
              <w:rPr>
                <w:b/>
                <w:spacing w:val="1"/>
                <w:sz w:val="18"/>
              </w:rPr>
              <w:t>31</w:t>
            </w:r>
            <w:r>
              <w:rPr>
                <w:b/>
                <w:spacing w:val="-2"/>
                <w:sz w:val="18"/>
              </w:rPr>
              <w:t>/</w:t>
            </w:r>
            <w:r>
              <w:rPr>
                <w:b/>
                <w:spacing w:val="1"/>
                <w:sz w:val="18"/>
              </w:rPr>
              <w:t>0</w:t>
            </w:r>
            <w:r>
              <w:rPr>
                <w:b/>
                <w:sz w:val="18"/>
              </w:rPr>
              <w:t>3</w:t>
            </w:r>
          </w:p>
        </w:tc>
        <w:tc>
          <w:tcPr>
            <w:tcW w:w="568" w:type="dxa"/>
            <w:tcBorders>
              <w:left w:val="nil"/>
              <w:right w:val="nil"/>
            </w:tcBorders>
            <w:shd w:val="clear" w:color="auto" w:fill="F9DECA"/>
            <w:textDirection w:val="btLr"/>
          </w:tcPr>
          <w:p>
            <w:pPr>
              <w:pStyle w:val="TableParagraph"/>
              <w:spacing w:before="176"/>
              <w:ind w:left="134"/>
              <w:rPr>
                <w:b/>
                <w:sz w:val="18"/>
              </w:rPr>
            </w:pPr>
            <w:r>
              <w:rPr>
                <w:b/>
                <w:spacing w:val="1"/>
                <w:sz w:val="18"/>
              </w:rPr>
              <w:t>30</w:t>
            </w:r>
            <w:r>
              <w:rPr>
                <w:b/>
                <w:spacing w:val="-2"/>
                <w:sz w:val="18"/>
              </w:rPr>
              <w:t>/</w:t>
            </w:r>
            <w:r>
              <w:rPr>
                <w:b/>
                <w:spacing w:val="1"/>
                <w:sz w:val="18"/>
              </w:rPr>
              <w:t>0</w:t>
            </w:r>
            <w:r>
              <w:rPr>
                <w:b/>
                <w:sz w:val="18"/>
              </w:rPr>
              <w:t>4</w:t>
            </w:r>
          </w:p>
        </w:tc>
        <w:tc>
          <w:tcPr>
            <w:tcW w:w="568" w:type="dxa"/>
            <w:tcBorders>
              <w:left w:val="nil"/>
              <w:right w:val="nil"/>
            </w:tcBorders>
            <w:shd w:val="clear" w:color="auto" w:fill="F9DECA"/>
            <w:textDirection w:val="btLr"/>
          </w:tcPr>
          <w:p>
            <w:pPr>
              <w:pStyle w:val="TableParagraph"/>
              <w:spacing w:before="177"/>
              <w:ind w:left="134"/>
              <w:rPr>
                <w:b/>
                <w:sz w:val="18"/>
              </w:rPr>
            </w:pPr>
            <w:r>
              <w:rPr>
                <w:b/>
                <w:spacing w:val="1"/>
                <w:sz w:val="18"/>
              </w:rPr>
              <w:t>30</w:t>
            </w:r>
            <w:r>
              <w:rPr>
                <w:b/>
                <w:spacing w:val="-2"/>
                <w:sz w:val="18"/>
              </w:rPr>
              <w:t>/</w:t>
            </w:r>
            <w:r>
              <w:rPr>
                <w:b/>
                <w:spacing w:val="1"/>
                <w:sz w:val="18"/>
              </w:rPr>
              <w:t>0</w:t>
            </w:r>
            <w:r>
              <w:rPr>
                <w:b/>
                <w:sz w:val="18"/>
              </w:rPr>
              <w:t>5</w:t>
            </w:r>
          </w:p>
        </w:tc>
        <w:tc>
          <w:tcPr>
            <w:tcW w:w="547" w:type="dxa"/>
            <w:tcBorders>
              <w:left w:val="nil"/>
              <w:right w:val="nil"/>
            </w:tcBorders>
            <w:shd w:val="clear" w:color="auto" w:fill="F9DECA"/>
            <w:textDirection w:val="btLr"/>
          </w:tcPr>
          <w:p>
            <w:pPr>
              <w:pStyle w:val="TableParagraph"/>
              <w:spacing w:before="176"/>
              <w:ind w:left="134"/>
              <w:rPr>
                <w:b/>
                <w:sz w:val="18"/>
              </w:rPr>
            </w:pPr>
            <w:r>
              <w:rPr>
                <w:b/>
                <w:spacing w:val="1"/>
                <w:sz w:val="18"/>
              </w:rPr>
              <w:t>20</w:t>
            </w:r>
            <w:r>
              <w:rPr>
                <w:b/>
                <w:spacing w:val="-2"/>
                <w:sz w:val="18"/>
              </w:rPr>
              <w:t>/</w:t>
            </w:r>
            <w:r>
              <w:rPr>
                <w:b/>
                <w:spacing w:val="1"/>
                <w:sz w:val="18"/>
              </w:rPr>
              <w:t>0</w:t>
            </w:r>
            <w:r>
              <w:rPr>
                <w:b/>
                <w:sz w:val="18"/>
              </w:rPr>
              <w:t>6</w:t>
            </w:r>
          </w:p>
        </w:tc>
        <w:tc>
          <w:tcPr>
            <w:tcW w:w="585" w:type="dxa"/>
            <w:tcBorders>
              <w:left w:val="nil"/>
              <w:right w:val="nil"/>
            </w:tcBorders>
            <w:shd w:val="clear" w:color="auto" w:fill="F9DECA"/>
            <w:textDirection w:val="btLr"/>
          </w:tcPr>
          <w:p>
            <w:pPr>
              <w:pStyle w:val="TableParagraph"/>
              <w:spacing w:before="11"/>
              <w:rPr>
                <w:sz w:val="16"/>
              </w:rPr>
            </w:pPr>
          </w:p>
          <w:p>
            <w:pPr>
              <w:pStyle w:val="TableParagraph"/>
              <w:spacing w:before="0"/>
              <w:ind w:left="134"/>
              <w:rPr>
                <w:b/>
                <w:sz w:val="18"/>
              </w:rPr>
            </w:pPr>
            <w:r>
              <w:rPr>
                <w:b/>
                <w:spacing w:val="1"/>
                <w:sz w:val="18"/>
              </w:rPr>
              <w:t>25</w:t>
            </w:r>
            <w:r>
              <w:rPr>
                <w:b/>
                <w:spacing w:val="-2"/>
                <w:sz w:val="18"/>
              </w:rPr>
              <w:t>/</w:t>
            </w:r>
            <w:r>
              <w:rPr>
                <w:b/>
                <w:spacing w:val="1"/>
                <w:sz w:val="18"/>
              </w:rPr>
              <w:t>0</w:t>
            </w:r>
            <w:r>
              <w:rPr>
                <w:b/>
                <w:sz w:val="18"/>
              </w:rPr>
              <w:t>6</w:t>
            </w:r>
          </w:p>
        </w:tc>
        <w:tc>
          <w:tcPr>
            <w:tcW w:w="568" w:type="dxa"/>
            <w:tcBorders>
              <w:left w:val="nil"/>
            </w:tcBorders>
            <w:shd w:val="clear" w:color="auto" w:fill="F9DECA"/>
            <w:textDirection w:val="btLr"/>
          </w:tcPr>
          <w:p>
            <w:pPr>
              <w:pStyle w:val="TableParagraph"/>
              <w:spacing w:before="172"/>
              <w:ind w:left="134"/>
              <w:rPr>
                <w:b/>
                <w:sz w:val="18"/>
              </w:rPr>
            </w:pPr>
            <w:r>
              <w:rPr>
                <w:b/>
                <w:spacing w:val="1"/>
                <w:sz w:val="18"/>
              </w:rPr>
              <w:t>30</w:t>
            </w:r>
            <w:r>
              <w:rPr>
                <w:b/>
                <w:spacing w:val="-2"/>
                <w:sz w:val="18"/>
              </w:rPr>
              <w:t>/</w:t>
            </w:r>
            <w:r>
              <w:rPr>
                <w:b/>
                <w:spacing w:val="1"/>
                <w:sz w:val="18"/>
              </w:rPr>
              <w:t>0</w:t>
            </w:r>
            <w:r>
              <w:rPr>
                <w:b/>
                <w:sz w:val="18"/>
              </w:rPr>
              <w:t>6</w:t>
            </w:r>
          </w:p>
        </w:tc>
        <w:tc>
          <w:tcPr>
            <w:tcW w:w="566" w:type="dxa"/>
            <w:tcBorders>
              <w:right w:val="nil"/>
            </w:tcBorders>
            <w:shd w:val="clear" w:color="auto" w:fill="F9DECA"/>
            <w:textDirection w:val="btLr"/>
          </w:tcPr>
          <w:p>
            <w:pPr>
              <w:pStyle w:val="TableParagraph"/>
              <w:spacing w:before="172"/>
              <w:ind w:left="134"/>
              <w:rPr>
                <w:b/>
                <w:sz w:val="18"/>
              </w:rPr>
            </w:pPr>
            <w:r>
              <w:rPr>
                <w:b/>
                <w:sz w:val="18"/>
              </w:rPr>
              <w:t>Tot</w:t>
            </w:r>
            <w:r>
              <w:rPr>
                <w:b/>
                <w:spacing w:val="1"/>
                <w:sz w:val="18"/>
              </w:rPr>
              <w:t>a</w:t>
            </w:r>
            <w:r>
              <w:rPr>
                <w:b/>
                <w:sz w:val="18"/>
              </w:rPr>
              <w:t>l</w:t>
            </w:r>
          </w:p>
        </w:tc>
      </w:tr>
      <w:tr>
        <w:trPr>
          <w:trHeight w:val="434" w:hRule="exact"/>
        </w:trPr>
        <w:tc>
          <w:tcPr>
            <w:tcW w:w="2235" w:type="dxa"/>
            <w:tcBorders>
              <w:left w:val="nil"/>
              <w:right w:val="nil"/>
            </w:tcBorders>
          </w:tcPr>
          <w:p>
            <w:pPr>
              <w:pStyle w:val="TableParagraph"/>
              <w:spacing w:before="0"/>
              <w:ind w:left="211" w:right="158" w:firstLine="371"/>
              <w:rPr>
                <w:b/>
                <w:sz w:val="18"/>
              </w:rPr>
            </w:pPr>
            <w:r>
              <w:rPr>
                <w:b/>
                <w:sz w:val="18"/>
              </w:rPr>
              <w:t>Com comissão coordenadora instituída</w:t>
            </w:r>
          </w:p>
        </w:tc>
        <w:tc>
          <w:tcPr>
            <w:tcW w:w="602" w:type="dxa"/>
            <w:tcBorders>
              <w:left w:val="nil"/>
              <w:right w:val="nil"/>
            </w:tcBorders>
          </w:tcPr>
          <w:p>
            <w:pPr>
              <w:pStyle w:val="TableParagraph"/>
              <w:spacing w:before="98"/>
              <w:ind w:left="161" w:right="129"/>
              <w:jc w:val="center"/>
              <w:rPr>
                <w:sz w:val="18"/>
              </w:rPr>
            </w:pPr>
            <w:r>
              <w:rPr>
                <w:sz w:val="18"/>
              </w:rPr>
              <w:t>112</w:t>
            </w:r>
          </w:p>
        </w:tc>
        <w:tc>
          <w:tcPr>
            <w:tcW w:w="568" w:type="dxa"/>
            <w:tcBorders>
              <w:left w:val="nil"/>
            </w:tcBorders>
          </w:tcPr>
          <w:p>
            <w:pPr>
              <w:pStyle w:val="TableParagraph"/>
              <w:spacing w:before="98"/>
              <w:ind w:left="147"/>
              <w:rPr>
                <w:sz w:val="18"/>
              </w:rPr>
            </w:pPr>
            <w:r>
              <w:rPr>
                <w:sz w:val="18"/>
              </w:rPr>
              <w:t>109</w:t>
            </w:r>
          </w:p>
        </w:tc>
        <w:tc>
          <w:tcPr>
            <w:tcW w:w="533" w:type="dxa"/>
            <w:tcBorders>
              <w:right w:val="nil"/>
            </w:tcBorders>
          </w:tcPr>
          <w:p>
            <w:pPr>
              <w:pStyle w:val="TableParagraph"/>
              <w:spacing w:before="98"/>
              <w:ind w:left="136"/>
              <w:rPr>
                <w:sz w:val="18"/>
              </w:rPr>
            </w:pPr>
            <w:r>
              <w:rPr>
                <w:sz w:val="18"/>
              </w:rPr>
              <w:t>111</w:t>
            </w:r>
          </w:p>
        </w:tc>
        <w:tc>
          <w:tcPr>
            <w:tcW w:w="654" w:type="dxa"/>
            <w:tcBorders>
              <w:left w:val="nil"/>
              <w:right w:val="nil"/>
            </w:tcBorders>
          </w:tcPr>
          <w:p>
            <w:pPr>
              <w:pStyle w:val="TableParagraph"/>
              <w:spacing w:before="98"/>
              <w:ind w:left="207" w:right="226"/>
              <w:jc w:val="center"/>
              <w:rPr>
                <w:sz w:val="18"/>
              </w:rPr>
            </w:pPr>
            <w:r>
              <w:rPr>
                <w:sz w:val="18"/>
              </w:rPr>
              <w:t>92</w:t>
            </w:r>
          </w:p>
        </w:tc>
        <w:tc>
          <w:tcPr>
            <w:tcW w:w="514" w:type="dxa"/>
            <w:tcBorders>
              <w:left w:val="nil"/>
              <w:right w:val="nil"/>
            </w:tcBorders>
          </w:tcPr>
          <w:p>
            <w:pPr>
              <w:pStyle w:val="TableParagraph"/>
              <w:spacing w:before="98"/>
              <w:ind w:left="137"/>
              <w:rPr>
                <w:sz w:val="18"/>
              </w:rPr>
            </w:pPr>
            <w:r>
              <w:rPr>
                <w:sz w:val="18"/>
              </w:rPr>
              <w:t>49</w:t>
            </w:r>
          </w:p>
        </w:tc>
        <w:tc>
          <w:tcPr>
            <w:tcW w:w="568" w:type="dxa"/>
            <w:tcBorders>
              <w:left w:val="nil"/>
              <w:right w:val="nil"/>
            </w:tcBorders>
          </w:tcPr>
          <w:p>
            <w:pPr>
              <w:pStyle w:val="TableParagraph"/>
              <w:spacing w:before="98"/>
              <w:ind w:right="190"/>
              <w:jc w:val="right"/>
              <w:rPr>
                <w:sz w:val="18"/>
              </w:rPr>
            </w:pPr>
            <w:r>
              <w:rPr>
                <w:sz w:val="18"/>
              </w:rPr>
              <w:t>20</w:t>
            </w:r>
          </w:p>
        </w:tc>
        <w:tc>
          <w:tcPr>
            <w:tcW w:w="568" w:type="dxa"/>
            <w:tcBorders>
              <w:left w:val="nil"/>
              <w:right w:val="nil"/>
            </w:tcBorders>
          </w:tcPr>
          <w:p>
            <w:pPr>
              <w:pStyle w:val="TableParagraph"/>
              <w:spacing w:before="98"/>
              <w:ind w:right="1"/>
              <w:jc w:val="center"/>
              <w:rPr>
                <w:sz w:val="18"/>
              </w:rPr>
            </w:pPr>
            <w:r>
              <w:rPr>
                <w:sz w:val="18"/>
              </w:rPr>
              <w:t>0</w:t>
            </w:r>
          </w:p>
        </w:tc>
        <w:tc>
          <w:tcPr>
            <w:tcW w:w="547" w:type="dxa"/>
            <w:tcBorders>
              <w:left w:val="nil"/>
              <w:right w:val="nil"/>
            </w:tcBorders>
          </w:tcPr>
          <w:p>
            <w:pPr>
              <w:pStyle w:val="TableParagraph"/>
              <w:spacing w:before="98"/>
              <w:ind w:left="14"/>
              <w:jc w:val="center"/>
              <w:rPr>
                <w:sz w:val="18"/>
              </w:rPr>
            </w:pPr>
            <w:r>
              <w:rPr>
                <w:sz w:val="18"/>
              </w:rPr>
              <w:t>0</w:t>
            </w:r>
          </w:p>
        </w:tc>
        <w:tc>
          <w:tcPr>
            <w:tcW w:w="585" w:type="dxa"/>
            <w:tcBorders>
              <w:left w:val="nil"/>
              <w:right w:val="nil"/>
            </w:tcBorders>
          </w:tcPr>
          <w:p>
            <w:pPr>
              <w:pStyle w:val="TableParagraph"/>
              <w:spacing w:before="98"/>
              <w:ind w:left="15"/>
              <w:jc w:val="center"/>
              <w:rPr>
                <w:sz w:val="18"/>
              </w:rPr>
            </w:pPr>
            <w:r>
              <w:rPr>
                <w:sz w:val="18"/>
              </w:rPr>
              <w:t>0</w:t>
            </w:r>
          </w:p>
        </w:tc>
        <w:tc>
          <w:tcPr>
            <w:tcW w:w="568" w:type="dxa"/>
            <w:tcBorders>
              <w:left w:val="nil"/>
            </w:tcBorders>
          </w:tcPr>
          <w:p>
            <w:pPr>
              <w:pStyle w:val="TableParagraph"/>
              <w:spacing w:before="98"/>
              <w:ind w:left="10"/>
              <w:jc w:val="center"/>
              <w:rPr>
                <w:sz w:val="18"/>
              </w:rPr>
            </w:pPr>
            <w:r>
              <w:rPr>
                <w:sz w:val="18"/>
              </w:rPr>
              <w:t>0</w:t>
            </w:r>
          </w:p>
        </w:tc>
        <w:tc>
          <w:tcPr>
            <w:tcW w:w="566" w:type="dxa"/>
            <w:tcBorders>
              <w:right w:val="nil"/>
            </w:tcBorders>
          </w:tcPr>
          <w:p>
            <w:pPr>
              <w:pStyle w:val="TableParagraph"/>
              <w:spacing w:before="98"/>
              <w:ind w:left="136"/>
              <w:rPr>
                <w:sz w:val="18"/>
              </w:rPr>
            </w:pPr>
            <w:r>
              <w:rPr>
                <w:sz w:val="18"/>
              </w:rPr>
              <w:t>493</w:t>
            </w:r>
          </w:p>
        </w:tc>
      </w:tr>
      <w:tr>
        <w:trPr>
          <w:trHeight w:val="432" w:hRule="exact"/>
        </w:trPr>
        <w:tc>
          <w:tcPr>
            <w:tcW w:w="2235" w:type="dxa"/>
            <w:tcBorders>
              <w:left w:val="nil"/>
              <w:right w:val="nil"/>
            </w:tcBorders>
            <w:shd w:val="clear" w:color="auto" w:fill="F9DECA"/>
          </w:tcPr>
          <w:p>
            <w:pPr>
              <w:pStyle w:val="TableParagraph"/>
              <w:spacing w:before="0"/>
              <w:ind w:left="763" w:right="438" w:hanging="272"/>
              <w:rPr>
                <w:b/>
                <w:sz w:val="18"/>
              </w:rPr>
            </w:pPr>
            <w:r>
              <w:rPr>
                <w:b/>
                <w:sz w:val="18"/>
              </w:rPr>
              <w:t>Com diagnóstico concluído</w:t>
            </w:r>
          </w:p>
        </w:tc>
        <w:tc>
          <w:tcPr>
            <w:tcW w:w="602" w:type="dxa"/>
            <w:tcBorders>
              <w:left w:val="nil"/>
              <w:right w:val="nil"/>
            </w:tcBorders>
            <w:shd w:val="clear" w:color="auto" w:fill="F9DECA"/>
          </w:tcPr>
          <w:p>
            <w:pPr>
              <w:pStyle w:val="TableParagraph"/>
              <w:spacing w:before="98"/>
              <w:ind w:left="31"/>
              <w:jc w:val="center"/>
              <w:rPr>
                <w:sz w:val="18"/>
              </w:rPr>
            </w:pPr>
            <w:r>
              <w:rPr>
                <w:sz w:val="18"/>
              </w:rPr>
              <w:t>8</w:t>
            </w:r>
          </w:p>
        </w:tc>
        <w:tc>
          <w:tcPr>
            <w:tcW w:w="568" w:type="dxa"/>
            <w:tcBorders>
              <w:left w:val="nil"/>
            </w:tcBorders>
            <w:shd w:val="clear" w:color="auto" w:fill="F9DECA"/>
          </w:tcPr>
          <w:p>
            <w:pPr>
              <w:pStyle w:val="TableParagraph"/>
              <w:spacing w:before="98"/>
              <w:ind w:left="193"/>
              <w:rPr>
                <w:sz w:val="18"/>
              </w:rPr>
            </w:pPr>
            <w:r>
              <w:rPr>
                <w:sz w:val="18"/>
              </w:rPr>
              <w:t>20</w:t>
            </w:r>
          </w:p>
        </w:tc>
        <w:tc>
          <w:tcPr>
            <w:tcW w:w="533" w:type="dxa"/>
            <w:tcBorders>
              <w:right w:val="nil"/>
            </w:tcBorders>
            <w:shd w:val="clear" w:color="auto" w:fill="F9DECA"/>
          </w:tcPr>
          <w:p>
            <w:pPr>
              <w:pStyle w:val="TableParagraph"/>
              <w:spacing w:before="98"/>
              <w:ind w:left="182"/>
              <w:rPr>
                <w:sz w:val="18"/>
              </w:rPr>
            </w:pPr>
            <w:r>
              <w:rPr>
                <w:sz w:val="18"/>
              </w:rPr>
              <w:t>20</w:t>
            </w:r>
          </w:p>
        </w:tc>
        <w:tc>
          <w:tcPr>
            <w:tcW w:w="654" w:type="dxa"/>
            <w:tcBorders>
              <w:left w:val="nil"/>
              <w:right w:val="nil"/>
            </w:tcBorders>
            <w:shd w:val="clear" w:color="auto" w:fill="F9DECA"/>
          </w:tcPr>
          <w:p>
            <w:pPr>
              <w:pStyle w:val="TableParagraph"/>
              <w:spacing w:before="98"/>
              <w:ind w:left="207" w:right="226"/>
              <w:jc w:val="center"/>
              <w:rPr>
                <w:sz w:val="18"/>
              </w:rPr>
            </w:pPr>
            <w:r>
              <w:rPr>
                <w:sz w:val="18"/>
              </w:rPr>
              <w:t>38</w:t>
            </w:r>
          </w:p>
        </w:tc>
        <w:tc>
          <w:tcPr>
            <w:tcW w:w="514" w:type="dxa"/>
            <w:tcBorders>
              <w:left w:val="nil"/>
              <w:right w:val="nil"/>
            </w:tcBorders>
            <w:shd w:val="clear" w:color="auto" w:fill="F9DECA"/>
          </w:tcPr>
          <w:p>
            <w:pPr>
              <w:pStyle w:val="TableParagraph"/>
              <w:spacing w:before="98"/>
              <w:ind w:left="137"/>
              <w:rPr>
                <w:sz w:val="18"/>
              </w:rPr>
            </w:pPr>
            <w:r>
              <w:rPr>
                <w:sz w:val="18"/>
              </w:rPr>
              <w:t>64</w:t>
            </w:r>
          </w:p>
        </w:tc>
        <w:tc>
          <w:tcPr>
            <w:tcW w:w="568" w:type="dxa"/>
            <w:tcBorders>
              <w:left w:val="nil"/>
              <w:right w:val="nil"/>
            </w:tcBorders>
            <w:shd w:val="clear" w:color="auto" w:fill="F9DECA"/>
          </w:tcPr>
          <w:p>
            <w:pPr>
              <w:pStyle w:val="TableParagraph"/>
              <w:spacing w:before="98"/>
              <w:ind w:right="190"/>
              <w:jc w:val="right"/>
              <w:rPr>
                <w:sz w:val="18"/>
              </w:rPr>
            </w:pPr>
            <w:r>
              <w:rPr>
                <w:sz w:val="18"/>
              </w:rPr>
              <w:t>58</w:t>
            </w:r>
          </w:p>
        </w:tc>
        <w:tc>
          <w:tcPr>
            <w:tcW w:w="568" w:type="dxa"/>
            <w:tcBorders>
              <w:left w:val="nil"/>
              <w:right w:val="nil"/>
            </w:tcBorders>
            <w:shd w:val="clear" w:color="auto" w:fill="F9DECA"/>
          </w:tcPr>
          <w:p>
            <w:pPr>
              <w:pStyle w:val="TableParagraph"/>
              <w:spacing w:before="98"/>
              <w:ind w:right="1"/>
              <w:jc w:val="center"/>
              <w:rPr>
                <w:sz w:val="18"/>
              </w:rPr>
            </w:pPr>
            <w:r>
              <w:rPr>
                <w:sz w:val="18"/>
              </w:rPr>
              <w:t>3</w:t>
            </w:r>
          </w:p>
        </w:tc>
        <w:tc>
          <w:tcPr>
            <w:tcW w:w="547" w:type="dxa"/>
            <w:tcBorders>
              <w:left w:val="nil"/>
              <w:right w:val="nil"/>
            </w:tcBorders>
            <w:shd w:val="clear" w:color="auto" w:fill="F9DECA"/>
          </w:tcPr>
          <w:p>
            <w:pPr>
              <w:pStyle w:val="TableParagraph"/>
              <w:spacing w:before="98"/>
              <w:ind w:left="14"/>
              <w:jc w:val="center"/>
              <w:rPr>
                <w:sz w:val="18"/>
              </w:rPr>
            </w:pPr>
            <w:r>
              <w:rPr>
                <w:sz w:val="18"/>
              </w:rPr>
              <w:t>0</w:t>
            </w:r>
          </w:p>
        </w:tc>
        <w:tc>
          <w:tcPr>
            <w:tcW w:w="585" w:type="dxa"/>
            <w:tcBorders>
              <w:left w:val="nil"/>
              <w:right w:val="nil"/>
            </w:tcBorders>
            <w:shd w:val="clear" w:color="auto" w:fill="F9DECA"/>
          </w:tcPr>
          <w:p>
            <w:pPr>
              <w:pStyle w:val="TableParagraph"/>
              <w:spacing w:before="98"/>
              <w:ind w:left="15"/>
              <w:jc w:val="center"/>
              <w:rPr>
                <w:sz w:val="18"/>
              </w:rPr>
            </w:pPr>
            <w:r>
              <w:rPr>
                <w:sz w:val="18"/>
              </w:rPr>
              <w:t>0</w:t>
            </w:r>
          </w:p>
        </w:tc>
        <w:tc>
          <w:tcPr>
            <w:tcW w:w="568" w:type="dxa"/>
            <w:tcBorders>
              <w:left w:val="nil"/>
            </w:tcBorders>
            <w:shd w:val="clear" w:color="auto" w:fill="F9DECA"/>
          </w:tcPr>
          <w:p>
            <w:pPr>
              <w:pStyle w:val="TableParagraph"/>
              <w:spacing w:before="98"/>
              <w:ind w:left="10"/>
              <w:jc w:val="center"/>
              <w:rPr>
                <w:sz w:val="18"/>
              </w:rPr>
            </w:pPr>
            <w:r>
              <w:rPr>
                <w:sz w:val="18"/>
              </w:rPr>
              <w:t>0</w:t>
            </w:r>
          </w:p>
        </w:tc>
        <w:tc>
          <w:tcPr>
            <w:tcW w:w="566" w:type="dxa"/>
            <w:tcBorders>
              <w:right w:val="nil"/>
            </w:tcBorders>
            <w:shd w:val="clear" w:color="auto" w:fill="F9DECA"/>
          </w:tcPr>
          <w:p>
            <w:pPr>
              <w:pStyle w:val="TableParagraph"/>
              <w:spacing w:before="98"/>
              <w:ind w:left="136"/>
              <w:rPr>
                <w:sz w:val="18"/>
              </w:rPr>
            </w:pPr>
            <w:r>
              <w:rPr>
                <w:sz w:val="18"/>
              </w:rPr>
              <w:t>211</w:t>
            </w:r>
          </w:p>
        </w:tc>
      </w:tr>
      <w:tr>
        <w:trPr>
          <w:trHeight w:val="436" w:hRule="exact"/>
        </w:trPr>
        <w:tc>
          <w:tcPr>
            <w:tcW w:w="2235" w:type="dxa"/>
            <w:tcBorders>
              <w:left w:val="nil"/>
              <w:right w:val="nil"/>
            </w:tcBorders>
          </w:tcPr>
          <w:p>
            <w:pPr>
              <w:pStyle w:val="TableParagraph"/>
              <w:spacing w:before="2"/>
              <w:ind w:left="748" w:right="256" w:hanging="440"/>
              <w:rPr>
                <w:b/>
                <w:sz w:val="18"/>
              </w:rPr>
            </w:pPr>
            <w:r>
              <w:rPr>
                <w:b/>
                <w:sz w:val="18"/>
              </w:rPr>
              <w:t>Com documento base elaborado</w:t>
            </w:r>
          </w:p>
        </w:tc>
        <w:tc>
          <w:tcPr>
            <w:tcW w:w="602" w:type="dxa"/>
            <w:tcBorders>
              <w:left w:val="nil"/>
              <w:right w:val="nil"/>
            </w:tcBorders>
          </w:tcPr>
          <w:p>
            <w:pPr>
              <w:pStyle w:val="TableParagraph"/>
              <w:spacing w:before="100"/>
              <w:ind w:left="31"/>
              <w:jc w:val="center"/>
              <w:rPr>
                <w:sz w:val="18"/>
              </w:rPr>
            </w:pPr>
            <w:r>
              <w:rPr>
                <w:sz w:val="18"/>
              </w:rPr>
              <w:t>6</w:t>
            </w:r>
          </w:p>
        </w:tc>
        <w:tc>
          <w:tcPr>
            <w:tcW w:w="568" w:type="dxa"/>
            <w:tcBorders>
              <w:left w:val="nil"/>
            </w:tcBorders>
          </w:tcPr>
          <w:p>
            <w:pPr>
              <w:pStyle w:val="TableParagraph"/>
              <w:spacing w:before="100"/>
              <w:ind w:left="238"/>
              <w:rPr>
                <w:sz w:val="18"/>
              </w:rPr>
            </w:pPr>
            <w:r>
              <w:rPr>
                <w:sz w:val="18"/>
              </w:rPr>
              <w:t>6</w:t>
            </w:r>
          </w:p>
        </w:tc>
        <w:tc>
          <w:tcPr>
            <w:tcW w:w="533" w:type="dxa"/>
            <w:tcBorders>
              <w:right w:val="nil"/>
            </w:tcBorders>
          </w:tcPr>
          <w:p>
            <w:pPr>
              <w:pStyle w:val="TableParagraph"/>
              <w:spacing w:before="100"/>
              <w:ind w:left="228"/>
              <w:rPr>
                <w:sz w:val="18"/>
              </w:rPr>
            </w:pPr>
            <w:r>
              <w:rPr>
                <w:sz w:val="18"/>
              </w:rPr>
              <w:t>5</w:t>
            </w:r>
          </w:p>
        </w:tc>
        <w:tc>
          <w:tcPr>
            <w:tcW w:w="654" w:type="dxa"/>
            <w:tcBorders>
              <w:left w:val="nil"/>
              <w:right w:val="nil"/>
            </w:tcBorders>
          </w:tcPr>
          <w:p>
            <w:pPr>
              <w:pStyle w:val="TableParagraph"/>
              <w:spacing w:before="100"/>
              <w:ind w:right="20"/>
              <w:jc w:val="center"/>
              <w:rPr>
                <w:sz w:val="18"/>
              </w:rPr>
            </w:pPr>
            <w:r>
              <w:rPr>
                <w:sz w:val="18"/>
              </w:rPr>
              <w:t>5</w:t>
            </w:r>
          </w:p>
        </w:tc>
        <w:tc>
          <w:tcPr>
            <w:tcW w:w="514" w:type="dxa"/>
            <w:tcBorders>
              <w:left w:val="nil"/>
              <w:right w:val="nil"/>
            </w:tcBorders>
          </w:tcPr>
          <w:p>
            <w:pPr>
              <w:pStyle w:val="TableParagraph"/>
              <w:spacing w:before="100"/>
              <w:ind w:left="137"/>
              <w:rPr>
                <w:sz w:val="18"/>
              </w:rPr>
            </w:pPr>
            <w:r>
              <w:rPr>
                <w:sz w:val="18"/>
              </w:rPr>
              <w:t>17</w:t>
            </w:r>
          </w:p>
        </w:tc>
        <w:tc>
          <w:tcPr>
            <w:tcW w:w="568" w:type="dxa"/>
            <w:tcBorders>
              <w:left w:val="nil"/>
              <w:right w:val="nil"/>
            </w:tcBorders>
          </w:tcPr>
          <w:p>
            <w:pPr>
              <w:pStyle w:val="TableParagraph"/>
              <w:spacing w:before="100"/>
              <w:ind w:right="190"/>
              <w:jc w:val="right"/>
              <w:rPr>
                <w:sz w:val="18"/>
              </w:rPr>
            </w:pPr>
            <w:r>
              <w:rPr>
                <w:sz w:val="18"/>
              </w:rPr>
              <w:t>31</w:t>
            </w:r>
          </w:p>
        </w:tc>
        <w:tc>
          <w:tcPr>
            <w:tcW w:w="568" w:type="dxa"/>
            <w:tcBorders>
              <w:left w:val="nil"/>
              <w:right w:val="nil"/>
            </w:tcBorders>
          </w:tcPr>
          <w:p>
            <w:pPr>
              <w:pStyle w:val="TableParagraph"/>
              <w:spacing w:before="100"/>
              <w:ind w:right="1"/>
              <w:jc w:val="center"/>
              <w:rPr>
                <w:sz w:val="18"/>
              </w:rPr>
            </w:pPr>
            <w:r>
              <w:rPr>
                <w:sz w:val="18"/>
              </w:rPr>
              <w:t>7</w:t>
            </w:r>
          </w:p>
        </w:tc>
        <w:tc>
          <w:tcPr>
            <w:tcW w:w="547" w:type="dxa"/>
            <w:tcBorders>
              <w:left w:val="nil"/>
              <w:right w:val="nil"/>
            </w:tcBorders>
          </w:tcPr>
          <w:p>
            <w:pPr>
              <w:pStyle w:val="TableParagraph"/>
              <w:spacing w:before="100"/>
              <w:ind w:left="14"/>
              <w:jc w:val="center"/>
              <w:rPr>
                <w:sz w:val="18"/>
              </w:rPr>
            </w:pPr>
            <w:r>
              <w:rPr>
                <w:sz w:val="18"/>
              </w:rPr>
              <w:t>0</w:t>
            </w:r>
          </w:p>
        </w:tc>
        <w:tc>
          <w:tcPr>
            <w:tcW w:w="585" w:type="dxa"/>
            <w:tcBorders>
              <w:left w:val="nil"/>
              <w:right w:val="nil"/>
            </w:tcBorders>
          </w:tcPr>
          <w:p>
            <w:pPr>
              <w:pStyle w:val="TableParagraph"/>
              <w:spacing w:before="100"/>
              <w:ind w:left="15"/>
              <w:jc w:val="center"/>
              <w:rPr>
                <w:sz w:val="18"/>
              </w:rPr>
            </w:pPr>
            <w:r>
              <w:rPr>
                <w:sz w:val="18"/>
              </w:rPr>
              <w:t>0</w:t>
            </w:r>
          </w:p>
        </w:tc>
        <w:tc>
          <w:tcPr>
            <w:tcW w:w="568" w:type="dxa"/>
            <w:tcBorders>
              <w:left w:val="nil"/>
            </w:tcBorders>
          </w:tcPr>
          <w:p>
            <w:pPr>
              <w:pStyle w:val="TableParagraph"/>
              <w:spacing w:before="100"/>
              <w:ind w:left="10"/>
              <w:jc w:val="center"/>
              <w:rPr>
                <w:sz w:val="18"/>
              </w:rPr>
            </w:pPr>
            <w:r>
              <w:rPr>
                <w:sz w:val="18"/>
              </w:rPr>
              <w:t>0</w:t>
            </w:r>
          </w:p>
        </w:tc>
        <w:tc>
          <w:tcPr>
            <w:tcW w:w="566" w:type="dxa"/>
            <w:tcBorders>
              <w:right w:val="nil"/>
            </w:tcBorders>
          </w:tcPr>
          <w:p>
            <w:pPr>
              <w:pStyle w:val="TableParagraph"/>
              <w:spacing w:before="100"/>
              <w:ind w:left="182"/>
              <w:rPr>
                <w:sz w:val="18"/>
              </w:rPr>
            </w:pPr>
            <w:r>
              <w:rPr>
                <w:sz w:val="18"/>
              </w:rPr>
              <w:t>77</w:t>
            </w:r>
          </w:p>
        </w:tc>
      </w:tr>
      <w:tr>
        <w:trPr>
          <w:trHeight w:val="433" w:hRule="exact"/>
        </w:trPr>
        <w:tc>
          <w:tcPr>
            <w:tcW w:w="2235" w:type="dxa"/>
            <w:tcBorders>
              <w:left w:val="nil"/>
              <w:right w:val="nil"/>
            </w:tcBorders>
            <w:shd w:val="clear" w:color="auto" w:fill="F9DECA"/>
          </w:tcPr>
          <w:p>
            <w:pPr>
              <w:pStyle w:val="TableParagraph"/>
              <w:spacing w:before="1"/>
              <w:ind w:left="777" w:right="245" w:hanging="478"/>
              <w:rPr>
                <w:b/>
                <w:sz w:val="18"/>
              </w:rPr>
            </w:pPr>
            <w:r>
              <w:rPr>
                <w:b/>
                <w:sz w:val="18"/>
              </w:rPr>
              <w:t>Com consulta pública realizada</w:t>
            </w:r>
          </w:p>
        </w:tc>
        <w:tc>
          <w:tcPr>
            <w:tcW w:w="602" w:type="dxa"/>
            <w:tcBorders>
              <w:left w:val="nil"/>
              <w:right w:val="nil"/>
            </w:tcBorders>
            <w:shd w:val="clear" w:color="auto" w:fill="F9DECA"/>
          </w:tcPr>
          <w:p>
            <w:pPr>
              <w:pStyle w:val="TableParagraph"/>
              <w:spacing w:before="99"/>
              <w:ind w:left="31"/>
              <w:jc w:val="center"/>
              <w:rPr>
                <w:sz w:val="18"/>
              </w:rPr>
            </w:pPr>
            <w:r>
              <w:rPr>
                <w:sz w:val="18"/>
              </w:rPr>
              <w:t>0</w:t>
            </w:r>
          </w:p>
        </w:tc>
        <w:tc>
          <w:tcPr>
            <w:tcW w:w="568" w:type="dxa"/>
            <w:tcBorders>
              <w:left w:val="nil"/>
            </w:tcBorders>
            <w:shd w:val="clear" w:color="auto" w:fill="F9DECA"/>
          </w:tcPr>
          <w:p>
            <w:pPr>
              <w:pStyle w:val="TableParagraph"/>
              <w:spacing w:before="99"/>
              <w:ind w:left="238"/>
              <w:rPr>
                <w:sz w:val="18"/>
              </w:rPr>
            </w:pPr>
            <w:r>
              <w:rPr>
                <w:sz w:val="18"/>
              </w:rPr>
              <w:t>2</w:t>
            </w:r>
          </w:p>
        </w:tc>
        <w:tc>
          <w:tcPr>
            <w:tcW w:w="533" w:type="dxa"/>
            <w:tcBorders>
              <w:right w:val="nil"/>
            </w:tcBorders>
            <w:shd w:val="clear" w:color="auto" w:fill="F9DECA"/>
          </w:tcPr>
          <w:p>
            <w:pPr>
              <w:pStyle w:val="TableParagraph"/>
              <w:spacing w:before="99"/>
              <w:ind w:left="228"/>
              <w:rPr>
                <w:sz w:val="18"/>
              </w:rPr>
            </w:pPr>
            <w:r>
              <w:rPr>
                <w:sz w:val="18"/>
              </w:rPr>
              <w:t>2</w:t>
            </w:r>
          </w:p>
        </w:tc>
        <w:tc>
          <w:tcPr>
            <w:tcW w:w="654" w:type="dxa"/>
            <w:tcBorders>
              <w:left w:val="nil"/>
              <w:right w:val="nil"/>
            </w:tcBorders>
            <w:shd w:val="clear" w:color="auto" w:fill="F9DECA"/>
          </w:tcPr>
          <w:p>
            <w:pPr>
              <w:pStyle w:val="TableParagraph"/>
              <w:spacing w:before="99"/>
              <w:ind w:right="20"/>
              <w:jc w:val="center"/>
              <w:rPr>
                <w:sz w:val="18"/>
              </w:rPr>
            </w:pPr>
            <w:r>
              <w:rPr>
                <w:sz w:val="18"/>
              </w:rPr>
              <w:t>2</w:t>
            </w:r>
          </w:p>
        </w:tc>
        <w:tc>
          <w:tcPr>
            <w:tcW w:w="514" w:type="dxa"/>
            <w:tcBorders>
              <w:left w:val="nil"/>
              <w:right w:val="nil"/>
            </w:tcBorders>
            <w:shd w:val="clear" w:color="auto" w:fill="F9DECA"/>
          </w:tcPr>
          <w:p>
            <w:pPr>
              <w:pStyle w:val="TableParagraph"/>
              <w:spacing w:before="99"/>
              <w:ind w:left="183"/>
              <w:rPr>
                <w:sz w:val="18"/>
              </w:rPr>
            </w:pPr>
            <w:r>
              <w:rPr>
                <w:sz w:val="18"/>
              </w:rPr>
              <w:t>6</w:t>
            </w:r>
          </w:p>
        </w:tc>
        <w:tc>
          <w:tcPr>
            <w:tcW w:w="568" w:type="dxa"/>
            <w:tcBorders>
              <w:left w:val="nil"/>
              <w:right w:val="nil"/>
            </w:tcBorders>
            <w:shd w:val="clear" w:color="auto" w:fill="F9DECA"/>
          </w:tcPr>
          <w:p>
            <w:pPr>
              <w:pStyle w:val="TableParagraph"/>
              <w:spacing w:before="99"/>
              <w:ind w:right="190"/>
              <w:jc w:val="right"/>
              <w:rPr>
                <w:sz w:val="18"/>
              </w:rPr>
            </w:pPr>
            <w:r>
              <w:rPr>
                <w:sz w:val="18"/>
              </w:rPr>
              <w:t>24</w:t>
            </w:r>
          </w:p>
        </w:tc>
        <w:tc>
          <w:tcPr>
            <w:tcW w:w="568" w:type="dxa"/>
            <w:tcBorders>
              <w:left w:val="nil"/>
              <w:right w:val="nil"/>
            </w:tcBorders>
            <w:shd w:val="clear" w:color="auto" w:fill="F9DECA"/>
          </w:tcPr>
          <w:p>
            <w:pPr>
              <w:pStyle w:val="TableParagraph"/>
              <w:spacing w:before="99"/>
              <w:ind w:left="173" w:right="173"/>
              <w:jc w:val="center"/>
              <w:rPr>
                <w:sz w:val="18"/>
              </w:rPr>
            </w:pPr>
            <w:r>
              <w:rPr>
                <w:sz w:val="18"/>
              </w:rPr>
              <w:t>32</w:t>
            </w:r>
          </w:p>
        </w:tc>
        <w:tc>
          <w:tcPr>
            <w:tcW w:w="547" w:type="dxa"/>
            <w:tcBorders>
              <w:left w:val="nil"/>
              <w:right w:val="nil"/>
            </w:tcBorders>
            <w:shd w:val="clear" w:color="auto" w:fill="F9DECA"/>
          </w:tcPr>
          <w:p>
            <w:pPr>
              <w:pStyle w:val="TableParagraph"/>
              <w:spacing w:before="99"/>
              <w:ind w:left="14"/>
              <w:jc w:val="center"/>
              <w:rPr>
                <w:sz w:val="18"/>
              </w:rPr>
            </w:pPr>
            <w:r>
              <w:rPr>
                <w:sz w:val="18"/>
              </w:rPr>
              <w:t>3</w:t>
            </w:r>
          </w:p>
        </w:tc>
        <w:tc>
          <w:tcPr>
            <w:tcW w:w="585" w:type="dxa"/>
            <w:tcBorders>
              <w:left w:val="nil"/>
              <w:right w:val="nil"/>
            </w:tcBorders>
            <w:shd w:val="clear" w:color="auto" w:fill="F9DECA"/>
          </w:tcPr>
          <w:p>
            <w:pPr>
              <w:pStyle w:val="TableParagraph"/>
              <w:spacing w:before="99"/>
              <w:ind w:left="15"/>
              <w:jc w:val="center"/>
              <w:rPr>
                <w:sz w:val="18"/>
              </w:rPr>
            </w:pPr>
            <w:r>
              <w:rPr>
                <w:sz w:val="18"/>
              </w:rPr>
              <w:t>0</w:t>
            </w:r>
          </w:p>
        </w:tc>
        <w:tc>
          <w:tcPr>
            <w:tcW w:w="568" w:type="dxa"/>
            <w:tcBorders>
              <w:left w:val="nil"/>
            </w:tcBorders>
            <w:shd w:val="clear" w:color="auto" w:fill="F9DECA"/>
          </w:tcPr>
          <w:p>
            <w:pPr>
              <w:pStyle w:val="TableParagraph"/>
              <w:spacing w:before="99"/>
              <w:ind w:left="10"/>
              <w:jc w:val="center"/>
              <w:rPr>
                <w:sz w:val="18"/>
              </w:rPr>
            </w:pPr>
            <w:r>
              <w:rPr>
                <w:sz w:val="18"/>
              </w:rPr>
              <w:t>0</w:t>
            </w:r>
          </w:p>
        </w:tc>
        <w:tc>
          <w:tcPr>
            <w:tcW w:w="566" w:type="dxa"/>
            <w:tcBorders>
              <w:right w:val="nil"/>
            </w:tcBorders>
            <w:shd w:val="clear" w:color="auto" w:fill="F9DECA"/>
          </w:tcPr>
          <w:p>
            <w:pPr>
              <w:pStyle w:val="TableParagraph"/>
              <w:spacing w:before="99"/>
              <w:ind w:left="182"/>
              <w:rPr>
                <w:sz w:val="18"/>
              </w:rPr>
            </w:pPr>
            <w:r>
              <w:rPr>
                <w:sz w:val="18"/>
              </w:rPr>
              <w:t>71</w:t>
            </w:r>
          </w:p>
        </w:tc>
      </w:tr>
      <w:tr>
        <w:trPr>
          <w:trHeight w:val="434" w:hRule="exact"/>
        </w:trPr>
        <w:tc>
          <w:tcPr>
            <w:tcW w:w="2235" w:type="dxa"/>
            <w:tcBorders>
              <w:left w:val="nil"/>
              <w:right w:val="nil"/>
            </w:tcBorders>
          </w:tcPr>
          <w:p>
            <w:pPr>
              <w:pStyle w:val="TableParagraph"/>
              <w:spacing w:before="0"/>
              <w:ind w:left="748" w:right="368" w:hanging="327"/>
              <w:rPr>
                <w:b/>
                <w:sz w:val="18"/>
              </w:rPr>
            </w:pPr>
            <w:r>
              <w:rPr>
                <w:b/>
                <w:sz w:val="18"/>
              </w:rPr>
              <w:t>Com projeto de lei elaborado</w:t>
            </w:r>
          </w:p>
        </w:tc>
        <w:tc>
          <w:tcPr>
            <w:tcW w:w="602" w:type="dxa"/>
            <w:tcBorders>
              <w:left w:val="nil"/>
              <w:right w:val="nil"/>
            </w:tcBorders>
          </w:tcPr>
          <w:p>
            <w:pPr>
              <w:pStyle w:val="TableParagraph"/>
              <w:spacing w:before="100"/>
              <w:ind w:left="31"/>
              <w:jc w:val="center"/>
              <w:rPr>
                <w:sz w:val="18"/>
              </w:rPr>
            </w:pPr>
            <w:r>
              <w:rPr>
                <w:sz w:val="18"/>
              </w:rPr>
              <w:t>0</w:t>
            </w:r>
          </w:p>
        </w:tc>
        <w:tc>
          <w:tcPr>
            <w:tcW w:w="568" w:type="dxa"/>
            <w:tcBorders>
              <w:left w:val="nil"/>
            </w:tcBorders>
          </w:tcPr>
          <w:p>
            <w:pPr>
              <w:pStyle w:val="TableParagraph"/>
              <w:spacing w:before="100"/>
              <w:ind w:left="238"/>
              <w:rPr>
                <w:sz w:val="18"/>
              </w:rPr>
            </w:pPr>
            <w:r>
              <w:rPr>
                <w:sz w:val="18"/>
              </w:rPr>
              <w:t>0</w:t>
            </w:r>
          </w:p>
        </w:tc>
        <w:tc>
          <w:tcPr>
            <w:tcW w:w="533" w:type="dxa"/>
            <w:tcBorders>
              <w:right w:val="nil"/>
            </w:tcBorders>
          </w:tcPr>
          <w:p>
            <w:pPr>
              <w:pStyle w:val="TableParagraph"/>
              <w:spacing w:before="100"/>
              <w:ind w:left="228"/>
              <w:rPr>
                <w:sz w:val="18"/>
              </w:rPr>
            </w:pPr>
            <w:r>
              <w:rPr>
                <w:sz w:val="18"/>
              </w:rPr>
              <w:t>0</w:t>
            </w:r>
          </w:p>
        </w:tc>
        <w:tc>
          <w:tcPr>
            <w:tcW w:w="654" w:type="dxa"/>
            <w:tcBorders>
              <w:left w:val="nil"/>
              <w:right w:val="nil"/>
            </w:tcBorders>
          </w:tcPr>
          <w:p>
            <w:pPr>
              <w:pStyle w:val="TableParagraph"/>
              <w:spacing w:before="100"/>
              <w:ind w:right="20"/>
              <w:jc w:val="center"/>
              <w:rPr>
                <w:sz w:val="18"/>
              </w:rPr>
            </w:pPr>
            <w:r>
              <w:rPr>
                <w:sz w:val="18"/>
              </w:rPr>
              <w:t>0</w:t>
            </w:r>
          </w:p>
        </w:tc>
        <w:tc>
          <w:tcPr>
            <w:tcW w:w="514" w:type="dxa"/>
            <w:tcBorders>
              <w:left w:val="nil"/>
              <w:right w:val="nil"/>
            </w:tcBorders>
          </w:tcPr>
          <w:p>
            <w:pPr>
              <w:pStyle w:val="TableParagraph"/>
              <w:spacing w:before="100"/>
              <w:ind w:left="183"/>
              <w:rPr>
                <w:sz w:val="18"/>
              </w:rPr>
            </w:pPr>
            <w:r>
              <w:rPr>
                <w:sz w:val="18"/>
              </w:rPr>
              <w:t>0</w:t>
            </w:r>
          </w:p>
        </w:tc>
        <w:tc>
          <w:tcPr>
            <w:tcW w:w="568" w:type="dxa"/>
            <w:tcBorders>
              <w:left w:val="nil"/>
              <w:right w:val="nil"/>
            </w:tcBorders>
          </w:tcPr>
          <w:p>
            <w:pPr>
              <w:pStyle w:val="TableParagraph"/>
              <w:spacing w:before="100"/>
              <w:ind w:right="237"/>
              <w:jc w:val="right"/>
              <w:rPr>
                <w:sz w:val="18"/>
              </w:rPr>
            </w:pPr>
            <w:r>
              <w:rPr>
                <w:sz w:val="18"/>
              </w:rPr>
              <w:t>2</w:t>
            </w:r>
          </w:p>
        </w:tc>
        <w:tc>
          <w:tcPr>
            <w:tcW w:w="568" w:type="dxa"/>
            <w:tcBorders>
              <w:left w:val="nil"/>
              <w:right w:val="nil"/>
            </w:tcBorders>
          </w:tcPr>
          <w:p>
            <w:pPr>
              <w:pStyle w:val="TableParagraph"/>
              <w:spacing w:before="100"/>
              <w:ind w:left="173" w:right="173"/>
              <w:jc w:val="center"/>
              <w:rPr>
                <w:sz w:val="18"/>
              </w:rPr>
            </w:pPr>
            <w:r>
              <w:rPr>
                <w:sz w:val="18"/>
              </w:rPr>
              <w:t>35</w:t>
            </w:r>
          </w:p>
        </w:tc>
        <w:tc>
          <w:tcPr>
            <w:tcW w:w="547" w:type="dxa"/>
            <w:tcBorders>
              <w:left w:val="nil"/>
              <w:right w:val="nil"/>
            </w:tcBorders>
          </w:tcPr>
          <w:p>
            <w:pPr>
              <w:pStyle w:val="TableParagraph"/>
              <w:spacing w:before="100"/>
              <w:ind w:left="171" w:right="155"/>
              <w:jc w:val="center"/>
              <w:rPr>
                <w:sz w:val="18"/>
              </w:rPr>
            </w:pPr>
            <w:r>
              <w:rPr>
                <w:sz w:val="18"/>
              </w:rPr>
              <w:t>10</w:t>
            </w:r>
          </w:p>
        </w:tc>
        <w:tc>
          <w:tcPr>
            <w:tcW w:w="585" w:type="dxa"/>
            <w:tcBorders>
              <w:left w:val="nil"/>
              <w:right w:val="nil"/>
            </w:tcBorders>
          </w:tcPr>
          <w:p>
            <w:pPr>
              <w:pStyle w:val="TableParagraph"/>
              <w:spacing w:before="100"/>
              <w:ind w:left="15"/>
              <w:jc w:val="center"/>
              <w:rPr>
                <w:sz w:val="18"/>
              </w:rPr>
            </w:pPr>
            <w:r>
              <w:rPr>
                <w:sz w:val="18"/>
              </w:rPr>
              <w:t>2</w:t>
            </w:r>
          </w:p>
        </w:tc>
        <w:tc>
          <w:tcPr>
            <w:tcW w:w="568" w:type="dxa"/>
            <w:tcBorders>
              <w:left w:val="nil"/>
            </w:tcBorders>
          </w:tcPr>
          <w:p>
            <w:pPr>
              <w:pStyle w:val="TableParagraph"/>
              <w:spacing w:before="100"/>
              <w:ind w:left="10"/>
              <w:jc w:val="center"/>
              <w:rPr>
                <w:sz w:val="18"/>
              </w:rPr>
            </w:pPr>
            <w:r>
              <w:rPr>
                <w:sz w:val="18"/>
              </w:rPr>
              <w:t>0</w:t>
            </w:r>
          </w:p>
        </w:tc>
        <w:tc>
          <w:tcPr>
            <w:tcW w:w="566" w:type="dxa"/>
            <w:tcBorders>
              <w:right w:val="nil"/>
            </w:tcBorders>
          </w:tcPr>
          <w:p>
            <w:pPr>
              <w:pStyle w:val="TableParagraph"/>
              <w:spacing w:before="100"/>
              <w:ind w:left="182"/>
              <w:rPr>
                <w:sz w:val="18"/>
              </w:rPr>
            </w:pPr>
            <w:r>
              <w:rPr>
                <w:sz w:val="18"/>
              </w:rPr>
              <w:t>49</w:t>
            </w:r>
          </w:p>
        </w:tc>
      </w:tr>
      <w:tr>
        <w:trPr>
          <w:trHeight w:val="434" w:hRule="exact"/>
        </w:trPr>
        <w:tc>
          <w:tcPr>
            <w:tcW w:w="2235" w:type="dxa"/>
            <w:tcBorders>
              <w:left w:val="nil"/>
              <w:right w:val="nil"/>
            </w:tcBorders>
            <w:shd w:val="clear" w:color="auto" w:fill="F9DECA"/>
          </w:tcPr>
          <w:p>
            <w:pPr>
              <w:pStyle w:val="TableParagraph"/>
              <w:spacing w:before="0"/>
              <w:ind w:left="314" w:right="260" w:firstLine="108"/>
              <w:rPr>
                <w:b/>
                <w:sz w:val="18"/>
              </w:rPr>
            </w:pPr>
            <w:r>
              <w:rPr>
                <w:b/>
                <w:sz w:val="18"/>
              </w:rPr>
              <w:t>Com projeto de lei enviado ao legislativo</w:t>
            </w:r>
          </w:p>
        </w:tc>
        <w:tc>
          <w:tcPr>
            <w:tcW w:w="602" w:type="dxa"/>
            <w:tcBorders>
              <w:left w:val="nil"/>
              <w:right w:val="nil"/>
            </w:tcBorders>
            <w:shd w:val="clear" w:color="auto" w:fill="F9DECA"/>
          </w:tcPr>
          <w:p>
            <w:pPr>
              <w:pStyle w:val="TableParagraph"/>
              <w:spacing w:before="98"/>
              <w:ind w:left="31"/>
              <w:jc w:val="center"/>
              <w:rPr>
                <w:sz w:val="18"/>
              </w:rPr>
            </w:pPr>
            <w:r>
              <w:rPr>
                <w:sz w:val="18"/>
              </w:rPr>
              <w:t>0</w:t>
            </w:r>
          </w:p>
        </w:tc>
        <w:tc>
          <w:tcPr>
            <w:tcW w:w="568" w:type="dxa"/>
            <w:tcBorders>
              <w:left w:val="nil"/>
            </w:tcBorders>
            <w:shd w:val="clear" w:color="auto" w:fill="F9DECA"/>
          </w:tcPr>
          <w:p>
            <w:pPr>
              <w:pStyle w:val="TableParagraph"/>
              <w:spacing w:before="98"/>
              <w:ind w:left="238"/>
              <w:rPr>
                <w:sz w:val="18"/>
              </w:rPr>
            </w:pPr>
            <w:r>
              <w:rPr>
                <w:sz w:val="18"/>
              </w:rPr>
              <w:t>0</w:t>
            </w:r>
          </w:p>
        </w:tc>
        <w:tc>
          <w:tcPr>
            <w:tcW w:w="533" w:type="dxa"/>
            <w:tcBorders>
              <w:right w:val="nil"/>
            </w:tcBorders>
            <w:shd w:val="clear" w:color="auto" w:fill="F9DECA"/>
          </w:tcPr>
          <w:p>
            <w:pPr>
              <w:pStyle w:val="TableParagraph"/>
              <w:spacing w:before="98"/>
              <w:ind w:left="228"/>
              <w:rPr>
                <w:sz w:val="18"/>
              </w:rPr>
            </w:pPr>
            <w:r>
              <w:rPr>
                <w:sz w:val="18"/>
              </w:rPr>
              <w:t>0</w:t>
            </w:r>
          </w:p>
        </w:tc>
        <w:tc>
          <w:tcPr>
            <w:tcW w:w="654" w:type="dxa"/>
            <w:tcBorders>
              <w:left w:val="nil"/>
              <w:right w:val="nil"/>
            </w:tcBorders>
            <w:shd w:val="clear" w:color="auto" w:fill="F9DECA"/>
          </w:tcPr>
          <w:p>
            <w:pPr>
              <w:pStyle w:val="TableParagraph"/>
              <w:spacing w:before="98"/>
              <w:ind w:right="20"/>
              <w:jc w:val="center"/>
              <w:rPr>
                <w:sz w:val="18"/>
              </w:rPr>
            </w:pPr>
            <w:r>
              <w:rPr>
                <w:sz w:val="18"/>
              </w:rPr>
              <w:t>2</w:t>
            </w:r>
          </w:p>
        </w:tc>
        <w:tc>
          <w:tcPr>
            <w:tcW w:w="514" w:type="dxa"/>
            <w:tcBorders>
              <w:left w:val="nil"/>
              <w:right w:val="nil"/>
            </w:tcBorders>
            <w:shd w:val="clear" w:color="auto" w:fill="F9DECA"/>
          </w:tcPr>
          <w:p>
            <w:pPr>
              <w:pStyle w:val="TableParagraph"/>
              <w:spacing w:before="98"/>
              <w:ind w:left="183"/>
              <w:rPr>
                <w:sz w:val="18"/>
              </w:rPr>
            </w:pPr>
            <w:r>
              <w:rPr>
                <w:sz w:val="18"/>
              </w:rPr>
              <w:t>3</w:t>
            </w:r>
          </w:p>
        </w:tc>
        <w:tc>
          <w:tcPr>
            <w:tcW w:w="568" w:type="dxa"/>
            <w:tcBorders>
              <w:left w:val="nil"/>
              <w:right w:val="nil"/>
            </w:tcBorders>
            <w:shd w:val="clear" w:color="auto" w:fill="F9DECA"/>
          </w:tcPr>
          <w:p>
            <w:pPr>
              <w:pStyle w:val="TableParagraph"/>
              <w:spacing w:before="98"/>
              <w:ind w:right="237"/>
              <w:jc w:val="right"/>
              <w:rPr>
                <w:sz w:val="18"/>
              </w:rPr>
            </w:pPr>
            <w:r>
              <w:rPr>
                <w:sz w:val="18"/>
              </w:rPr>
              <w:t>4</w:t>
            </w:r>
          </w:p>
        </w:tc>
        <w:tc>
          <w:tcPr>
            <w:tcW w:w="568" w:type="dxa"/>
            <w:tcBorders>
              <w:left w:val="nil"/>
              <w:right w:val="nil"/>
            </w:tcBorders>
            <w:shd w:val="clear" w:color="auto" w:fill="F9DECA"/>
          </w:tcPr>
          <w:p>
            <w:pPr>
              <w:pStyle w:val="TableParagraph"/>
              <w:spacing w:before="98"/>
              <w:ind w:left="173" w:right="173"/>
              <w:jc w:val="center"/>
              <w:rPr>
                <w:sz w:val="18"/>
              </w:rPr>
            </w:pPr>
            <w:r>
              <w:rPr>
                <w:sz w:val="18"/>
              </w:rPr>
              <w:t>48</w:t>
            </w:r>
          </w:p>
        </w:tc>
        <w:tc>
          <w:tcPr>
            <w:tcW w:w="547" w:type="dxa"/>
            <w:tcBorders>
              <w:left w:val="nil"/>
              <w:right w:val="nil"/>
            </w:tcBorders>
            <w:shd w:val="clear" w:color="auto" w:fill="F9DECA"/>
          </w:tcPr>
          <w:p>
            <w:pPr>
              <w:pStyle w:val="TableParagraph"/>
              <w:spacing w:before="98"/>
              <w:ind w:left="171" w:right="155"/>
              <w:jc w:val="center"/>
              <w:rPr>
                <w:sz w:val="18"/>
              </w:rPr>
            </w:pPr>
            <w:r>
              <w:rPr>
                <w:sz w:val="18"/>
              </w:rPr>
              <w:t>54</w:t>
            </w:r>
          </w:p>
        </w:tc>
        <w:tc>
          <w:tcPr>
            <w:tcW w:w="585" w:type="dxa"/>
            <w:tcBorders>
              <w:left w:val="nil"/>
              <w:right w:val="nil"/>
            </w:tcBorders>
            <w:shd w:val="clear" w:color="auto" w:fill="F9DECA"/>
          </w:tcPr>
          <w:p>
            <w:pPr>
              <w:pStyle w:val="TableParagraph"/>
              <w:spacing w:before="98"/>
              <w:ind w:left="15"/>
              <w:jc w:val="center"/>
              <w:rPr>
                <w:sz w:val="18"/>
              </w:rPr>
            </w:pPr>
            <w:r>
              <w:rPr>
                <w:sz w:val="18"/>
              </w:rPr>
              <w:t>3</w:t>
            </w:r>
          </w:p>
        </w:tc>
        <w:tc>
          <w:tcPr>
            <w:tcW w:w="568" w:type="dxa"/>
            <w:tcBorders>
              <w:left w:val="nil"/>
            </w:tcBorders>
            <w:shd w:val="clear" w:color="auto" w:fill="F9DECA"/>
          </w:tcPr>
          <w:p>
            <w:pPr>
              <w:pStyle w:val="TableParagraph"/>
              <w:spacing w:before="98"/>
              <w:ind w:left="10"/>
              <w:jc w:val="center"/>
              <w:rPr>
                <w:sz w:val="18"/>
              </w:rPr>
            </w:pPr>
            <w:r>
              <w:rPr>
                <w:sz w:val="18"/>
              </w:rPr>
              <w:t>1</w:t>
            </w:r>
          </w:p>
        </w:tc>
        <w:tc>
          <w:tcPr>
            <w:tcW w:w="566" w:type="dxa"/>
            <w:tcBorders>
              <w:right w:val="nil"/>
            </w:tcBorders>
            <w:shd w:val="clear" w:color="auto" w:fill="F9DECA"/>
          </w:tcPr>
          <w:p>
            <w:pPr>
              <w:pStyle w:val="TableParagraph"/>
              <w:spacing w:before="98"/>
              <w:ind w:left="136"/>
              <w:rPr>
                <w:sz w:val="18"/>
              </w:rPr>
            </w:pPr>
            <w:r>
              <w:rPr>
                <w:sz w:val="18"/>
              </w:rPr>
              <w:t>115</w:t>
            </w:r>
          </w:p>
        </w:tc>
      </w:tr>
      <w:tr>
        <w:trPr>
          <w:trHeight w:val="416" w:hRule="exact"/>
        </w:trPr>
        <w:tc>
          <w:tcPr>
            <w:tcW w:w="2235" w:type="dxa"/>
            <w:tcBorders>
              <w:left w:val="nil"/>
              <w:right w:val="nil"/>
            </w:tcBorders>
          </w:tcPr>
          <w:p>
            <w:pPr>
              <w:pStyle w:val="TableParagraph"/>
              <w:spacing w:before="96"/>
              <w:ind w:left="448"/>
              <w:rPr>
                <w:b/>
                <w:sz w:val="18"/>
              </w:rPr>
            </w:pPr>
            <w:r>
              <w:rPr>
                <w:b/>
                <w:sz w:val="18"/>
              </w:rPr>
              <w:t>Com lei aprovada</w:t>
            </w:r>
          </w:p>
        </w:tc>
        <w:tc>
          <w:tcPr>
            <w:tcW w:w="602" w:type="dxa"/>
            <w:tcBorders>
              <w:left w:val="nil"/>
              <w:right w:val="nil"/>
            </w:tcBorders>
          </w:tcPr>
          <w:p>
            <w:pPr>
              <w:pStyle w:val="TableParagraph"/>
              <w:spacing w:before="91"/>
              <w:ind w:left="31"/>
              <w:jc w:val="center"/>
              <w:rPr>
                <w:sz w:val="18"/>
              </w:rPr>
            </w:pPr>
            <w:r>
              <w:rPr>
                <w:sz w:val="18"/>
              </w:rPr>
              <w:t>0</w:t>
            </w:r>
          </w:p>
        </w:tc>
        <w:tc>
          <w:tcPr>
            <w:tcW w:w="568" w:type="dxa"/>
            <w:tcBorders>
              <w:left w:val="nil"/>
            </w:tcBorders>
          </w:tcPr>
          <w:p>
            <w:pPr>
              <w:pStyle w:val="TableParagraph"/>
              <w:spacing w:before="91"/>
              <w:ind w:left="238"/>
              <w:rPr>
                <w:sz w:val="18"/>
              </w:rPr>
            </w:pPr>
            <w:r>
              <w:rPr>
                <w:sz w:val="18"/>
              </w:rPr>
              <w:t>0</w:t>
            </w:r>
          </w:p>
        </w:tc>
        <w:tc>
          <w:tcPr>
            <w:tcW w:w="533" w:type="dxa"/>
            <w:tcBorders>
              <w:right w:val="nil"/>
            </w:tcBorders>
          </w:tcPr>
          <w:p>
            <w:pPr>
              <w:pStyle w:val="TableParagraph"/>
              <w:spacing w:before="91"/>
              <w:ind w:left="228"/>
              <w:rPr>
                <w:sz w:val="18"/>
              </w:rPr>
            </w:pPr>
            <w:r>
              <w:rPr>
                <w:sz w:val="18"/>
              </w:rPr>
              <w:t>0</w:t>
            </w:r>
          </w:p>
        </w:tc>
        <w:tc>
          <w:tcPr>
            <w:tcW w:w="654" w:type="dxa"/>
            <w:tcBorders>
              <w:left w:val="nil"/>
              <w:right w:val="nil"/>
            </w:tcBorders>
          </w:tcPr>
          <w:p>
            <w:pPr>
              <w:pStyle w:val="TableParagraph"/>
              <w:spacing w:before="91"/>
              <w:ind w:right="20"/>
              <w:jc w:val="center"/>
              <w:rPr>
                <w:sz w:val="18"/>
              </w:rPr>
            </w:pPr>
            <w:r>
              <w:rPr>
                <w:sz w:val="18"/>
              </w:rPr>
              <w:t>0</w:t>
            </w:r>
          </w:p>
        </w:tc>
        <w:tc>
          <w:tcPr>
            <w:tcW w:w="514" w:type="dxa"/>
            <w:tcBorders>
              <w:left w:val="nil"/>
              <w:right w:val="nil"/>
            </w:tcBorders>
          </w:tcPr>
          <w:p>
            <w:pPr>
              <w:pStyle w:val="TableParagraph"/>
              <w:spacing w:before="91"/>
              <w:ind w:left="183"/>
              <w:rPr>
                <w:sz w:val="18"/>
              </w:rPr>
            </w:pPr>
            <w:r>
              <w:rPr>
                <w:sz w:val="18"/>
              </w:rPr>
              <w:t>0</w:t>
            </w:r>
          </w:p>
        </w:tc>
        <w:tc>
          <w:tcPr>
            <w:tcW w:w="568" w:type="dxa"/>
            <w:tcBorders>
              <w:left w:val="nil"/>
              <w:right w:val="nil"/>
            </w:tcBorders>
          </w:tcPr>
          <w:p>
            <w:pPr>
              <w:pStyle w:val="TableParagraph"/>
              <w:spacing w:before="91"/>
              <w:ind w:right="237"/>
              <w:jc w:val="right"/>
              <w:rPr>
                <w:sz w:val="18"/>
              </w:rPr>
            </w:pPr>
            <w:r>
              <w:rPr>
                <w:sz w:val="18"/>
              </w:rPr>
              <w:t>0</w:t>
            </w:r>
          </w:p>
        </w:tc>
        <w:tc>
          <w:tcPr>
            <w:tcW w:w="568" w:type="dxa"/>
            <w:tcBorders>
              <w:left w:val="nil"/>
              <w:right w:val="nil"/>
            </w:tcBorders>
          </w:tcPr>
          <w:p>
            <w:pPr>
              <w:pStyle w:val="TableParagraph"/>
              <w:spacing w:before="91"/>
              <w:ind w:right="1"/>
              <w:jc w:val="center"/>
              <w:rPr>
                <w:sz w:val="18"/>
              </w:rPr>
            </w:pPr>
            <w:r>
              <w:rPr>
                <w:sz w:val="18"/>
              </w:rPr>
              <w:t>8</w:t>
            </w:r>
          </w:p>
        </w:tc>
        <w:tc>
          <w:tcPr>
            <w:tcW w:w="547" w:type="dxa"/>
            <w:tcBorders>
              <w:left w:val="nil"/>
              <w:right w:val="nil"/>
            </w:tcBorders>
          </w:tcPr>
          <w:p>
            <w:pPr>
              <w:pStyle w:val="TableParagraph"/>
              <w:spacing w:before="91"/>
              <w:ind w:left="171" w:right="155"/>
              <w:jc w:val="center"/>
              <w:rPr>
                <w:sz w:val="18"/>
              </w:rPr>
            </w:pPr>
            <w:r>
              <w:rPr>
                <w:sz w:val="18"/>
              </w:rPr>
              <w:t>36</w:t>
            </w:r>
          </w:p>
        </w:tc>
        <w:tc>
          <w:tcPr>
            <w:tcW w:w="585" w:type="dxa"/>
            <w:tcBorders>
              <w:left w:val="nil"/>
              <w:right w:val="nil"/>
            </w:tcBorders>
          </w:tcPr>
          <w:p>
            <w:pPr>
              <w:pStyle w:val="TableParagraph"/>
              <w:spacing w:before="91"/>
              <w:ind w:left="15"/>
              <w:jc w:val="center"/>
              <w:rPr>
                <w:sz w:val="18"/>
              </w:rPr>
            </w:pPr>
            <w:r>
              <w:rPr>
                <w:sz w:val="18"/>
              </w:rPr>
              <w:t>2</w:t>
            </w:r>
          </w:p>
        </w:tc>
        <w:tc>
          <w:tcPr>
            <w:tcW w:w="568" w:type="dxa"/>
            <w:tcBorders>
              <w:left w:val="nil"/>
            </w:tcBorders>
          </w:tcPr>
          <w:p>
            <w:pPr>
              <w:pStyle w:val="TableParagraph"/>
              <w:spacing w:before="91"/>
              <w:ind w:left="10"/>
              <w:jc w:val="center"/>
              <w:rPr>
                <w:sz w:val="18"/>
              </w:rPr>
            </w:pPr>
            <w:r>
              <w:rPr>
                <w:sz w:val="18"/>
              </w:rPr>
              <w:t>1</w:t>
            </w:r>
          </w:p>
        </w:tc>
        <w:tc>
          <w:tcPr>
            <w:tcW w:w="566" w:type="dxa"/>
            <w:tcBorders>
              <w:right w:val="nil"/>
            </w:tcBorders>
          </w:tcPr>
          <w:p>
            <w:pPr>
              <w:pStyle w:val="TableParagraph"/>
              <w:spacing w:before="91"/>
              <w:ind w:left="182"/>
              <w:rPr>
                <w:sz w:val="18"/>
              </w:rPr>
            </w:pPr>
            <w:r>
              <w:rPr>
                <w:sz w:val="18"/>
              </w:rPr>
              <w:t>47</w:t>
            </w:r>
          </w:p>
        </w:tc>
      </w:tr>
      <w:tr>
        <w:trPr>
          <w:trHeight w:val="418" w:hRule="exact"/>
        </w:trPr>
        <w:tc>
          <w:tcPr>
            <w:tcW w:w="2235" w:type="dxa"/>
            <w:tcBorders>
              <w:left w:val="nil"/>
              <w:right w:val="nil"/>
            </w:tcBorders>
            <w:shd w:val="clear" w:color="auto" w:fill="F9DECA"/>
          </w:tcPr>
          <w:p>
            <w:pPr>
              <w:pStyle w:val="TableParagraph"/>
              <w:spacing w:before="95"/>
              <w:ind w:left="383"/>
              <w:rPr>
                <w:b/>
                <w:sz w:val="18"/>
              </w:rPr>
            </w:pPr>
            <w:r>
              <w:rPr>
                <w:b/>
                <w:sz w:val="18"/>
              </w:rPr>
              <w:t>Com lei sancionada</w:t>
            </w:r>
          </w:p>
        </w:tc>
        <w:tc>
          <w:tcPr>
            <w:tcW w:w="602" w:type="dxa"/>
            <w:tcBorders>
              <w:left w:val="nil"/>
              <w:right w:val="nil"/>
            </w:tcBorders>
            <w:shd w:val="clear" w:color="auto" w:fill="F9DECA"/>
          </w:tcPr>
          <w:p>
            <w:pPr>
              <w:pStyle w:val="TableParagraph"/>
              <w:spacing w:before="90"/>
              <w:ind w:left="31"/>
              <w:jc w:val="center"/>
              <w:rPr>
                <w:sz w:val="18"/>
              </w:rPr>
            </w:pPr>
            <w:r>
              <w:rPr>
                <w:sz w:val="18"/>
              </w:rPr>
              <w:t>0</w:t>
            </w:r>
          </w:p>
        </w:tc>
        <w:tc>
          <w:tcPr>
            <w:tcW w:w="568" w:type="dxa"/>
            <w:tcBorders>
              <w:left w:val="nil"/>
            </w:tcBorders>
            <w:shd w:val="clear" w:color="auto" w:fill="F9DECA"/>
          </w:tcPr>
          <w:p>
            <w:pPr>
              <w:pStyle w:val="TableParagraph"/>
              <w:spacing w:before="90"/>
              <w:ind w:left="238"/>
              <w:rPr>
                <w:sz w:val="18"/>
              </w:rPr>
            </w:pPr>
            <w:r>
              <w:rPr>
                <w:sz w:val="18"/>
              </w:rPr>
              <w:t>0</w:t>
            </w:r>
          </w:p>
        </w:tc>
        <w:tc>
          <w:tcPr>
            <w:tcW w:w="533" w:type="dxa"/>
            <w:tcBorders>
              <w:right w:val="nil"/>
            </w:tcBorders>
            <w:shd w:val="clear" w:color="auto" w:fill="F9DECA"/>
          </w:tcPr>
          <w:p>
            <w:pPr>
              <w:pStyle w:val="TableParagraph"/>
              <w:spacing w:before="90"/>
              <w:ind w:left="228"/>
              <w:rPr>
                <w:sz w:val="18"/>
              </w:rPr>
            </w:pPr>
            <w:r>
              <w:rPr>
                <w:sz w:val="18"/>
              </w:rPr>
              <w:t>0</w:t>
            </w:r>
          </w:p>
        </w:tc>
        <w:tc>
          <w:tcPr>
            <w:tcW w:w="654" w:type="dxa"/>
            <w:tcBorders>
              <w:left w:val="nil"/>
              <w:right w:val="nil"/>
            </w:tcBorders>
            <w:shd w:val="clear" w:color="auto" w:fill="F9DECA"/>
          </w:tcPr>
          <w:p>
            <w:pPr>
              <w:pStyle w:val="TableParagraph"/>
              <w:spacing w:before="90"/>
              <w:ind w:right="20"/>
              <w:jc w:val="center"/>
              <w:rPr>
                <w:sz w:val="18"/>
              </w:rPr>
            </w:pPr>
            <w:r>
              <w:rPr>
                <w:sz w:val="18"/>
              </w:rPr>
              <w:t>0</w:t>
            </w:r>
          </w:p>
        </w:tc>
        <w:tc>
          <w:tcPr>
            <w:tcW w:w="514" w:type="dxa"/>
            <w:tcBorders>
              <w:left w:val="nil"/>
              <w:right w:val="nil"/>
            </w:tcBorders>
            <w:shd w:val="clear" w:color="auto" w:fill="F9DECA"/>
          </w:tcPr>
          <w:p>
            <w:pPr>
              <w:pStyle w:val="TableParagraph"/>
              <w:spacing w:before="90"/>
              <w:ind w:left="183"/>
              <w:rPr>
                <w:sz w:val="18"/>
              </w:rPr>
            </w:pPr>
            <w:r>
              <w:rPr>
                <w:sz w:val="18"/>
              </w:rPr>
              <w:t>0</w:t>
            </w:r>
          </w:p>
        </w:tc>
        <w:tc>
          <w:tcPr>
            <w:tcW w:w="568" w:type="dxa"/>
            <w:tcBorders>
              <w:left w:val="nil"/>
              <w:right w:val="nil"/>
            </w:tcBorders>
            <w:shd w:val="clear" w:color="auto" w:fill="F9DECA"/>
          </w:tcPr>
          <w:p>
            <w:pPr>
              <w:pStyle w:val="TableParagraph"/>
              <w:spacing w:before="90"/>
              <w:ind w:right="237"/>
              <w:jc w:val="right"/>
              <w:rPr>
                <w:sz w:val="18"/>
              </w:rPr>
            </w:pPr>
            <w:r>
              <w:rPr>
                <w:sz w:val="18"/>
              </w:rPr>
              <w:t>0</w:t>
            </w:r>
          </w:p>
        </w:tc>
        <w:tc>
          <w:tcPr>
            <w:tcW w:w="568" w:type="dxa"/>
            <w:tcBorders>
              <w:left w:val="nil"/>
              <w:right w:val="nil"/>
            </w:tcBorders>
            <w:shd w:val="clear" w:color="auto" w:fill="F9DECA"/>
          </w:tcPr>
          <w:p>
            <w:pPr>
              <w:pStyle w:val="TableParagraph"/>
              <w:spacing w:before="90"/>
              <w:ind w:right="1"/>
              <w:jc w:val="center"/>
              <w:rPr>
                <w:sz w:val="18"/>
              </w:rPr>
            </w:pPr>
            <w:r>
              <w:rPr>
                <w:sz w:val="18"/>
              </w:rPr>
              <w:t>6</w:t>
            </w:r>
          </w:p>
        </w:tc>
        <w:tc>
          <w:tcPr>
            <w:tcW w:w="547" w:type="dxa"/>
            <w:tcBorders>
              <w:left w:val="nil"/>
              <w:right w:val="nil"/>
            </w:tcBorders>
            <w:shd w:val="clear" w:color="auto" w:fill="F9DECA"/>
          </w:tcPr>
          <w:p>
            <w:pPr>
              <w:pStyle w:val="TableParagraph"/>
              <w:spacing w:before="90"/>
              <w:ind w:left="171" w:right="155"/>
              <w:jc w:val="center"/>
              <w:rPr>
                <w:sz w:val="18"/>
              </w:rPr>
            </w:pPr>
            <w:r>
              <w:rPr>
                <w:sz w:val="18"/>
              </w:rPr>
              <w:t>36</w:t>
            </w:r>
          </w:p>
        </w:tc>
        <w:tc>
          <w:tcPr>
            <w:tcW w:w="585" w:type="dxa"/>
            <w:tcBorders>
              <w:left w:val="nil"/>
              <w:right w:val="nil"/>
            </w:tcBorders>
            <w:shd w:val="clear" w:color="auto" w:fill="F9DECA"/>
          </w:tcPr>
          <w:p>
            <w:pPr>
              <w:pStyle w:val="TableParagraph"/>
              <w:spacing w:before="90"/>
              <w:ind w:left="145" w:right="129"/>
              <w:jc w:val="center"/>
              <w:rPr>
                <w:sz w:val="18"/>
              </w:rPr>
            </w:pPr>
            <w:r>
              <w:rPr>
                <w:sz w:val="18"/>
              </w:rPr>
              <w:t>132</w:t>
            </w:r>
          </w:p>
        </w:tc>
        <w:tc>
          <w:tcPr>
            <w:tcW w:w="568" w:type="dxa"/>
            <w:tcBorders>
              <w:left w:val="nil"/>
            </w:tcBorders>
            <w:shd w:val="clear" w:color="auto" w:fill="F9DECA"/>
          </w:tcPr>
          <w:p>
            <w:pPr>
              <w:pStyle w:val="TableParagraph"/>
              <w:spacing w:before="90"/>
              <w:ind w:left="129" w:right="119"/>
              <w:jc w:val="center"/>
              <w:rPr>
                <w:sz w:val="18"/>
              </w:rPr>
            </w:pPr>
            <w:r>
              <w:rPr>
                <w:sz w:val="18"/>
              </w:rPr>
              <w:t>137</w:t>
            </w:r>
          </w:p>
        </w:tc>
        <w:tc>
          <w:tcPr>
            <w:tcW w:w="566" w:type="dxa"/>
            <w:tcBorders>
              <w:right w:val="nil"/>
            </w:tcBorders>
            <w:shd w:val="clear" w:color="auto" w:fill="F9DECA"/>
          </w:tcPr>
          <w:p>
            <w:pPr>
              <w:pStyle w:val="TableParagraph"/>
              <w:spacing w:before="90"/>
              <w:ind w:left="136"/>
              <w:rPr>
                <w:sz w:val="18"/>
              </w:rPr>
            </w:pPr>
            <w:r>
              <w:rPr>
                <w:sz w:val="18"/>
              </w:rPr>
              <w:t>311</w:t>
            </w:r>
          </w:p>
        </w:tc>
      </w:tr>
    </w:tbl>
    <w:p>
      <w:pPr>
        <w:spacing w:line="227" w:lineRule="exact" w:before="0"/>
        <w:ind w:left="122" w:right="0" w:firstLine="0"/>
        <w:jc w:val="both"/>
        <w:rPr>
          <w:sz w:val="20"/>
        </w:rPr>
      </w:pPr>
      <w:r>
        <w:rPr>
          <w:sz w:val="20"/>
        </w:rPr>
        <w:t>Fonte: Adaires Rodrigues de Sousa, a partir dos registros dos mapas no </w:t>
      </w:r>
      <w:r>
        <w:rPr>
          <w:i/>
          <w:sz w:val="20"/>
        </w:rPr>
        <w:t>site </w:t>
      </w:r>
      <w:r>
        <w:rPr>
          <w:sz w:val="20"/>
        </w:rPr>
        <w:t>pne.mec.gov.br (2015).</w:t>
      </w:r>
    </w:p>
    <w:p>
      <w:pPr>
        <w:spacing w:before="34"/>
        <w:ind w:left="122" w:right="0" w:firstLine="0"/>
        <w:jc w:val="both"/>
        <w:rPr>
          <w:sz w:val="20"/>
        </w:rPr>
      </w:pPr>
      <w:r>
        <w:rPr>
          <w:sz w:val="20"/>
        </w:rPr>
        <w:t>* Dados retirados do relatório disponibilizado pelo Coordenador Geral no Tocantins.</w:t>
      </w:r>
    </w:p>
    <w:p>
      <w:pPr>
        <w:spacing w:line="276" w:lineRule="auto" w:before="34"/>
        <w:ind w:left="122" w:right="120" w:firstLine="0"/>
        <w:jc w:val="both"/>
        <w:rPr>
          <w:sz w:val="20"/>
        </w:rPr>
      </w:pPr>
      <w:r>
        <w:rPr>
          <w:sz w:val="20"/>
        </w:rPr>
        <w:t>** Possivelmente erro do sistema, tendo em vista que em datas anteriores, os Municípios informam suas situações em relação ao início dos trabalhos, o que não justifica haver, nesse período, Municípios </w:t>
      </w:r>
      <w:r>
        <w:rPr>
          <w:i/>
          <w:sz w:val="20"/>
        </w:rPr>
        <w:t>sem </w:t>
      </w:r>
      <w:r>
        <w:rPr>
          <w:i/>
          <w:sz w:val="20"/>
        </w:rPr>
        <w:t>informação</w:t>
      </w:r>
      <w:r>
        <w:rPr>
          <w:sz w:val="20"/>
        </w:rPr>
        <w:t>.</w:t>
      </w:r>
    </w:p>
    <w:p>
      <w:pPr>
        <w:pStyle w:val="BodyText"/>
        <w:rPr>
          <w:sz w:val="22"/>
        </w:rPr>
      </w:pPr>
    </w:p>
    <w:p>
      <w:pPr>
        <w:pStyle w:val="BodyText"/>
        <w:spacing w:line="360" w:lineRule="auto" w:before="161"/>
        <w:ind w:left="122" w:right="115" w:firstLine="851"/>
        <w:jc w:val="both"/>
      </w:pPr>
      <w:r>
        <w:rPr/>
        <w:t>Acerca desse acompanhamento, é significativo pontuar que nem sempre o Município que passa de uma fase para a outra informou realmente que cumpriu a fase anterior. A Tabela 1 possibilita a inferência de realidades vivenciadas em cada Município, especificamente, no que diz respeito ao total de Municípios registrados  como com etapas cumpridas: Com comissão coordenadora instituída (493); com diagnóstico concluído (211); com Documento Base elaborado (77); com Consulta Pública realizada (71); com Projeto de Lei elaborado (49); com Projeto de Lei enviado ao Legislativo (115); e com Lei aprovada (47). Disso, nos torna possível indicar que, no início dos trabalhos, especificamente nas etapas </w:t>
      </w:r>
      <w:r>
        <w:rPr>
          <w:i/>
        </w:rPr>
        <w:t>Com comissão coordenadora instituída </w:t>
      </w:r>
      <w:r>
        <w:rPr/>
        <w:t>e </w:t>
      </w:r>
      <w:r>
        <w:rPr>
          <w:i/>
        </w:rPr>
        <w:t>Com diagnóstico concluído, </w:t>
      </w:r>
      <w:r>
        <w:rPr/>
        <w:t>aconteceram situações críticas, tendo em vista a demora em avançá-las, e, por esse motivo, os resultados, respectivamente, 493 e 211 registros, indicando que, dos 139 Municípios do Estado do Tocantins, um mesmo Município fora indicado por mais de uma vez na mesma</w:t>
      </w:r>
      <w:r>
        <w:rPr>
          <w:spacing w:val="-7"/>
        </w:rPr>
        <w:t> </w:t>
      </w:r>
      <w:r>
        <w:rPr/>
        <w:t>posição.</w:t>
      </w:r>
    </w:p>
    <w:p>
      <w:pPr>
        <w:spacing w:line="360" w:lineRule="auto" w:before="4"/>
        <w:ind w:left="122" w:right="117" w:firstLine="851"/>
        <w:jc w:val="both"/>
        <w:rPr>
          <w:sz w:val="24"/>
        </w:rPr>
      </w:pPr>
      <w:r>
        <w:rPr>
          <w:sz w:val="24"/>
        </w:rPr>
        <w:t>Já, em relação às etapas </w:t>
      </w:r>
      <w:r>
        <w:rPr>
          <w:i/>
          <w:sz w:val="24"/>
        </w:rPr>
        <w:t>Com Documento Base elaborado, com Consulta </w:t>
      </w:r>
      <w:r>
        <w:rPr>
          <w:i/>
          <w:sz w:val="24"/>
        </w:rPr>
        <w:t>Pública realizada </w:t>
      </w:r>
      <w:r>
        <w:rPr>
          <w:sz w:val="24"/>
        </w:rPr>
        <w:t>e </w:t>
      </w:r>
      <w:r>
        <w:rPr>
          <w:i/>
          <w:sz w:val="24"/>
        </w:rPr>
        <w:t>Com Projeto de Lei elaborado</w:t>
      </w:r>
      <w:r>
        <w:rPr>
          <w:sz w:val="24"/>
        </w:rPr>
        <w:t>, é possível deduzirmos que houve  um esvaziamento de registros, tendo em vista o número de Municípios indicando estar nestas etapas sendo, respectivamente, 77, 71 e 49. No entanto, é possível que o Município possa ter avançado duas etapas entre uma coleta e outra, o que nos</w:t>
      </w:r>
      <w:r>
        <w:rPr>
          <w:spacing w:val="6"/>
          <w:sz w:val="24"/>
        </w:rPr>
        <w:t> </w:t>
      </w:r>
      <w:r>
        <w:rPr>
          <w:sz w:val="24"/>
        </w:rPr>
        <w:t>possibilita</w:t>
      </w:r>
    </w:p>
    <w:p>
      <w:pPr>
        <w:spacing w:after="0" w:line="360" w:lineRule="auto"/>
        <w:jc w:val="both"/>
        <w:rPr>
          <w:sz w:val="24"/>
        </w:rPr>
        <w:sectPr>
          <w:pgSz w:w="11910" w:h="16840"/>
          <w:pgMar w:header="749" w:footer="0" w:top="960" w:bottom="280" w:left="1580" w:right="1580"/>
        </w:sectPr>
      </w:pPr>
    </w:p>
    <w:p>
      <w:pPr>
        <w:pStyle w:val="BodyText"/>
        <w:rPr>
          <w:sz w:val="20"/>
        </w:rPr>
      </w:pPr>
    </w:p>
    <w:p>
      <w:pPr>
        <w:pStyle w:val="BodyText"/>
        <w:spacing w:line="360" w:lineRule="auto" w:before="210"/>
        <w:ind w:left="102" w:right="117"/>
        <w:jc w:val="both"/>
      </w:pPr>
      <w:r>
        <w:rPr/>
        <w:t>afirmar, de modo geral, que entre os dias 30 de abril de 2014 e 25 de junho de 2015, 78 Municípios, no mínimo, avançaram seis etapas. Isso implica dizer que, de acordo com os prazos definidos no documento ‗Orientações e Cronograma: DME, Equipe Técnica e Comissão Municipal Representativa da Sociedade‘ (TOCANTINS/SEDUC/UNDIME, 2014b), as etapas que seriam desenvolvidas de dezembro de 2014 a junho de 2015 –  sete meses – foram desenvolvidas em dois meses. Fenômeno que permite um questionamento: que tipo de planejamento pode ter acontecido nesses</w:t>
      </w:r>
      <w:r>
        <w:rPr>
          <w:spacing w:val="-11"/>
        </w:rPr>
        <w:t> </w:t>
      </w:r>
      <w:r>
        <w:rPr/>
        <w:t>Municípios?</w:t>
      </w:r>
    </w:p>
    <w:p>
      <w:pPr>
        <w:pStyle w:val="BodyText"/>
        <w:spacing w:line="360" w:lineRule="auto" w:before="5"/>
        <w:ind w:left="102" w:right="119" w:firstLine="851"/>
        <w:jc w:val="both"/>
      </w:pPr>
      <w:r>
        <w:rPr/>
        <w:t>Quanto aos Municípios informarem, ou melhor, deixarem de informar a real situação em relação às etapas cumpridas, tal realidade pode ser observada por meio da página do SiMEC em imagem registrada no dia 25 de junho de 2015. Nesta, a data do registro no sistema indica que, após a fase ‗Com Comissão Coordenadora Instituída‘, o Município vai para a fase ‗Com Documento Base elaborado‘, ou seja, a fase ‗Com Diagnóstico Concluído‘ não é indicada, possibilitando algumas hipóteses como: os Municípios não concluíram ou realizaram todas as etapas indicadas para o processo; ou deixaram de informar; ou realizaram as etapas em prazos não indicados para o processo.</w:t>
      </w:r>
    </w:p>
    <w:p>
      <w:pPr>
        <w:pStyle w:val="BodyText"/>
        <w:spacing w:before="4"/>
        <w:rPr>
          <w:sz w:val="36"/>
        </w:rPr>
      </w:pPr>
    </w:p>
    <w:p>
      <w:pPr>
        <w:pStyle w:val="BodyText"/>
        <w:spacing w:line="276" w:lineRule="auto" w:after="22"/>
        <w:ind w:left="102" w:right="180"/>
        <w:jc w:val="both"/>
      </w:pPr>
      <w:r>
        <w:rPr>
          <w:b/>
        </w:rPr>
        <w:t>Figura 3 </w:t>
      </w:r>
      <w:r>
        <w:rPr/>
        <w:t>Exemplo de registro das etapas do processo de elaboração e/ou adequação dos PMEs no Estado do Tocantins realizadas no Município, em junho de 2015</w:t>
      </w:r>
    </w:p>
    <w:p>
      <w:pPr>
        <w:pStyle w:val="BodyText"/>
        <w:ind w:left="116"/>
        <w:rPr>
          <w:sz w:val="20"/>
        </w:rPr>
      </w:pPr>
      <w:r>
        <w:rPr>
          <w:sz w:val="20"/>
        </w:rPr>
        <w:pict>
          <v:group style="width:424.8pt;height:151.550pt;mso-position-horizontal-relative:char;mso-position-vertical-relative:line" coordorigin="0,0" coordsize="8496,3031">
            <v:shape style="position:absolute;left:15;top:15;width:8466;height:3001" type="#_x0000_t75" stroked="false">
              <v:imagedata r:id="rId65" o:title=""/>
            </v:shape>
            <v:rect style="position:absolute;left:8;top:8;width:8481;height:3016" filled="false" stroked="true" strokeweight=".75pt" strokecolor="#000000">
              <v:stroke dashstyle="solid"/>
            </v:rect>
          </v:group>
        </w:pict>
      </w:r>
      <w:r>
        <w:rPr>
          <w:sz w:val="20"/>
        </w:rPr>
      </w:r>
    </w:p>
    <w:p>
      <w:pPr>
        <w:spacing w:before="114"/>
        <w:ind w:left="102" w:right="0" w:firstLine="0"/>
        <w:jc w:val="both"/>
        <w:rPr>
          <w:sz w:val="20"/>
        </w:rPr>
      </w:pPr>
      <w:r>
        <w:rPr>
          <w:sz w:val="20"/>
        </w:rPr>
        <w:t>Fonte: </w:t>
      </w:r>
      <w:r>
        <w:rPr>
          <w:i/>
          <w:sz w:val="20"/>
        </w:rPr>
        <w:t>print screen </w:t>
      </w:r>
      <w:r>
        <w:rPr>
          <w:sz w:val="20"/>
        </w:rPr>
        <w:t>da página simec.mec.gov.br. Acesso em 30/06/2015.</w:t>
      </w:r>
    </w:p>
    <w:p>
      <w:pPr>
        <w:pStyle w:val="BodyText"/>
        <w:rPr>
          <w:sz w:val="22"/>
        </w:rPr>
      </w:pPr>
    </w:p>
    <w:p>
      <w:pPr>
        <w:pStyle w:val="BodyText"/>
        <w:spacing w:line="360" w:lineRule="auto" w:before="194"/>
        <w:ind w:left="102" w:right="118" w:firstLine="851"/>
        <w:jc w:val="both"/>
      </w:pPr>
      <w:r>
        <w:rPr/>
        <w:t>Para este fenômeno, as ideias de Sousa (2015, p. 4) podem nos ajudar na </w:t>
      </w:r>
      <w:r>
        <w:rPr>
          <w:spacing w:val="-1"/>
          <w:w w:val="99"/>
        </w:rPr>
        <w:t>c</w:t>
      </w:r>
      <w:r>
        <w:rPr>
          <w:w w:val="99"/>
        </w:rPr>
        <w:t>onstru</w:t>
      </w:r>
      <w:r>
        <w:rPr>
          <w:spacing w:val="-2"/>
          <w:w w:val="99"/>
        </w:rPr>
        <w:t>ç</w:t>
      </w:r>
      <w:r>
        <w:rPr>
          <w:spacing w:val="-1"/>
          <w:w w:val="99"/>
        </w:rPr>
        <w:t>ã</w:t>
      </w:r>
      <w:r>
        <w:rPr>
          <w:w w:val="99"/>
        </w:rPr>
        <w:t>o  </w:t>
      </w:r>
      <w:r>
        <w:rPr>
          <w:spacing w:val="-6"/>
          <w:w w:val="99"/>
        </w:rPr>
        <w:t> </w:t>
      </w:r>
      <w:r>
        <w:rPr>
          <w:w w:val="99"/>
        </w:rPr>
        <w:t>de  </w:t>
      </w:r>
      <w:r>
        <w:rPr>
          <w:spacing w:val="-6"/>
          <w:w w:val="99"/>
        </w:rPr>
        <w:t> </w:t>
      </w:r>
      <w:r>
        <w:rPr>
          <w:w w:val="99"/>
        </w:rPr>
        <w:t>uma  </w:t>
      </w:r>
      <w:r>
        <w:rPr>
          <w:spacing w:val="-6"/>
          <w:w w:val="99"/>
        </w:rPr>
        <w:t> </w:t>
      </w:r>
      <w:r>
        <w:rPr>
          <w:w w:val="99"/>
        </w:rPr>
        <w:t>p</w:t>
      </w:r>
      <w:r>
        <w:rPr>
          <w:spacing w:val="2"/>
          <w:w w:val="99"/>
        </w:rPr>
        <w:t>o</w:t>
      </w:r>
      <w:r>
        <w:rPr>
          <w:w w:val="99"/>
        </w:rPr>
        <w:t>ssí</w:t>
      </w:r>
      <w:r>
        <w:rPr/>
        <w:t>v</w:t>
      </w:r>
      <w:r>
        <w:rPr>
          <w:spacing w:val="-1"/>
        </w:rPr>
        <w:t>e</w:t>
      </w:r>
      <w:r>
        <w:rPr/>
        <w:t>l  </w:t>
      </w:r>
      <w:r>
        <w:rPr>
          <w:spacing w:val="-5"/>
        </w:rPr>
        <w:t> </w:t>
      </w:r>
      <w:r>
        <w:rPr/>
        <w:t>r</w:t>
      </w:r>
      <w:r>
        <w:rPr>
          <w:spacing w:val="-2"/>
        </w:rPr>
        <w:t>e</w:t>
      </w:r>
      <w:r>
        <w:rPr>
          <w:w w:val="99"/>
        </w:rPr>
        <w:t>spost</w:t>
      </w:r>
      <w:r>
        <w:rPr>
          <w:spacing w:val="-1"/>
        </w:rPr>
        <w:t>a</w:t>
      </w:r>
      <w:r>
        <w:rPr/>
        <w:t>:  </w:t>
      </w:r>
      <w:r>
        <w:rPr>
          <w:spacing w:val="-2"/>
        </w:rPr>
        <w:t> </w:t>
      </w:r>
      <w:r>
        <w:rPr>
          <w:spacing w:val="-1"/>
          <w:w w:val="44"/>
        </w:rPr>
        <w:t>―</w:t>
      </w:r>
      <w:r>
        <w:rPr/>
        <w:t>a  </w:t>
      </w:r>
      <w:r>
        <w:rPr>
          <w:spacing w:val="-6"/>
        </w:rPr>
        <w:t> </w:t>
      </w:r>
      <w:r>
        <w:rPr>
          <w:spacing w:val="-1"/>
        </w:rPr>
        <w:t>a</w:t>
      </w:r>
      <w:r>
        <w:rPr>
          <w:spacing w:val="2"/>
        </w:rPr>
        <w:t>u</w:t>
      </w:r>
      <w:r>
        <w:rPr>
          <w:w w:val="99"/>
        </w:rPr>
        <w:t>s</w:t>
      </w:r>
      <w:r>
        <w:rPr>
          <w:spacing w:val="-1"/>
          <w:w w:val="99"/>
        </w:rPr>
        <w:t>ê</w:t>
      </w:r>
      <w:r>
        <w:rPr/>
        <w:t>n</w:t>
      </w:r>
      <w:r>
        <w:rPr>
          <w:spacing w:val="-1"/>
        </w:rPr>
        <w:t>c</w:t>
      </w:r>
      <w:r>
        <w:rPr/>
        <w:t>ia  </w:t>
      </w:r>
      <w:r>
        <w:rPr>
          <w:spacing w:val="-6"/>
        </w:rPr>
        <w:t> </w:t>
      </w:r>
      <w:r>
        <w:rPr/>
        <w:t>de  </w:t>
      </w:r>
      <w:r>
        <w:rPr>
          <w:spacing w:val="-6"/>
        </w:rPr>
        <w:t> </w:t>
      </w:r>
      <w:r>
        <w:rPr/>
        <w:t>p</w:t>
      </w:r>
      <w:r>
        <w:rPr>
          <w:spacing w:val="1"/>
        </w:rPr>
        <w:t>r</w:t>
      </w:r>
      <w:r>
        <w:rPr>
          <w:spacing w:val="-1"/>
        </w:rPr>
        <w:t>á</w:t>
      </w:r>
      <w:r>
        <w:rPr/>
        <w:t>ti</w:t>
      </w:r>
      <w:r>
        <w:rPr>
          <w:spacing w:val="-1"/>
        </w:rPr>
        <w:t>c</w:t>
      </w:r>
      <w:r>
        <w:rPr/>
        <w:t>a  </w:t>
      </w:r>
      <w:r>
        <w:rPr>
          <w:spacing w:val="-6"/>
        </w:rPr>
        <w:t> </w:t>
      </w:r>
      <w:r>
        <w:rPr/>
        <w:t>de  </w:t>
      </w:r>
      <w:r>
        <w:rPr>
          <w:spacing w:val="-4"/>
        </w:rPr>
        <w:t> </w:t>
      </w:r>
      <w:r>
        <w:rPr/>
        <w:t>plan</w:t>
      </w:r>
      <w:r>
        <w:rPr>
          <w:spacing w:val="-2"/>
        </w:rPr>
        <w:t>e</w:t>
      </w:r>
      <w:r>
        <w:rPr/>
        <w:t>jam</w:t>
      </w:r>
      <w:r>
        <w:rPr>
          <w:spacing w:val="-1"/>
        </w:rPr>
        <w:t>e</w:t>
      </w:r>
      <w:r>
        <w:rPr/>
        <w:t>nto democrático associado a um processo costumeiro de deixar para última hora, pode possibilitar a construção de documentos que não representem a realidade local e que se pautem apenas pelo movimento de cumprir metas estabelecidas em âmbito</w:t>
      </w:r>
      <w:r>
        <w:rPr>
          <w:spacing w:val="27"/>
        </w:rPr>
        <w:t> </w:t>
      </w:r>
      <w:r>
        <w:rPr/>
        <w:t>federal‖.</w:t>
      </w:r>
    </w:p>
    <w:p>
      <w:pPr>
        <w:spacing w:after="0" w:line="360" w:lineRule="auto"/>
        <w:jc w:val="both"/>
        <w:sectPr>
          <w:pgSz w:w="11910" w:h="16840"/>
          <w:pgMar w:header="749" w:footer="0" w:top="960" w:bottom="280" w:left="1600" w:right="1580"/>
        </w:sectPr>
      </w:pPr>
    </w:p>
    <w:p>
      <w:pPr>
        <w:pStyle w:val="BodyText"/>
        <w:rPr>
          <w:sz w:val="20"/>
        </w:rPr>
      </w:pPr>
      <w:r>
        <w:rPr/>
        <w:pict>
          <v:line style="position:absolute;mso-position-horizontal-relative:page;mso-position-vertical-relative:page;z-index:-363976" from="359.350006pt,663.159973pt" to="362.590006pt,663.159973pt" stroked="true" strokeweight=".35999pt" strokecolor="#000000">
            <v:stroke dashstyle="solid"/>
            <w10:wrap type="none"/>
          </v:line>
        </w:pict>
      </w:r>
    </w:p>
    <w:p>
      <w:pPr>
        <w:pStyle w:val="Heading1"/>
        <w:numPr>
          <w:ilvl w:val="1"/>
          <w:numId w:val="38"/>
        </w:numPr>
        <w:tabs>
          <w:tab w:pos="688" w:val="left" w:leader="none"/>
        </w:tabs>
        <w:spacing w:line="362" w:lineRule="auto" w:before="215" w:after="0"/>
        <w:ind w:left="222" w:right="120" w:firstLine="0"/>
        <w:jc w:val="left"/>
      </w:pPr>
      <w:bookmarkStart w:name="_TOC_250011" w:id="6"/>
      <w:r>
        <w:rPr/>
        <w:t>Características gerais de planos municipais de educação no Tocantins: formatação e</w:t>
      </w:r>
      <w:r>
        <w:rPr>
          <w:spacing w:val="-7"/>
        </w:rPr>
        <w:t> </w:t>
      </w:r>
      <w:bookmarkEnd w:id="6"/>
      <w:r>
        <w:rPr/>
        <w:t>conteúdo</w:t>
      </w:r>
    </w:p>
    <w:p>
      <w:pPr>
        <w:pStyle w:val="BodyText"/>
        <w:spacing w:before="8"/>
        <w:rPr>
          <w:b/>
          <w:sz w:val="35"/>
        </w:rPr>
      </w:pPr>
    </w:p>
    <w:p>
      <w:pPr>
        <w:pStyle w:val="BodyText"/>
        <w:spacing w:line="360" w:lineRule="auto"/>
        <w:ind w:left="222" w:right="117" w:firstLine="851"/>
        <w:jc w:val="both"/>
      </w:pPr>
      <w:r>
        <w:rPr/>
        <w:t>Como características gerais dos PMEs no Tocantins, para este trabalho, apreendemos duas dimensões, sendo de formatação e de conteúdo, considerando as orientações e as expressões utilizadas pelo documento do MEC/SASE (BRASIL, 2014c):</w:t>
      </w:r>
    </w:p>
    <w:p>
      <w:pPr>
        <w:pStyle w:val="BodyText"/>
        <w:spacing w:line="360" w:lineRule="auto" w:before="5"/>
        <w:ind w:left="222" w:right="115" w:firstLine="851"/>
        <w:jc w:val="both"/>
      </w:pPr>
      <w:r>
        <w:rPr/>
        <w:t>No que diz respeito à primeira dimensão, extraímos a quantidade de metas e de estratégias e alguns aspectos da sistematização/seções dos PMEs. Em se tratando de conteúdo, extraímos aspectos das responsabilidades assumidas no campo da educação pelos Municípios, a partir das metas e estratégias do PNE.</w:t>
      </w:r>
    </w:p>
    <w:p>
      <w:pPr>
        <w:pStyle w:val="ListParagraph"/>
        <w:numPr>
          <w:ilvl w:val="2"/>
          <w:numId w:val="38"/>
        </w:numPr>
        <w:tabs>
          <w:tab w:pos="1434" w:val="left" w:leader="none"/>
        </w:tabs>
        <w:spacing w:line="360" w:lineRule="auto" w:before="5" w:after="0"/>
        <w:ind w:left="1434" w:right="119" w:hanging="360"/>
        <w:jc w:val="left"/>
        <w:rPr>
          <w:sz w:val="24"/>
        </w:rPr>
      </w:pPr>
      <w:r>
        <w:rPr>
          <w:sz w:val="24"/>
        </w:rPr>
        <w:t>Formatação do PNE: Lei, contendo 14 artigos, e um Anexo, com 20 metas  e 254</w:t>
      </w:r>
      <w:r>
        <w:rPr>
          <w:spacing w:val="-5"/>
          <w:sz w:val="24"/>
        </w:rPr>
        <w:t> </w:t>
      </w:r>
      <w:r>
        <w:rPr>
          <w:sz w:val="24"/>
        </w:rPr>
        <w:t>estratégias.</w:t>
      </w:r>
    </w:p>
    <w:p>
      <w:pPr>
        <w:pStyle w:val="ListParagraph"/>
        <w:numPr>
          <w:ilvl w:val="2"/>
          <w:numId w:val="38"/>
        </w:numPr>
        <w:tabs>
          <w:tab w:pos="1434" w:val="left" w:leader="none"/>
        </w:tabs>
        <w:spacing w:line="240" w:lineRule="auto" w:before="5" w:after="0"/>
        <w:ind w:left="1434" w:right="0" w:hanging="360"/>
        <w:jc w:val="left"/>
        <w:rPr>
          <w:sz w:val="24"/>
        </w:rPr>
      </w:pPr>
      <w:r>
        <w:rPr>
          <w:sz w:val="24"/>
        </w:rPr>
        <w:t>Conteúdo do</w:t>
      </w:r>
      <w:r>
        <w:rPr>
          <w:spacing w:val="-1"/>
          <w:sz w:val="24"/>
        </w:rPr>
        <w:t> </w:t>
      </w:r>
      <w:r>
        <w:rPr>
          <w:sz w:val="24"/>
        </w:rPr>
        <w:t>PNE:</w:t>
      </w:r>
    </w:p>
    <w:p>
      <w:pPr>
        <w:pStyle w:val="BodyText"/>
        <w:rPr>
          <w:sz w:val="26"/>
        </w:rPr>
      </w:pPr>
    </w:p>
    <w:p>
      <w:pPr>
        <w:pStyle w:val="BodyText"/>
        <w:spacing w:before="154" w:after="49"/>
        <w:ind w:left="222"/>
      </w:pPr>
      <w:r>
        <w:rPr>
          <w:b/>
        </w:rPr>
        <w:t>Quadro 3 </w:t>
      </w:r>
      <w:r>
        <w:rPr/>
        <w:t>Conteúdo do Plano Nacional de Educação – Lei nº 13.005/2014</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9"/>
        <w:gridCol w:w="6438"/>
        <w:gridCol w:w="1318"/>
      </w:tblGrid>
      <w:tr>
        <w:trPr>
          <w:trHeight w:val="470" w:hRule="exact"/>
        </w:trPr>
        <w:tc>
          <w:tcPr>
            <w:tcW w:w="739" w:type="dxa"/>
            <w:shd w:val="clear" w:color="auto" w:fill="F1F1F1"/>
          </w:tcPr>
          <w:p>
            <w:pPr>
              <w:pStyle w:val="TableParagraph"/>
              <w:spacing w:before="113"/>
              <w:ind w:left="83" w:right="83"/>
              <w:jc w:val="center"/>
              <w:rPr>
                <w:b/>
                <w:sz w:val="20"/>
              </w:rPr>
            </w:pPr>
            <w:r>
              <w:rPr>
                <w:b/>
                <w:sz w:val="20"/>
              </w:rPr>
              <w:t>Metas</w:t>
            </w:r>
          </w:p>
        </w:tc>
        <w:tc>
          <w:tcPr>
            <w:tcW w:w="6438" w:type="dxa"/>
            <w:shd w:val="clear" w:color="auto" w:fill="F1F1F1"/>
          </w:tcPr>
          <w:p>
            <w:pPr>
              <w:pStyle w:val="TableParagraph"/>
              <w:spacing w:before="113"/>
              <w:ind w:left="2776" w:right="2777"/>
              <w:jc w:val="center"/>
              <w:rPr>
                <w:b/>
                <w:sz w:val="20"/>
              </w:rPr>
            </w:pPr>
            <w:r>
              <w:rPr>
                <w:b/>
                <w:sz w:val="20"/>
              </w:rPr>
              <w:t>Conteúdo</w:t>
            </w:r>
          </w:p>
        </w:tc>
        <w:tc>
          <w:tcPr>
            <w:tcW w:w="1318" w:type="dxa"/>
            <w:shd w:val="clear" w:color="auto" w:fill="F1F1F1"/>
          </w:tcPr>
          <w:p>
            <w:pPr>
              <w:pStyle w:val="TableParagraph"/>
              <w:spacing w:before="0"/>
              <w:ind w:left="103" w:firstLine="72"/>
              <w:rPr>
                <w:b/>
                <w:sz w:val="20"/>
              </w:rPr>
            </w:pPr>
            <w:r>
              <w:rPr>
                <w:b/>
                <w:sz w:val="20"/>
              </w:rPr>
              <w:t>Estratégias </w:t>
            </w:r>
            <w:r>
              <w:rPr>
                <w:b/>
                <w:w w:val="95"/>
                <w:sz w:val="20"/>
              </w:rPr>
              <w:t>(quantidade)</w:t>
            </w:r>
          </w:p>
        </w:tc>
      </w:tr>
      <w:tr>
        <w:trPr>
          <w:trHeight w:val="1085" w:hRule="exact"/>
        </w:trPr>
        <w:tc>
          <w:tcPr>
            <w:tcW w:w="739" w:type="dxa"/>
          </w:tcPr>
          <w:p>
            <w:pPr>
              <w:pStyle w:val="TableParagraph"/>
              <w:spacing w:before="0"/>
              <w:rPr>
                <w:sz w:val="22"/>
              </w:rPr>
            </w:pPr>
          </w:p>
          <w:p>
            <w:pPr>
              <w:pStyle w:val="TableParagraph"/>
              <w:spacing w:before="162"/>
              <w:ind w:right="1"/>
              <w:jc w:val="center"/>
              <w:rPr>
                <w:sz w:val="20"/>
              </w:rPr>
            </w:pPr>
            <w:r>
              <w:rPr>
                <w:w w:val="99"/>
                <w:sz w:val="20"/>
              </w:rPr>
              <w:t>1</w:t>
            </w:r>
          </w:p>
        </w:tc>
        <w:tc>
          <w:tcPr>
            <w:tcW w:w="6438" w:type="dxa"/>
          </w:tcPr>
          <w:p>
            <w:pPr>
              <w:pStyle w:val="TableParagraph"/>
              <w:spacing w:before="70"/>
              <w:ind w:left="100" w:right="104"/>
              <w:jc w:val="both"/>
              <w:rPr>
                <w:sz w:val="20"/>
              </w:rPr>
            </w:pPr>
            <w:r>
              <w:rPr>
                <w:sz w:val="20"/>
              </w:rPr>
              <w:t>Universalizar, até 2016, a educação infantil na pré-escola para as crianças de 4 (quatro) a 5 (cinco) anos de idade e ampliar a oferta de educação infantil em creches de forma a atender, no mínimo, 50% (cinquenta por cento) das crianças de até 3 (três) anos até o final da vigência deste</w:t>
            </w:r>
            <w:r>
              <w:rPr>
                <w:spacing w:val="-20"/>
                <w:sz w:val="20"/>
              </w:rPr>
              <w:t> </w:t>
            </w:r>
            <w:r>
              <w:rPr>
                <w:sz w:val="20"/>
              </w:rPr>
              <w:t>PNE</w:t>
            </w:r>
          </w:p>
        </w:tc>
        <w:tc>
          <w:tcPr>
            <w:tcW w:w="1318" w:type="dxa"/>
          </w:tcPr>
          <w:p>
            <w:pPr>
              <w:pStyle w:val="TableParagraph"/>
              <w:spacing w:before="0"/>
              <w:rPr>
                <w:sz w:val="22"/>
              </w:rPr>
            </w:pPr>
          </w:p>
          <w:p>
            <w:pPr>
              <w:pStyle w:val="TableParagraph"/>
              <w:spacing w:before="162"/>
              <w:ind w:left="535" w:right="532"/>
              <w:jc w:val="center"/>
              <w:rPr>
                <w:sz w:val="20"/>
              </w:rPr>
            </w:pPr>
            <w:r>
              <w:rPr>
                <w:sz w:val="20"/>
              </w:rPr>
              <w:t>17</w:t>
            </w:r>
          </w:p>
        </w:tc>
      </w:tr>
      <w:tr>
        <w:trPr>
          <w:trHeight w:val="1088" w:hRule="exact"/>
        </w:trPr>
        <w:tc>
          <w:tcPr>
            <w:tcW w:w="739" w:type="dxa"/>
          </w:tcPr>
          <w:p>
            <w:pPr>
              <w:pStyle w:val="TableParagraph"/>
              <w:spacing w:before="0"/>
              <w:rPr>
                <w:sz w:val="22"/>
              </w:rPr>
            </w:pPr>
          </w:p>
          <w:p>
            <w:pPr>
              <w:pStyle w:val="TableParagraph"/>
              <w:spacing w:before="165"/>
              <w:ind w:right="1"/>
              <w:jc w:val="center"/>
              <w:rPr>
                <w:sz w:val="20"/>
              </w:rPr>
            </w:pPr>
            <w:r>
              <w:rPr>
                <w:w w:val="99"/>
                <w:sz w:val="20"/>
              </w:rPr>
              <w:t>2</w:t>
            </w:r>
          </w:p>
        </w:tc>
        <w:tc>
          <w:tcPr>
            <w:tcW w:w="6438" w:type="dxa"/>
          </w:tcPr>
          <w:p>
            <w:pPr>
              <w:pStyle w:val="TableParagraph"/>
              <w:spacing w:before="73"/>
              <w:ind w:left="100" w:right="109"/>
              <w:jc w:val="both"/>
              <w:rPr>
                <w:sz w:val="20"/>
              </w:rPr>
            </w:pPr>
            <w:r>
              <w:rPr>
                <w:sz w:val="20"/>
              </w:rPr>
              <w:t>Universalizar o ensino fundamental de 9 (nove) anos para toda a população de 6 (seis) a 14 (quatorze) anos e garantir que pelo menos 95% (noventa e cinco por cento) dos alunos concluam essa etapa na idade recomendada, até o último ano de vigência deste</w:t>
            </w:r>
            <w:r>
              <w:rPr>
                <w:spacing w:val="-10"/>
                <w:sz w:val="20"/>
              </w:rPr>
              <w:t> </w:t>
            </w:r>
            <w:r>
              <w:rPr>
                <w:sz w:val="20"/>
              </w:rPr>
              <w:t>PNE</w:t>
            </w:r>
          </w:p>
        </w:tc>
        <w:tc>
          <w:tcPr>
            <w:tcW w:w="1318" w:type="dxa"/>
          </w:tcPr>
          <w:p>
            <w:pPr>
              <w:pStyle w:val="TableParagraph"/>
              <w:spacing w:before="0"/>
              <w:rPr>
                <w:sz w:val="22"/>
              </w:rPr>
            </w:pPr>
          </w:p>
          <w:p>
            <w:pPr>
              <w:pStyle w:val="TableParagraph"/>
              <w:spacing w:before="165"/>
              <w:ind w:left="535" w:right="532"/>
              <w:jc w:val="center"/>
              <w:rPr>
                <w:sz w:val="20"/>
              </w:rPr>
            </w:pPr>
            <w:r>
              <w:rPr>
                <w:sz w:val="20"/>
              </w:rPr>
              <w:t>13</w:t>
            </w:r>
          </w:p>
        </w:tc>
      </w:tr>
      <w:tr>
        <w:trPr>
          <w:trHeight w:val="1032" w:hRule="exact"/>
        </w:trPr>
        <w:tc>
          <w:tcPr>
            <w:tcW w:w="739" w:type="dxa"/>
          </w:tcPr>
          <w:p>
            <w:pPr>
              <w:pStyle w:val="TableParagraph"/>
              <w:spacing w:before="0"/>
              <w:rPr>
                <w:sz w:val="22"/>
              </w:rPr>
            </w:pPr>
          </w:p>
          <w:p>
            <w:pPr>
              <w:pStyle w:val="TableParagraph"/>
              <w:spacing w:before="136"/>
              <w:ind w:right="1"/>
              <w:jc w:val="center"/>
              <w:rPr>
                <w:sz w:val="20"/>
              </w:rPr>
            </w:pPr>
            <w:r>
              <w:rPr>
                <w:w w:val="99"/>
                <w:sz w:val="20"/>
              </w:rPr>
              <w:t>3</w:t>
            </w:r>
          </w:p>
        </w:tc>
        <w:tc>
          <w:tcPr>
            <w:tcW w:w="6438" w:type="dxa"/>
          </w:tcPr>
          <w:p>
            <w:pPr>
              <w:pStyle w:val="TableParagraph"/>
              <w:spacing w:before="43"/>
              <w:ind w:left="100" w:right="109"/>
              <w:jc w:val="both"/>
              <w:rPr>
                <w:sz w:val="20"/>
              </w:rPr>
            </w:pPr>
            <w:r>
              <w:rPr>
                <w:sz w:val="20"/>
              </w:rPr>
              <w:t>Universalizar, até 2016, o atendimento escolar para toda a população de 15 (quinze) a 17 (dezessete) anos e elevar, até o final do período de vigência deste PNE, a taxa líquida de matrículas no ensino médio para 85% (oitenta e cinco por cento)</w:t>
            </w:r>
          </w:p>
        </w:tc>
        <w:tc>
          <w:tcPr>
            <w:tcW w:w="1318" w:type="dxa"/>
          </w:tcPr>
          <w:p>
            <w:pPr>
              <w:pStyle w:val="TableParagraph"/>
              <w:spacing w:before="0"/>
              <w:rPr>
                <w:sz w:val="22"/>
              </w:rPr>
            </w:pPr>
          </w:p>
          <w:p>
            <w:pPr>
              <w:pStyle w:val="TableParagraph"/>
              <w:spacing w:before="136"/>
              <w:ind w:left="535" w:right="532"/>
              <w:jc w:val="center"/>
              <w:rPr>
                <w:sz w:val="20"/>
              </w:rPr>
            </w:pPr>
            <w:r>
              <w:rPr>
                <w:sz w:val="20"/>
              </w:rPr>
              <w:t>14</w:t>
            </w:r>
          </w:p>
        </w:tc>
      </w:tr>
      <w:tr>
        <w:trPr>
          <w:trHeight w:val="1483" w:hRule="exact"/>
        </w:trPr>
        <w:tc>
          <w:tcPr>
            <w:tcW w:w="739" w:type="dxa"/>
          </w:tcPr>
          <w:p>
            <w:pPr>
              <w:pStyle w:val="TableParagraph"/>
              <w:spacing w:before="0"/>
              <w:rPr>
                <w:sz w:val="22"/>
              </w:rPr>
            </w:pPr>
          </w:p>
          <w:p>
            <w:pPr>
              <w:pStyle w:val="TableParagraph"/>
              <w:spacing w:before="5"/>
              <w:rPr>
                <w:sz w:val="31"/>
              </w:rPr>
            </w:pPr>
          </w:p>
          <w:p>
            <w:pPr>
              <w:pStyle w:val="TableParagraph"/>
              <w:spacing w:before="0"/>
              <w:ind w:right="1"/>
              <w:jc w:val="center"/>
              <w:rPr>
                <w:sz w:val="20"/>
              </w:rPr>
            </w:pPr>
            <w:r>
              <w:rPr>
                <w:w w:val="99"/>
                <w:sz w:val="20"/>
              </w:rPr>
              <w:t>4</w:t>
            </w:r>
          </w:p>
        </w:tc>
        <w:tc>
          <w:tcPr>
            <w:tcW w:w="6438" w:type="dxa"/>
          </w:tcPr>
          <w:p>
            <w:pPr>
              <w:pStyle w:val="TableParagraph"/>
              <w:spacing w:before="39"/>
              <w:ind w:left="100" w:right="105"/>
              <w:jc w:val="both"/>
              <w:rPr>
                <w:sz w:val="20"/>
              </w:rPr>
            </w:pPr>
            <w:r>
              <w:rPr>
                <w:sz w:val="20"/>
              </w:rPr>
              <w:t>Universalizar, para a população de 4 (quatro) a 17 (dezessete) anos com deficiência, transtornos globais do desenvolvimento e altas habilidades ou superdotação, o acesso à educação básica e ao atendimento educacional especializado, preferencialmente na rede regular de ensino, com a garantia de sistema educacional inclusivo, de salas de recursos multifuncionais, classes, escolas ou serviços especializados, públicos ou conveniados</w:t>
            </w:r>
          </w:p>
        </w:tc>
        <w:tc>
          <w:tcPr>
            <w:tcW w:w="1318" w:type="dxa"/>
          </w:tcPr>
          <w:p>
            <w:pPr>
              <w:pStyle w:val="TableParagraph"/>
              <w:spacing w:before="0"/>
              <w:rPr>
                <w:sz w:val="22"/>
              </w:rPr>
            </w:pPr>
          </w:p>
          <w:p>
            <w:pPr>
              <w:pStyle w:val="TableParagraph"/>
              <w:spacing w:before="5"/>
              <w:rPr>
                <w:sz w:val="31"/>
              </w:rPr>
            </w:pPr>
          </w:p>
          <w:p>
            <w:pPr>
              <w:pStyle w:val="TableParagraph"/>
              <w:spacing w:before="0"/>
              <w:ind w:left="535" w:right="532"/>
              <w:jc w:val="center"/>
              <w:rPr>
                <w:sz w:val="20"/>
              </w:rPr>
            </w:pPr>
            <w:r>
              <w:rPr>
                <w:sz w:val="20"/>
              </w:rPr>
              <w:t>19</w:t>
            </w:r>
          </w:p>
        </w:tc>
      </w:tr>
      <w:tr>
        <w:trPr>
          <w:trHeight w:val="747" w:hRule="exact"/>
        </w:trPr>
        <w:tc>
          <w:tcPr>
            <w:tcW w:w="739" w:type="dxa"/>
          </w:tcPr>
          <w:p>
            <w:pPr>
              <w:pStyle w:val="TableParagraph"/>
              <w:spacing w:before="6"/>
              <w:rPr>
                <w:sz w:val="21"/>
              </w:rPr>
            </w:pPr>
          </w:p>
          <w:p>
            <w:pPr>
              <w:pStyle w:val="TableParagraph"/>
              <w:spacing w:before="1"/>
              <w:ind w:right="1"/>
              <w:jc w:val="center"/>
              <w:rPr>
                <w:sz w:val="20"/>
              </w:rPr>
            </w:pPr>
            <w:r>
              <w:rPr>
                <w:w w:val="99"/>
                <w:sz w:val="20"/>
              </w:rPr>
              <w:t>5</w:t>
            </w:r>
          </w:p>
        </w:tc>
        <w:tc>
          <w:tcPr>
            <w:tcW w:w="6438" w:type="dxa"/>
          </w:tcPr>
          <w:p>
            <w:pPr>
              <w:pStyle w:val="TableParagraph"/>
              <w:spacing w:before="108"/>
              <w:ind w:left="100"/>
              <w:rPr>
                <w:sz w:val="20"/>
              </w:rPr>
            </w:pPr>
            <w:r>
              <w:rPr>
                <w:sz w:val="20"/>
              </w:rPr>
              <w:t>Alfabetizar todas as crianças, no máximo, até o final do 3</w:t>
            </w:r>
            <w:r>
              <w:rPr>
                <w:position w:val="9"/>
                <w:sz w:val="13"/>
              </w:rPr>
              <w:t>o </w:t>
            </w:r>
            <w:r>
              <w:rPr>
                <w:sz w:val="20"/>
              </w:rPr>
              <w:t>(terceiro) ano do ensino fundamental</w:t>
            </w:r>
          </w:p>
        </w:tc>
        <w:tc>
          <w:tcPr>
            <w:tcW w:w="1318" w:type="dxa"/>
          </w:tcPr>
          <w:p>
            <w:pPr>
              <w:pStyle w:val="TableParagraph"/>
              <w:spacing w:before="6"/>
              <w:rPr>
                <w:sz w:val="21"/>
              </w:rPr>
            </w:pPr>
          </w:p>
          <w:p>
            <w:pPr>
              <w:pStyle w:val="TableParagraph"/>
              <w:spacing w:before="1"/>
              <w:ind w:right="2"/>
              <w:jc w:val="center"/>
              <w:rPr>
                <w:sz w:val="20"/>
              </w:rPr>
            </w:pPr>
            <w:r>
              <w:rPr>
                <w:w w:val="99"/>
                <w:sz w:val="20"/>
              </w:rPr>
              <w:t>7</w:t>
            </w:r>
          </w:p>
        </w:tc>
      </w:tr>
      <w:tr>
        <w:trPr>
          <w:trHeight w:val="917" w:hRule="exact"/>
        </w:trPr>
        <w:tc>
          <w:tcPr>
            <w:tcW w:w="739" w:type="dxa"/>
          </w:tcPr>
          <w:p>
            <w:pPr>
              <w:pStyle w:val="TableParagraph"/>
              <w:spacing w:before="9"/>
              <w:rPr>
                <w:sz w:val="28"/>
              </w:rPr>
            </w:pPr>
          </w:p>
          <w:p>
            <w:pPr>
              <w:pStyle w:val="TableParagraph"/>
              <w:spacing w:before="0"/>
              <w:ind w:right="1"/>
              <w:jc w:val="center"/>
              <w:rPr>
                <w:sz w:val="20"/>
              </w:rPr>
            </w:pPr>
            <w:r>
              <w:rPr>
                <w:w w:val="99"/>
                <w:sz w:val="20"/>
              </w:rPr>
              <w:t>6</w:t>
            </w:r>
          </w:p>
        </w:tc>
        <w:tc>
          <w:tcPr>
            <w:tcW w:w="6438" w:type="dxa"/>
          </w:tcPr>
          <w:p>
            <w:pPr>
              <w:pStyle w:val="TableParagraph"/>
              <w:spacing w:before="101"/>
              <w:ind w:left="100" w:right="106"/>
              <w:jc w:val="both"/>
              <w:rPr>
                <w:sz w:val="20"/>
              </w:rPr>
            </w:pPr>
            <w:r>
              <w:rPr>
                <w:sz w:val="20"/>
              </w:rPr>
              <w:t>Oferecer educação em tempo integral em, no mínimo, 50% (cinquenta por cento) das escolas públicas, de forma a atender, pelo menos, 25% (vinte e cinco por cento) dos (as) alunos (as) da educação básica</w:t>
            </w:r>
          </w:p>
        </w:tc>
        <w:tc>
          <w:tcPr>
            <w:tcW w:w="1318" w:type="dxa"/>
          </w:tcPr>
          <w:p>
            <w:pPr>
              <w:pStyle w:val="TableParagraph"/>
              <w:spacing w:before="9"/>
              <w:rPr>
                <w:sz w:val="28"/>
              </w:rPr>
            </w:pPr>
          </w:p>
          <w:p>
            <w:pPr>
              <w:pStyle w:val="TableParagraph"/>
              <w:spacing w:before="0"/>
              <w:ind w:right="2"/>
              <w:jc w:val="center"/>
              <w:rPr>
                <w:sz w:val="20"/>
              </w:rPr>
            </w:pPr>
            <w:r>
              <w:rPr>
                <w:w w:val="99"/>
                <w:sz w:val="20"/>
              </w:rPr>
              <w:t>9</w:t>
            </w:r>
          </w:p>
        </w:tc>
      </w:tr>
      <w:tr>
        <w:trPr>
          <w:trHeight w:val="578" w:hRule="exact"/>
        </w:trPr>
        <w:tc>
          <w:tcPr>
            <w:tcW w:w="739" w:type="dxa"/>
          </w:tcPr>
          <w:p>
            <w:pPr>
              <w:pStyle w:val="TableParagraph"/>
              <w:spacing w:before="163"/>
              <w:ind w:right="1"/>
              <w:jc w:val="center"/>
              <w:rPr>
                <w:sz w:val="20"/>
              </w:rPr>
            </w:pPr>
            <w:r>
              <w:rPr>
                <w:w w:val="99"/>
                <w:sz w:val="20"/>
              </w:rPr>
              <w:t>7</w:t>
            </w:r>
          </w:p>
        </w:tc>
        <w:tc>
          <w:tcPr>
            <w:tcW w:w="6438" w:type="dxa"/>
          </w:tcPr>
          <w:p>
            <w:pPr>
              <w:pStyle w:val="TableParagraph"/>
              <w:spacing w:before="48"/>
              <w:ind w:left="100"/>
              <w:rPr>
                <w:sz w:val="20"/>
              </w:rPr>
            </w:pPr>
            <w:r>
              <w:rPr>
                <w:sz w:val="20"/>
              </w:rPr>
              <w:t>Fomentar a qualidade da educação básica em todas as etapas e modalidades, com melhoria do fluxo escolar e da aprendizagem</w:t>
            </w:r>
          </w:p>
        </w:tc>
        <w:tc>
          <w:tcPr>
            <w:tcW w:w="1318" w:type="dxa"/>
          </w:tcPr>
          <w:p>
            <w:pPr>
              <w:pStyle w:val="TableParagraph"/>
              <w:spacing w:before="163"/>
              <w:ind w:left="535" w:right="532"/>
              <w:jc w:val="center"/>
              <w:rPr>
                <w:sz w:val="20"/>
              </w:rPr>
            </w:pPr>
            <w:r>
              <w:rPr>
                <w:sz w:val="20"/>
              </w:rPr>
              <w:t>36</w:t>
            </w:r>
          </w:p>
        </w:tc>
      </w:tr>
    </w:tbl>
    <w:p>
      <w:pPr>
        <w:spacing w:after="0"/>
        <w:jc w:val="center"/>
        <w:rPr>
          <w:sz w:val="20"/>
        </w:rPr>
        <w:sectPr>
          <w:pgSz w:w="11910" w:h="16840"/>
          <w:pgMar w:header="749" w:footer="0" w:top="960" w:bottom="280" w:left="1480" w:right="1580"/>
        </w:sectPr>
      </w:pPr>
    </w:p>
    <w:p>
      <w:pPr>
        <w:pStyle w:val="BodyText"/>
        <w:rPr>
          <w:sz w:val="20"/>
        </w:rPr>
      </w:pPr>
      <w:r>
        <w:rPr/>
        <w:pict>
          <v:line style="position:absolute;mso-position-horizontal-relative:page;mso-position-vertical-relative:page;z-index:-363952" from="242.929993pt,516.909973pt" to="433.149993pt,516.909973pt" stroked="true" strokeweight=".47998pt" strokecolor="#000000">
            <v:stroke dashstyle="solid"/>
            <w10:wrap type="none"/>
          </v:line>
        </w:pict>
      </w:r>
    </w:p>
    <w:p>
      <w:pPr>
        <w:pStyle w:val="BodyText"/>
        <w:spacing w:before="10"/>
        <w:rPr>
          <w:sz w:val="1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9"/>
        <w:gridCol w:w="6438"/>
        <w:gridCol w:w="1318"/>
      </w:tblGrid>
      <w:tr>
        <w:trPr>
          <w:trHeight w:val="470" w:hRule="exact"/>
        </w:trPr>
        <w:tc>
          <w:tcPr>
            <w:tcW w:w="739" w:type="dxa"/>
            <w:shd w:val="clear" w:color="auto" w:fill="F1F1F1"/>
          </w:tcPr>
          <w:p>
            <w:pPr>
              <w:pStyle w:val="TableParagraph"/>
              <w:spacing w:before="112"/>
              <w:ind w:left="83" w:right="83"/>
              <w:jc w:val="center"/>
              <w:rPr>
                <w:b/>
                <w:sz w:val="20"/>
              </w:rPr>
            </w:pPr>
            <w:r>
              <w:rPr>
                <w:b/>
                <w:sz w:val="20"/>
              </w:rPr>
              <w:t>Metas</w:t>
            </w:r>
          </w:p>
        </w:tc>
        <w:tc>
          <w:tcPr>
            <w:tcW w:w="6438" w:type="dxa"/>
            <w:shd w:val="clear" w:color="auto" w:fill="F1F1F1"/>
          </w:tcPr>
          <w:p>
            <w:pPr>
              <w:pStyle w:val="TableParagraph"/>
              <w:spacing w:before="112"/>
              <w:ind w:left="2776" w:right="2777"/>
              <w:jc w:val="center"/>
              <w:rPr>
                <w:b/>
                <w:sz w:val="20"/>
              </w:rPr>
            </w:pPr>
            <w:r>
              <w:rPr>
                <w:b/>
                <w:sz w:val="20"/>
              </w:rPr>
              <w:t>Conteúdo</w:t>
            </w:r>
          </w:p>
        </w:tc>
        <w:tc>
          <w:tcPr>
            <w:tcW w:w="1318" w:type="dxa"/>
            <w:shd w:val="clear" w:color="auto" w:fill="F1F1F1"/>
          </w:tcPr>
          <w:p>
            <w:pPr>
              <w:pStyle w:val="TableParagraph"/>
              <w:spacing w:before="0"/>
              <w:ind w:left="103" w:firstLine="72"/>
              <w:rPr>
                <w:b/>
                <w:sz w:val="20"/>
              </w:rPr>
            </w:pPr>
            <w:r>
              <w:rPr>
                <w:b/>
                <w:sz w:val="20"/>
              </w:rPr>
              <w:t>Estratégias </w:t>
            </w:r>
            <w:r>
              <w:rPr>
                <w:b/>
                <w:w w:val="95"/>
                <w:sz w:val="20"/>
              </w:rPr>
              <w:t>(quantidade)</w:t>
            </w:r>
          </w:p>
        </w:tc>
      </w:tr>
      <w:tr>
        <w:trPr>
          <w:trHeight w:val="1541" w:hRule="exact"/>
        </w:trPr>
        <w:tc>
          <w:tcPr>
            <w:tcW w:w="739" w:type="dxa"/>
          </w:tcPr>
          <w:p>
            <w:pPr>
              <w:pStyle w:val="TableParagraph"/>
              <w:spacing w:before="0"/>
              <w:rPr>
                <w:sz w:val="22"/>
              </w:rPr>
            </w:pPr>
          </w:p>
          <w:p>
            <w:pPr>
              <w:pStyle w:val="TableParagraph"/>
              <w:spacing w:before="0"/>
              <w:rPr>
                <w:sz w:val="22"/>
              </w:rPr>
            </w:pPr>
          </w:p>
          <w:p>
            <w:pPr>
              <w:pStyle w:val="TableParagraph"/>
              <w:spacing w:before="137"/>
              <w:ind w:right="1"/>
              <w:jc w:val="center"/>
              <w:rPr>
                <w:sz w:val="20"/>
              </w:rPr>
            </w:pPr>
            <w:r>
              <w:rPr>
                <w:w w:val="99"/>
                <w:sz w:val="20"/>
              </w:rPr>
              <w:t>8</w:t>
            </w:r>
          </w:p>
        </w:tc>
        <w:tc>
          <w:tcPr>
            <w:tcW w:w="6438" w:type="dxa"/>
          </w:tcPr>
          <w:p>
            <w:pPr>
              <w:pStyle w:val="TableParagraph"/>
              <w:spacing w:before="70"/>
              <w:ind w:left="100" w:right="100"/>
              <w:jc w:val="both"/>
              <w:rPr>
                <w:sz w:val="20"/>
              </w:rPr>
            </w:pPr>
            <w:r>
              <w:rPr>
                <w:sz w:val="20"/>
              </w:rPr>
              <w:t>Elevar a escolaridade média da população de 18 (dezoito) a 29 (vinte e nove) anos, de modo a alcançar, no mínimo, 12 (doze) anos de estudo no último  ano de vigência deste Plano, para as populações do campo, da região de menor escolaridade no País e dos 25% (vinte e cinco por cento) mais pobres, e igualar a escolaridade média entre negros e não negros declarados à Fundação Instituto Brasileiro de Geografia e Estatística –</w:t>
            </w:r>
            <w:r>
              <w:rPr>
                <w:spacing w:val="-16"/>
                <w:sz w:val="20"/>
              </w:rPr>
              <w:t> </w:t>
            </w:r>
            <w:r>
              <w:rPr>
                <w:sz w:val="20"/>
              </w:rPr>
              <w:t>IBGE</w:t>
            </w:r>
          </w:p>
        </w:tc>
        <w:tc>
          <w:tcPr>
            <w:tcW w:w="1318" w:type="dxa"/>
          </w:tcPr>
          <w:p>
            <w:pPr>
              <w:pStyle w:val="TableParagraph"/>
              <w:spacing w:before="0"/>
              <w:rPr>
                <w:sz w:val="22"/>
              </w:rPr>
            </w:pPr>
          </w:p>
          <w:p>
            <w:pPr>
              <w:pStyle w:val="TableParagraph"/>
              <w:spacing w:before="0"/>
              <w:rPr>
                <w:sz w:val="22"/>
              </w:rPr>
            </w:pPr>
          </w:p>
          <w:p>
            <w:pPr>
              <w:pStyle w:val="TableParagraph"/>
              <w:spacing w:before="137"/>
              <w:ind w:right="2"/>
              <w:jc w:val="center"/>
              <w:rPr>
                <w:sz w:val="20"/>
              </w:rPr>
            </w:pPr>
            <w:r>
              <w:rPr>
                <w:w w:val="99"/>
                <w:sz w:val="20"/>
              </w:rPr>
              <w:t>6</w:t>
            </w:r>
          </w:p>
        </w:tc>
      </w:tr>
      <w:tr>
        <w:trPr>
          <w:trHeight w:val="1145" w:hRule="exact"/>
        </w:trPr>
        <w:tc>
          <w:tcPr>
            <w:tcW w:w="739" w:type="dxa"/>
          </w:tcPr>
          <w:p>
            <w:pPr>
              <w:pStyle w:val="TableParagraph"/>
              <w:spacing w:before="0"/>
              <w:rPr>
                <w:sz w:val="22"/>
              </w:rPr>
            </w:pPr>
          </w:p>
          <w:p>
            <w:pPr>
              <w:pStyle w:val="TableParagraph"/>
              <w:spacing w:before="194"/>
              <w:ind w:right="1"/>
              <w:jc w:val="center"/>
              <w:rPr>
                <w:sz w:val="20"/>
              </w:rPr>
            </w:pPr>
            <w:r>
              <w:rPr>
                <w:w w:val="99"/>
                <w:sz w:val="20"/>
              </w:rPr>
              <w:t>9</w:t>
            </w:r>
          </w:p>
        </w:tc>
        <w:tc>
          <w:tcPr>
            <w:tcW w:w="6438" w:type="dxa"/>
          </w:tcPr>
          <w:p>
            <w:pPr>
              <w:pStyle w:val="TableParagraph"/>
              <w:spacing w:before="101"/>
              <w:ind w:left="100" w:right="108"/>
              <w:jc w:val="both"/>
              <w:rPr>
                <w:sz w:val="20"/>
              </w:rPr>
            </w:pPr>
            <w:r>
              <w:rPr>
                <w:sz w:val="20"/>
              </w:rPr>
              <w:t>Elevar a taxa de alfabetização da população com 15 (quinze) anos ou mais para 93,5% (noventa e três inteiros e cinco décimos por cento) até 2015 e, até o final da vigência deste PNE, erradicar o analfabetismo absoluto e reduzir em 50% (cinquenta por cento) a taxa de analfabetismo funcional.</w:t>
            </w:r>
          </w:p>
        </w:tc>
        <w:tc>
          <w:tcPr>
            <w:tcW w:w="1318" w:type="dxa"/>
          </w:tcPr>
          <w:p>
            <w:pPr>
              <w:pStyle w:val="TableParagraph"/>
              <w:spacing w:before="0"/>
              <w:rPr>
                <w:sz w:val="22"/>
              </w:rPr>
            </w:pPr>
          </w:p>
          <w:p>
            <w:pPr>
              <w:pStyle w:val="TableParagraph"/>
              <w:spacing w:before="194"/>
              <w:ind w:left="535" w:right="532"/>
              <w:jc w:val="center"/>
              <w:rPr>
                <w:sz w:val="20"/>
              </w:rPr>
            </w:pPr>
            <w:r>
              <w:rPr>
                <w:sz w:val="20"/>
              </w:rPr>
              <w:t>12</w:t>
            </w:r>
          </w:p>
        </w:tc>
      </w:tr>
      <w:tr>
        <w:trPr>
          <w:trHeight w:val="804" w:hRule="exact"/>
        </w:trPr>
        <w:tc>
          <w:tcPr>
            <w:tcW w:w="739" w:type="dxa"/>
          </w:tcPr>
          <w:p>
            <w:pPr>
              <w:pStyle w:val="TableParagraph"/>
              <w:spacing w:before="0"/>
              <w:rPr>
                <w:sz w:val="24"/>
              </w:rPr>
            </w:pPr>
          </w:p>
          <w:p>
            <w:pPr>
              <w:pStyle w:val="TableParagraph"/>
              <w:spacing w:before="0"/>
              <w:ind w:left="83" w:right="83"/>
              <w:jc w:val="center"/>
              <w:rPr>
                <w:sz w:val="20"/>
              </w:rPr>
            </w:pPr>
            <w:r>
              <w:rPr>
                <w:sz w:val="20"/>
              </w:rPr>
              <w:t>10</w:t>
            </w:r>
          </w:p>
        </w:tc>
        <w:tc>
          <w:tcPr>
            <w:tcW w:w="6438" w:type="dxa"/>
          </w:tcPr>
          <w:p>
            <w:pPr>
              <w:pStyle w:val="TableParagraph"/>
              <w:spacing w:before="46"/>
              <w:ind w:left="100" w:right="103"/>
              <w:jc w:val="both"/>
              <w:rPr>
                <w:sz w:val="20"/>
              </w:rPr>
            </w:pPr>
            <w:r>
              <w:rPr>
                <w:sz w:val="20"/>
              </w:rPr>
              <w:t>Oferecer, no mínimo, 25% (vinte e cinco por cento) das matrículas de educação de jovens e adultos, nos ensinos fundamental e médio, na forma integrada à educação profissional.</w:t>
            </w:r>
          </w:p>
        </w:tc>
        <w:tc>
          <w:tcPr>
            <w:tcW w:w="1318" w:type="dxa"/>
          </w:tcPr>
          <w:p>
            <w:pPr>
              <w:pStyle w:val="TableParagraph"/>
              <w:spacing w:before="0"/>
              <w:rPr>
                <w:sz w:val="24"/>
              </w:rPr>
            </w:pPr>
          </w:p>
          <w:p>
            <w:pPr>
              <w:pStyle w:val="TableParagraph"/>
              <w:spacing w:before="0"/>
              <w:ind w:left="535" w:right="532"/>
              <w:jc w:val="center"/>
              <w:rPr>
                <w:sz w:val="20"/>
              </w:rPr>
            </w:pPr>
            <w:r>
              <w:rPr>
                <w:sz w:val="20"/>
              </w:rPr>
              <w:t>11</w:t>
            </w:r>
          </w:p>
        </w:tc>
      </w:tr>
      <w:tr>
        <w:trPr>
          <w:trHeight w:val="860" w:hRule="exact"/>
        </w:trPr>
        <w:tc>
          <w:tcPr>
            <w:tcW w:w="739" w:type="dxa"/>
          </w:tcPr>
          <w:p>
            <w:pPr>
              <w:pStyle w:val="TableParagraph"/>
              <w:spacing w:before="4"/>
              <w:rPr>
                <w:sz w:val="26"/>
              </w:rPr>
            </w:pPr>
          </w:p>
          <w:p>
            <w:pPr>
              <w:pStyle w:val="TableParagraph"/>
              <w:spacing w:before="0"/>
              <w:ind w:left="83" w:right="83"/>
              <w:jc w:val="center"/>
              <w:rPr>
                <w:sz w:val="20"/>
              </w:rPr>
            </w:pPr>
            <w:r>
              <w:rPr>
                <w:sz w:val="20"/>
              </w:rPr>
              <w:t>11</w:t>
            </w:r>
          </w:p>
        </w:tc>
        <w:tc>
          <w:tcPr>
            <w:tcW w:w="6438" w:type="dxa"/>
          </w:tcPr>
          <w:p>
            <w:pPr>
              <w:pStyle w:val="TableParagraph"/>
              <w:spacing w:before="72"/>
              <w:ind w:left="100" w:right="107"/>
              <w:jc w:val="both"/>
              <w:rPr>
                <w:sz w:val="20"/>
              </w:rPr>
            </w:pPr>
            <w:r>
              <w:rPr>
                <w:sz w:val="20"/>
              </w:rPr>
              <w:t>Triplicar as matrículas da educação profissional técnica de nível médio, assegurando a qualidade da oferta e pelo menos 50% (cinquenta por cento)  da expansão no segmento</w:t>
            </w:r>
            <w:r>
              <w:rPr>
                <w:spacing w:val="-10"/>
                <w:sz w:val="20"/>
              </w:rPr>
              <w:t> </w:t>
            </w:r>
            <w:r>
              <w:rPr>
                <w:sz w:val="20"/>
              </w:rPr>
              <w:t>público.</w:t>
            </w:r>
          </w:p>
        </w:tc>
        <w:tc>
          <w:tcPr>
            <w:tcW w:w="1318" w:type="dxa"/>
          </w:tcPr>
          <w:p>
            <w:pPr>
              <w:pStyle w:val="TableParagraph"/>
              <w:spacing w:before="4"/>
              <w:rPr>
                <w:sz w:val="26"/>
              </w:rPr>
            </w:pPr>
          </w:p>
          <w:p>
            <w:pPr>
              <w:pStyle w:val="TableParagraph"/>
              <w:spacing w:before="0"/>
              <w:ind w:left="535" w:right="532"/>
              <w:jc w:val="center"/>
              <w:rPr>
                <w:sz w:val="20"/>
              </w:rPr>
            </w:pPr>
            <w:r>
              <w:rPr>
                <w:sz w:val="20"/>
              </w:rPr>
              <w:t>14</w:t>
            </w:r>
          </w:p>
        </w:tc>
      </w:tr>
      <w:tr>
        <w:trPr>
          <w:trHeight w:val="1315" w:hRule="exact"/>
        </w:trPr>
        <w:tc>
          <w:tcPr>
            <w:tcW w:w="739" w:type="dxa"/>
          </w:tcPr>
          <w:p>
            <w:pPr>
              <w:pStyle w:val="TableParagraph"/>
              <w:spacing w:before="0"/>
              <w:rPr>
                <w:sz w:val="22"/>
              </w:rPr>
            </w:pPr>
          </w:p>
          <w:p>
            <w:pPr>
              <w:pStyle w:val="TableParagraph"/>
              <w:spacing w:before="1"/>
              <w:rPr>
                <w:sz w:val="24"/>
              </w:rPr>
            </w:pPr>
          </w:p>
          <w:p>
            <w:pPr>
              <w:pStyle w:val="TableParagraph"/>
              <w:spacing w:before="1"/>
              <w:ind w:left="83" w:right="83"/>
              <w:jc w:val="center"/>
              <w:rPr>
                <w:sz w:val="20"/>
              </w:rPr>
            </w:pPr>
            <w:r>
              <w:rPr>
                <w:sz w:val="20"/>
              </w:rPr>
              <w:t>12</w:t>
            </w:r>
          </w:p>
        </w:tc>
        <w:tc>
          <w:tcPr>
            <w:tcW w:w="6438" w:type="dxa"/>
          </w:tcPr>
          <w:p>
            <w:pPr>
              <w:pStyle w:val="TableParagraph"/>
              <w:spacing w:before="72"/>
              <w:ind w:left="100" w:right="107"/>
              <w:jc w:val="both"/>
              <w:rPr>
                <w:sz w:val="20"/>
              </w:rPr>
            </w:pPr>
            <w:r>
              <w:rPr>
                <w:sz w:val="20"/>
              </w:rPr>
              <w:t>Elevar a taxa bruta de matrícula na educação superior para 50% (cinquenta por cento) e a taxa líquida para 33% (trinta e três por cento) da população de 18 (dezoito) a 24 (vinte e quatro) anos, assegurada a qualidade da oferta e expansão para, pelo menos, 40% (quarenta por cento) das novas matrículas, no segmento público</w:t>
            </w:r>
          </w:p>
        </w:tc>
        <w:tc>
          <w:tcPr>
            <w:tcW w:w="1318" w:type="dxa"/>
          </w:tcPr>
          <w:p>
            <w:pPr>
              <w:pStyle w:val="TableParagraph"/>
              <w:spacing w:before="0"/>
              <w:rPr>
                <w:sz w:val="22"/>
              </w:rPr>
            </w:pPr>
          </w:p>
          <w:p>
            <w:pPr>
              <w:pStyle w:val="TableParagraph"/>
              <w:spacing w:before="1"/>
              <w:rPr>
                <w:sz w:val="24"/>
              </w:rPr>
            </w:pPr>
          </w:p>
          <w:p>
            <w:pPr>
              <w:pStyle w:val="TableParagraph"/>
              <w:spacing w:before="1"/>
              <w:ind w:left="535" w:right="532"/>
              <w:jc w:val="center"/>
              <w:rPr>
                <w:sz w:val="20"/>
              </w:rPr>
            </w:pPr>
            <w:r>
              <w:rPr>
                <w:sz w:val="20"/>
              </w:rPr>
              <w:t>21</w:t>
            </w:r>
          </w:p>
        </w:tc>
      </w:tr>
      <w:tr>
        <w:trPr>
          <w:trHeight w:val="1087" w:hRule="exact"/>
        </w:trPr>
        <w:tc>
          <w:tcPr>
            <w:tcW w:w="739" w:type="dxa"/>
          </w:tcPr>
          <w:p>
            <w:pPr>
              <w:pStyle w:val="TableParagraph"/>
              <w:spacing w:before="0"/>
              <w:rPr>
                <w:sz w:val="22"/>
              </w:rPr>
            </w:pPr>
          </w:p>
          <w:p>
            <w:pPr>
              <w:pStyle w:val="TableParagraph"/>
              <w:spacing w:before="162"/>
              <w:ind w:left="83" w:right="83"/>
              <w:jc w:val="center"/>
              <w:rPr>
                <w:sz w:val="20"/>
              </w:rPr>
            </w:pPr>
            <w:r>
              <w:rPr>
                <w:sz w:val="20"/>
              </w:rPr>
              <w:t>13</w:t>
            </w:r>
          </w:p>
        </w:tc>
        <w:tc>
          <w:tcPr>
            <w:tcW w:w="6438" w:type="dxa"/>
          </w:tcPr>
          <w:p>
            <w:pPr>
              <w:pStyle w:val="TableParagraph"/>
              <w:spacing w:before="72"/>
              <w:ind w:left="100" w:right="104"/>
              <w:jc w:val="both"/>
              <w:rPr>
                <w:sz w:val="20"/>
              </w:rPr>
            </w:pPr>
            <w:r>
              <w:rPr>
                <w:sz w:val="20"/>
              </w:rPr>
              <w:t>Elevar a qualidade da educação superior e ampliar a proporção de mestres e doutores do corpo docente em efetivo exercício no conjunto do sistema de educação superior para 75% (setenta e cinco por cento), sendo, do total, no mínimo, 35% (trinta e cinco por cento) doutores</w:t>
            </w:r>
          </w:p>
        </w:tc>
        <w:tc>
          <w:tcPr>
            <w:tcW w:w="1318" w:type="dxa"/>
          </w:tcPr>
          <w:p>
            <w:pPr>
              <w:pStyle w:val="TableParagraph"/>
              <w:spacing w:before="0"/>
              <w:rPr>
                <w:sz w:val="22"/>
              </w:rPr>
            </w:pPr>
          </w:p>
          <w:p>
            <w:pPr>
              <w:pStyle w:val="TableParagraph"/>
              <w:spacing w:before="162"/>
              <w:ind w:right="2"/>
              <w:jc w:val="center"/>
              <w:rPr>
                <w:sz w:val="20"/>
              </w:rPr>
            </w:pPr>
            <w:r>
              <w:rPr>
                <w:w w:val="99"/>
                <w:sz w:val="20"/>
              </w:rPr>
              <w:t>9</w:t>
            </w:r>
          </w:p>
        </w:tc>
      </w:tr>
      <w:tr>
        <w:trPr>
          <w:trHeight w:val="746" w:hRule="exact"/>
        </w:trPr>
        <w:tc>
          <w:tcPr>
            <w:tcW w:w="739" w:type="dxa"/>
          </w:tcPr>
          <w:p>
            <w:pPr>
              <w:pStyle w:val="TableParagraph"/>
              <w:spacing w:before="6"/>
              <w:rPr>
                <w:sz w:val="21"/>
              </w:rPr>
            </w:pPr>
          </w:p>
          <w:p>
            <w:pPr>
              <w:pStyle w:val="TableParagraph"/>
              <w:spacing w:before="0"/>
              <w:ind w:left="83" w:right="83"/>
              <w:jc w:val="center"/>
              <w:rPr>
                <w:sz w:val="20"/>
              </w:rPr>
            </w:pPr>
            <w:r>
              <w:rPr>
                <w:sz w:val="20"/>
              </w:rPr>
              <w:t>14</w:t>
            </w:r>
          </w:p>
        </w:tc>
        <w:tc>
          <w:tcPr>
            <w:tcW w:w="6438" w:type="dxa"/>
          </w:tcPr>
          <w:p>
            <w:pPr>
              <w:pStyle w:val="TableParagraph"/>
              <w:spacing w:before="17"/>
              <w:ind w:left="100" w:right="102"/>
              <w:jc w:val="both"/>
              <w:rPr>
                <w:sz w:val="20"/>
              </w:rPr>
            </w:pPr>
            <w:r>
              <w:rPr>
                <w:sz w:val="20"/>
              </w:rPr>
              <w:t>Elevar gradualmente o número de matrículas na pós-graduação stricto sensu, de modo a atingir a titulação anual de 60.000 (sessenta mil) mestres e 25.000 (vinte e cinco mil) doutores</w:t>
            </w:r>
          </w:p>
        </w:tc>
        <w:tc>
          <w:tcPr>
            <w:tcW w:w="1318" w:type="dxa"/>
          </w:tcPr>
          <w:p>
            <w:pPr>
              <w:pStyle w:val="TableParagraph"/>
              <w:spacing w:before="6"/>
              <w:rPr>
                <w:sz w:val="21"/>
              </w:rPr>
            </w:pPr>
          </w:p>
          <w:p>
            <w:pPr>
              <w:pStyle w:val="TableParagraph"/>
              <w:spacing w:before="0"/>
              <w:ind w:left="535" w:right="532"/>
              <w:jc w:val="center"/>
              <w:rPr>
                <w:sz w:val="20"/>
              </w:rPr>
            </w:pPr>
            <w:r>
              <w:rPr>
                <w:sz w:val="20"/>
              </w:rPr>
              <w:t>15</w:t>
            </w:r>
          </w:p>
        </w:tc>
      </w:tr>
      <w:tr>
        <w:trPr>
          <w:trHeight w:val="1712" w:hRule="exact"/>
        </w:trPr>
        <w:tc>
          <w:tcPr>
            <w:tcW w:w="739" w:type="dxa"/>
          </w:tcPr>
          <w:p>
            <w:pPr>
              <w:pStyle w:val="TableParagraph"/>
              <w:spacing w:before="0"/>
              <w:rPr>
                <w:sz w:val="22"/>
              </w:rPr>
            </w:pPr>
          </w:p>
          <w:p>
            <w:pPr>
              <w:pStyle w:val="TableParagraph"/>
              <w:spacing w:before="0"/>
              <w:rPr>
                <w:sz w:val="22"/>
              </w:rPr>
            </w:pPr>
          </w:p>
          <w:p>
            <w:pPr>
              <w:pStyle w:val="TableParagraph"/>
              <w:spacing w:before="6"/>
              <w:rPr>
                <w:sz w:val="19"/>
              </w:rPr>
            </w:pPr>
          </w:p>
          <w:p>
            <w:pPr>
              <w:pStyle w:val="TableParagraph"/>
              <w:spacing w:before="0"/>
              <w:ind w:left="83" w:right="83"/>
              <w:jc w:val="center"/>
              <w:rPr>
                <w:sz w:val="20"/>
              </w:rPr>
            </w:pPr>
            <w:r>
              <w:rPr>
                <w:sz w:val="20"/>
              </w:rPr>
              <w:t>15</w:t>
            </w:r>
          </w:p>
        </w:tc>
        <w:tc>
          <w:tcPr>
            <w:tcW w:w="6438" w:type="dxa"/>
          </w:tcPr>
          <w:p>
            <w:pPr>
              <w:pStyle w:val="TableParagraph"/>
              <w:spacing w:line="235" w:lineRule="auto" w:before="43"/>
              <w:ind w:left="100" w:right="104"/>
              <w:jc w:val="both"/>
              <w:rPr>
                <w:sz w:val="20"/>
              </w:rPr>
            </w:pPr>
            <w:r>
              <w:rPr>
                <w:sz w:val="20"/>
              </w:rPr>
              <w:t>garantir, em regime de colaboração entre a União, os Estados, o Distrito Federal e os Municípios, no prazo de 1 (um) ano de vigência deste PNE, política nacional de formação dos profissionais da educação de que tratam os incisos I, II e III do caput do </w:t>
            </w:r>
            <w:hyperlink r:id="rId66">
              <w:r>
                <w:rPr>
                  <w:sz w:val="20"/>
                </w:rPr>
                <w:t>art. 61 da Lei n</w:t>
              </w:r>
              <w:r>
                <w:rPr>
                  <w:position w:val="9"/>
                  <w:sz w:val="13"/>
                </w:rPr>
                <w:t>o </w:t>
              </w:r>
              <w:r>
                <w:rPr>
                  <w:sz w:val="20"/>
                </w:rPr>
                <w:t>9.394, de 20 de dezembro de</w:t>
              </w:r>
            </w:hyperlink>
            <w:r>
              <w:rPr>
                <w:sz w:val="20"/>
              </w:rPr>
              <w:t> </w:t>
            </w:r>
            <w:hyperlink r:id="rId66">
              <w:r>
                <w:rPr>
                  <w:sz w:val="20"/>
                  <w:u w:val="single"/>
                </w:rPr>
                <w:t>1996</w:t>
              </w:r>
              <w:r>
                <w:rPr>
                  <w:sz w:val="20"/>
                </w:rPr>
                <w:t>,</w:t>
              </w:r>
            </w:hyperlink>
            <w:r>
              <w:rPr>
                <w:sz w:val="20"/>
              </w:rPr>
              <w:t> assegurado que todos os professores e as professoras da educação básica possuam formação específica de nível superior, obtida em curso de licenciatura na área de conhecimento em que atuam.</w:t>
            </w:r>
          </w:p>
        </w:tc>
        <w:tc>
          <w:tcPr>
            <w:tcW w:w="1318" w:type="dxa"/>
          </w:tcPr>
          <w:p>
            <w:pPr>
              <w:pStyle w:val="TableParagraph"/>
              <w:spacing w:before="0"/>
              <w:rPr>
                <w:sz w:val="22"/>
              </w:rPr>
            </w:pPr>
          </w:p>
          <w:p>
            <w:pPr>
              <w:pStyle w:val="TableParagraph"/>
              <w:spacing w:before="0"/>
              <w:rPr>
                <w:sz w:val="22"/>
              </w:rPr>
            </w:pPr>
          </w:p>
          <w:p>
            <w:pPr>
              <w:pStyle w:val="TableParagraph"/>
              <w:spacing w:before="6"/>
              <w:rPr>
                <w:sz w:val="19"/>
              </w:rPr>
            </w:pPr>
          </w:p>
          <w:p>
            <w:pPr>
              <w:pStyle w:val="TableParagraph"/>
              <w:spacing w:before="0"/>
              <w:ind w:left="535" w:right="532"/>
              <w:jc w:val="center"/>
              <w:rPr>
                <w:sz w:val="20"/>
              </w:rPr>
            </w:pPr>
            <w:r>
              <w:rPr>
                <w:sz w:val="20"/>
              </w:rPr>
              <w:t>13</w:t>
            </w:r>
          </w:p>
        </w:tc>
      </w:tr>
      <w:tr>
        <w:trPr>
          <w:trHeight w:val="1370" w:hRule="exact"/>
        </w:trPr>
        <w:tc>
          <w:tcPr>
            <w:tcW w:w="739" w:type="dxa"/>
          </w:tcPr>
          <w:p>
            <w:pPr>
              <w:pStyle w:val="TableParagraph"/>
              <w:spacing w:before="0"/>
              <w:rPr>
                <w:sz w:val="22"/>
              </w:rPr>
            </w:pPr>
          </w:p>
          <w:p>
            <w:pPr>
              <w:pStyle w:val="TableParagraph"/>
              <w:spacing w:before="7"/>
              <w:rPr>
                <w:sz w:val="26"/>
              </w:rPr>
            </w:pPr>
          </w:p>
          <w:p>
            <w:pPr>
              <w:pStyle w:val="TableParagraph"/>
              <w:spacing w:before="0"/>
              <w:ind w:left="83" w:right="83"/>
              <w:jc w:val="center"/>
              <w:rPr>
                <w:sz w:val="20"/>
              </w:rPr>
            </w:pPr>
            <w:r>
              <w:rPr>
                <w:sz w:val="20"/>
              </w:rPr>
              <w:t>16</w:t>
            </w:r>
          </w:p>
        </w:tc>
        <w:tc>
          <w:tcPr>
            <w:tcW w:w="6438" w:type="dxa"/>
          </w:tcPr>
          <w:p>
            <w:pPr>
              <w:pStyle w:val="TableParagraph"/>
              <w:spacing w:before="99"/>
              <w:ind w:left="100" w:right="105"/>
              <w:jc w:val="both"/>
              <w:rPr>
                <w:sz w:val="20"/>
              </w:rPr>
            </w:pPr>
            <w:r>
              <w:rPr>
                <w:sz w:val="20"/>
              </w:rPr>
              <w:t>Formar, em nível de pós-graduação, 50% (cinquenta por cento) dos professores da educação básica, até o último ano de vigência deste PNE, e garantir a todos (as) os (as) profissionais da educação básica formação continuada em sua área de atuação, considerando as necessidades, demandas e contextualizações dos sistemas de ensino.</w:t>
            </w:r>
          </w:p>
        </w:tc>
        <w:tc>
          <w:tcPr>
            <w:tcW w:w="1318" w:type="dxa"/>
          </w:tcPr>
          <w:p>
            <w:pPr>
              <w:pStyle w:val="TableParagraph"/>
              <w:spacing w:before="0"/>
              <w:rPr>
                <w:sz w:val="22"/>
              </w:rPr>
            </w:pPr>
          </w:p>
          <w:p>
            <w:pPr>
              <w:pStyle w:val="TableParagraph"/>
              <w:spacing w:before="7"/>
              <w:rPr>
                <w:sz w:val="26"/>
              </w:rPr>
            </w:pPr>
          </w:p>
          <w:p>
            <w:pPr>
              <w:pStyle w:val="TableParagraph"/>
              <w:spacing w:before="0"/>
              <w:ind w:right="2"/>
              <w:jc w:val="center"/>
              <w:rPr>
                <w:sz w:val="20"/>
              </w:rPr>
            </w:pPr>
            <w:r>
              <w:rPr>
                <w:w w:val="99"/>
                <w:sz w:val="20"/>
              </w:rPr>
              <w:t>6</w:t>
            </w:r>
          </w:p>
        </w:tc>
      </w:tr>
      <w:tr>
        <w:trPr>
          <w:trHeight w:val="1145" w:hRule="exact"/>
        </w:trPr>
        <w:tc>
          <w:tcPr>
            <w:tcW w:w="739" w:type="dxa"/>
          </w:tcPr>
          <w:p>
            <w:pPr>
              <w:pStyle w:val="TableParagraph"/>
              <w:spacing w:before="0"/>
              <w:rPr>
                <w:sz w:val="22"/>
              </w:rPr>
            </w:pPr>
          </w:p>
          <w:p>
            <w:pPr>
              <w:pStyle w:val="TableParagraph"/>
              <w:spacing w:before="194"/>
              <w:ind w:left="83" w:right="83"/>
              <w:jc w:val="center"/>
              <w:rPr>
                <w:sz w:val="20"/>
              </w:rPr>
            </w:pPr>
            <w:r>
              <w:rPr>
                <w:sz w:val="20"/>
              </w:rPr>
              <w:t>17</w:t>
            </w:r>
          </w:p>
        </w:tc>
        <w:tc>
          <w:tcPr>
            <w:tcW w:w="6438" w:type="dxa"/>
          </w:tcPr>
          <w:p>
            <w:pPr>
              <w:pStyle w:val="TableParagraph"/>
              <w:spacing w:before="101"/>
              <w:ind w:left="100" w:right="107"/>
              <w:jc w:val="both"/>
              <w:rPr>
                <w:sz w:val="20"/>
              </w:rPr>
            </w:pPr>
            <w:r>
              <w:rPr>
                <w:sz w:val="20"/>
              </w:rPr>
              <w:t>Valorizar os (as) profissionais do magistério das redes públicas de educação básica de forma a equiparar seu rendimento médio ao dos (as) demais profissionais com escolaridade equivalente, até o final do sexto ano de vigência deste PNE</w:t>
            </w:r>
          </w:p>
        </w:tc>
        <w:tc>
          <w:tcPr>
            <w:tcW w:w="1318" w:type="dxa"/>
          </w:tcPr>
          <w:p>
            <w:pPr>
              <w:pStyle w:val="TableParagraph"/>
              <w:spacing w:before="0"/>
              <w:rPr>
                <w:sz w:val="22"/>
              </w:rPr>
            </w:pPr>
          </w:p>
          <w:p>
            <w:pPr>
              <w:pStyle w:val="TableParagraph"/>
              <w:spacing w:before="194"/>
              <w:ind w:right="2"/>
              <w:jc w:val="center"/>
              <w:rPr>
                <w:sz w:val="20"/>
              </w:rPr>
            </w:pPr>
            <w:r>
              <w:rPr>
                <w:w w:val="99"/>
                <w:sz w:val="20"/>
              </w:rPr>
              <w:t>4</w:t>
            </w:r>
          </w:p>
        </w:tc>
      </w:tr>
      <w:tr>
        <w:trPr>
          <w:trHeight w:val="1596" w:hRule="exact"/>
        </w:trPr>
        <w:tc>
          <w:tcPr>
            <w:tcW w:w="739" w:type="dxa"/>
          </w:tcPr>
          <w:p>
            <w:pPr>
              <w:pStyle w:val="TableParagraph"/>
              <w:spacing w:before="0"/>
              <w:rPr>
                <w:sz w:val="22"/>
              </w:rPr>
            </w:pPr>
          </w:p>
          <w:p>
            <w:pPr>
              <w:pStyle w:val="TableParagraph"/>
              <w:spacing w:before="0"/>
              <w:rPr>
                <w:sz w:val="22"/>
              </w:rPr>
            </w:pPr>
          </w:p>
          <w:p>
            <w:pPr>
              <w:pStyle w:val="TableParagraph"/>
              <w:spacing w:before="166"/>
              <w:ind w:left="83" w:right="83"/>
              <w:jc w:val="center"/>
              <w:rPr>
                <w:sz w:val="20"/>
              </w:rPr>
            </w:pPr>
            <w:r>
              <w:rPr>
                <w:sz w:val="20"/>
              </w:rPr>
              <w:t>18</w:t>
            </w:r>
          </w:p>
        </w:tc>
        <w:tc>
          <w:tcPr>
            <w:tcW w:w="6438" w:type="dxa"/>
          </w:tcPr>
          <w:p>
            <w:pPr>
              <w:pStyle w:val="TableParagraph"/>
              <w:spacing w:before="96"/>
              <w:ind w:left="100" w:right="103"/>
              <w:jc w:val="both"/>
              <w:rPr>
                <w:sz w:val="20"/>
              </w:rPr>
            </w:pPr>
            <w:r>
              <w:rPr>
                <w:sz w:val="20"/>
              </w:rPr>
              <w:t>Assegurar, no prazo de 2 (dois) anos, a existência de planos de Carreira para os (as) profissionais da educação básica e superior pública de todos os sistemas de ensino e, para o plano de Carreira dos (as) profissionais da educação básica pública, tomar como referência o piso salarial nacional profissional, definido em lei federal, nos termos do </w:t>
            </w:r>
            <w:hyperlink r:id="rId67">
              <w:r>
                <w:rPr>
                  <w:sz w:val="20"/>
                  <w:u w:val="single"/>
                </w:rPr>
                <w:t>inciso VIII do art. 206 da</w:t>
              </w:r>
            </w:hyperlink>
            <w:r>
              <w:rPr>
                <w:sz w:val="20"/>
                <w:u w:val="single"/>
              </w:rPr>
              <w:t> </w:t>
            </w:r>
            <w:hyperlink r:id="rId67">
              <w:r>
                <w:rPr>
                  <w:sz w:val="20"/>
                  <w:u w:val="single"/>
                </w:rPr>
                <w:t>Constituição Federal</w:t>
              </w:r>
            </w:hyperlink>
          </w:p>
        </w:tc>
        <w:tc>
          <w:tcPr>
            <w:tcW w:w="1318" w:type="dxa"/>
          </w:tcPr>
          <w:p>
            <w:pPr>
              <w:pStyle w:val="TableParagraph"/>
              <w:spacing w:before="0"/>
              <w:rPr>
                <w:sz w:val="22"/>
              </w:rPr>
            </w:pPr>
          </w:p>
          <w:p>
            <w:pPr>
              <w:pStyle w:val="TableParagraph"/>
              <w:spacing w:before="0"/>
              <w:rPr>
                <w:sz w:val="22"/>
              </w:rPr>
            </w:pPr>
          </w:p>
          <w:p>
            <w:pPr>
              <w:pStyle w:val="TableParagraph"/>
              <w:spacing w:before="166"/>
              <w:ind w:right="2"/>
              <w:jc w:val="center"/>
              <w:rPr>
                <w:sz w:val="20"/>
              </w:rPr>
            </w:pPr>
            <w:r>
              <w:rPr>
                <w:w w:val="99"/>
                <w:sz w:val="20"/>
              </w:rPr>
              <w:t>8</w:t>
            </w:r>
          </w:p>
        </w:tc>
      </w:tr>
    </w:tbl>
    <w:p>
      <w:pPr>
        <w:spacing w:after="0"/>
        <w:jc w:val="center"/>
        <w:rPr>
          <w:sz w:val="20"/>
        </w:rPr>
        <w:sectPr>
          <w:pgSz w:w="11910" w:h="16840"/>
          <w:pgMar w:header="749" w:footer="0" w:top="960" w:bottom="280" w:left="1480" w:right="1580"/>
        </w:sectPr>
      </w:pPr>
    </w:p>
    <w:p>
      <w:pPr>
        <w:pStyle w:val="BodyText"/>
        <w:rPr>
          <w:sz w:val="20"/>
        </w:rPr>
      </w:pPr>
    </w:p>
    <w:p>
      <w:pPr>
        <w:pStyle w:val="BodyText"/>
        <w:spacing w:before="10"/>
        <w:rPr>
          <w:sz w:val="1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9"/>
        <w:gridCol w:w="6438"/>
        <w:gridCol w:w="1318"/>
      </w:tblGrid>
      <w:tr>
        <w:trPr>
          <w:trHeight w:val="470" w:hRule="exact"/>
        </w:trPr>
        <w:tc>
          <w:tcPr>
            <w:tcW w:w="739" w:type="dxa"/>
            <w:shd w:val="clear" w:color="auto" w:fill="F1F1F1"/>
          </w:tcPr>
          <w:p>
            <w:pPr>
              <w:pStyle w:val="TableParagraph"/>
              <w:spacing w:before="112"/>
              <w:ind w:left="83" w:right="83"/>
              <w:jc w:val="center"/>
              <w:rPr>
                <w:b/>
                <w:sz w:val="20"/>
              </w:rPr>
            </w:pPr>
            <w:r>
              <w:rPr>
                <w:b/>
                <w:sz w:val="20"/>
              </w:rPr>
              <w:t>Metas</w:t>
            </w:r>
          </w:p>
        </w:tc>
        <w:tc>
          <w:tcPr>
            <w:tcW w:w="6438" w:type="dxa"/>
            <w:shd w:val="clear" w:color="auto" w:fill="F1F1F1"/>
          </w:tcPr>
          <w:p>
            <w:pPr>
              <w:pStyle w:val="TableParagraph"/>
              <w:spacing w:before="112"/>
              <w:ind w:left="2776" w:right="2777"/>
              <w:jc w:val="center"/>
              <w:rPr>
                <w:b/>
                <w:sz w:val="20"/>
              </w:rPr>
            </w:pPr>
            <w:r>
              <w:rPr>
                <w:b/>
                <w:sz w:val="20"/>
              </w:rPr>
              <w:t>Conteúdo</w:t>
            </w:r>
          </w:p>
        </w:tc>
        <w:tc>
          <w:tcPr>
            <w:tcW w:w="1318" w:type="dxa"/>
            <w:shd w:val="clear" w:color="auto" w:fill="F1F1F1"/>
          </w:tcPr>
          <w:p>
            <w:pPr>
              <w:pStyle w:val="TableParagraph"/>
              <w:spacing w:before="0"/>
              <w:ind w:left="103" w:firstLine="72"/>
              <w:rPr>
                <w:b/>
                <w:sz w:val="20"/>
              </w:rPr>
            </w:pPr>
            <w:r>
              <w:rPr>
                <w:b/>
                <w:sz w:val="20"/>
              </w:rPr>
              <w:t>Estratégias </w:t>
            </w:r>
            <w:r>
              <w:rPr>
                <w:b/>
                <w:w w:val="95"/>
                <w:sz w:val="20"/>
              </w:rPr>
              <w:t>(quantidade)</w:t>
            </w:r>
          </w:p>
        </w:tc>
      </w:tr>
      <w:tr>
        <w:trPr>
          <w:trHeight w:val="1087" w:hRule="exact"/>
        </w:trPr>
        <w:tc>
          <w:tcPr>
            <w:tcW w:w="739" w:type="dxa"/>
          </w:tcPr>
          <w:p>
            <w:pPr>
              <w:pStyle w:val="TableParagraph"/>
              <w:spacing w:before="0"/>
              <w:rPr>
                <w:sz w:val="22"/>
              </w:rPr>
            </w:pPr>
          </w:p>
          <w:p>
            <w:pPr>
              <w:pStyle w:val="TableParagraph"/>
              <w:spacing w:before="165"/>
              <w:ind w:left="83" w:right="83"/>
              <w:jc w:val="center"/>
              <w:rPr>
                <w:sz w:val="20"/>
              </w:rPr>
            </w:pPr>
            <w:r>
              <w:rPr>
                <w:sz w:val="20"/>
              </w:rPr>
              <w:t>19</w:t>
            </w:r>
          </w:p>
        </w:tc>
        <w:tc>
          <w:tcPr>
            <w:tcW w:w="6438" w:type="dxa"/>
          </w:tcPr>
          <w:p>
            <w:pPr>
              <w:pStyle w:val="TableParagraph"/>
              <w:spacing w:before="72"/>
              <w:ind w:left="100" w:right="103"/>
              <w:jc w:val="both"/>
              <w:rPr>
                <w:sz w:val="20"/>
              </w:rPr>
            </w:pPr>
            <w:r>
              <w:rPr>
                <w:sz w:val="20"/>
              </w:rPr>
              <w:t>Assegurar condições, no prazo de 2 (dois) anos, para a efetivação da gestão democrática da educação, associada a critérios técnicos de mérito e desempenho e à consulta pública à comunidade escolar, no âmbito das  escolas públicas, prevendo recursos e apoio técnico da União para</w:t>
            </w:r>
            <w:r>
              <w:rPr>
                <w:spacing w:val="-16"/>
                <w:sz w:val="20"/>
              </w:rPr>
              <w:t> </w:t>
            </w:r>
            <w:r>
              <w:rPr>
                <w:sz w:val="20"/>
              </w:rPr>
              <w:t>tanto.</w:t>
            </w:r>
          </w:p>
        </w:tc>
        <w:tc>
          <w:tcPr>
            <w:tcW w:w="1318" w:type="dxa"/>
          </w:tcPr>
          <w:p>
            <w:pPr>
              <w:pStyle w:val="TableParagraph"/>
              <w:spacing w:before="0"/>
              <w:rPr>
                <w:sz w:val="22"/>
              </w:rPr>
            </w:pPr>
          </w:p>
          <w:p>
            <w:pPr>
              <w:pStyle w:val="TableParagraph"/>
              <w:spacing w:before="165"/>
              <w:ind w:right="2"/>
              <w:jc w:val="center"/>
              <w:rPr>
                <w:sz w:val="20"/>
              </w:rPr>
            </w:pPr>
            <w:r>
              <w:rPr>
                <w:w w:val="99"/>
                <w:sz w:val="20"/>
              </w:rPr>
              <w:t>8</w:t>
            </w:r>
          </w:p>
        </w:tc>
      </w:tr>
      <w:tr>
        <w:trPr>
          <w:trHeight w:val="1145" w:hRule="exact"/>
        </w:trPr>
        <w:tc>
          <w:tcPr>
            <w:tcW w:w="739" w:type="dxa"/>
          </w:tcPr>
          <w:p>
            <w:pPr>
              <w:pStyle w:val="TableParagraph"/>
              <w:spacing w:before="0"/>
              <w:rPr>
                <w:sz w:val="22"/>
              </w:rPr>
            </w:pPr>
          </w:p>
          <w:p>
            <w:pPr>
              <w:pStyle w:val="TableParagraph"/>
              <w:spacing w:before="194"/>
              <w:ind w:left="83" w:right="83"/>
              <w:jc w:val="center"/>
              <w:rPr>
                <w:sz w:val="20"/>
              </w:rPr>
            </w:pPr>
            <w:r>
              <w:rPr>
                <w:sz w:val="20"/>
              </w:rPr>
              <w:t>20</w:t>
            </w:r>
          </w:p>
        </w:tc>
        <w:tc>
          <w:tcPr>
            <w:tcW w:w="6438" w:type="dxa"/>
          </w:tcPr>
          <w:p>
            <w:pPr>
              <w:pStyle w:val="TableParagraph"/>
              <w:spacing w:line="230" w:lineRule="auto" w:before="108"/>
              <w:ind w:left="100" w:right="100"/>
              <w:jc w:val="both"/>
              <w:rPr>
                <w:sz w:val="20"/>
              </w:rPr>
            </w:pPr>
            <w:r>
              <w:rPr>
                <w:sz w:val="20"/>
              </w:rPr>
              <w:t>Ampliar o investimento público em educação pública de forma a atingir, no mínimo, o patamar de 7% (sete por cento) do Produto Interno Bruto - PIB do País no 5</w:t>
            </w:r>
            <w:r>
              <w:rPr>
                <w:position w:val="9"/>
                <w:sz w:val="13"/>
              </w:rPr>
              <w:t>o </w:t>
            </w:r>
            <w:r>
              <w:rPr>
                <w:sz w:val="20"/>
              </w:rPr>
              <w:t>(quinto) ano de vigência desta Lei e, no mínimo, o equivalente a 10% (dez por cento) do PIB ao final do decênio</w:t>
            </w:r>
          </w:p>
        </w:tc>
        <w:tc>
          <w:tcPr>
            <w:tcW w:w="1318" w:type="dxa"/>
          </w:tcPr>
          <w:p>
            <w:pPr>
              <w:pStyle w:val="TableParagraph"/>
              <w:spacing w:before="0"/>
              <w:rPr>
                <w:sz w:val="22"/>
              </w:rPr>
            </w:pPr>
          </w:p>
          <w:p>
            <w:pPr>
              <w:pStyle w:val="TableParagraph"/>
              <w:spacing w:before="194"/>
              <w:ind w:left="535" w:right="532"/>
              <w:jc w:val="center"/>
              <w:rPr>
                <w:sz w:val="20"/>
              </w:rPr>
            </w:pPr>
            <w:r>
              <w:rPr>
                <w:sz w:val="20"/>
              </w:rPr>
              <w:t>12</w:t>
            </w:r>
          </w:p>
        </w:tc>
      </w:tr>
    </w:tbl>
    <w:p>
      <w:pPr>
        <w:spacing w:line="223" w:lineRule="exact" w:before="0"/>
        <w:ind w:left="222" w:right="0" w:firstLine="0"/>
        <w:jc w:val="left"/>
        <w:rPr>
          <w:sz w:val="20"/>
        </w:rPr>
      </w:pPr>
      <w:r>
        <w:rPr/>
        <w:pict>
          <v:line style="position:absolute;mso-position-horizontal-relative:page;mso-position-vertical-relative:paragraph;z-index:-363928" from="160.339996pt,-23.459999pt" to="163.579996pt,-23.459999pt" stroked="true" strokeweight=".36pt" strokecolor="#000000">
            <v:stroke dashstyle="solid"/>
            <w10:wrap type="none"/>
          </v:line>
        </w:pict>
      </w:r>
      <w:r>
        <w:rPr>
          <w:sz w:val="20"/>
        </w:rPr>
        <w:t>Fonte: </w:t>
      </w:r>
      <w:hyperlink r:id="rId68">
        <w:r>
          <w:rPr>
            <w:sz w:val="20"/>
            <w:u w:val="single"/>
          </w:rPr>
          <w:t>www.planalto.gov.br </w:t>
        </w:r>
      </w:hyperlink>
      <w:r>
        <w:rPr>
          <w:sz w:val="20"/>
        </w:rPr>
        <w:t>(2015). Acesso em 27 de setembro de 2015.</w:t>
      </w:r>
    </w:p>
    <w:p>
      <w:pPr>
        <w:pStyle w:val="BodyText"/>
        <w:rPr>
          <w:sz w:val="20"/>
        </w:rPr>
      </w:pPr>
    </w:p>
    <w:p>
      <w:pPr>
        <w:pStyle w:val="BodyText"/>
        <w:rPr>
          <w:sz w:val="20"/>
        </w:rPr>
      </w:pPr>
    </w:p>
    <w:p>
      <w:pPr>
        <w:pStyle w:val="BodyText"/>
        <w:spacing w:before="8"/>
      </w:pPr>
    </w:p>
    <w:p>
      <w:pPr>
        <w:pStyle w:val="Heading2"/>
        <w:numPr>
          <w:ilvl w:val="2"/>
          <w:numId w:val="39"/>
        </w:numPr>
        <w:tabs>
          <w:tab w:pos="763" w:val="left" w:leader="none"/>
        </w:tabs>
        <w:spacing w:line="240" w:lineRule="auto" w:before="90" w:after="0"/>
        <w:ind w:left="762" w:right="0" w:hanging="540"/>
        <w:jc w:val="both"/>
        <w:rPr>
          <w:i/>
        </w:rPr>
      </w:pPr>
      <w:bookmarkStart w:name="_TOC_250010" w:id="7"/>
      <w:r>
        <w:rPr>
          <w:i/>
        </w:rPr>
        <w:t>Formatação de planos no</w:t>
      </w:r>
      <w:r>
        <w:rPr>
          <w:i/>
          <w:spacing w:val="-7"/>
        </w:rPr>
        <w:t> </w:t>
      </w:r>
      <w:bookmarkEnd w:id="7"/>
      <w:r>
        <w:rPr>
          <w:i/>
        </w:rPr>
        <w:t>Tocantins</w:t>
      </w:r>
    </w:p>
    <w:p>
      <w:pPr>
        <w:pStyle w:val="BodyText"/>
        <w:rPr>
          <w:b/>
          <w:i/>
          <w:sz w:val="26"/>
        </w:rPr>
      </w:pPr>
    </w:p>
    <w:p>
      <w:pPr>
        <w:pStyle w:val="BodyText"/>
        <w:spacing w:before="7"/>
        <w:rPr>
          <w:b/>
          <w:i/>
          <w:sz w:val="21"/>
        </w:rPr>
      </w:pPr>
    </w:p>
    <w:p>
      <w:pPr>
        <w:pStyle w:val="BodyText"/>
        <w:spacing w:line="360" w:lineRule="auto"/>
        <w:ind w:left="222" w:right="124" w:firstLine="851"/>
        <w:jc w:val="both"/>
      </w:pPr>
      <w:r>
        <w:rPr/>
        <w:t>Em se tratando da formatação de PMEs no Tocantins, os dados que emergem dos 111 PMEs apreendidos estão representados nas tabelas 2, 3 e 4, que apresentam:</w:t>
      </w:r>
    </w:p>
    <w:p>
      <w:pPr>
        <w:pStyle w:val="ListParagraph"/>
        <w:numPr>
          <w:ilvl w:val="3"/>
          <w:numId w:val="39"/>
        </w:numPr>
        <w:tabs>
          <w:tab w:pos="1216" w:val="left" w:leader="none"/>
        </w:tabs>
        <w:spacing w:line="240" w:lineRule="auto" w:before="6" w:after="0"/>
        <w:ind w:left="222" w:right="0" w:firstLine="852"/>
        <w:jc w:val="left"/>
        <w:rPr>
          <w:sz w:val="24"/>
        </w:rPr>
      </w:pPr>
      <w:r>
        <w:rPr>
          <w:sz w:val="24"/>
        </w:rPr>
        <w:t>Lei que aprova o Plano e sua data de</w:t>
      </w:r>
      <w:r>
        <w:rPr>
          <w:spacing w:val="-10"/>
          <w:sz w:val="24"/>
        </w:rPr>
        <w:t> </w:t>
      </w:r>
      <w:r>
        <w:rPr>
          <w:sz w:val="24"/>
        </w:rPr>
        <w:t>sanção</w:t>
      </w:r>
    </w:p>
    <w:p>
      <w:pPr>
        <w:pStyle w:val="ListParagraph"/>
        <w:numPr>
          <w:ilvl w:val="3"/>
          <w:numId w:val="39"/>
        </w:numPr>
        <w:tabs>
          <w:tab w:pos="1214" w:val="left" w:leader="none"/>
        </w:tabs>
        <w:spacing w:line="240" w:lineRule="auto" w:before="136" w:after="0"/>
        <w:ind w:left="1213" w:right="0" w:hanging="139"/>
        <w:jc w:val="left"/>
        <w:rPr>
          <w:sz w:val="24"/>
        </w:rPr>
      </w:pPr>
      <w:r>
        <w:rPr>
          <w:sz w:val="24"/>
        </w:rPr>
        <w:t>Quantidade de artigos na Lei do</w:t>
      </w:r>
      <w:r>
        <w:rPr>
          <w:spacing w:val="-6"/>
          <w:sz w:val="24"/>
        </w:rPr>
        <w:t> </w:t>
      </w:r>
      <w:r>
        <w:rPr>
          <w:sz w:val="24"/>
        </w:rPr>
        <w:t>PME</w:t>
      </w:r>
    </w:p>
    <w:p>
      <w:pPr>
        <w:pStyle w:val="ListParagraph"/>
        <w:numPr>
          <w:ilvl w:val="3"/>
          <w:numId w:val="39"/>
        </w:numPr>
        <w:tabs>
          <w:tab w:pos="1240" w:val="left" w:leader="none"/>
        </w:tabs>
        <w:spacing w:line="360" w:lineRule="auto" w:before="138" w:after="0"/>
        <w:ind w:left="222" w:right="118" w:firstLine="852"/>
        <w:jc w:val="both"/>
        <w:rPr>
          <w:sz w:val="24"/>
        </w:rPr>
      </w:pPr>
      <w:r>
        <w:rPr>
          <w:sz w:val="24"/>
        </w:rPr>
        <w:t>Seções que compõem os documentos de instituição da Comissão Municipal Representativa da Sociedade e da Equipe Técnica, com a explicitação dos membros da Comissão e da Equipe Técnica, o Histórico do Município, o Diagnóstico do Município e as metas dos Planos com suas respectivas</w:t>
      </w:r>
      <w:r>
        <w:rPr>
          <w:spacing w:val="-12"/>
          <w:sz w:val="24"/>
        </w:rPr>
        <w:t> </w:t>
      </w:r>
      <w:r>
        <w:rPr>
          <w:sz w:val="24"/>
        </w:rPr>
        <w:t>estratégias.</w:t>
      </w:r>
    </w:p>
    <w:p>
      <w:pPr>
        <w:pStyle w:val="BodyText"/>
        <w:spacing w:line="360" w:lineRule="auto" w:before="6"/>
        <w:ind w:left="222" w:right="117" w:firstLine="851"/>
        <w:jc w:val="both"/>
      </w:pPr>
      <w:r>
        <w:rPr/>
        <w:t>As tabelas dividem os 111 PMEs em três categorias, de modo a propiciar a apreensão acerca do alinhamento com o PNE 2014-2024 (BRASIL, 2014a) no que diz respeito a manutenção da mesma formatação do Plano Nacional:</w:t>
      </w:r>
    </w:p>
    <w:p>
      <w:pPr>
        <w:pStyle w:val="ListParagraph"/>
        <w:numPr>
          <w:ilvl w:val="3"/>
          <w:numId w:val="39"/>
        </w:numPr>
        <w:tabs>
          <w:tab w:pos="1214" w:val="left" w:leader="none"/>
        </w:tabs>
        <w:spacing w:line="240" w:lineRule="auto" w:before="4" w:after="0"/>
        <w:ind w:left="1213" w:right="0" w:hanging="139"/>
        <w:jc w:val="left"/>
        <w:rPr>
          <w:sz w:val="24"/>
        </w:rPr>
      </w:pPr>
      <w:r>
        <w:rPr>
          <w:sz w:val="24"/>
        </w:rPr>
        <w:t>Tabela 2 – Formatação com 20 metas e seções em 78</w:t>
      </w:r>
      <w:r>
        <w:rPr>
          <w:spacing w:val="-8"/>
          <w:sz w:val="24"/>
        </w:rPr>
        <w:t> </w:t>
      </w:r>
      <w:r>
        <w:rPr>
          <w:sz w:val="24"/>
        </w:rPr>
        <w:t>PMEs</w:t>
      </w:r>
    </w:p>
    <w:p>
      <w:pPr>
        <w:pStyle w:val="ListParagraph"/>
        <w:numPr>
          <w:ilvl w:val="3"/>
          <w:numId w:val="39"/>
        </w:numPr>
        <w:tabs>
          <w:tab w:pos="1214" w:val="left" w:leader="none"/>
        </w:tabs>
        <w:spacing w:line="240" w:lineRule="auto" w:before="139" w:after="0"/>
        <w:ind w:left="1213" w:right="0" w:hanging="139"/>
        <w:jc w:val="left"/>
        <w:rPr>
          <w:sz w:val="24"/>
        </w:rPr>
      </w:pPr>
      <w:r>
        <w:rPr>
          <w:sz w:val="24"/>
        </w:rPr>
        <w:t>Tabela 3 – Formatação com mais de 20 metas e seções em 10</w:t>
      </w:r>
      <w:r>
        <w:rPr>
          <w:spacing w:val="-9"/>
          <w:sz w:val="24"/>
        </w:rPr>
        <w:t> </w:t>
      </w:r>
      <w:r>
        <w:rPr>
          <w:sz w:val="24"/>
        </w:rPr>
        <w:t>PMEs</w:t>
      </w:r>
    </w:p>
    <w:p>
      <w:pPr>
        <w:pStyle w:val="ListParagraph"/>
        <w:numPr>
          <w:ilvl w:val="3"/>
          <w:numId w:val="39"/>
        </w:numPr>
        <w:tabs>
          <w:tab w:pos="1214" w:val="left" w:leader="none"/>
        </w:tabs>
        <w:spacing w:line="360" w:lineRule="auto" w:before="136" w:after="0"/>
        <w:ind w:left="1074" w:right="120" w:firstLine="0"/>
        <w:jc w:val="left"/>
        <w:rPr>
          <w:sz w:val="24"/>
        </w:rPr>
      </w:pPr>
      <w:r>
        <w:rPr>
          <w:sz w:val="24"/>
        </w:rPr>
        <w:t>Tabela 4 – Formatação com menos de 20 metas e seções em 23 PMEs Destacamos que, durante o processo de elaboração e/ou adequação dos  </w:t>
      </w:r>
      <w:r>
        <w:rPr>
          <w:spacing w:val="2"/>
          <w:sz w:val="24"/>
        </w:rPr>
        <w:t> </w:t>
      </w:r>
      <w:r>
        <w:rPr>
          <w:sz w:val="24"/>
        </w:rPr>
        <w:t>PMEs,</w:t>
      </w:r>
    </w:p>
    <w:p>
      <w:pPr>
        <w:pStyle w:val="BodyText"/>
        <w:spacing w:line="360" w:lineRule="auto" w:before="3"/>
        <w:ind w:left="222" w:right="119"/>
        <w:jc w:val="both"/>
      </w:pPr>
      <w:r>
        <w:rPr/>
        <w:t>foi encaminhada aos Municípios uma Minuta de Projeto de Lei do PME (UNDIME, 2015b) contendo treze artigos apontando responsabilidades a serem assumidas pelos Municípios, tomando como referência a Lei do PNE. No entanto, as Leis de alguns PMEs não apresentam todos os artigos contidos na referida Minuta. Neste momento,  não é objeto desta pesquisa, mas, posteriormente, em uma análise mais detida, será possível apreender quais artigos foram acrescentados e quais foram excluídos, explicitando o compromisso que determinado Município indica, ou não,</w:t>
      </w:r>
      <w:r>
        <w:rPr>
          <w:spacing w:val="-9"/>
        </w:rPr>
        <w:t> </w:t>
      </w:r>
      <w:r>
        <w:rPr/>
        <w:t>assumir.</w:t>
      </w:r>
    </w:p>
    <w:p>
      <w:pPr>
        <w:spacing w:after="0" w:line="360" w:lineRule="auto"/>
        <w:jc w:val="both"/>
        <w:sectPr>
          <w:pgSz w:w="11910" w:h="16840"/>
          <w:pgMar w:header="749" w:footer="0" w:top="960" w:bottom="280" w:left="1480" w:right="1580"/>
        </w:sectPr>
      </w:pPr>
    </w:p>
    <w:p>
      <w:pPr>
        <w:pStyle w:val="BodyText"/>
        <w:rPr>
          <w:sz w:val="20"/>
        </w:rPr>
      </w:pPr>
    </w:p>
    <w:p>
      <w:pPr>
        <w:pStyle w:val="BodyText"/>
        <w:spacing w:line="360" w:lineRule="auto" w:before="210"/>
        <w:ind w:left="102" w:right="116" w:firstLine="851"/>
        <w:jc w:val="both"/>
      </w:pPr>
      <w:r>
        <w:rPr/>
        <w:t>Um aspecto importante para a leitura dos dados refere-se à sequência de metas organizadas em cada PME, cabendo aqui destacarmos que não acompanham a mesma  do PNE. Isto é, com exceção das metas 1 e 2 de cada PME, as demais, em uma grande parcela dos PMEs, encontram-se em posições diversas, apontando, assim, uma sequência diferente em relação ao</w:t>
      </w:r>
      <w:r>
        <w:rPr>
          <w:spacing w:val="-8"/>
        </w:rPr>
        <w:t> </w:t>
      </w:r>
      <w:r>
        <w:rPr/>
        <w:t>PNE.</w:t>
      </w:r>
    </w:p>
    <w:p>
      <w:pPr>
        <w:pStyle w:val="BodyText"/>
        <w:spacing w:line="360" w:lineRule="auto" w:before="5"/>
        <w:ind w:left="102" w:right="117" w:firstLine="851"/>
        <w:jc w:val="both"/>
      </w:pPr>
      <w:r>
        <w:rPr/>
        <w:t>De todo modo, nosso objetivo é destacar a quantidade de artigos que cada Município acordou, assim como a quantidade de metas e estratégias explicitadas.  Assim, torna significativo, para pesquisas posteriores, investigar os critérios de exclusão e de inclusão de determinadas metas, bem como a escolha/definição de estratégias, sobretudo dos PMEs com menor e maior número de metas, pois somente as metas 1 e 2 foram contempladas em 110</w:t>
      </w:r>
      <w:r>
        <w:rPr>
          <w:spacing w:val="-4"/>
        </w:rPr>
        <w:t> </w:t>
      </w:r>
      <w:r>
        <w:rPr/>
        <w:t>PMEs.</w:t>
      </w:r>
    </w:p>
    <w:p>
      <w:pPr>
        <w:pStyle w:val="BodyText"/>
        <w:spacing w:before="5"/>
        <w:ind w:left="954"/>
      </w:pPr>
      <w:r>
        <w:rPr/>
        <w:t>A Tabela 2 apresenta algumas especificidades acerca da formatação dos PMEs.</w:t>
      </w:r>
    </w:p>
    <w:p>
      <w:pPr>
        <w:spacing w:after="0"/>
        <w:sectPr>
          <w:pgSz w:w="11910" w:h="16840"/>
          <w:pgMar w:header="749" w:footer="0" w:top="960" w:bottom="280" w:left="1600" w:right="1580"/>
        </w:sectPr>
      </w:pPr>
    </w:p>
    <w:p>
      <w:pPr>
        <w:pStyle w:val="BodyText"/>
        <w:rPr>
          <w:sz w:val="20"/>
        </w:rPr>
      </w:pPr>
      <w:r>
        <w:rPr/>
        <w:drawing>
          <wp:anchor distT="0" distB="0" distL="0" distR="0" allowOverlap="1" layoutInCell="1" locked="0" behindDoc="0" simplePos="0" relativeHeight="2176">
            <wp:simplePos x="0" y="0"/>
            <wp:positionH relativeFrom="page">
              <wp:posOffset>2860801</wp:posOffset>
            </wp:positionH>
            <wp:positionV relativeFrom="page">
              <wp:posOffset>2781935</wp:posOffset>
            </wp:positionV>
            <wp:extent cx="213663" cy="333375"/>
            <wp:effectExtent l="0" t="0" r="0" b="0"/>
            <wp:wrapNone/>
            <wp:docPr id="19" name="image20.png" descr=""/>
            <wp:cNvGraphicFramePr>
              <a:graphicFrameLocks noChangeAspect="1"/>
            </wp:cNvGraphicFramePr>
            <a:graphic>
              <a:graphicData uri="http://schemas.openxmlformats.org/drawingml/2006/picture">
                <pic:pic>
                  <pic:nvPicPr>
                    <pic:cNvPr id="20" name="image20.png"/>
                    <pic:cNvPicPr/>
                  </pic:nvPicPr>
                  <pic:blipFill>
                    <a:blip r:embed="rId70" cstate="print"/>
                    <a:stretch>
                      <a:fillRect/>
                    </a:stretch>
                  </pic:blipFill>
                  <pic:spPr>
                    <a:xfrm>
                      <a:off x="0" y="0"/>
                      <a:ext cx="213663" cy="333375"/>
                    </a:xfrm>
                    <a:prstGeom prst="rect">
                      <a:avLst/>
                    </a:prstGeom>
                  </pic:spPr>
                </pic:pic>
              </a:graphicData>
            </a:graphic>
          </wp:anchor>
        </w:drawing>
      </w:r>
      <w:r>
        <w:rPr/>
        <w:drawing>
          <wp:anchor distT="0" distB="0" distL="0" distR="0" allowOverlap="1" layoutInCell="1" locked="0" behindDoc="0" simplePos="0" relativeHeight="2200">
            <wp:simplePos x="0" y="0"/>
            <wp:positionH relativeFrom="page">
              <wp:posOffset>3795395</wp:posOffset>
            </wp:positionH>
            <wp:positionV relativeFrom="page">
              <wp:posOffset>2781935</wp:posOffset>
            </wp:positionV>
            <wp:extent cx="180325" cy="333375"/>
            <wp:effectExtent l="0" t="0" r="0" b="0"/>
            <wp:wrapNone/>
            <wp:docPr id="21" name="image21.png" descr=""/>
            <wp:cNvGraphicFramePr>
              <a:graphicFrameLocks noChangeAspect="1"/>
            </wp:cNvGraphicFramePr>
            <a:graphic>
              <a:graphicData uri="http://schemas.openxmlformats.org/drawingml/2006/picture">
                <pic:pic>
                  <pic:nvPicPr>
                    <pic:cNvPr id="22" name="image21.png"/>
                    <pic:cNvPicPr/>
                  </pic:nvPicPr>
                  <pic:blipFill>
                    <a:blip r:embed="rId71" cstate="print"/>
                    <a:stretch>
                      <a:fillRect/>
                    </a:stretch>
                  </pic:blipFill>
                  <pic:spPr>
                    <a:xfrm>
                      <a:off x="0" y="0"/>
                      <a:ext cx="180325" cy="333375"/>
                    </a:xfrm>
                    <a:prstGeom prst="rect">
                      <a:avLst/>
                    </a:prstGeom>
                  </pic:spPr>
                </pic:pic>
              </a:graphicData>
            </a:graphic>
          </wp:anchor>
        </w:drawing>
      </w:r>
      <w:r>
        <w:rPr/>
        <w:drawing>
          <wp:anchor distT="0" distB="0" distL="0" distR="0" allowOverlap="1" layoutInCell="1" locked="0" behindDoc="0" simplePos="0" relativeHeight="2224">
            <wp:simplePos x="0" y="0"/>
            <wp:positionH relativeFrom="page">
              <wp:posOffset>2860801</wp:posOffset>
            </wp:positionH>
            <wp:positionV relativeFrom="page">
              <wp:posOffset>3478403</wp:posOffset>
            </wp:positionV>
            <wp:extent cx="215734" cy="338137"/>
            <wp:effectExtent l="0" t="0" r="0" b="0"/>
            <wp:wrapNone/>
            <wp:docPr id="23" name="image22.png" descr=""/>
            <wp:cNvGraphicFramePr>
              <a:graphicFrameLocks noChangeAspect="1"/>
            </wp:cNvGraphicFramePr>
            <a:graphic>
              <a:graphicData uri="http://schemas.openxmlformats.org/drawingml/2006/picture">
                <pic:pic>
                  <pic:nvPicPr>
                    <pic:cNvPr id="24" name="image22.png"/>
                    <pic:cNvPicPr/>
                  </pic:nvPicPr>
                  <pic:blipFill>
                    <a:blip r:embed="rId72" cstate="print"/>
                    <a:stretch>
                      <a:fillRect/>
                    </a:stretch>
                  </pic:blipFill>
                  <pic:spPr>
                    <a:xfrm>
                      <a:off x="0" y="0"/>
                      <a:ext cx="215734" cy="338137"/>
                    </a:xfrm>
                    <a:prstGeom prst="rect">
                      <a:avLst/>
                    </a:prstGeom>
                  </pic:spPr>
                </pic:pic>
              </a:graphicData>
            </a:graphic>
          </wp:anchor>
        </w:drawing>
      </w:r>
      <w:r>
        <w:rPr/>
        <w:drawing>
          <wp:anchor distT="0" distB="0" distL="0" distR="0" allowOverlap="1" layoutInCell="1" locked="0" behindDoc="0" simplePos="0" relativeHeight="2248">
            <wp:simplePos x="0" y="0"/>
            <wp:positionH relativeFrom="page">
              <wp:posOffset>3795395</wp:posOffset>
            </wp:positionH>
            <wp:positionV relativeFrom="page">
              <wp:posOffset>3478403</wp:posOffset>
            </wp:positionV>
            <wp:extent cx="182074" cy="338137"/>
            <wp:effectExtent l="0" t="0" r="0" b="0"/>
            <wp:wrapNone/>
            <wp:docPr id="25" name="image23.png" descr=""/>
            <wp:cNvGraphicFramePr>
              <a:graphicFrameLocks noChangeAspect="1"/>
            </wp:cNvGraphicFramePr>
            <a:graphic>
              <a:graphicData uri="http://schemas.openxmlformats.org/drawingml/2006/picture">
                <pic:pic>
                  <pic:nvPicPr>
                    <pic:cNvPr id="26" name="image23.png"/>
                    <pic:cNvPicPr/>
                  </pic:nvPicPr>
                  <pic:blipFill>
                    <a:blip r:embed="rId73" cstate="print"/>
                    <a:stretch>
                      <a:fillRect/>
                    </a:stretch>
                  </pic:blipFill>
                  <pic:spPr>
                    <a:xfrm>
                      <a:off x="0" y="0"/>
                      <a:ext cx="182074" cy="338137"/>
                    </a:xfrm>
                    <a:prstGeom prst="rect">
                      <a:avLst/>
                    </a:prstGeom>
                  </pic:spPr>
                </pic:pic>
              </a:graphicData>
            </a:graphic>
          </wp:anchor>
        </w:drawing>
      </w:r>
      <w:r>
        <w:rPr/>
        <w:drawing>
          <wp:anchor distT="0" distB="0" distL="0" distR="0" allowOverlap="1" layoutInCell="1" locked="0" behindDoc="0" simplePos="0" relativeHeight="2272">
            <wp:simplePos x="0" y="0"/>
            <wp:positionH relativeFrom="page">
              <wp:posOffset>2860801</wp:posOffset>
            </wp:positionH>
            <wp:positionV relativeFrom="page">
              <wp:posOffset>4176648</wp:posOffset>
            </wp:positionV>
            <wp:extent cx="216546" cy="471487"/>
            <wp:effectExtent l="0" t="0" r="0" b="0"/>
            <wp:wrapNone/>
            <wp:docPr id="27" name="image24.png" descr=""/>
            <wp:cNvGraphicFramePr>
              <a:graphicFrameLocks noChangeAspect="1"/>
            </wp:cNvGraphicFramePr>
            <a:graphic>
              <a:graphicData uri="http://schemas.openxmlformats.org/drawingml/2006/picture">
                <pic:pic>
                  <pic:nvPicPr>
                    <pic:cNvPr id="28" name="image24.png"/>
                    <pic:cNvPicPr/>
                  </pic:nvPicPr>
                  <pic:blipFill>
                    <a:blip r:embed="rId74" cstate="print"/>
                    <a:stretch>
                      <a:fillRect/>
                    </a:stretch>
                  </pic:blipFill>
                  <pic:spPr>
                    <a:xfrm>
                      <a:off x="0" y="0"/>
                      <a:ext cx="216546" cy="471487"/>
                    </a:xfrm>
                    <a:prstGeom prst="rect">
                      <a:avLst/>
                    </a:prstGeom>
                  </pic:spPr>
                </pic:pic>
              </a:graphicData>
            </a:graphic>
          </wp:anchor>
        </w:drawing>
      </w:r>
      <w:r>
        <w:rPr/>
        <w:drawing>
          <wp:anchor distT="0" distB="0" distL="0" distR="0" allowOverlap="1" layoutInCell="1" locked="0" behindDoc="0" simplePos="0" relativeHeight="2296">
            <wp:simplePos x="0" y="0"/>
            <wp:positionH relativeFrom="page">
              <wp:posOffset>3795395</wp:posOffset>
            </wp:positionH>
            <wp:positionV relativeFrom="page">
              <wp:posOffset>4176648</wp:posOffset>
            </wp:positionV>
            <wp:extent cx="182758" cy="471487"/>
            <wp:effectExtent l="0" t="0" r="0" b="0"/>
            <wp:wrapNone/>
            <wp:docPr id="29" name="image25.png" descr=""/>
            <wp:cNvGraphicFramePr>
              <a:graphicFrameLocks noChangeAspect="1"/>
            </wp:cNvGraphicFramePr>
            <a:graphic>
              <a:graphicData uri="http://schemas.openxmlformats.org/drawingml/2006/picture">
                <pic:pic>
                  <pic:nvPicPr>
                    <pic:cNvPr id="30" name="image25.png"/>
                    <pic:cNvPicPr/>
                  </pic:nvPicPr>
                  <pic:blipFill>
                    <a:blip r:embed="rId75" cstate="print"/>
                    <a:stretch>
                      <a:fillRect/>
                    </a:stretch>
                  </pic:blipFill>
                  <pic:spPr>
                    <a:xfrm>
                      <a:off x="0" y="0"/>
                      <a:ext cx="182758" cy="471487"/>
                    </a:xfrm>
                    <a:prstGeom prst="rect">
                      <a:avLst/>
                    </a:prstGeom>
                  </pic:spPr>
                </pic:pic>
              </a:graphicData>
            </a:graphic>
          </wp:anchor>
        </w:drawing>
      </w:r>
      <w:r>
        <w:rPr/>
        <w:drawing>
          <wp:anchor distT="0" distB="0" distL="0" distR="0" allowOverlap="1" layoutInCell="1" locked="0" behindDoc="0" simplePos="0" relativeHeight="2320">
            <wp:simplePos x="0" y="0"/>
            <wp:positionH relativeFrom="page">
              <wp:posOffset>2860801</wp:posOffset>
            </wp:positionH>
            <wp:positionV relativeFrom="page">
              <wp:posOffset>5005704</wp:posOffset>
            </wp:positionV>
            <wp:extent cx="213663" cy="333375"/>
            <wp:effectExtent l="0" t="0" r="0" b="0"/>
            <wp:wrapNone/>
            <wp:docPr id="31" name="image20.png" descr=""/>
            <wp:cNvGraphicFramePr>
              <a:graphicFrameLocks noChangeAspect="1"/>
            </wp:cNvGraphicFramePr>
            <a:graphic>
              <a:graphicData uri="http://schemas.openxmlformats.org/drawingml/2006/picture">
                <pic:pic>
                  <pic:nvPicPr>
                    <pic:cNvPr id="32" name="image20.png"/>
                    <pic:cNvPicPr/>
                  </pic:nvPicPr>
                  <pic:blipFill>
                    <a:blip r:embed="rId70" cstate="print"/>
                    <a:stretch>
                      <a:fillRect/>
                    </a:stretch>
                  </pic:blipFill>
                  <pic:spPr>
                    <a:xfrm>
                      <a:off x="0" y="0"/>
                      <a:ext cx="213663" cy="333375"/>
                    </a:xfrm>
                    <a:prstGeom prst="rect">
                      <a:avLst/>
                    </a:prstGeom>
                  </pic:spPr>
                </pic:pic>
              </a:graphicData>
            </a:graphic>
          </wp:anchor>
        </w:drawing>
      </w:r>
      <w:r>
        <w:rPr/>
        <w:drawing>
          <wp:anchor distT="0" distB="0" distL="0" distR="0" allowOverlap="1" layoutInCell="1" locked="0" behindDoc="0" simplePos="0" relativeHeight="2344">
            <wp:simplePos x="0" y="0"/>
            <wp:positionH relativeFrom="page">
              <wp:posOffset>3795395</wp:posOffset>
            </wp:positionH>
            <wp:positionV relativeFrom="page">
              <wp:posOffset>5005704</wp:posOffset>
            </wp:positionV>
            <wp:extent cx="180325" cy="333375"/>
            <wp:effectExtent l="0" t="0" r="0" b="0"/>
            <wp:wrapNone/>
            <wp:docPr id="33" name="image21.png" descr=""/>
            <wp:cNvGraphicFramePr>
              <a:graphicFrameLocks noChangeAspect="1"/>
            </wp:cNvGraphicFramePr>
            <a:graphic>
              <a:graphicData uri="http://schemas.openxmlformats.org/drawingml/2006/picture">
                <pic:pic>
                  <pic:nvPicPr>
                    <pic:cNvPr id="34" name="image21.png"/>
                    <pic:cNvPicPr/>
                  </pic:nvPicPr>
                  <pic:blipFill>
                    <a:blip r:embed="rId71" cstate="print"/>
                    <a:stretch>
                      <a:fillRect/>
                    </a:stretch>
                  </pic:blipFill>
                  <pic:spPr>
                    <a:xfrm>
                      <a:off x="0" y="0"/>
                      <a:ext cx="180325" cy="333375"/>
                    </a:xfrm>
                    <a:prstGeom prst="rect">
                      <a:avLst/>
                    </a:prstGeom>
                  </pic:spPr>
                </pic:pic>
              </a:graphicData>
            </a:graphic>
          </wp:anchor>
        </w:drawing>
      </w:r>
      <w:r>
        <w:rPr/>
        <w:drawing>
          <wp:anchor distT="0" distB="0" distL="0" distR="0" allowOverlap="1" layoutInCell="1" locked="0" behindDoc="0" simplePos="0" relativeHeight="2368">
            <wp:simplePos x="0" y="0"/>
            <wp:positionH relativeFrom="page">
              <wp:posOffset>2860801</wp:posOffset>
            </wp:positionH>
            <wp:positionV relativeFrom="page">
              <wp:posOffset>5702554</wp:posOffset>
            </wp:positionV>
            <wp:extent cx="215734" cy="338137"/>
            <wp:effectExtent l="0" t="0" r="0" b="0"/>
            <wp:wrapNone/>
            <wp:docPr id="35" name="image22.png" descr=""/>
            <wp:cNvGraphicFramePr>
              <a:graphicFrameLocks noChangeAspect="1"/>
            </wp:cNvGraphicFramePr>
            <a:graphic>
              <a:graphicData uri="http://schemas.openxmlformats.org/drawingml/2006/picture">
                <pic:pic>
                  <pic:nvPicPr>
                    <pic:cNvPr id="36" name="image22.png"/>
                    <pic:cNvPicPr/>
                  </pic:nvPicPr>
                  <pic:blipFill>
                    <a:blip r:embed="rId72" cstate="print"/>
                    <a:stretch>
                      <a:fillRect/>
                    </a:stretch>
                  </pic:blipFill>
                  <pic:spPr>
                    <a:xfrm>
                      <a:off x="0" y="0"/>
                      <a:ext cx="215734" cy="338137"/>
                    </a:xfrm>
                    <a:prstGeom prst="rect">
                      <a:avLst/>
                    </a:prstGeom>
                  </pic:spPr>
                </pic:pic>
              </a:graphicData>
            </a:graphic>
          </wp:anchor>
        </w:drawing>
      </w:r>
      <w:r>
        <w:rPr/>
        <w:drawing>
          <wp:anchor distT="0" distB="0" distL="0" distR="0" allowOverlap="1" layoutInCell="1" locked="0" behindDoc="0" simplePos="0" relativeHeight="2392">
            <wp:simplePos x="0" y="0"/>
            <wp:positionH relativeFrom="page">
              <wp:posOffset>3795395</wp:posOffset>
            </wp:positionH>
            <wp:positionV relativeFrom="page">
              <wp:posOffset>5702554</wp:posOffset>
            </wp:positionV>
            <wp:extent cx="182074" cy="338137"/>
            <wp:effectExtent l="0" t="0" r="0" b="0"/>
            <wp:wrapNone/>
            <wp:docPr id="37" name="image23.png" descr=""/>
            <wp:cNvGraphicFramePr>
              <a:graphicFrameLocks noChangeAspect="1"/>
            </wp:cNvGraphicFramePr>
            <a:graphic>
              <a:graphicData uri="http://schemas.openxmlformats.org/drawingml/2006/picture">
                <pic:pic>
                  <pic:nvPicPr>
                    <pic:cNvPr id="38" name="image23.png"/>
                    <pic:cNvPicPr/>
                  </pic:nvPicPr>
                  <pic:blipFill>
                    <a:blip r:embed="rId73" cstate="print"/>
                    <a:stretch>
                      <a:fillRect/>
                    </a:stretch>
                  </pic:blipFill>
                  <pic:spPr>
                    <a:xfrm>
                      <a:off x="0" y="0"/>
                      <a:ext cx="182074" cy="338137"/>
                    </a:xfrm>
                    <a:prstGeom prst="rect">
                      <a:avLst/>
                    </a:prstGeom>
                  </pic:spPr>
                </pic:pic>
              </a:graphicData>
            </a:graphic>
          </wp:anchor>
        </w:drawing>
      </w:r>
    </w:p>
    <w:p>
      <w:pPr>
        <w:pStyle w:val="BodyText"/>
        <w:rPr>
          <w:sz w:val="20"/>
        </w:rPr>
      </w:pPr>
    </w:p>
    <w:p>
      <w:pPr>
        <w:pStyle w:val="BodyText"/>
        <w:spacing w:before="2"/>
        <w:rPr>
          <w:sz w:val="23"/>
        </w:rPr>
      </w:pPr>
    </w:p>
    <w:p>
      <w:pPr>
        <w:pStyle w:val="BodyText"/>
        <w:ind w:left="538"/>
      </w:pPr>
      <w:r>
        <w:rPr/>
        <w:drawing>
          <wp:anchor distT="0" distB="0" distL="0" distR="0" allowOverlap="1" layoutInCell="1" locked="0" behindDoc="0" simplePos="0" relativeHeight="2128">
            <wp:simplePos x="0" y="0"/>
            <wp:positionH relativeFrom="page">
              <wp:posOffset>2860801</wp:posOffset>
            </wp:positionH>
            <wp:positionV relativeFrom="paragraph">
              <wp:posOffset>1006387</wp:posOffset>
            </wp:positionV>
            <wp:extent cx="215491" cy="338137"/>
            <wp:effectExtent l="0" t="0" r="0" b="0"/>
            <wp:wrapNone/>
            <wp:docPr id="39" name="image26.png" descr=""/>
            <wp:cNvGraphicFramePr>
              <a:graphicFrameLocks noChangeAspect="1"/>
            </wp:cNvGraphicFramePr>
            <a:graphic>
              <a:graphicData uri="http://schemas.openxmlformats.org/drawingml/2006/picture">
                <pic:pic>
                  <pic:nvPicPr>
                    <pic:cNvPr id="40" name="image26.png"/>
                    <pic:cNvPicPr/>
                  </pic:nvPicPr>
                  <pic:blipFill>
                    <a:blip r:embed="rId76" cstate="print"/>
                    <a:stretch>
                      <a:fillRect/>
                    </a:stretch>
                  </pic:blipFill>
                  <pic:spPr>
                    <a:xfrm>
                      <a:off x="0" y="0"/>
                      <a:ext cx="215491" cy="338137"/>
                    </a:xfrm>
                    <a:prstGeom prst="rect">
                      <a:avLst/>
                    </a:prstGeom>
                  </pic:spPr>
                </pic:pic>
              </a:graphicData>
            </a:graphic>
          </wp:anchor>
        </w:drawing>
      </w:r>
      <w:r>
        <w:rPr/>
        <w:drawing>
          <wp:anchor distT="0" distB="0" distL="0" distR="0" allowOverlap="1" layoutInCell="1" locked="0" behindDoc="0" simplePos="0" relativeHeight="2152">
            <wp:simplePos x="0" y="0"/>
            <wp:positionH relativeFrom="page">
              <wp:posOffset>3795395</wp:posOffset>
            </wp:positionH>
            <wp:positionV relativeFrom="paragraph">
              <wp:posOffset>1006387</wp:posOffset>
            </wp:positionV>
            <wp:extent cx="181868" cy="338137"/>
            <wp:effectExtent l="0" t="0" r="0" b="0"/>
            <wp:wrapNone/>
            <wp:docPr id="41" name="image27.png" descr=""/>
            <wp:cNvGraphicFramePr>
              <a:graphicFrameLocks noChangeAspect="1"/>
            </wp:cNvGraphicFramePr>
            <a:graphic>
              <a:graphicData uri="http://schemas.openxmlformats.org/drawingml/2006/picture">
                <pic:pic>
                  <pic:nvPicPr>
                    <pic:cNvPr id="42" name="image27.png"/>
                    <pic:cNvPicPr/>
                  </pic:nvPicPr>
                  <pic:blipFill>
                    <a:blip r:embed="rId77" cstate="print"/>
                    <a:stretch>
                      <a:fillRect/>
                    </a:stretch>
                  </pic:blipFill>
                  <pic:spPr>
                    <a:xfrm>
                      <a:off x="0" y="0"/>
                      <a:ext cx="181868" cy="338137"/>
                    </a:xfrm>
                    <a:prstGeom prst="rect">
                      <a:avLst/>
                    </a:prstGeom>
                  </pic:spPr>
                </pic:pic>
              </a:graphicData>
            </a:graphic>
          </wp:anchor>
        </w:drawing>
      </w:r>
      <w:r>
        <w:rPr>
          <w:b/>
        </w:rPr>
        <w:t>Tabela 2 </w:t>
      </w:r>
      <w:r>
        <w:rPr/>
        <w:t>Formatação de 78 PMEs no Tocantins com 20 metas e seções.</w:t>
      </w:r>
    </w:p>
    <w:p>
      <w:pPr>
        <w:pStyle w:val="BodyText"/>
        <w:spacing w:before="4" w:after="1"/>
        <w:rPr>
          <w:sz w:val="11"/>
        </w:rPr>
      </w:pPr>
    </w:p>
    <w:tbl>
      <w:tblPr>
        <w:tblW w:w="0" w:type="auto"/>
        <w:jc w:val="left"/>
        <w:tblInd w:w="101"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304"/>
        <w:gridCol w:w="1078"/>
        <w:gridCol w:w="566"/>
        <w:gridCol w:w="566"/>
        <w:gridCol w:w="338"/>
        <w:gridCol w:w="566"/>
        <w:gridCol w:w="569"/>
        <w:gridCol w:w="283"/>
        <w:gridCol w:w="454"/>
        <w:gridCol w:w="454"/>
        <w:gridCol w:w="454"/>
        <w:gridCol w:w="456"/>
        <w:gridCol w:w="454"/>
        <w:gridCol w:w="454"/>
        <w:gridCol w:w="454"/>
        <w:gridCol w:w="454"/>
        <w:gridCol w:w="454"/>
        <w:gridCol w:w="456"/>
        <w:gridCol w:w="454"/>
        <w:gridCol w:w="454"/>
        <w:gridCol w:w="454"/>
        <w:gridCol w:w="454"/>
        <w:gridCol w:w="454"/>
        <w:gridCol w:w="457"/>
        <w:gridCol w:w="454"/>
        <w:gridCol w:w="454"/>
        <w:gridCol w:w="454"/>
        <w:gridCol w:w="454"/>
        <w:gridCol w:w="622"/>
      </w:tblGrid>
      <w:tr>
        <w:trPr>
          <w:trHeight w:val="1134" w:hRule="exact"/>
        </w:trPr>
        <w:tc>
          <w:tcPr>
            <w:tcW w:w="1304" w:type="dxa"/>
            <w:tcBorders>
              <w:left w:val="single" w:sz="8" w:space="0" w:color="000000"/>
              <w:right w:val="single" w:sz="8" w:space="0" w:color="000000"/>
            </w:tcBorders>
          </w:tcPr>
          <w:p>
            <w:pPr>
              <w:pStyle w:val="TableParagraph"/>
              <w:spacing w:before="0"/>
              <w:rPr>
                <w:sz w:val="22"/>
              </w:rPr>
            </w:pPr>
          </w:p>
          <w:p>
            <w:pPr>
              <w:pStyle w:val="TableParagraph"/>
              <w:spacing w:before="155"/>
              <w:ind w:left="201"/>
              <w:rPr>
                <w:b/>
                <w:sz w:val="20"/>
              </w:rPr>
            </w:pPr>
            <w:r>
              <w:rPr>
                <w:b/>
                <w:sz w:val="20"/>
              </w:rPr>
              <w:t>Município</w:t>
            </w:r>
          </w:p>
        </w:tc>
        <w:tc>
          <w:tcPr>
            <w:tcW w:w="1078" w:type="dxa"/>
            <w:tcBorders>
              <w:left w:val="single" w:sz="8" w:space="0" w:color="000000"/>
              <w:right w:val="single" w:sz="8" w:space="0" w:color="000000"/>
            </w:tcBorders>
            <w:textDirection w:val="btLr"/>
          </w:tcPr>
          <w:p>
            <w:pPr>
              <w:pStyle w:val="TableParagraph"/>
              <w:spacing w:before="4"/>
              <w:rPr>
                <w:sz w:val="22"/>
              </w:rPr>
            </w:pPr>
          </w:p>
          <w:p>
            <w:pPr>
              <w:pStyle w:val="TableParagraph"/>
              <w:spacing w:line="283" w:lineRule="auto" w:before="0"/>
              <w:ind w:left="112" w:right="85"/>
              <w:rPr>
                <w:b/>
                <w:sz w:val="20"/>
              </w:rPr>
            </w:pPr>
            <w:r>
              <w:rPr>
                <w:b/>
                <w:spacing w:val="-1"/>
                <w:w w:val="99"/>
                <w:sz w:val="20"/>
              </w:rPr>
              <w:t>L</w:t>
            </w:r>
            <w:r>
              <w:rPr>
                <w:b/>
                <w:w w:val="99"/>
                <w:sz w:val="20"/>
              </w:rPr>
              <w:t>ei</w:t>
            </w:r>
            <w:r>
              <w:rPr>
                <w:b/>
                <w:sz w:val="20"/>
              </w:rPr>
              <w:t> </w:t>
            </w:r>
            <w:r>
              <w:rPr>
                <w:b/>
                <w:w w:val="99"/>
                <w:sz w:val="20"/>
              </w:rPr>
              <w:t>do </w:t>
            </w:r>
            <w:r>
              <w:rPr>
                <w:b/>
                <w:w w:val="99"/>
                <w:sz w:val="20"/>
              </w:rPr>
              <w:t>P</w:t>
            </w:r>
            <w:r>
              <w:rPr>
                <w:b/>
                <w:spacing w:val="-1"/>
                <w:w w:val="99"/>
                <w:sz w:val="20"/>
              </w:rPr>
              <w:t>M</w:t>
            </w:r>
            <w:r>
              <w:rPr>
                <w:b/>
                <w:w w:val="99"/>
                <w:sz w:val="20"/>
              </w:rPr>
              <w:t>E</w:t>
            </w:r>
          </w:p>
        </w:tc>
        <w:tc>
          <w:tcPr>
            <w:tcW w:w="566" w:type="dxa"/>
            <w:tcBorders>
              <w:left w:val="single" w:sz="8" w:space="0" w:color="000000"/>
              <w:right w:val="single" w:sz="8" w:space="0" w:color="000000"/>
            </w:tcBorders>
            <w:textDirection w:val="btLr"/>
          </w:tcPr>
          <w:p>
            <w:pPr>
              <w:pStyle w:val="TableParagraph"/>
              <w:spacing w:line="283" w:lineRule="auto" w:before="3"/>
              <w:ind w:left="112" w:right="85"/>
              <w:rPr>
                <w:b/>
                <w:sz w:val="20"/>
              </w:rPr>
            </w:pPr>
            <w:r>
              <w:rPr>
                <w:b/>
                <w:w w:val="99"/>
                <w:sz w:val="20"/>
              </w:rPr>
              <w:t>Nº</w:t>
            </w:r>
            <w:r>
              <w:rPr>
                <w:b/>
                <w:spacing w:val="-1"/>
                <w:sz w:val="20"/>
              </w:rPr>
              <w:t> </w:t>
            </w:r>
            <w:r>
              <w:rPr>
                <w:b/>
                <w:w w:val="99"/>
                <w:sz w:val="20"/>
              </w:rPr>
              <w:t>de Ar</w:t>
            </w:r>
            <w:r>
              <w:rPr>
                <w:b/>
                <w:spacing w:val="1"/>
                <w:w w:val="99"/>
                <w:sz w:val="20"/>
              </w:rPr>
              <w:t>t</w:t>
            </w:r>
            <w:r>
              <w:rPr>
                <w:b/>
                <w:w w:val="99"/>
                <w:sz w:val="20"/>
              </w:rPr>
              <w:t>ig</w:t>
            </w:r>
            <w:r>
              <w:rPr>
                <w:b/>
                <w:spacing w:val="1"/>
                <w:w w:val="99"/>
                <w:sz w:val="20"/>
              </w:rPr>
              <w:t>o</w:t>
            </w:r>
            <w:r>
              <w:rPr>
                <w:b/>
                <w:w w:val="99"/>
                <w:sz w:val="20"/>
              </w:rPr>
              <w:t>s</w:t>
            </w:r>
          </w:p>
        </w:tc>
        <w:tc>
          <w:tcPr>
            <w:tcW w:w="566" w:type="dxa"/>
            <w:tcBorders>
              <w:left w:val="single" w:sz="8" w:space="0" w:color="000000"/>
              <w:right w:val="single" w:sz="8" w:space="0" w:color="000000"/>
            </w:tcBorders>
            <w:textDirection w:val="btLr"/>
          </w:tcPr>
          <w:p>
            <w:pPr>
              <w:pStyle w:val="TableParagraph"/>
              <w:spacing w:line="283" w:lineRule="auto" w:before="3"/>
              <w:ind w:left="112" w:right="85"/>
              <w:rPr>
                <w:b/>
                <w:sz w:val="20"/>
              </w:rPr>
            </w:pPr>
            <w:r>
              <w:rPr>
                <w:b/>
                <w:w w:val="99"/>
                <w:sz w:val="20"/>
              </w:rPr>
              <w:t>Nº</w:t>
            </w:r>
            <w:r>
              <w:rPr>
                <w:b/>
                <w:spacing w:val="-1"/>
                <w:sz w:val="20"/>
              </w:rPr>
              <w:t> </w:t>
            </w:r>
            <w:r>
              <w:rPr>
                <w:b/>
                <w:w w:val="99"/>
                <w:sz w:val="20"/>
              </w:rPr>
              <w:t>de </w:t>
            </w:r>
            <w:r>
              <w:rPr>
                <w:b/>
                <w:spacing w:val="-1"/>
                <w:w w:val="99"/>
                <w:sz w:val="20"/>
              </w:rPr>
              <w:t>M</w:t>
            </w:r>
            <w:r>
              <w:rPr>
                <w:b/>
                <w:w w:val="99"/>
                <w:sz w:val="20"/>
              </w:rPr>
              <w:t>e</w:t>
            </w:r>
            <w:r>
              <w:rPr>
                <w:b/>
                <w:spacing w:val="1"/>
                <w:w w:val="99"/>
                <w:sz w:val="20"/>
              </w:rPr>
              <w:t>ta</w:t>
            </w:r>
            <w:r>
              <w:rPr>
                <w:b/>
                <w:w w:val="99"/>
                <w:sz w:val="20"/>
              </w:rPr>
              <w:t>s</w:t>
            </w:r>
          </w:p>
        </w:tc>
        <w:tc>
          <w:tcPr>
            <w:tcW w:w="338" w:type="dxa"/>
            <w:tcBorders>
              <w:left w:val="single" w:sz="8" w:space="0" w:color="000000"/>
              <w:right w:val="single" w:sz="8" w:space="0" w:color="000000"/>
            </w:tcBorders>
            <w:textDirection w:val="btLr"/>
          </w:tcPr>
          <w:p>
            <w:pPr>
              <w:pStyle w:val="TableParagraph"/>
              <w:spacing w:before="24"/>
              <w:ind w:left="-1"/>
              <w:rPr>
                <w:b/>
                <w:sz w:val="20"/>
              </w:rPr>
            </w:pPr>
            <w:r>
              <w:rPr>
                <w:b/>
                <w:w w:val="99"/>
                <w:sz w:val="20"/>
              </w:rPr>
              <w:t>C</w:t>
            </w:r>
            <w:r>
              <w:rPr>
                <w:b/>
                <w:spacing w:val="1"/>
                <w:w w:val="99"/>
                <w:sz w:val="20"/>
              </w:rPr>
              <w:t>o</w:t>
            </w:r>
            <w:r>
              <w:rPr>
                <w:b/>
                <w:w w:val="99"/>
                <w:sz w:val="20"/>
              </w:rPr>
              <w:t>mi</w:t>
            </w:r>
            <w:r>
              <w:rPr>
                <w:b/>
                <w:spacing w:val="-2"/>
                <w:w w:val="99"/>
                <w:sz w:val="20"/>
              </w:rPr>
              <w:t>s</w:t>
            </w:r>
            <w:r>
              <w:rPr>
                <w:b/>
                <w:spacing w:val="-1"/>
                <w:w w:val="99"/>
                <w:sz w:val="20"/>
              </w:rPr>
              <w:t>s</w:t>
            </w:r>
            <w:r>
              <w:rPr>
                <w:b/>
                <w:spacing w:val="1"/>
                <w:w w:val="99"/>
                <w:sz w:val="20"/>
              </w:rPr>
              <w:t>ã</w:t>
            </w:r>
            <w:r>
              <w:rPr>
                <w:b/>
                <w:w w:val="99"/>
                <w:sz w:val="20"/>
              </w:rPr>
              <w:t>o</w:t>
            </w:r>
          </w:p>
        </w:tc>
        <w:tc>
          <w:tcPr>
            <w:tcW w:w="566" w:type="dxa"/>
            <w:tcBorders>
              <w:left w:val="single" w:sz="8" w:space="0" w:color="000000"/>
              <w:right w:val="single" w:sz="8" w:space="0" w:color="000000"/>
            </w:tcBorders>
            <w:textDirection w:val="btLr"/>
          </w:tcPr>
          <w:p>
            <w:pPr>
              <w:pStyle w:val="TableParagraph"/>
              <w:spacing w:line="283" w:lineRule="auto" w:before="3"/>
              <w:ind w:left="-1" w:right="85"/>
              <w:rPr>
                <w:b/>
                <w:sz w:val="20"/>
              </w:rPr>
            </w:pPr>
            <w:r>
              <w:rPr>
                <w:b/>
                <w:spacing w:val="-1"/>
                <w:w w:val="99"/>
                <w:sz w:val="20"/>
              </w:rPr>
              <w:t>E</w:t>
            </w:r>
            <w:r>
              <w:rPr>
                <w:b/>
                <w:w w:val="99"/>
                <w:sz w:val="20"/>
              </w:rPr>
              <w:t>q</w:t>
            </w:r>
            <w:r>
              <w:rPr>
                <w:b/>
                <w:spacing w:val="-1"/>
                <w:w w:val="99"/>
                <w:sz w:val="20"/>
              </w:rPr>
              <w:t>u</w:t>
            </w:r>
            <w:r>
              <w:rPr>
                <w:b/>
                <w:spacing w:val="2"/>
                <w:w w:val="99"/>
                <w:sz w:val="20"/>
              </w:rPr>
              <w:t>i</w:t>
            </w:r>
            <w:r>
              <w:rPr>
                <w:b/>
                <w:w w:val="99"/>
                <w:sz w:val="20"/>
              </w:rPr>
              <w:t>pe </w:t>
            </w:r>
            <w:r>
              <w:rPr>
                <w:b/>
                <w:spacing w:val="-1"/>
                <w:w w:val="99"/>
                <w:sz w:val="20"/>
              </w:rPr>
              <w:t>T</w:t>
            </w:r>
            <w:r>
              <w:rPr>
                <w:b/>
                <w:w w:val="99"/>
                <w:sz w:val="20"/>
              </w:rPr>
              <w:t>écnica</w:t>
            </w:r>
          </w:p>
        </w:tc>
        <w:tc>
          <w:tcPr>
            <w:tcW w:w="569" w:type="dxa"/>
            <w:tcBorders>
              <w:left w:val="single" w:sz="8" w:space="0" w:color="000000"/>
              <w:right w:val="single" w:sz="8" w:space="0" w:color="000000"/>
            </w:tcBorders>
            <w:textDirection w:val="btLr"/>
          </w:tcPr>
          <w:p>
            <w:pPr>
              <w:pStyle w:val="TableParagraph"/>
              <w:spacing w:line="283" w:lineRule="auto" w:before="3"/>
              <w:ind w:left="-1"/>
              <w:rPr>
                <w:b/>
                <w:sz w:val="20"/>
              </w:rPr>
            </w:pPr>
            <w:r>
              <w:rPr>
                <w:b/>
                <w:w w:val="99"/>
                <w:sz w:val="20"/>
              </w:rPr>
              <w:t>H</w:t>
            </w:r>
            <w:r>
              <w:rPr>
                <w:b/>
                <w:w w:val="99"/>
                <w:sz w:val="20"/>
              </w:rPr>
              <w:t>i</w:t>
            </w:r>
            <w:r>
              <w:rPr>
                <w:b/>
                <w:spacing w:val="-1"/>
                <w:w w:val="99"/>
                <w:sz w:val="20"/>
              </w:rPr>
              <w:t>s</w:t>
            </w:r>
            <w:r>
              <w:rPr>
                <w:b/>
                <w:w w:val="99"/>
                <w:sz w:val="20"/>
              </w:rPr>
              <w:t>t</w:t>
            </w:r>
            <w:r>
              <w:rPr>
                <w:b/>
                <w:spacing w:val="1"/>
                <w:w w:val="99"/>
                <w:sz w:val="20"/>
              </w:rPr>
              <w:t>ó</w:t>
            </w:r>
            <w:r>
              <w:rPr>
                <w:b/>
                <w:w w:val="99"/>
                <w:sz w:val="20"/>
              </w:rPr>
              <w:t>rico</w:t>
            </w:r>
            <w:r>
              <w:rPr>
                <w:b/>
                <w:spacing w:val="1"/>
                <w:sz w:val="20"/>
              </w:rPr>
              <w:t> </w:t>
            </w:r>
            <w:r>
              <w:rPr>
                <w:b/>
                <w:w w:val="99"/>
                <w:sz w:val="20"/>
              </w:rPr>
              <w:t>do </w:t>
            </w:r>
            <w:r>
              <w:rPr>
                <w:b/>
                <w:spacing w:val="-1"/>
                <w:w w:val="99"/>
                <w:sz w:val="20"/>
              </w:rPr>
              <w:t>M</w:t>
            </w:r>
            <w:r>
              <w:rPr>
                <w:b/>
                <w:w w:val="99"/>
                <w:sz w:val="20"/>
              </w:rPr>
              <w:t>u</w:t>
            </w:r>
            <w:r>
              <w:rPr>
                <w:b/>
                <w:spacing w:val="1"/>
                <w:w w:val="99"/>
                <w:sz w:val="20"/>
              </w:rPr>
              <w:t>n</w:t>
            </w:r>
            <w:r>
              <w:rPr>
                <w:b/>
                <w:w w:val="99"/>
                <w:sz w:val="20"/>
              </w:rPr>
              <w:t>icípio</w:t>
            </w:r>
          </w:p>
        </w:tc>
        <w:tc>
          <w:tcPr>
            <w:tcW w:w="283" w:type="dxa"/>
            <w:tcBorders>
              <w:left w:val="single" w:sz="8" w:space="0" w:color="000000"/>
              <w:right w:val="single" w:sz="8" w:space="0" w:color="000000"/>
            </w:tcBorders>
            <w:textDirection w:val="btLr"/>
          </w:tcPr>
          <w:p>
            <w:pPr>
              <w:pStyle w:val="TableParagraph"/>
              <w:spacing w:line="226" w:lineRule="exact" w:before="0"/>
              <w:ind w:left="-1"/>
              <w:rPr>
                <w:b/>
                <w:sz w:val="20"/>
              </w:rPr>
            </w:pPr>
            <w:r>
              <w:rPr>
                <w:b/>
                <w:w w:val="99"/>
                <w:sz w:val="20"/>
              </w:rPr>
              <w:t>Di</w:t>
            </w:r>
            <w:r>
              <w:rPr>
                <w:b/>
                <w:spacing w:val="1"/>
                <w:w w:val="99"/>
                <w:sz w:val="20"/>
              </w:rPr>
              <w:t>a</w:t>
            </w:r>
            <w:r>
              <w:rPr>
                <w:b/>
                <w:spacing w:val="1"/>
                <w:w w:val="99"/>
                <w:sz w:val="20"/>
              </w:rPr>
              <w:t>g</w:t>
            </w:r>
            <w:r>
              <w:rPr>
                <w:b/>
                <w:w w:val="99"/>
                <w:sz w:val="20"/>
              </w:rPr>
              <w:t>nó</w:t>
            </w:r>
            <w:r>
              <w:rPr>
                <w:b/>
                <w:spacing w:val="-1"/>
                <w:w w:val="99"/>
                <w:sz w:val="20"/>
              </w:rPr>
              <w:t>s</w:t>
            </w:r>
            <w:r>
              <w:rPr>
                <w:b/>
                <w:w w:val="99"/>
                <w:sz w:val="20"/>
              </w:rPr>
              <w:t>tico</w:t>
            </w:r>
          </w:p>
        </w:tc>
        <w:tc>
          <w:tcPr>
            <w:tcW w:w="454" w:type="dxa"/>
            <w:tcBorders>
              <w:left w:val="single" w:sz="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1</w:t>
            </w:r>
          </w:p>
        </w:tc>
        <w:tc>
          <w:tcPr>
            <w:tcW w:w="454" w:type="dxa"/>
            <w:tcBorders>
              <w:left w:val="single" w:sz="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2</w:t>
            </w:r>
          </w:p>
        </w:tc>
        <w:tc>
          <w:tcPr>
            <w:tcW w:w="454" w:type="dxa"/>
            <w:tcBorders>
              <w:left w:val="single" w:sz="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3</w:t>
            </w:r>
          </w:p>
        </w:tc>
        <w:tc>
          <w:tcPr>
            <w:tcW w:w="456" w:type="dxa"/>
            <w:tcBorders>
              <w:left w:val="single" w:sz="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4</w:t>
            </w:r>
          </w:p>
        </w:tc>
        <w:tc>
          <w:tcPr>
            <w:tcW w:w="454" w:type="dxa"/>
            <w:tcBorders>
              <w:left w:val="single" w:sz="8" w:space="0" w:color="000000"/>
              <w:right w:val="single" w:sz="8" w:space="0" w:color="000000"/>
            </w:tcBorders>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5</w:t>
            </w:r>
          </w:p>
        </w:tc>
        <w:tc>
          <w:tcPr>
            <w:tcW w:w="454" w:type="dxa"/>
            <w:tcBorders>
              <w:left w:val="single" w:sz="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6</w:t>
            </w:r>
          </w:p>
        </w:tc>
        <w:tc>
          <w:tcPr>
            <w:tcW w:w="454" w:type="dxa"/>
            <w:tcBorders>
              <w:left w:val="single" w:sz="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7</w:t>
            </w:r>
          </w:p>
        </w:tc>
        <w:tc>
          <w:tcPr>
            <w:tcW w:w="454" w:type="dxa"/>
            <w:tcBorders>
              <w:left w:val="single" w:sz="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8</w:t>
            </w:r>
          </w:p>
        </w:tc>
        <w:tc>
          <w:tcPr>
            <w:tcW w:w="454" w:type="dxa"/>
            <w:tcBorders>
              <w:left w:val="single" w:sz="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9</w:t>
            </w:r>
          </w:p>
        </w:tc>
        <w:tc>
          <w:tcPr>
            <w:tcW w:w="456" w:type="dxa"/>
            <w:tcBorders>
              <w:left w:val="single" w:sz="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0</w:t>
            </w:r>
          </w:p>
        </w:tc>
        <w:tc>
          <w:tcPr>
            <w:tcW w:w="454" w:type="dxa"/>
            <w:tcBorders>
              <w:left w:val="single" w:sz="8" w:space="0" w:color="000000"/>
              <w:right w:val="single" w:sz="8" w:space="0" w:color="000000"/>
            </w:tcBorders>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1</w:t>
            </w:r>
          </w:p>
        </w:tc>
        <w:tc>
          <w:tcPr>
            <w:tcW w:w="454" w:type="dxa"/>
            <w:tcBorders>
              <w:left w:val="single" w:sz="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2</w:t>
            </w:r>
          </w:p>
        </w:tc>
        <w:tc>
          <w:tcPr>
            <w:tcW w:w="454" w:type="dxa"/>
            <w:tcBorders>
              <w:left w:val="single" w:sz="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3</w:t>
            </w:r>
          </w:p>
        </w:tc>
        <w:tc>
          <w:tcPr>
            <w:tcW w:w="454" w:type="dxa"/>
            <w:tcBorders>
              <w:left w:val="single" w:sz="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4</w:t>
            </w:r>
          </w:p>
        </w:tc>
        <w:tc>
          <w:tcPr>
            <w:tcW w:w="454" w:type="dxa"/>
            <w:tcBorders>
              <w:left w:val="single" w:sz="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5</w:t>
            </w:r>
          </w:p>
        </w:tc>
        <w:tc>
          <w:tcPr>
            <w:tcW w:w="457" w:type="dxa"/>
            <w:tcBorders>
              <w:left w:val="single" w:sz="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6</w:t>
            </w:r>
          </w:p>
        </w:tc>
        <w:tc>
          <w:tcPr>
            <w:tcW w:w="454" w:type="dxa"/>
            <w:tcBorders>
              <w:left w:val="single" w:sz="8" w:space="0" w:color="000000"/>
              <w:right w:val="single" w:sz="8" w:space="0" w:color="000000"/>
            </w:tcBorders>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7</w:t>
            </w:r>
          </w:p>
        </w:tc>
        <w:tc>
          <w:tcPr>
            <w:tcW w:w="454" w:type="dxa"/>
            <w:tcBorders>
              <w:left w:val="single" w:sz="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8</w:t>
            </w:r>
          </w:p>
        </w:tc>
        <w:tc>
          <w:tcPr>
            <w:tcW w:w="454" w:type="dxa"/>
            <w:tcBorders>
              <w:left w:val="single" w:sz="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9</w:t>
            </w:r>
          </w:p>
        </w:tc>
        <w:tc>
          <w:tcPr>
            <w:tcW w:w="454" w:type="dxa"/>
            <w:tcBorders>
              <w:left w:val="single" w:sz="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2</w:t>
            </w:r>
            <w:r>
              <w:rPr>
                <w:b/>
                <w:w w:val="99"/>
                <w:sz w:val="20"/>
              </w:rPr>
              <w:t>0</w:t>
            </w:r>
          </w:p>
        </w:tc>
        <w:tc>
          <w:tcPr>
            <w:tcW w:w="622" w:type="dxa"/>
            <w:tcBorders>
              <w:left w:val="single" w:sz="8" w:space="0" w:color="000000"/>
              <w:right w:val="single" w:sz="8" w:space="0" w:color="000000"/>
            </w:tcBorders>
            <w:textDirection w:val="btLr"/>
          </w:tcPr>
          <w:p>
            <w:pPr>
              <w:pStyle w:val="TableParagraph"/>
              <w:spacing w:line="283" w:lineRule="auto" w:before="29"/>
              <w:ind w:left="-1" w:right="85"/>
              <w:rPr>
                <w:b/>
                <w:sz w:val="20"/>
              </w:rPr>
            </w:pPr>
            <w:r>
              <w:rPr>
                <w:b/>
                <w:spacing w:val="-1"/>
                <w:w w:val="99"/>
                <w:sz w:val="20"/>
              </w:rPr>
              <w:t>T</w:t>
            </w:r>
            <w:r>
              <w:rPr>
                <w:b/>
                <w:spacing w:val="1"/>
                <w:w w:val="99"/>
                <w:sz w:val="20"/>
              </w:rPr>
              <w:t>o</w:t>
            </w:r>
            <w:r>
              <w:rPr>
                <w:b/>
                <w:w w:val="99"/>
                <w:sz w:val="20"/>
              </w:rPr>
              <w:t>t</w:t>
            </w:r>
            <w:r>
              <w:rPr>
                <w:b/>
                <w:spacing w:val="1"/>
                <w:w w:val="99"/>
                <w:sz w:val="20"/>
              </w:rPr>
              <w:t>a</w:t>
            </w:r>
            <w:r>
              <w:rPr>
                <w:b/>
                <w:w w:val="99"/>
                <w:sz w:val="20"/>
              </w:rPr>
              <w:t>l</w:t>
            </w:r>
            <w:r>
              <w:rPr>
                <w:b/>
                <w:spacing w:val="-1"/>
                <w:sz w:val="20"/>
              </w:rPr>
              <w:t> </w:t>
            </w:r>
            <w:r>
              <w:rPr>
                <w:b/>
                <w:w w:val="99"/>
                <w:sz w:val="20"/>
              </w:rPr>
              <w:t>de </w:t>
            </w:r>
            <w:r>
              <w:rPr>
                <w:b/>
                <w:spacing w:val="-1"/>
                <w:w w:val="99"/>
                <w:sz w:val="20"/>
              </w:rPr>
              <w:t>E</w:t>
            </w:r>
            <w:r>
              <w:rPr>
                <w:b/>
                <w:spacing w:val="-1"/>
                <w:w w:val="99"/>
                <w:sz w:val="20"/>
              </w:rPr>
              <w:t>s</w:t>
            </w:r>
            <w:r>
              <w:rPr>
                <w:b/>
                <w:w w:val="99"/>
                <w:sz w:val="20"/>
              </w:rPr>
              <w:t>tr</w:t>
            </w:r>
            <w:r>
              <w:rPr>
                <w:b/>
                <w:spacing w:val="1"/>
                <w:w w:val="99"/>
                <w:sz w:val="20"/>
              </w:rPr>
              <w:t>a</w:t>
            </w:r>
            <w:r>
              <w:rPr>
                <w:b/>
                <w:w w:val="99"/>
                <w:sz w:val="20"/>
              </w:rPr>
              <w:t>té</w:t>
            </w:r>
            <w:r>
              <w:rPr>
                <w:b/>
                <w:spacing w:val="1"/>
                <w:w w:val="99"/>
                <w:sz w:val="20"/>
              </w:rPr>
              <w:t>g</w:t>
            </w:r>
            <w:r>
              <w:rPr>
                <w:b/>
                <w:w w:val="99"/>
                <w:sz w:val="20"/>
              </w:rPr>
              <w:t>ia</w:t>
            </w:r>
            <w:r>
              <w:rPr>
                <w:b/>
                <w:w w:val="99"/>
                <w:sz w:val="20"/>
              </w:rPr>
              <w:t>s</w:t>
            </w:r>
          </w:p>
        </w:tc>
      </w:tr>
      <w:tr>
        <w:trPr>
          <w:trHeight w:val="562" w:hRule="exact"/>
        </w:trPr>
        <w:tc>
          <w:tcPr>
            <w:tcW w:w="1304" w:type="dxa"/>
            <w:tcBorders>
              <w:left w:val="nil"/>
              <w:bottom w:val="single" w:sz="8" w:space="0" w:color="000000"/>
              <w:right w:val="nil"/>
            </w:tcBorders>
            <w:shd w:val="clear" w:color="auto" w:fill="F9DECA"/>
          </w:tcPr>
          <w:p>
            <w:pPr>
              <w:pStyle w:val="TableParagraph"/>
              <w:spacing w:line="278" w:lineRule="auto" w:before="0"/>
              <w:ind w:left="107" w:right="304"/>
              <w:rPr>
                <w:sz w:val="20"/>
              </w:rPr>
            </w:pPr>
            <w:r>
              <w:rPr>
                <w:sz w:val="20"/>
              </w:rPr>
              <w:t>Aliança do Tocantins</w:t>
            </w:r>
          </w:p>
        </w:tc>
        <w:tc>
          <w:tcPr>
            <w:tcW w:w="1078" w:type="dxa"/>
            <w:tcBorders>
              <w:left w:val="nil"/>
              <w:bottom w:val="single" w:sz="8" w:space="0" w:color="000000"/>
              <w:right w:val="nil"/>
            </w:tcBorders>
            <w:shd w:val="clear" w:color="auto" w:fill="F9DECA"/>
          </w:tcPr>
          <w:p>
            <w:pPr>
              <w:pStyle w:val="TableParagraph"/>
              <w:spacing w:line="278" w:lineRule="auto" w:before="0"/>
              <w:ind w:left="107" w:right="239"/>
              <w:rPr>
                <w:sz w:val="20"/>
              </w:rPr>
            </w:pPr>
            <w:r>
              <w:rPr>
                <w:sz w:val="20"/>
              </w:rPr>
              <w:t>588 de 13/05/15</w:t>
            </w:r>
          </w:p>
        </w:tc>
        <w:tc>
          <w:tcPr>
            <w:tcW w:w="566" w:type="dxa"/>
            <w:tcBorders>
              <w:left w:val="nil"/>
              <w:bottom w:val="single" w:sz="8" w:space="0" w:color="000000"/>
              <w:right w:val="nil"/>
            </w:tcBorders>
            <w:shd w:val="clear" w:color="auto" w:fill="F9DECA"/>
          </w:tcPr>
          <w:p>
            <w:pPr>
              <w:pStyle w:val="TableParagraph"/>
              <w:spacing w:before="130"/>
              <w:ind w:left="107"/>
              <w:rPr>
                <w:sz w:val="20"/>
              </w:rPr>
            </w:pPr>
            <w:r>
              <w:rPr>
                <w:sz w:val="20"/>
              </w:rPr>
              <w:t>14</w:t>
            </w:r>
          </w:p>
        </w:tc>
        <w:tc>
          <w:tcPr>
            <w:tcW w:w="566" w:type="dxa"/>
            <w:tcBorders>
              <w:left w:val="nil"/>
              <w:bottom w:val="single" w:sz="8" w:space="0" w:color="000000"/>
              <w:right w:val="nil"/>
            </w:tcBorders>
            <w:shd w:val="clear" w:color="auto" w:fill="F9DECA"/>
          </w:tcPr>
          <w:p>
            <w:pPr>
              <w:pStyle w:val="TableParagraph"/>
              <w:spacing w:before="130"/>
              <w:ind w:left="108"/>
              <w:rPr>
                <w:sz w:val="20"/>
              </w:rPr>
            </w:pPr>
            <w:r>
              <w:rPr>
                <w:sz w:val="20"/>
              </w:rPr>
              <w:t>20</w:t>
            </w:r>
          </w:p>
        </w:tc>
        <w:tc>
          <w:tcPr>
            <w:tcW w:w="338" w:type="dxa"/>
            <w:tcBorders>
              <w:left w:val="nil"/>
              <w:bottom w:val="single" w:sz="8" w:space="0" w:color="000000"/>
              <w:right w:val="nil"/>
            </w:tcBorders>
          </w:tcPr>
          <w:p>
            <w:pPr>
              <w:pStyle w:val="TableParagraph"/>
              <w:spacing w:before="130"/>
              <w:ind w:left="21"/>
              <w:jc w:val="center"/>
              <w:rPr>
                <w:sz w:val="20"/>
              </w:rPr>
            </w:pPr>
            <w:r>
              <w:rPr>
                <w:w w:val="99"/>
                <w:sz w:val="20"/>
              </w:rPr>
              <w:t>X</w:t>
            </w:r>
          </w:p>
        </w:tc>
        <w:tc>
          <w:tcPr>
            <w:tcW w:w="566" w:type="dxa"/>
            <w:tcBorders>
              <w:left w:val="nil"/>
              <w:bottom w:val="single" w:sz="8" w:space="0" w:color="000000"/>
              <w:right w:val="nil"/>
            </w:tcBorders>
            <w:shd w:val="clear" w:color="auto" w:fill="F9DECA"/>
          </w:tcPr>
          <w:p>
            <w:pPr>
              <w:pStyle w:val="TableParagraph"/>
              <w:spacing w:before="130"/>
              <w:ind w:left="107"/>
              <w:rPr>
                <w:sz w:val="20"/>
              </w:rPr>
            </w:pPr>
            <w:r>
              <w:rPr>
                <w:w w:val="99"/>
                <w:sz w:val="20"/>
              </w:rPr>
              <w:t>X</w:t>
            </w:r>
          </w:p>
        </w:tc>
        <w:tc>
          <w:tcPr>
            <w:tcW w:w="569" w:type="dxa"/>
            <w:tcBorders>
              <w:left w:val="nil"/>
              <w:bottom w:val="single" w:sz="8" w:space="0" w:color="000000"/>
              <w:right w:val="nil"/>
            </w:tcBorders>
            <w:shd w:val="clear" w:color="auto" w:fill="F9DECA"/>
          </w:tcPr>
          <w:p>
            <w:pPr>
              <w:pStyle w:val="TableParagraph"/>
              <w:spacing w:before="130"/>
              <w:ind w:left="108"/>
              <w:rPr>
                <w:sz w:val="20"/>
              </w:rPr>
            </w:pPr>
            <w:r>
              <w:rPr>
                <w:w w:val="99"/>
                <w:sz w:val="20"/>
              </w:rPr>
              <w:t>X</w:t>
            </w:r>
          </w:p>
        </w:tc>
        <w:tc>
          <w:tcPr>
            <w:tcW w:w="283" w:type="dxa"/>
            <w:tcBorders>
              <w:left w:val="nil"/>
              <w:bottom w:val="single" w:sz="8" w:space="0" w:color="000000"/>
              <w:right w:val="nil"/>
            </w:tcBorders>
          </w:tcPr>
          <w:p>
            <w:pPr>
              <w:pStyle w:val="TableParagraph"/>
              <w:spacing w:before="130"/>
              <w:ind w:left="105"/>
              <w:rPr>
                <w:sz w:val="20"/>
              </w:rPr>
            </w:pPr>
            <w:r>
              <w:rPr>
                <w:w w:val="99"/>
                <w:sz w:val="20"/>
              </w:rPr>
              <w:t>X</w:t>
            </w:r>
          </w:p>
        </w:tc>
        <w:tc>
          <w:tcPr>
            <w:tcW w:w="454" w:type="dxa"/>
            <w:tcBorders>
              <w:left w:val="nil"/>
              <w:bottom w:val="single" w:sz="8" w:space="0" w:color="000000"/>
              <w:right w:val="nil"/>
            </w:tcBorders>
            <w:shd w:val="clear" w:color="auto" w:fill="F9DECA"/>
          </w:tcPr>
          <w:p>
            <w:pPr>
              <w:pStyle w:val="TableParagraph"/>
              <w:spacing w:before="130"/>
              <w:ind w:left="71" w:right="106"/>
              <w:jc w:val="center"/>
              <w:rPr>
                <w:sz w:val="20"/>
              </w:rPr>
            </w:pPr>
            <w:r>
              <w:rPr>
                <w:sz w:val="20"/>
              </w:rPr>
              <w:t>20</w:t>
            </w:r>
          </w:p>
        </w:tc>
        <w:tc>
          <w:tcPr>
            <w:tcW w:w="454" w:type="dxa"/>
            <w:tcBorders>
              <w:left w:val="nil"/>
              <w:bottom w:val="single" w:sz="8" w:space="0" w:color="000000"/>
              <w:right w:val="nil"/>
            </w:tcBorders>
            <w:shd w:val="clear" w:color="auto" w:fill="F9DECA"/>
          </w:tcPr>
          <w:p>
            <w:pPr>
              <w:pStyle w:val="TableParagraph"/>
              <w:spacing w:before="130"/>
              <w:ind w:left="108"/>
              <w:rPr>
                <w:sz w:val="20"/>
              </w:rPr>
            </w:pPr>
            <w:r>
              <w:rPr>
                <w:w w:val="99"/>
                <w:sz w:val="20"/>
              </w:rPr>
              <w:t>8</w:t>
            </w:r>
          </w:p>
        </w:tc>
        <w:tc>
          <w:tcPr>
            <w:tcW w:w="454" w:type="dxa"/>
            <w:tcBorders>
              <w:left w:val="nil"/>
              <w:bottom w:val="single" w:sz="8" w:space="0" w:color="000000"/>
              <w:right w:val="nil"/>
            </w:tcBorders>
            <w:shd w:val="clear" w:color="auto" w:fill="F9DECA"/>
          </w:tcPr>
          <w:p>
            <w:pPr>
              <w:pStyle w:val="TableParagraph"/>
              <w:spacing w:before="130"/>
              <w:ind w:left="107"/>
              <w:rPr>
                <w:sz w:val="20"/>
              </w:rPr>
            </w:pPr>
            <w:r>
              <w:rPr>
                <w:sz w:val="20"/>
              </w:rPr>
              <w:t>14</w:t>
            </w:r>
          </w:p>
        </w:tc>
        <w:tc>
          <w:tcPr>
            <w:tcW w:w="456" w:type="dxa"/>
            <w:tcBorders>
              <w:left w:val="nil"/>
              <w:bottom w:val="single" w:sz="8" w:space="0" w:color="000000"/>
              <w:right w:val="nil"/>
            </w:tcBorders>
            <w:shd w:val="clear" w:color="auto" w:fill="F9DECA"/>
          </w:tcPr>
          <w:p>
            <w:pPr>
              <w:pStyle w:val="TableParagraph"/>
              <w:spacing w:before="130"/>
              <w:ind w:right="138"/>
              <w:jc w:val="center"/>
              <w:rPr>
                <w:sz w:val="20"/>
              </w:rPr>
            </w:pPr>
            <w:r>
              <w:rPr>
                <w:w w:val="99"/>
                <w:sz w:val="20"/>
              </w:rPr>
              <w:t>4</w:t>
            </w:r>
          </w:p>
        </w:tc>
        <w:tc>
          <w:tcPr>
            <w:tcW w:w="454" w:type="dxa"/>
            <w:tcBorders>
              <w:left w:val="nil"/>
              <w:bottom w:val="single" w:sz="8" w:space="0" w:color="000000"/>
              <w:right w:val="nil"/>
            </w:tcBorders>
            <w:shd w:val="clear" w:color="auto" w:fill="F9DECA"/>
          </w:tcPr>
          <w:p>
            <w:pPr>
              <w:pStyle w:val="TableParagraph"/>
              <w:spacing w:before="130"/>
              <w:ind w:left="105"/>
              <w:rPr>
                <w:sz w:val="20"/>
              </w:rPr>
            </w:pPr>
            <w:r>
              <w:rPr>
                <w:w w:val="99"/>
                <w:sz w:val="20"/>
              </w:rPr>
              <w:t>5</w:t>
            </w:r>
          </w:p>
        </w:tc>
        <w:tc>
          <w:tcPr>
            <w:tcW w:w="454" w:type="dxa"/>
            <w:tcBorders>
              <w:left w:val="nil"/>
              <w:bottom w:val="single" w:sz="8" w:space="0" w:color="000000"/>
              <w:right w:val="nil"/>
            </w:tcBorders>
            <w:shd w:val="clear" w:color="auto" w:fill="F9DECA"/>
          </w:tcPr>
          <w:p>
            <w:pPr>
              <w:pStyle w:val="TableParagraph"/>
              <w:spacing w:before="130"/>
              <w:ind w:left="72" w:right="106"/>
              <w:jc w:val="center"/>
              <w:rPr>
                <w:sz w:val="20"/>
              </w:rPr>
            </w:pPr>
            <w:r>
              <w:rPr>
                <w:sz w:val="20"/>
              </w:rPr>
              <w:t>11</w:t>
            </w:r>
          </w:p>
        </w:tc>
        <w:tc>
          <w:tcPr>
            <w:tcW w:w="454" w:type="dxa"/>
            <w:tcBorders>
              <w:left w:val="nil"/>
              <w:bottom w:val="single" w:sz="8" w:space="0" w:color="000000"/>
              <w:right w:val="nil"/>
            </w:tcBorders>
            <w:shd w:val="clear" w:color="auto" w:fill="F9DECA"/>
          </w:tcPr>
          <w:p>
            <w:pPr>
              <w:pStyle w:val="TableParagraph"/>
              <w:spacing w:before="130"/>
              <w:ind w:right="136"/>
              <w:jc w:val="center"/>
              <w:rPr>
                <w:sz w:val="20"/>
              </w:rPr>
            </w:pPr>
            <w:r>
              <w:rPr>
                <w:w w:val="99"/>
                <w:sz w:val="20"/>
              </w:rPr>
              <w:t>4</w:t>
            </w:r>
          </w:p>
        </w:tc>
        <w:tc>
          <w:tcPr>
            <w:tcW w:w="454" w:type="dxa"/>
            <w:tcBorders>
              <w:left w:val="nil"/>
              <w:bottom w:val="single" w:sz="8" w:space="0" w:color="000000"/>
              <w:right w:val="nil"/>
            </w:tcBorders>
            <w:shd w:val="clear" w:color="auto" w:fill="F9DECA"/>
          </w:tcPr>
          <w:p>
            <w:pPr>
              <w:pStyle w:val="TableParagraph"/>
              <w:spacing w:before="130"/>
              <w:ind w:left="108"/>
              <w:rPr>
                <w:sz w:val="20"/>
              </w:rPr>
            </w:pPr>
            <w:r>
              <w:rPr>
                <w:w w:val="99"/>
                <w:sz w:val="20"/>
              </w:rPr>
              <w:t>4</w:t>
            </w:r>
          </w:p>
        </w:tc>
        <w:tc>
          <w:tcPr>
            <w:tcW w:w="454" w:type="dxa"/>
            <w:tcBorders>
              <w:left w:val="nil"/>
              <w:bottom w:val="single" w:sz="8" w:space="0" w:color="000000"/>
              <w:right w:val="nil"/>
            </w:tcBorders>
            <w:shd w:val="clear" w:color="auto" w:fill="F9DECA"/>
          </w:tcPr>
          <w:p>
            <w:pPr>
              <w:pStyle w:val="TableParagraph"/>
              <w:spacing w:before="130"/>
              <w:ind w:right="136"/>
              <w:jc w:val="center"/>
              <w:rPr>
                <w:sz w:val="20"/>
              </w:rPr>
            </w:pPr>
            <w:r>
              <w:rPr>
                <w:w w:val="99"/>
                <w:sz w:val="20"/>
              </w:rPr>
              <w:t>7</w:t>
            </w:r>
          </w:p>
        </w:tc>
        <w:tc>
          <w:tcPr>
            <w:tcW w:w="456" w:type="dxa"/>
            <w:tcBorders>
              <w:left w:val="nil"/>
              <w:bottom w:val="single" w:sz="8" w:space="0" w:color="000000"/>
              <w:right w:val="nil"/>
            </w:tcBorders>
            <w:shd w:val="clear" w:color="auto" w:fill="F9DECA"/>
          </w:tcPr>
          <w:p>
            <w:pPr>
              <w:pStyle w:val="TableParagraph"/>
              <w:spacing w:before="130"/>
              <w:ind w:left="90" w:right="126"/>
              <w:jc w:val="center"/>
              <w:rPr>
                <w:sz w:val="20"/>
              </w:rPr>
            </w:pPr>
            <w:r>
              <w:rPr>
                <w:sz w:val="20"/>
              </w:rPr>
              <w:t>10</w:t>
            </w:r>
          </w:p>
        </w:tc>
        <w:tc>
          <w:tcPr>
            <w:tcW w:w="454" w:type="dxa"/>
            <w:tcBorders>
              <w:left w:val="nil"/>
              <w:bottom w:val="single" w:sz="8" w:space="0" w:color="000000"/>
              <w:right w:val="nil"/>
            </w:tcBorders>
            <w:shd w:val="clear" w:color="auto" w:fill="F9DECA"/>
          </w:tcPr>
          <w:p>
            <w:pPr>
              <w:pStyle w:val="TableParagraph"/>
              <w:spacing w:before="130"/>
              <w:ind w:left="105"/>
              <w:rPr>
                <w:sz w:val="20"/>
              </w:rPr>
            </w:pPr>
            <w:r>
              <w:rPr>
                <w:sz w:val="20"/>
              </w:rPr>
              <w:t>13</w:t>
            </w:r>
          </w:p>
        </w:tc>
        <w:tc>
          <w:tcPr>
            <w:tcW w:w="454" w:type="dxa"/>
            <w:tcBorders>
              <w:left w:val="nil"/>
              <w:bottom w:val="single" w:sz="8" w:space="0" w:color="000000"/>
              <w:right w:val="nil"/>
            </w:tcBorders>
            <w:shd w:val="clear" w:color="auto" w:fill="F9DECA"/>
          </w:tcPr>
          <w:p>
            <w:pPr>
              <w:pStyle w:val="TableParagraph"/>
              <w:spacing w:before="130"/>
              <w:ind w:left="71" w:right="106"/>
              <w:jc w:val="center"/>
              <w:rPr>
                <w:sz w:val="20"/>
              </w:rPr>
            </w:pPr>
            <w:r>
              <w:rPr>
                <w:sz w:val="20"/>
              </w:rPr>
              <w:t>17</w:t>
            </w:r>
          </w:p>
        </w:tc>
        <w:tc>
          <w:tcPr>
            <w:tcW w:w="454" w:type="dxa"/>
            <w:tcBorders>
              <w:left w:val="nil"/>
              <w:bottom w:val="single" w:sz="8" w:space="0" w:color="000000"/>
              <w:right w:val="nil"/>
            </w:tcBorders>
            <w:shd w:val="clear" w:color="auto" w:fill="F9DECA"/>
          </w:tcPr>
          <w:p>
            <w:pPr>
              <w:pStyle w:val="TableParagraph"/>
              <w:spacing w:before="130"/>
              <w:ind w:left="108"/>
              <w:rPr>
                <w:sz w:val="20"/>
              </w:rPr>
            </w:pPr>
            <w:r>
              <w:rPr>
                <w:w w:val="99"/>
                <w:sz w:val="20"/>
              </w:rPr>
              <w:t>1</w:t>
            </w:r>
          </w:p>
        </w:tc>
        <w:tc>
          <w:tcPr>
            <w:tcW w:w="454" w:type="dxa"/>
            <w:tcBorders>
              <w:left w:val="nil"/>
              <w:bottom w:val="single" w:sz="8" w:space="0" w:color="000000"/>
              <w:right w:val="nil"/>
            </w:tcBorders>
            <w:shd w:val="clear" w:color="auto" w:fill="F9DECA"/>
          </w:tcPr>
          <w:p>
            <w:pPr>
              <w:pStyle w:val="TableParagraph"/>
              <w:spacing w:before="130"/>
              <w:ind w:left="108"/>
              <w:rPr>
                <w:sz w:val="20"/>
              </w:rPr>
            </w:pPr>
            <w:r>
              <w:rPr>
                <w:w w:val="99"/>
                <w:sz w:val="20"/>
              </w:rPr>
              <w:t>1</w:t>
            </w:r>
          </w:p>
        </w:tc>
        <w:tc>
          <w:tcPr>
            <w:tcW w:w="454" w:type="dxa"/>
            <w:tcBorders>
              <w:left w:val="nil"/>
              <w:bottom w:val="single" w:sz="8" w:space="0" w:color="000000"/>
              <w:right w:val="nil"/>
            </w:tcBorders>
            <w:shd w:val="clear" w:color="auto" w:fill="F9DECA"/>
          </w:tcPr>
          <w:p>
            <w:pPr>
              <w:pStyle w:val="TableParagraph"/>
              <w:spacing w:before="130"/>
              <w:ind w:right="136"/>
              <w:jc w:val="center"/>
              <w:rPr>
                <w:sz w:val="20"/>
              </w:rPr>
            </w:pPr>
            <w:r>
              <w:rPr>
                <w:w w:val="99"/>
                <w:sz w:val="20"/>
              </w:rPr>
              <w:t>3</w:t>
            </w:r>
          </w:p>
        </w:tc>
        <w:tc>
          <w:tcPr>
            <w:tcW w:w="457" w:type="dxa"/>
            <w:tcBorders>
              <w:left w:val="nil"/>
              <w:bottom w:val="single" w:sz="8" w:space="0" w:color="000000"/>
              <w:right w:val="nil"/>
            </w:tcBorders>
            <w:shd w:val="clear" w:color="auto" w:fill="F9DECA"/>
          </w:tcPr>
          <w:p>
            <w:pPr>
              <w:pStyle w:val="TableParagraph"/>
              <w:spacing w:before="130"/>
              <w:ind w:left="107"/>
              <w:rPr>
                <w:sz w:val="20"/>
              </w:rPr>
            </w:pPr>
            <w:r>
              <w:rPr>
                <w:w w:val="99"/>
                <w:sz w:val="20"/>
              </w:rPr>
              <w:t>6</w:t>
            </w:r>
          </w:p>
        </w:tc>
        <w:tc>
          <w:tcPr>
            <w:tcW w:w="454" w:type="dxa"/>
            <w:tcBorders>
              <w:left w:val="nil"/>
              <w:bottom w:val="single" w:sz="8" w:space="0" w:color="000000"/>
              <w:right w:val="nil"/>
            </w:tcBorders>
            <w:shd w:val="clear" w:color="auto" w:fill="F9DECA"/>
          </w:tcPr>
          <w:p>
            <w:pPr>
              <w:pStyle w:val="TableParagraph"/>
              <w:spacing w:before="130"/>
              <w:ind w:left="105"/>
              <w:rPr>
                <w:sz w:val="20"/>
              </w:rPr>
            </w:pPr>
            <w:r>
              <w:rPr>
                <w:w w:val="99"/>
                <w:sz w:val="20"/>
              </w:rPr>
              <w:t>1</w:t>
            </w:r>
          </w:p>
        </w:tc>
        <w:tc>
          <w:tcPr>
            <w:tcW w:w="454" w:type="dxa"/>
            <w:tcBorders>
              <w:left w:val="nil"/>
              <w:bottom w:val="single" w:sz="8" w:space="0" w:color="000000"/>
              <w:right w:val="nil"/>
            </w:tcBorders>
            <w:shd w:val="clear" w:color="auto" w:fill="F9DECA"/>
          </w:tcPr>
          <w:p>
            <w:pPr>
              <w:pStyle w:val="TableParagraph"/>
              <w:spacing w:before="130"/>
              <w:ind w:left="108"/>
              <w:rPr>
                <w:sz w:val="20"/>
              </w:rPr>
            </w:pPr>
            <w:r>
              <w:rPr>
                <w:w w:val="99"/>
                <w:sz w:val="20"/>
              </w:rPr>
              <w:t>8</w:t>
            </w:r>
          </w:p>
        </w:tc>
        <w:tc>
          <w:tcPr>
            <w:tcW w:w="454" w:type="dxa"/>
            <w:tcBorders>
              <w:left w:val="nil"/>
              <w:bottom w:val="single" w:sz="8" w:space="0" w:color="000000"/>
              <w:right w:val="nil"/>
            </w:tcBorders>
            <w:shd w:val="clear" w:color="auto" w:fill="F9DECA"/>
          </w:tcPr>
          <w:p>
            <w:pPr>
              <w:pStyle w:val="TableParagraph"/>
              <w:spacing w:before="130"/>
              <w:ind w:left="108"/>
              <w:rPr>
                <w:sz w:val="20"/>
              </w:rPr>
            </w:pPr>
            <w:r>
              <w:rPr>
                <w:sz w:val="20"/>
              </w:rPr>
              <w:t>10</w:t>
            </w:r>
          </w:p>
        </w:tc>
        <w:tc>
          <w:tcPr>
            <w:tcW w:w="454" w:type="dxa"/>
            <w:tcBorders>
              <w:left w:val="nil"/>
              <w:bottom w:val="single" w:sz="8" w:space="0" w:color="000000"/>
              <w:right w:val="nil"/>
            </w:tcBorders>
            <w:shd w:val="clear" w:color="auto" w:fill="F9DECA"/>
          </w:tcPr>
          <w:p>
            <w:pPr>
              <w:pStyle w:val="TableParagraph"/>
              <w:spacing w:before="130"/>
              <w:ind w:left="107"/>
              <w:rPr>
                <w:sz w:val="20"/>
              </w:rPr>
            </w:pPr>
            <w:r>
              <w:rPr>
                <w:sz w:val="20"/>
              </w:rPr>
              <w:t>22</w:t>
            </w:r>
          </w:p>
        </w:tc>
        <w:tc>
          <w:tcPr>
            <w:tcW w:w="622" w:type="dxa"/>
            <w:tcBorders>
              <w:left w:val="nil"/>
              <w:bottom w:val="single" w:sz="8" w:space="0" w:color="000000"/>
              <w:right w:val="nil"/>
            </w:tcBorders>
            <w:shd w:val="clear" w:color="auto" w:fill="F9DECA"/>
          </w:tcPr>
          <w:p>
            <w:pPr>
              <w:pStyle w:val="TableParagraph"/>
              <w:spacing w:before="130"/>
              <w:ind w:left="107"/>
              <w:rPr>
                <w:sz w:val="20"/>
              </w:rPr>
            </w:pPr>
            <w:r>
              <w:rPr>
                <w:sz w:val="20"/>
              </w:rPr>
              <w:t>169</w:t>
            </w:r>
          </w:p>
        </w:tc>
      </w:tr>
      <w:tr>
        <w:trPr>
          <w:trHeight w:val="550" w:hRule="exact"/>
        </w:trPr>
        <w:tc>
          <w:tcPr>
            <w:tcW w:w="1304" w:type="dxa"/>
            <w:tcBorders>
              <w:top w:val="single" w:sz="8" w:space="0" w:color="000000"/>
              <w:left w:val="nil"/>
              <w:bottom w:val="single" w:sz="8" w:space="0" w:color="000000"/>
              <w:right w:val="nil"/>
            </w:tcBorders>
          </w:tcPr>
          <w:p>
            <w:pPr>
              <w:pStyle w:val="TableParagraph"/>
              <w:ind w:left="108"/>
              <w:rPr>
                <w:sz w:val="20"/>
              </w:rPr>
            </w:pPr>
            <w:r>
              <w:rPr>
                <w:sz w:val="20"/>
              </w:rPr>
              <w:t>Alvorada</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1.117 de 22/06/15</w:t>
            </w:r>
          </w:p>
        </w:tc>
        <w:tc>
          <w:tcPr>
            <w:tcW w:w="566" w:type="dxa"/>
            <w:tcBorders>
              <w:top w:val="single" w:sz="8" w:space="0" w:color="000000"/>
              <w:left w:val="nil"/>
              <w:bottom w:val="single" w:sz="8" w:space="0" w:color="000000"/>
              <w:right w:val="nil"/>
            </w:tcBorders>
          </w:tcPr>
          <w:p>
            <w:pPr>
              <w:pStyle w:val="TableParagraph"/>
              <w:ind w:left="107"/>
              <w:rPr>
                <w:sz w:val="20"/>
              </w:rPr>
            </w:pPr>
            <w:r>
              <w:rPr>
                <w:sz w:val="20"/>
              </w:rPr>
              <w:t>12</w:t>
            </w:r>
          </w:p>
        </w:tc>
        <w:tc>
          <w:tcPr>
            <w:tcW w:w="566" w:type="dxa"/>
            <w:tcBorders>
              <w:top w:val="single" w:sz="8" w:space="0" w:color="000000"/>
              <w:left w:val="nil"/>
              <w:bottom w:val="single" w:sz="8" w:space="0" w:color="000000"/>
              <w:right w:val="nil"/>
            </w:tcBorders>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right="54"/>
              <w:jc w:val="center"/>
              <w:rPr>
                <w:sz w:val="20"/>
              </w:rPr>
            </w:pPr>
            <w:r>
              <w:rPr>
                <w:w w:val="99"/>
                <w:sz w:val="20"/>
              </w:rPr>
              <w:t>-</w:t>
            </w:r>
          </w:p>
        </w:tc>
        <w:tc>
          <w:tcPr>
            <w:tcW w:w="566" w:type="dxa"/>
            <w:tcBorders>
              <w:top w:val="single" w:sz="8" w:space="0" w:color="000000"/>
              <w:left w:val="nil"/>
              <w:bottom w:val="single" w:sz="8" w:space="0" w:color="000000"/>
              <w:right w:val="nil"/>
            </w:tcBorders>
          </w:tcPr>
          <w:p>
            <w:pPr>
              <w:pStyle w:val="TableParagraph"/>
              <w:ind w:left="107"/>
              <w:rPr>
                <w:sz w:val="20"/>
              </w:rPr>
            </w:pPr>
            <w:r>
              <w:rPr>
                <w:w w:val="99"/>
                <w:sz w:val="20"/>
              </w:rPr>
              <w:t>-</w:t>
            </w:r>
          </w:p>
        </w:tc>
        <w:tc>
          <w:tcPr>
            <w:tcW w:w="569" w:type="dxa"/>
            <w:tcBorders>
              <w:top w:val="single" w:sz="8" w:space="0" w:color="000000"/>
              <w:left w:val="nil"/>
              <w:bottom w:val="single" w:sz="8" w:space="0" w:color="000000"/>
              <w:right w:val="nil"/>
            </w:tcBorders>
          </w:tcPr>
          <w:p>
            <w:pPr>
              <w:pStyle w:val="TableParagraph"/>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ind w:left="105"/>
              <w:rPr>
                <w:sz w:val="20"/>
              </w:rPr>
            </w:pPr>
            <w:r>
              <w:rPr>
                <w:w w:val="99"/>
                <w:sz w:val="20"/>
              </w:rPr>
              <w:t>-</w:t>
            </w:r>
          </w:p>
        </w:tc>
        <w:tc>
          <w:tcPr>
            <w:tcW w:w="454" w:type="dxa"/>
            <w:tcBorders>
              <w:top w:val="single" w:sz="8" w:space="0" w:color="000000"/>
              <w:left w:val="nil"/>
              <w:bottom w:val="single" w:sz="8" w:space="0" w:color="000000"/>
              <w:right w:val="nil"/>
            </w:tcBorders>
          </w:tcPr>
          <w:p>
            <w:pPr>
              <w:pStyle w:val="TableParagraph"/>
              <w:ind w:left="71" w:right="106"/>
              <w:jc w:val="center"/>
              <w:rPr>
                <w:sz w:val="20"/>
              </w:rPr>
            </w:pPr>
            <w:r>
              <w:rPr>
                <w:sz w:val="20"/>
              </w:rPr>
              <w:t>17</w:t>
            </w:r>
          </w:p>
        </w:tc>
        <w:tc>
          <w:tcPr>
            <w:tcW w:w="454" w:type="dxa"/>
            <w:tcBorders>
              <w:top w:val="single" w:sz="8" w:space="0" w:color="000000"/>
              <w:left w:val="nil"/>
              <w:bottom w:val="single" w:sz="8" w:space="0" w:color="000000"/>
              <w:right w:val="nil"/>
            </w:tcBorders>
          </w:tcPr>
          <w:p>
            <w:pPr>
              <w:pStyle w:val="TableParagraph"/>
              <w:ind w:left="108"/>
              <w:rPr>
                <w:sz w:val="20"/>
              </w:rPr>
            </w:pPr>
            <w:r>
              <w:rPr>
                <w:sz w:val="20"/>
              </w:rPr>
              <w:t>13</w:t>
            </w:r>
          </w:p>
        </w:tc>
        <w:tc>
          <w:tcPr>
            <w:tcW w:w="454" w:type="dxa"/>
            <w:tcBorders>
              <w:top w:val="single" w:sz="8" w:space="0" w:color="000000"/>
              <w:left w:val="nil"/>
              <w:bottom w:val="single" w:sz="8" w:space="0" w:color="000000"/>
              <w:right w:val="nil"/>
            </w:tcBorders>
          </w:tcPr>
          <w:p>
            <w:pPr>
              <w:pStyle w:val="TableParagraph"/>
              <w:ind w:left="107"/>
              <w:rPr>
                <w:sz w:val="20"/>
              </w:rPr>
            </w:pPr>
            <w:r>
              <w:rPr>
                <w:sz w:val="20"/>
              </w:rPr>
              <w:t>14</w:t>
            </w:r>
          </w:p>
        </w:tc>
        <w:tc>
          <w:tcPr>
            <w:tcW w:w="456" w:type="dxa"/>
            <w:tcBorders>
              <w:top w:val="single" w:sz="8" w:space="0" w:color="000000"/>
              <w:left w:val="nil"/>
              <w:bottom w:val="single" w:sz="8" w:space="0" w:color="000000"/>
              <w:right w:val="nil"/>
            </w:tcBorders>
          </w:tcPr>
          <w:p>
            <w:pPr>
              <w:pStyle w:val="TableParagraph"/>
              <w:ind w:left="90" w:right="126"/>
              <w:jc w:val="center"/>
              <w:rPr>
                <w:sz w:val="20"/>
              </w:rPr>
            </w:pPr>
            <w:r>
              <w:rPr>
                <w:sz w:val="20"/>
              </w:rPr>
              <w:t>19</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ind w:left="72" w:right="106"/>
              <w:jc w:val="center"/>
              <w:rPr>
                <w:sz w:val="20"/>
              </w:rPr>
            </w:pPr>
            <w:r>
              <w:rPr>
                <w:sz w:val="20"/>
              </w:rPr>
              <w:t>35</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left="72" w:right="106"/>
              <w:jc w:val="center"/>
              <w:rPr>
                <w:sz w:val="20"/>
              </w:rPr>
            </w:pPr>
            <w:r>
              <w:rPr>
                <w:sz w:val="20"/>
              </w:rPr>
              <w:t>11</w:t>
            </w:r>
          </w:p>
        </w:tc>
        <w:tc>
          <w:tcPr>
            <w:tcW w:w="456" w:type="dxa"/>
            <w:tcBorders>
              <w:top w:val="single" w:sz="8" w:space="0" w:color="000000"/>
              <w:left w:val="nil"/>
              <w:bottom w:val="single" w:sz="8" w:space="0" w:color="000000"/>
              <w:right w:val="nil"/>
            </w:tcBorders>
          </w:tcPr>
          <w:p>
            <w:pPr>
              <w:pStyle w:val="TableParagraph"/>
              <w:ind w:left="90" w:right="126"/>
              <w:jc w:val="center"/>
              <w:rPr>
                <w:sz w:val="20"/>
              </w:rPr>
            </w:pPr>
            <w:r>
              <w:rPr>
                <w:sz w:val="20"/>
              </w:rPr>
              <w:t>10</w:t>
            </w:r>
          </w:p>
        </w:tc>
        <w:tc>
          <w:tcPr>
            <w:tcW w:w="454" w:type="dxa"/>
            <w:tcBorders>
              <w:top w:val="single" w:sz="8" w:space="0" w:color="000000"/>
              <w:left w:val="nil"/>
              <w:bottom w:val="single" w:sz="8" w:space="0" w:color="000000"/>
              <w:right w:val="nil"/>
            </w:tcBorders>
          </w:tcPr>
          <w:p>
            <w:pPr>
              <w:pStyle w:val="TableParagraph"/>
              <w:ind w:left="105"/>
              <w:rPr>
                <w:sz w:val="20"/>
              </w:rPr>
            </w:pPr>
            <w:r>
              <w:rPr>
                <w:sz w:val="20"/>
              </w:rPr>
              <w:t>14</w:t>
            </w:r>
          </w:p>
        </w:tc>
        <w:tc>
          <w:tcPr>
            <w:tcW w:w="454" w:type="dxa"/>
            <w:tcBorders>
              <w:top w:val="single" w:sz="8" w:space="0" w:color="000000"/>
              <w:left w:val="nil"/>
              <w:bottom w:val="single" w:sz="8" w:space="0" w:color="000000"/>
              <w:right w:val="nil"/>
            </w:tcBorders>
          </w:tcPr>
          <w:p>
            <w:pPr>
              <w:pStyle w:val="TableParagraph"/>
              <w:ind w:right="137"/>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7</w:t>
            </w:r>
          </w:p>
        </w:tc>
        <w:tc>
          <w:tcPr>
            <w:tcW w:w="457" w:type="dxa"/>
            <w:tcBorders>
              <w:top w:val="single" w:sz="8" w:space="0" w:color="000000"/>
              <w:left w:val="nil"/>
              <w:bottom w:val="single" w:sz="8" w:space="0" w:color="000000"/>
              <w:right w:val="nil"/>
            </w:tcBorders>
          </w:tcPr>
          <w:p>
            <w:pPr>
              <w:pStyle w:val="TableParagraph"/>
              <w:ind w:left="107"/>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ind w:left="107"/>
              <w:rPr>
                <w:sz w:val="20"/>
              </w:rPr>
            </w:pPr>
            <w:r>
              <w:rPr>
                <w:sz w:val="20"/>
              </w:rPr>
              <w:t>10</w:t>
            </w:r>
          </w:p>
        </w:tc>
        <w:tc>
          <w:tcPr>
            <w:tcW w:w="622" w:type="dxa"/>
            <w:tcBorders>
              <w:top w:val="single" w:sz="8" w:space="0" w:color="000000"/>
              <w:left w:val="nil"/>
              <w:bottom w:val="single" w:sz="8" w:space="0" w:color="000000"/>
              <w:right w:val="nil"/>
            </w:tcBorders>
          </w:tcPr>
          <w:p>
            <w:pPr>
              <w:pStyle w:val="TableParagraph"/>
              <w:ind w:left="107"/>
              <w:rPr>
                <w:sz w:val="20"/>
              </w:rPr>
            </w:pPr>
            <w:r>
              <w:rPr>
                <w:sz w:val="20"/>
              </w:rPr>
              <w:t>214</w:t>
            </w:r>
          </w:p>
        </w:tc>
      </w:tr>
      <w:tr>
        <w:trPr>
          <w:trHeight w:val="547" w:hRule="exact"/>
        </w:trPr>
        <w:tc>
          <w:tcPr>
            <w:tcW w:w="130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Arapoema</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772 de 08/06/15</w:t>
            </w:r>
          </w:p>
        </w:tc>
        <w:tc>
          <w:tcPr>
            <w:tcW w:w="566"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12</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left="21"/>
              <w:jc w:val="center"/>
              <w:rPr>
                <w:sz w:val="20"/>
              </w:rPr>
            </w:pPr>
            <w:r>
              <w:rPr>
                <w:w w:val="99"/>
                <w:sz w:val="20"/>
              </w:rPr>
              <w:t>X</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X</w:t>
            </w:r>
          </w:p>
        </w:tc>
        <w:tc>
          <w:tcPr>
            <w:tcW w:w="569"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ind w:left="108"/>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18</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14</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9</w:t>
            </w:r>
          </w:p>
        </w:tc>
        <w:tc>
          <w:tcPr>
            <w:tcW w:w="456" w:type="dxa"/>
            <w:tcBorders>
              <w:top w:val="single" w:sz="8" w:space="0" w:color="000000"/>
              <w:left w:val="nil"/>
              <w:bottom w:val="single" w:sz="8" w:space="0" w:color="000000"/>
              <w:right w:val="nil"/>
            </w:tcBorders>
            <w:shd w:val="clear" w:color="auto" w:fill="F9DECA"/>
          </w:tcPr>
          <w:p>
            <w:pPr>
              <w:pStyle w:val="TableParagraph"/>
              <w:ind w:left="90" w:right="126"/>
              <w:jc w:val="center"/>
              <w:rPr>
                <w:sz w:val="20"/>
              </w:rPr>
            </w:pPr>
            <w:r>
              <w:rPr>
                <w:sz w:val="20"/>
              </w:rPr>
              <w:t>13</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32</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14</w:t>
            </w:r>
          </w:p>
        </w:tc>
        <w:tc>
          <w:tcPr>
            <w:tcW w:w="456" w:type="dxa"/>
            <w:tcBorders>
              <w:top w:val="single" w:sz="8" w:space="0" w:color="000000"/>
              <w:left w:val="nil"/>
              <w:bottom w:val="single" w:sz="8" w:space="0" w:color="000000"/>
              <w:right w:val="nil"/>
            </w:tcBorders>
            <w:shd w:val="clear" w:color="auto" w:fill="F9DECA"/>
          </w:tcPr>
          <w:p>
            <w:pPr>
              <w:pStyle w:val="TableParagraph"/>
              <w:ind w:right="138"/>
              <w:jc w:val="center"/>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right="137"/>
              <w:jc w:val="center"/>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1</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1</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6</w:t>
            </w:r>
          </w:p>
        </w:tc>
        <w:tc>
          <w:tcPr>
            <w:tcW w:w="457"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13</w:t>
            </w:r>
          </w:p>
        </w:tc>
        <w:tc>
          <w:tcPr>
            <w:tcW w:w="622"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195</w:t>
            </w:r>
          </w:p>
        </w:tc>
      </w:tr>
      <w:tr>
        <w:trPr>
          <w:trHeight w:val="550" w:hRule="exact"/>
        </w:trPr>
        <w:tc>
          <w:tcPr>
            <w:tcW w:w="1304" w:type="dxa"/>
            <w:tcBorders>
              <w:top w:val="single" w:sz="8" w:space="0" w:color="000000"/>
              <w:left w:val="nil"/>
              <w:bottom w:val="single" w:sz="8" w:space="0" w:color="000000"/>
              <w:right w:val="nil"/>
            </w:tcBorders>
          </w:tcPr>
          <w:p>
            <w:pPr>
              <w:pStyle w:val="TableParagraph"/>
              <w:spacing w:line="276" w:lineRule="auto" w:before="0"/>
              <w:ind w:left="108" w:right="431"/>
              <w:rPr>
                <w:sz w:val="20"/>
              </w:rPr>
            </w:pPr>
            <w:r>
              <w:rPr>
                <w:sz w:val="20"/>
              </w:rPr>
              <w:t>Bernardo Sayão</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423 de 18/06/15</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sz w:val="20"/>
              </w:rPr>
              <w:t>12</w:t>
            </w:r>
          </w:p>
        </w:tc>
        <w:tc>
          <w:tcPr>
            <w:tcW w:w="566" w:type="dxa"/>
            <w:tcBorders>
              <w:top w:val="single" w:sz="8" w:space="0" w:color="000000"/>
              <w:left w:val="nil"/>
              <w:bottom w:val="single" w:sz="8" w:space="0" w:color="000000"/>
              <w:right w:val="nil"/>
            </w:tcBorders>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right="54"/>
              <w:jc w:val="center"/>
              <w:rPr>
                <w:sz w:val="20"/>
              </w:rPr>
            </w:pPr>
            <w:r>
              <w:rPr>
                <w:w w:val="99"/>
                <w:sz w:val="20"/>
              </w:rPr>
              <w:t>-</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w:t>
            </w:r>
          </w:p>
        </w:tc>
        <w:tc>
          <w:tcPr>
            <w:tcW w:w="569"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12</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20</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3</w:t>
            </w:r>
          </w:p>
        </w:tc>
        <w:tc>
          <w:tcPr>
            <w:tcW w:w="456" w:type="dxa"/>
            <w:tcBorders>
              <w:top w:val="single" w:sz="8" w:space="0" w:color="000000"/>
              <w:left w:val="nil"/>
              <w:bottom w:val="single" w:sz="8" w:space="0" w:color="000000"/>
              <w:right w:val="nil"/>
            </w:tcBorders>
          </w:tcPr>
          <w:p>
            <w:pPr>
              <w:pStyle w:val="TableParagraph"/>
              <w:spacing w:before="130"/>
              <w:ind w:left="90" w:right="126"/>
              <w:jc w:val="center"/>
              <w:rPr>
                <w:sz w:val="20"/>
              </w:rPr>
            </w:pPr>
            <w:r>
              <w:rPr>
                <w:sz w:val="20"/>
              </w:rPr>
              <w:t>13</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21</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2</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4</w:t>
            </w:r>
          </w:p>
        </w:tc>
        <w:tc>
          <w:tcPr>
            <w:tcW w:w="456" w:type="dxa"/>
            <w:tcBorders>
              <w:top w:val="single" w:sz="8" w:space="0" w:color="000000"/>
              <w:left w:val="nil"/>
              <w:bottom w:val="single" w:sz="8" w:space="0" w:color="000000"/>
              <w:right w:val="nil"/>
            </w:tcBorders>
          </w:tcPr>
          <w:p>
            <w:pPr>
              <w:pStyle w:val="TableParagraph"/>
              <w:spacing w:before="130"/>
              <w:ind w:right="138"/>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right="137"/>
              <w:jc w:val="center"/>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1</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8</w:t>
            </w:r>
          </w:p>
        </w:tc>
        <w:tc>
          <w:tcPr>
            <w:tcW w:w="457"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10</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13</w:t>
            </w:r>
          </w:p>
        </w:tc>
        <w:tc>
          <w:tcPr>
            <w:tcW w:w="622" w:type="dxa"/>
            <w:tcBorders>
              <w:top w:val="single" w:sz="8" w:space="0" w:color="000000"/>
              <w:left w:val="nil"/>
              <w:bottom w:val="single" w:sz="8" w:space="0" w:color="000000"/>
              <w:right w:val="nil"/>
            </w:tcBorders>
          </w:tcPr>
          <w:p>
            <w:pPr>
              <w:pStyle w:val="TableParagraph"/>
              <w:spacing w:before="130"/>
              <w:ind w:left="107"/>
              <w:rPr>
                <w:sz w:val="20"/>
              </w:rPr>
            </w:pPr>
            <w:r>
              <w:rPr>
                <w:sz w:val="20"/>
              </w:rPr>
              <w:t>159</w:t>
            </w:r>
          </w:p>
        </w:tc>
      </w:tr>
      <w:tr>
        <w:trPr>
          <w:trHeight w:val="550" w:hRule="exact"/>
        </w:trPr>
        <w:tc>
          <w:tcPr>
            <w:tcW w:w="1304"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Cariri</w:t>
            </w:r>
          </w:p>
        </w:tc>
        <w:tc>
          <w:tcPr>
            <w:tcW w:w="1078" w:type="dxa"/>
            <w:tcBorders>
              <w:top w:val="single" w:sz="8" w:space="0" w:color="000000"/>
              <w:left w:val="nil"/>
              <w:bottom w:val="single" w:sz="8" w:space="0" w:color="000000"/>
              <w:right w:val="nil"/>
            </w:tcBorders>
            <w:shd w:val="clear" w:color="auto" w:fill="F9DECA"/>
          </w:tcPr>
          <w:p>
            <w:pPr>
              <w:pStyle w:val="TableParagraph"/>
              <w:spacing w:line="278" w:lineRule="auto" w:before="0"/>
              <w:ind w:left="107" w:right="239"/>
              <w:rPr>
                <w:sz w:val="20"/>
              </w:rPr>
            </w:pPr>
            <w:r>
              <w:rPr>
                <w:sz w:val="20"/>
              </w:rPr>
              <w:t>416 de 17/06/15</w:t>
            </w:r>
          </w:p>
        </w:tc>
        <w:tc>
          <w:tcPr>
            <w:tcW w:w="566"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14</w:t>
            </w:r>
          </w:p>
        </w:tc>
        <w:tc>
          <w:tcPr>
            <w:tcW w:w="566"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left="21"/>
              <w:jc w:val="center"/>
              <w:rPr>
                <w:sz w:val="20"/>
              </w:rPr>
            </w:pPr>
            <w:r>
              <w:rPr>
                <w:w w:val="99"/>
                <w:sz w:val="20"/>
              </w:rPr>
              <w:t>X</w:t>
            </w:r>
          </w:p>
        </w:tc>
        <w:tc>
          <w:tcPr>
            <w:tcW w:w="566"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X</w:t>
            </w:r>
          </w:p>
        </w:tc>
        <w:tc>
          <w:tcPr>
            <w:tcW w:w="569"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7"/>
              <w:jc w:val="center"/>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w w:val="99"/>
                <w:sz w:val="20"/>
              </w:rPr>
              <w:t>2</w:t>
            </w:r>
          </w:p>
        </w:tc>
        <w:tc>
          <w:tcPr>
            <w:tcW w:w="456" w:type="dxa"/>
            <w:tcBorders>
              <w:top w:val="single" w:sz="8" w:space="0" w:color="000000"/>
              <w:left w:val="nil"/>
              <w:bottom w:val="single" w:sz="8" w:space="0" w:color="000000"/>
              <w:right w:val="nil"/>
            </w:tcBorders>
            <w:shd w:val="clear" w:color="auto" w:fill="F9DECA"/>
          </w:tcPr>
          <w:p>
            <w:pPr>
              <w:pStyle w:val="TableParagraph"/>
              <w:spacing w:before="130"/>
              <w:ind w:right="138"/>
              <w:jc w:val="center"/>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5"/>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6"/>
              <w:jc w:val="center"/>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6"/>
              <w:jc w:val="center"/>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6"/>
              <w:jc w:val="center"/>
              <w:rPr>
                <w:sz w:val="20"/>
              </w:rPr>
            </w:pPr>
            <w:r>
              <w:rPr>
                <w:w w:val="99"/>
                <w:sz w:val="20"/>
              </w:rPr>
              <w:t>7</w:t>
            </w:r>
          </w:p>
        </w:tc>
        <w:tc>
          <w:tcPr>
            <w:tcW w:w="456" w:type="dxa"/>
            <w:tcBorders>
              <w:top w:val="single" w:sz="8" w:space="0" w:color="000000"/>
              <w:left w:val="nil"/>
              <w:bottom w:val="single" w:sz="8" w:space="0" w:color="000000"/>
              <w:right w:val="nil"/>
            </w:tcBorders>
            <w:shd w:val="clear" w:color="auto" w:fill="F9DECA"/>
          </w:tcPr>
          <w:p>
            <w:pPr>
              <w:pStyle w:val="TableParagraph"/>
              <w:spacing w:before="130"/>
              <w:ind w:right="138"/>
              <w:jc w:val="center"/>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5"/>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7"/>
              <w:jc w:val="center"/>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1</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6"/>
              <w:jc w:val="center"/>
              <w:rPr>
                <w:sz w:val="20"/>
              </w:rPr>
            </w:pPr>
            <w:r>
              <w:rPr>
                <w:w w:val="99"/>
                <w:sz w:val="20"/>
              </w:rPr>
              <w:t>4</w:t>
            </w:r>
          </w:p>
        </w:tc>
        <w:tc>
          <w:tcPr>
            <w:tcW w:w="457"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5"/>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sz w:val="20"/>
              </w:rPr>
              <w:t>12</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w w:val="99"/>
                <w:sz w:val="20"/>
              </w:rPr>
              <w:t>8</w:t>
            </w:r>
          </w:p>
        </w:tc>
        <w:tc>
          <w:tcPr>
            <w:tcW w:w="622"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111</w:t>
            </w:r>
          </w:p>
        </w:tc>
      </w:tr>
      <w:tr>
        <w:trPr>
          <w:trHeight w:val="550" w:hRule="exact"/>
        </w:trPr>
        <w:tc>
          <w:tcPr>
            <w:tcW w:w="1304" w:type="dxa"/>
            <w:tcBorders>
              <w:top w:val="single" w:sz="8" w:space="0" w:color="000000"/>
              <w:left w:val="nil"/>
              <w:bottom w:val="single" w:sz="8" w:space="0" w:color="000000"/>
              <w:right w:val="nil"/>
            </w:tcBorders>
          </w:tcPr>
          <w:p>
            <w:pPr>
              <w:pStyle w:val="TableParagraph"/>
              <w:spacing w:before="128"/>
              <w:ind w:left="108"/>
              <w:rPr>
                <w:sz w:val="20"/>
              </w:rPr>
            </w:pPr>
            <w:r>
              <w:rPr>
                <w:sz w:val="20"/>
              </w:rPr>
              <w:t>Figueirópolis</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167 de 15/06/15</w:t>
            </w:r>
          </w:p>
        </w:tc>
        <w:tc>
          <w:tcPr>
            <w:tcW w:w="566" w:type="dxa"/>
            <w:tcBorders>
              <w:top w:val="single" w:sz="8" w:space="0" w:color="000000"/>
              <w:left w:val="nil"/>
              <w:bottom w:val="single" w:sz="8" w:space="0" w:color="000000"/>
              <w:right w:val="nil"/>
            </w:tcBorders>
          </w:tcPr>
          <w:p>
            <w:pPr>
              <w:pStyle w:val="TableParagraph"/>
              <w:spacing w:before="128"/>
              <w:ind w:left="107"/>
              <w:rPr>
                <w:sz w:val="20"/>
              </w:rPr>
            </w:pPr>
            <w:r>
              <w:rPr>
                <w:sz w:val="20"/>
              </w:rPr>
              <w:t>14</w:t>
            </w:r>
          </w:p>
        </w:tc>
        <w:tc>
          <w:tcPr>
            <w:tcW w:w="566" w:type="dxa"/>
            <w:tcBorders>
              <w:top w:val="single" w:sz="8" w:space="0" w:color="000000"/>
              <w:left w:val="nil"/>
              <w:bottom w:val="single" w:sz="8" w:space="0" w:color="000000"/>
              <w:right w:val="nil"/>
            </w:tcBorders>
          </w:tcPr>
          <w:p>
            <w:pPr>
              <w:pStyle w:val="TableParagraph"/>
              <w:spacing w:before="128"/>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28"/>
              <w:ind w:right="54"/>
              <w:jc w:val="center"/>
              <w:rPr>
                <w:sz w:val="20"/>
              </w:rPr>
            </w:pPr>
            <w:r>
              <w:rPr>
                <w:w w:val="99"/>
                <w:sz w:val="20"/>
              </w:rPr>
              <w:t>-</w:t>
            </w:r>
          </w:p>
        </w:tc>
        <w:tc>
          <w:tcPr>
            <w:tcW w:w="566" w:type="dxa"/>
            <w:tcBorders>
              <w:top w:val="single" w:sz="8" w:space="0" w:color="000000"/>
              <w:left w:val="nil"/>
              <w:bottom w:val="single" w:sz="8" w:space="0" w:color="000000"/>
              <w:right w:val="nil"/>
            </w:tcBorders>
          </w:tcPr>
          <w:p>
            <w:pPr>
              <w:pStyle w:val="TableParagraph"/>
              <w:spacing w:before="128"/>
              <w:ind w:left="107"/>
              <w:rPr>
                <w:sz w:val="20"/>
              </w:rPr>
            </w:pPr>
            <w:r>
              <w:rPr>
                <w:w w:val="99"/>
                <w:sz w:val="20"/>
              </w:rPr>
              <w:t>-</w:t>
            </w:r>
          </w:p>
        </w:tc>
        <w:tc>
          <w:tcPr>
            <w:tcW w:w="569" w:type="dxa"/>
            <w:tcBorders>
              <w:top w:val="single" w:sz="8" w:space="0" w:color="000000"/>
              <w:left w:val="nil"/>
              <w:bottom w:val="single" w:sz="8" w:space="0" w:color="000000"/>
              <w:right w:val="nil"/>
            </w:tcBorders>
          </w:tcPr>
          <w:p>
            <w:pPr>
              <w:pStyle w:val="TableParagraph"/>
              <w:spacing w:before="128"/>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28"/>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spacing w:before="128"/>
              <w:ind w:left="71" w:right="106"/>
              <w:jc w:val="center"/>
              <w:rPr>
                <w:sz w:val="20"/>
              </w:rPr>
            </w:pPr>
            <w:r>
              <w:rPr>
                <w:sz w:val="20"/>
              </w:rPr>
              <w:t>18</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sz w:val="20"/>
              </w:rPr>
              <w:t>12</w:t>
            </w:r>
          </w:p>
        </w:tc>
        <w:tc>
          <w:tcPr>
            <w:tcW w:w="454" w:type="dxa"/>
            <w:tcBorders>
              <w:top w:val="single" w:sz="8" w:space="0" w:color="000000"/>
              <w:left w:val="nil"/>
              <w:bottom w:val="single" w:sz="8" w:space="0" w:color="000000"/>
              <w:right w:val="nil"/>
            </w:tcBorders>
          </w:tcPr>
          <w:p>
            <w:pPr>
              <w:pStyle w:val="TableParagraph"/>
              <w:spacing w:before="128"/>
              <w:ind w:left="107"/>
              <w:rPr>
                <w:sz w:val="20"/>
              </w:rPr>
            </w:pPr>
            <w:r>
              <w:rPr>
                <w:sz w:val="20"/>
              </w:rPr>
              <w:t>12</w:t>
            </w:r>
          </w:p>
        </w:tc>
        <w:tc>
          <w:tcPr>
            <w:tcW w:w="456" w:type="dxa"/>
            <w:tcBorders>
              <w:top w:val="single" w:sz="8" w:space="0" w:color="000000"/>
              <w:left w:val="nil"/>
              <w:bottom w:val="single" w:sz="8" w:space="0" w:color="000000"/>
              <w:right w:val="nil"/>
            </w:tcBorders>
          </w:tcPr>
          <w:p>
            <w:pPr>
              <w:pStyle w:val="TableParagraph"/>
              <w:spacing w:before="128"/>
              <w:ind w:left="90" w:right="126"/>
              <w:jc w:val="center"/>
              <w:rPr>
                <w:sz w:val="20"/>
              </w:rPr>
            </w:pPr>
            <w:r>
              <w:rPr>
                <w:sz w:val="20"/>
              </w:rPr>
              <w:t>18</w:t>
            </w:r>
          </w:p>
        </w:tc>
        <w:tc>
          <w:tcPr>
            <w:tcW w:w="454" w:type="dxa"/>
            <w:tcBorders>
              <w:top w:val="single" w:sz="8" w:space="0" w:color="000000"/>
              <w:left w:val="nil"/>
              <w:bottom w:val="single" w:sz="8" w:space="0" w:color="000000"/>
              <w:right w:val="nil"/>
            </w:tcBorders>
          </w:tcPr>
          <w:p>
            <w:pPr>
              <w:pStyle w:val="TableParagraph"/>
              <w:spacing w:before="128"/>
              <w:ind w:left="105"/>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28"/>
              <w:ind w:right="136"/>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28"/>
              <w:ind w:left="72" w:right="106"/>
              <w:jc w:val="center"/>
              <w:rPr>
                <w:sz w:val="20"/>
              </w:rPr>
            </w:pPr>
            <w:r>
              <w:rPr>
                <w:sz w:val="20"/>
              </w:rPr>
              <w:t>25</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sz w:val="20"/>
              </w:rPr>
              <w:t>10</w:t>
            </w:r>
          </w:p>
        </w:tc>
        <w:tc>
          <w:tcPr>
            <w:tcW w:w="454" w:type="dxa"/>
            <w:tcBorders>
              <w:top w:val="single" w:sz="8" w:space="0" w:color="000000"/>
              <w:left w:val="nil"/>
              <w:bottom w:val="single" w:sz="8" w:space="0" w:color="000000"/>
              <w:right w:val="nil"/>
            </w:tcBorders>
          </w:tcPr>
          <w:p>
            <w:pPr>
              <w:pStyle w:val="TableParagraph"/>
              <w:spacing w:before="128"/>
              <w:ind w:right="136"/>
              <w:jc w:val="center"/>
              <w:rPr>
                <w:sz w:val="20"/>
              </w:rPr>
            </w:pPr>
            <w:r>
              <w:rPr>
                <w:w w:val="99"/>
                <w:sz w:val="20"/>
              </w:rPr>
              <w:t>9</w:t>
            </w:r>
          </w:p>
        </w:tc>
        <w:tc>
          <w:tcPr>
            <w:tcW w:w="456" w:type="dxa"/>
            <w:tcBorders>
              <w:top w:val="single" w:sz="8" w:space="0" w:color="000000"/>
              <w:left w:val="nil"/>
              <w:bottom w:val="single" w:sz="8" w:space="0" w:color="000000"/>
              <w:right w:val="nil"/>
            </w:tcBorders>
          </w:tcPr>
          <w:p>
            <w:pPr>
              <w:pStyle w:val="TableParagraph"/>
              <w:spacing w:before="128"/>
              <w:ind w:right="138"/>
              <w:jc w:val="center"/>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28"/>
              <w:ind w:left="105"/>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28"/>
              <w:ind w:right="137"/>
              <w:jc w:val="center"/>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w w:val="99"/>
                <w:sz w:val="20"/>
              </w:rPr>
              <w:t>1</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sz w:val="20"/>
              </w:rPr>
              <w:t>13</w:t>
            </w:r>
          </w:p>
        </w:tc>
        <w:tc>
          <w:tcPr>
            <w:tcW w:w="454" w:type="dxa"/>
            <w:tcBorders>
              <w:top w:val="single" w:sz="8" w:space="0" w:color="000000"/>
              <w:left w:val="nil"/>
              <w:bottom w:val="single" w:sz="8" w:space="0" w:color="000000"/>
              <w:right w:val="nil"/>
            </w:tcBorders>
          </w:tcPr>
          <w:p>
            <w:pPr>
              <w:pStyle w:val="TableParagraph"/>
              <w:spacing w:before="128"/>
              <w:ind w:left="72" w:right="106"/>
              <w:jc w:val="center"/>
              <w:rPr>
                <w:sz w:val="20"/>
              </w:rPr>
            </w:pPr>
            <w:r>
              <w:rPr>
                <w:sz w:val="20"/>
              </w:rPr>
              <w:t>13</w:t>
            </w:r>
          </w:p>
        </w:tc>
        <w:tc>
          <w:tcPr>
            <w:tcW w:w="457" w:type="dxa"/>
            <w:tcBorders>
              <w:top w:val="single" w:sz="8" w:space="0" w:color="000000"/>
              <w:left w:val="nil"/>
              <w:bottom w:val="single" w:sz="8" w:space="0" w:color="000000"/>
              <w:right w:val="nil"/>
            </w:tcBorders>
          </w:tcPr>
          <w:p>
            <w:pPr>
              <w:pStyle w:val="TableParagraph"/>
              <w:spacing w:before="128"/>
              <w:ind w:left="107"/>
              <w:rPr>
                <w:sz w:val="20"/>
              </w:rPr>
            </w:pPr>
            <w:r>
              <w:rPr>
                <w:sz w:val="20"/>
              </w:rPr>
              <w:t>10</w:t>
            </w:r>
          </w:p>
        </w:tc>
        <w:tc>
          <w:tcPr>
            <w:tcW w:w="454" w:type="dxa"/>
            <w:tcBorders>
              <w:top w:val="single" w:sz="8" w:space="0" w:color="000000"/>
              <w:left w:val="nil"/>
              <w:bottom w:val="single" w:sz="8" w:space="0" w:color="000000"/>
              <w:right w:val="nil"/>
            </w:tcBorders>
          </w:tcPr>
          <w:p>
            <w:pPr>
              <w:pStyle w:val="TableParagraph"/>
              <w:spacing w:before="128"/>
              <w:ind w:left="105"/>
              <w:rPr>
                <w:sz w:val="20"/>
              </w:rPr>
            </w:pPr>
            <w:r>
              <w:rPr>
                <w:w w:val="99"/>
                <w:sz w:val="20"/>
              </w:rPr>
              <w:t>3</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28"/>
              <w:ind w:left="107"/>
              <w:rPr>
                <w:sz w:val="20"/>
              </w:rPr>
            </w:pPr>
            <w:r>
              <w:rPr>
                <w:sz w:val="20"/>
              </w:rPr>
              <w:t>11</w:t>
            </w:r>
          </w:p>
        </w:tc>
        <w:tc>
          <w:tcPr>
            <w:tcW w:w="622" w:type="dxa"/>
            <w:tcBorders>
              <w:top w:val="single" w:sz="8" w:space="0" w:color="000000"/>
              <w:left w:val="nil"/>
              <w:bottom w:val="single" w:sz="8" w:space="0" w:color="000000"/>
              <w:right w:val="nil"/>
            </w:tcBorders>
          </w:tcPr>
          <w:p>
            <w:pPr>
              <w:pStyle w:val="TableParagraph"/>
              <w:spacing w:before="128"/>
              <w:ind w:left="107"/>
              <w:rPr>
                <w:sz w:val="20"/>
              </w:rPr>
            </w:pPr>
            <w:r>
              <w:rPr>
                <w:sz w:val="20"/>
              </w:rPr>
              <w:t>203</w:t>
            </w:r>
          </w:p>
        </w:tc>
      </w:tr>
      <w:tr>
        <w:trPr>
          <w:trHeight w:val="756" w:hRule="exact"/>
        </w:trPr>
        <w:tc>
          <w:tcPr>
            <w:tcW w:w="1304" w:type="dxa"/>
            <w:tcBorders>
              <w:top w:val="single" w:sz="8" w:space="0" w:color="000000"/>
              <w:left w:val="nil"/>
              <w:bottom w:val="single" w:sz="8" w:space="0" w:color="000000"/>
              <w:right w:val="nil"/>
            </w:tcBorders>
            <w:shd w:val="clear" w:color="auto" w:fill="F9DECA"/>
          </w:tcPr>
          <w:p>
            <w:pPr>
              <w:pStyle w:val="TableParagraph"/>
              <w:spacing w:line="276" w:lineRule="auto" w:before="99"/>
              <w:ind w:left="107" w:right="215"/>
              <w:rPr>
                <w:sz w:val="20"/>
              </w:rPr>
            </w:pPr>
            <w:r>
              <w:rPr>
                <w:sz w:val="20"/>
              </w:rPr>
              <w:t>Formoso do Araguaia</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99"/>
              <w:ind w:left="107" w:right="239"/>
              <w:rPr>
                <w:sz w:val="20"/>
              </w:rPr>
            </w:pPr>
            <w:r>
              <w:rPr>
                <w:sz w:val="20"/>
              </w:rPr>
              <w:t>872 de 09/06/15</w:t>
            </w:r>
          </w:p>
        </w:tc>
        <w:tc>
          <w:tcPr>
            <w:tcW w:w="566"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107"/>
              <w:rPr>
                <w:sz w:val="20"/>
              </w:rPr>
            </w:pPr>
            <w:r>
              <w:rPr>
                <w:sz w:val="20"/>
              </w:rPr>
              <w:t>11</w:t>
            </w:r>
          </w:p>
        </w:tc>
        <w:tc>
          <w:tcPr>
            <w:tcW w:w="566"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0"/>
              <w:rPr>
                <w:sz w:val="20"/>
              </w:rPr>
            </w:pPr>
          </w:p>
          <w:p>
            <w:pPr>
              <w:pStyle w:val="TableParagraph"/>
              <w:spacing w:before="1"/>
              <w:ind w:left="21"/>
              <w:jc w:val="center"/>
              <w:rPr>
                <w:sz w:val="20"/>
              </w:rPr>
            </w:pPr>
            <w:r>
              <w:rPr>
                <w:w w:val="99"/>
                <w:sz w:val="20"/>
              </w:rPr>
              <w:t>X</w:t>
            </w:r>
          </w:p>
        </w:tc>
        <w:tc>
          <w:tcPr>
            <w:tcW w:w="566"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108"/>
              <w:rPr>
                <w:sz w:val="20"/>
              </w:rPr>
            </w:pPr>
            <w:r>
              <w:rPr>
                <w:w w:val="99"/>
                <w:sz w:val="20"/>
              </w:rPr>
              <w:t>X</w:t>
            </w:r>
          </w:p>
        </w:tc>
        <w:tc>
          <w:tcPr>
            <w:tcW w:w="569"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0"/>
              <w:rPr>
                <w:sz w:val="20"/>
              </w:rPr>
            </w:pPr>
          </w:p>
          <w:p>
            <w:pPr>
              <w:pStyle w:val="TableParagraph"/>
              <w:spacing w:before="1"/>
              <w:ind w:left="108"/>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71" w:right="106"/>
              <w:jc w:val="center"/>
              <w:rPr>
                <w:sz w:val="20"/>
              </w:rPr>
            </w:pPr>
            <w:r>
              <w:rPr>
                <w:sz w:val="20"/>
              </w:rPr>
              <w:t>14</w:t>
            </w:r>
          </w:p>
        </w:tc>
        <w:tc>
          <w:tcPr>
            <w:tcW w:w="454"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108"/>
              <w:rPr>
                <w:sz w:val="20"/>
              </w:rPr>
            </w:pPr>
            <w:r>
              <w:rPr>
                <w:sz w:val="20"/>
              </w:rPr>
              <w:t>13</w:t>
            </w:r>
          </w:p>
        </w:tc>
        <w:tc>
          <w:tcPr>
            <w:tcW w:w="454"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107"/>
              <w:rPr>
                <w:sz w:val="20"/>
              </w:rPr>
            </w:pPr>
            <w:r>
              <w:rPr>
                <w:sz w:val="20"/>
              </w:rPr>
              <w:t>13</w:t>
            </w:r>
          </w:p>
        </w:tc>
        <w:tc>
          <w:tcPr>
            <w:tcW w:w="456"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90" w:right="126"/>
              <w:jc w:val="center"/>
              <w:rPr>
                <w:sz w:val="20"/>
              </w:rPr>
            </w:pPr>
            <w:r>
              <w:rPr>
                <w:sz w:val="20"/>
              </w:rPr>
              <w:t>14</w:t>
            </w:r>
          </w:p>
        </w:tc>
        <w:tc>
          <w:tcPr>
            <w:tcW w:w="454"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105"/>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right="136"/>
              <w:jc w:val="center"/>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72" w:right="106"/>
              <w:jc w:val="center"/>
              <w:rPr>
                <w:sz w:val="20"/>
              </w:rPr>
            </w:pPr>
            <w:r>
              <w:rPr>
                <w:sz w:val="20"/>
              </w:rPr>
              <w:t>36</w:t>
            </w:r>
          </w:p>
        </w:tc>
        <w:tc>
          <w:tcPr>
            <w:tcW w:w="454"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108"/>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72" w:right="106"/>
              <w:jc w:val="center"/>
              <w:rPr>
                <w:sz w:val="20"/>
              </w:rPr>
            </w:pPr>
            <w:r>
              <w:rPr>
                <w:sz w:val="20"/>
              </w:rPr>
              <w:t>12</w:t>
            </w:r>
          </w:p>
        </w:tc>
        <w:tc>
          <w:tcPr>
            <w:tcW w:w="456"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90" w:right="126"/>
              <w:jc w:val="center"/>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105"/>
              <w:rPr>
                <w:sz w:val="20"/>
              </w:rPr>
            </w:pPr>
            <w:r>
              <w:rPr>
                <w:sz w:val="20"/>
              </w:rPr>
              <w:t>14</w:t>
            </w:r>
          </w:p>
        </w:tc>
        <w:tc>
          <w:tcPr>
            <w:tcW w:w="454"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71" w:right="106"/>
              <w:jc w:val="center"/>
              <w:rPr>
                <w:sz w:val="20"/>
              </w:rPr>
            </w:pPr>
            <w:r>
              <w:rPr>
                <w:sz w:val="20"/>
              </w:rPr>
              <w:t>19</w:t>
            </w:r>
          </w:p>
        </w:tc>
        <w:tc>
          <w:tcPr>
            <w:tcW w:w="454"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108"/>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108"/>
              <w:rPr>
                <w:sz w:val="20"/>
              </w:rPr>
            </w:pPr>
            <w:r>
              <w:rPr>
                <w:sz w:val="20"/>
              </w:rPr>
              <w:t>15</w:t>
            </w:r>
          </w:p>
        </w:tc>
        <w:tc>
          <w:tcPr>
            <w:tcW w:w="454"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72" w:right="106"/>
              <w:jc w:val="center"/>
              <w:rPr>
                <w:sz w:val="20"/>
              </w:rPr>
            </w:pPr>
            <w:r>
              <w:rPr>
                <w:sz w:val="20"/>
              </w:rPr>
              <w:t>27</w:t>
            </w:r>
          </w:p>
        </w:tc>
        <w:tc>
          <w:tcPr>
            <w:tcW w:w="457"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107"/>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105"/>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107"/>
              <w:rPr>
                <w:sz w:val="20"/>
              </w:rPr>
            </w:pPr>
            <w:r>
              <w:rPr>
                <w:sz w:val="20"/>
              </w:rPr>
              <w:t>15</w:t>
            </w:r>
          </w:p>
        </w:tc>
        <w:tc>
          <w:tcPr>
            <w:tcW w:w="622" w:type="dxa"/>
            <w:tcBorders>
              <w:top w:val="single" w:sz="8" w:space="0" w:color="000000"/>
              <w:left w:val="nil"/>
              <w:bottom w:val="single" w:sz="8" w:space="0" w:color="000000"/>
              <w:right w:val="nil"/>
            </w:tcBorders>
            <w:shd w:val="clear" w:color="auto" w:fill="F9DECA"/>
          </w:tcPr>
          <w:p>
            <w:pPr>
              <w:pStyle w:val="TableParagraph"/>
              <w:spacing w:before="0"/>
              <w:rPr>
                <w:sz w:val="20"/>
              </w:rPr>
            </w:pPr>
          </w:p>
          <w:p>
            <w:pPr>
              <w:pStyle w:val="TableParagraph"/>
              <w:spacing w:before="1"/>
              <w:ind w:left="107"/>
              <w:rPr>
                <w:sz w:val="20"/>
              </w:rPr>
            </w:pPr>
            <w:r>
              <w:rPr>
                <w:sz w:val="20"/>
              </w:rPr>
              <w:t>260</w:t>
            </w:r>
          </w:p>
        </w:tc>
      </w:tr>
      <w:tr>
        <w:trPr>
          <w:trHeight w:val="550" w:hRule="exact"/>
        </w:trPr>
        <w:tc>
          <w:tcPr>
            <w:tcW w:w="1304" w:type="dxa"/>
            <w:tcBorders>
              <w:top w:val="single" w:sz="8" w:space="0" w:color="000000"/>
              <w:left w:val="nil"/>
              <w:bottom w:val="single" w:sz="8" w:space="0" w:color="000000"/>
              <w:right w:val="nil"/>
            </w:tcBorders>
          </w:tcPr>
          <w:p>
            <w:pPr>
              <w:pStyle w:val="TableParagraph"/>
              <w:ind w:left="108"/>
              <w:rPr>
                <w:sz w:val="20"/>
              </w:rPr>
            </w:pPr>
            <w:r>
              <w:rPr>
                <w:sz w:val="20"/>
              </w:rPr>
              <w:t>Juarina</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13 de 15/06/15</w:t>
            </w:r>
          </w:p>
        </w:tc>
        <w:tc>
          <w:tcPr>
            <w:tcW w:w="566" w:type="dxa"/>
            <w:tcBorders>
              <w:top w:val="single" w:sz="8" w:space="0" w:color="000000"/>
              <w:left w:val="nil"/>
              <w:bottom w:val="single" w:sz="8" w:space="0" w:color="000000"/>
              <w:right w:val="nil"/>
            </w:tcBorders>
          </w:tcPr>
          <w:p>
            <w:pPr>
              <w:pStyle w:val="TableParagraph"/>
              <w:ind w:left="107"/>
              <w:rPr>
                <w:sz w:val="20"/>
              </w:rPr>
            </w:pPr>
            <w:r>
              <w:rPr>
                <w:sz w:val="20"/>
              </w:rPr>
              <w:t>12</w:t>
            </w:r>
          </w:p>
        </w:tc>
        <w:tc>
          <w:tcPr>
            <w:tcW w:w="566" w:type="dxa"/>
            <w:tcBorders>
              <w:top w:val="single" w:sz="8" w:space="0" w:color="000000"/>
              <w:left w:val="nil"/>
              <w:bottom w:val="single" w:sz="8" w:space="0" w:color="000000"/>
              <w:right w:val="nil"/>
            </w:tcBorders>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right="54"/>
              <w:jc w:val="center"/>
              <w:rPr>
                <w:sz w:val="20"/>
              </w:rPr>
            </w:pPr>
            <w:r>
              <w:rPr>
                <w:w w:val="99"/>
                <w:sz w:val="20"/>
              </w:rPr>
              <w:t>-</w:t>
            </w:r>
          </w:p>
        </w:tc>
        <w:tc>
          <w:tcPr>
            <w:tcW w:w="566" w:type="dxa"/>
            <w:tcBorders>
              <w:top w:val="single" w:sz="8" w:space="0" w:color="000000"/>
              <w:left w:val="nil"/>
              <w:bottom w:val="single" w:sz="8" w:space="0" w:color="000000"/>
              <w:right w:val="nil"/>
            </w:tcBorders>
          </w:tcPr>
          <w:p>
            <w:pPr>
              <w:pStyle w:val="TableParagraph"/>
              <w:ind w:left="107"/>
              <w:rPr>
                <w:sz w:val="20"/>
              </w:rPr>
            </w:pPr>
            <w:r>
              <w:rPr>
                <w:w w:val="99"/>
                <w:sz w:val="20"/>
              </w:rPr>
              <w:t>-</w:t>
            </w:r>
          </w:p>
        </w:tc>
        <w:tc>
          <w:tcPr>
            <w:tcW w:w="569" w:type="dxa"/>
            <w:tcBorders>
              <w:top w:val="single" w:sz="8" w:space="0" w:color="000000"/>
              <w:left w:val="nil"/>
              <w:bottom w:val="single" w:sz="8" w:space="0" w:color="000000"/>
              <w:right w:val="nil"/>
            </w:tcBorders>
          </w:tcPr>
          <w:p>
            <w:pPr>
              <w:pStyle w:val="TableParagraph"/>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ind w:left="105"/>
              <w:rPr>
                <w:sz w:val="20"/>
              </w:rPr>
            </w:pPr>
            <w:r>
              <w:rPr>
                <w:w w:val="99"/>
                <w:sz w:val="20"/>
              </w:rPr>
              <w:t>-</w:t>
            </w:r>
          </w:p>
        </w:tc>
        <w:tc>
          <w:tcPr>
            <w:tcW w:w="454" w:type="dxa"/>
            <w:tcBorders>
              <w:top w:val="single" w:sz="8" w:space="0" w:color="000000"/>
              <w:left w:val="nil"/>
              <w:bottom w:val="single" w:sz="8" w:space="0" w:color="000000"/>
              <w:right w:val="nil"/>
            </w:tcBorders>
          </w:tcPr>
          <w:p>
            <w:pPr>
              <w:pStyle w:val="TableParagraph"/>
              <w:ind w:left="71" w:right="106"/>
              <w:jc w:val="center"/>
              <w:rPr>
                <w:sz w:val="20"/>
              </w:rPr>
            </w:pPr>
            <w:r>
              <w:rPr>
                <w:sz w:val="20"/>
              </w:rPr>
              <w:t>13</w:t>
            </w:r>
          </w:p>
        </w:tc>
        <w:tc>
          <w:tcPr>
            <w:tcW w:w="454" w:type="dxa"/>
            <w:tcBorders>
              <w:top w:val="single" w:sz="8" w:space="0" w:color="000000"/>
              <w:left w:val="nil"/>
              <w:bottom w:val="single" w:sz="8" w:space="0" w:color="000000"/>
              <w:right w:val="nil"/>
            </w:tcBorders>
          </w:tcPr>
          <w:p>
            <w:pPr>
              <w:pStyle w:val="TableParagraph"/>
              <w:ind w:left="108"/>
              <w:rPr>
                <w:sz w:val="20"/>
              </w:rPr>
            </w:pPr>
            <w:r>
              <w:rPr>
                <w:sz w:val="20"/>
              </w:rPr>
              <w:t>14</w:t>
            </w:r>
          </w:p>
        </w:tc>
        <w:tc>
          <w:tcPr>
            <w:tcW w:w="454" w:type="dxa"/>
            <w:tcBorders>
              <w:top w:val="single" w:sz="8" w:space="0" w:color="000000"/>
              <w:left w:val="nil"/>
              <w:bottom w:val="single" w:sz="8" w:space="0" w:color="000000"/>
              <w:right w:val="nil"/>
            </w:tcBorders>
          </w:tcPr>
          <w:p>
            <w:pPr>
              <w:pStyle w:val="TableParagraph"/>
              <w:ind w:left="107"/>
              <w:rPr>
                <w:sz w:val="20"/>
              </w:rPr>
            </w:pPr>
            <w:r>
              <w:rPr>
                <w:w w:val="99"/>
                <w:sz w:val="20"/>
              </w:rPr>
              <w:t>8</w:t>
            </w:r>
          </w:p>
        </w:tc>
        <w:tc>
          <w:tcPr>
            <w:tcW w:w="456" w:type="dxa"/>
            <w:tcBorders>
              <w:top w:val="single" w:sz="8" w:space="0" w:color="000000"/>
              <w:left w:val="nil"/>
              <w:bottom w:val="single" w:sz="8" w:space="0" w:color="000000"/>
              <w:right w:val="nil"/>
            </w:tcBorders>
          </w:tcPr>
          <w:p>
            <w:pPr>
              <w:pStyle w:val="TableParagraph"/>
              <w:ind w:right="138"/>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4</w:t>
            </w:r>
          </w:p>
        </w:tc>
        <w:tc>
          <w:tcPr>
            <w:tcW w:w="456" w:type="dxa"/>
            <w:tcBorders>
              <w:top w:val="single" w:sz="8" w:space="0" w:color="000000"/>
              <w:left w:val="nil"/>
              <w:bottom w:val="single" w:sz="8" w:space="0" w:color="000000"/>
              <w:right w:val="nil"/>
            </w:tcBorders>
          </w:tcPr>
          <w:p>
            <w:pPr>
              <w:pStyle w:val="TableParagraph"/>
              <w:ind w:right="138"/>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right="137"/>
              <w:jc w:val="center"/>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3</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left="72" w:right="106"/>
              <w:jc w:val="center"/>
              <w:rPr>
                <w:sz w:val="20"/>
              </w:rPr>
            </w:pPr>
            <w:r>
              <w:rPr>
                <w:sz w:val="20"/>
              </w:rPr>
              <w:t>12</w:t>
            </w:r>
          </w:p>
        </w:tc>
        <w:tc>
          <w:tcPr>
            <w:tcW w:w="457" w:type="dxa"/>
            <w:tcBorders>
              <w:top w:val="single" w:sz="8" w:space="0" w:color="000000"/>
              <w:left w:val="nil"/>
              <w:bottom w:val="single" w:sz="8" w:space="0" w:color="000000"/>
              <w:right w:val="nil"/>
            </w:tcBorders>
          </w:tcPr>
          <w:p>
            <w:pPr>
              <w:pStyle w:val="TableParagraph"/>
              <w:ind w:left="107"/>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ind w:left="107"/>
              <w:rPr>
                <w:sz w:val="20"/>
              </w:rPr>
            </w:pPr>
            <w:r>
              <w:rPr>
                <w:sz w:val="20"/>
              </w:rPr>
              <w:t>12</w:t>
            </w:r>
          </w:p>
        </w:tc>
        <w:tc>
          <w:tcPr>
            <w:tcW w:w="622" w:type="dxa"/>
            <w:tcBorders>
              <w:top w:val="single" w:sz="8" w:space="0" w:color="000000"/>
              <w:left w:val="nil"/>
              <w:bottom w:val="single" w:sz="8" w:space="0" w:color="000000"/>
              <w:right w:val="nil"/>
            </w:tcBorders>
          </w:tcPr>
          <w:p>
            <w:pPr>
              <w:pStyle w:val="TableParagraph"/>
              <w:ind w:left="107"/>
              <w:rPr>
                <w:sz w:val="20"/>
              </w:rPr>
            </w:pPr>
            <w:r>
              <w:rPr>
                <w:sz w:val="20"/>
              </w:rPr>
              <w:t>149</w:t>
            </w:r>
          </w:p>
        </w:tc>
      </w:tr>
      <w:tr>
        <w:trPr>
          <w:trHeight w:val="547" w:hRule="exact"/>
        </w:trPr>
        <w:tc>
          <w:tcPr>
            <w:tcW w:w="130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Pau D'arco</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396 de 24/06/15</w:t>
            </w:r>
          </w:p>
        </w:tc>
        <w:tc>
          <w:tcPr>
            <w:tcW w:w="566"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13</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left="21"/>
              <w:jc w:val="center"/>
              <w:rPr>
                <w:sz w:val="20"/>
              </w:rPr>
            </w:pPr>
            <w:r>
              <w:rPr>
                <w:w w:val="99"/>
                <w:sz w:val="20"/>
              </w:rPr>
              <w:t>X</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X</w:t>
            </w:r>
          </w:p>
        </w:tc>
        <w:tc>
          <w:tcPr>
            <w:tcW w:w="569"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ind w:left="108"/>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3</w:t>
            </w:r>
          </w:p>
        </w:tc>
        <w:tc>
          <w:tcPr>
            <w:tcW w:w="456" w:type="dxa"/>
            <w:tcBorders>
              <w:top w:val="single" w:sz="8" w:space="0" w:color="000000"/>
              <w:left w:val="nil"/>
              <w:bottom w:val="single" w:sz="8" w:space="0" w:color="000000"/>
              <w:right w:val="nil"/>
            </w:tcBorders>
            <w:shd w:val="clear" w:color="auto" w:fill="F9DECA"/>
          </w:tcPr>
          <w:p>
            <w:pPr>
              <w:pStyle w:val="TableParagraph"/>
              <w:ind w:left="90" w:right="126"/>
              <w:jc w:val="center"/>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6</w:t>
            </w:r>
          </w:p>
        </w:tc>
        <w:tc>
          <w:tcPr>
            <w:tcW w:w="456" w:type="dxa"/>
            <w:tcBorders>
              <w:top w:val="single" w:sz="8" w:space="0" w:color="000000"/>
              <w:left w:val="nil"/>
              <w:bottom w:val="single" w:sz="8" w:space="0" w:color="000000"/>
              <w:right w:val="nil"/>
            </w:tcBorders>
            <w:shd w:val="clear" w:color="auto" w:fill="F9DECA"/>
          </w:tcPr>
          <w:p>
            <w:pPr>
              <w:pStyle w:val="TableParagraph"/>
              <w:ind w:right="138"/>
              <w:jc w:val="center"/>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ind w:right="137"/>
              <w:jc w:val="center"/>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5</w:t>
            </w:r>
          </w:p>
        </w:tc>
        <w:tc>
          <w:tcPr>
            <w:tcW w:w="457"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9</w:t>
            </w:r>
          </w:p>
        </w:tc>
        <w:tc>
          <w:tcPr>
            <w:tcW w:w="622"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117</w:t>
            </w:r>
          </w:p>
        </w:tc>
      </w:tr>
      <w:tr>
        <w:trPr>
          <w:trHeight w:val="550" w:hRule="exact"/>
        </w:trPr>
        <w:tc>
          <w:tcPr>
            <w:tcW w:w="1304" w:type="dxa"/>
            <w:tcBorders>
              <w:top w:val="single" w:sz="8" w:space="0" w:color="000000"/>
              <w:left w:val="nil"/>
              <w:bottom w:val="single" w:sz="8" w:space="0" w:color="000000"/>
              <w:right w:val="nil"/>
            </w:tcBorders>
          </w:tcPr>
          <w:p>
            <w:pPr>
              <w:pStyle w:val="TableParagraph"/>
              <w:spacing w:before="130"/>
              <w:ind w:left="108"/>
              <w:rPr>
                <w:sz w:val="20"/>
              </w:rPr>
            </w:pPr>
            <w:r>
              <w:rPr>
                <w:sz w:val="20"/>
              </w:rPr>
              <w:t>Sandolândia</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242 de 25/06/15</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sz w:val="20"/>
              </w:rPr>
              <w:t>13</w:t>
            </w:r>
          </w:p>
        </w:tc>
        <w:tc>
          <w:tcPr>
            <w:tcW w:w="566" w:type="dxa"/>
            <w:tcBorders>
              <w:top w:val="single" w:sz="8" w:space="0" w:color="000000"/>
              <w:left w:val="nil"/>
              <w:bottom w:val="single" w:sz="8" w:space="0" w:color="000000"/>
              <w:right w:val="nil"/>
            </w:tcBorders>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left="21"/>
              <w:jc w:val="center"/>
              <w:rPr>
                <w:sz w:val="20"/>
              </w:rPr>
            </w:pPr>
            <w:r>
              <w:rPr>
                <w:w w:val="99"/>
                <w:sz w:val="20"/>
              </w:rPr>
              <w:t>X</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X</w:t>
            </w:r>
          </w:p>
        </w:tc>
        <w:tc>
          <w:tcPr>
            <w:tcW w:w="569"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12</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22</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8</w:t>
            </w:r>
          </w:p>
        </w:tc>
        <w:tc>
          <w:tcPr>
            <w:tcW w:w="456" w:type="dxa"/>
            <w:tcBorders>
              <w:top w:val="single" w:sz="8" w:space="0" w:color="000000"/>
              <w:left w:val="nil"/>
              <w:bottom w:val="single" w:sz="8" w:space="0" w:color="000000"/>
              <w:right w:val="nil"/>
            </w:tcBorders>
          </w:tcPr>
          <w:p>
            <w:pPr>
              <w:pStyle w:val="TableParagraph"/>
              <w:spacing w:before="130"/>
              <w:ind w:left="90" w:right="126"/>
              <w:jc w:val="center"/>
              <w:rPr>
                <w:sz w:val="20"/>
              </w:rPr>
            </w:pPr>
            <w:r>
              <w:rPr>
                <w:sz w:val="20"/>
              </w:rPr>
              <w:t>13</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16</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9</w:t>
            </w:r>
          </w:p>
        </w:tc>
        <w:tc>
          <w:tcPr>
            <w:tcW w:w="456" w:type="dxa"/>
            <w:tcBorders>
              <w:top w:val="single" w:sz="8" w:space="0" w:color="000000"/>
              <w:left w:val="nil"/>
              <w:bottom w:val="single" w:sz="8" w:space="0" w:color="000000"/>
              <w:right w:val="nil"/>
            </w:tcBorders>
          </w:tcPr>
          <w:p>
            <w:pPr>
              <w:pStyle w:val="TableParagraph"/>
              <w:spacing w:before="130"/>
              <w:ind w:right="138"/>
              <w:jc w:val="center"/>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3</w:t>
            </w:r>
          </w:p>
        </w:tc>
        <w:tc>
          <w:tcPr>
            <w:tcW w:w="454" w:type="dxa"/>
            <w:tcBorders>
              <w:top w:val="single" w:sz="8" w:space="0" w:color="000000"/>
              <w:left w:val="nil"/>
              <w:bottom w:val="single" w:sz="8" w:space="0" w:color="000000"/>
              <w:right w:val="nil"/>
            </w:tcBorders>
          </w:tcPr>
          <w:p>
            <w:pPr>
              <w:pStyle w:val="TableParagraph"/>
              <w:spacing w:before="130"/>
              <w:ind w:right="137"/>
              <w:jc w:val="center"/>
              <w:rPr>
                <w:sz w:val="20"/>
              </w:rPr>
            </w:pPr>
            <w:r>
              <w:rPr>
                <w:w w:val="99"/>
                <w:sz w:val="20"/>
              </w:rPr>
              <w:t>2</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1</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12</w:t>
            </w:r>
          </w:p>
        </w:tc>
        <w:tc>
          <w:tcPr>
            <w:tcW w:w="457"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2</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10</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4</w:t>
            </w:r>
          </w:p>
        </w:tc>
        <w:tc>
          <w:tcPr>
            <w:tcW w:w="622" w:type="dxa"/>
            <w:tcBorders>
              <w:top w:val="single" w:sz="8" w:space="0" w:color="000000"/>
              <w:left w:val="nil"/>
              <w:bottom w:val="single" w:sz="8" w:space="0" w:color="000000"/>
              <w:right w:val="nil"/>
            </w:tcBorders>
          </w:tcPr>
          <w:p>
            <w:pPr>
              <w:pStyle w:val="TableParagraph"/>
              <w:spacing w:before="130"/>
              <w:ind w:left="107"/>
              <w:rPr>
                <w:sz w:val="20"/>
              </w:rPr>
            </w:pPr>
            <w:r>
              <w:rPr>
                <w:sz w:val="20"/>
              </w:rPr>
              <w:t>154</w:t>
            </w:r>
          </w:p>
        </w:tc>
      </w:tr>
      <w:tr>
        <w:trPr>
          <w:trHeight w:val="550" w:hRule="exact"/>
        </w:trPr>
        <w:tc>
          <w:tcPr>
            <w:tcW w:w="1304"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São Salvador</w:t>
            </w:r>
          </w:p>
        </w:tc>
        <w:tc>
          <w:tcPr>
            <w:tcW w:w="1078" w:type="dxa"/>
            <w:tcBorders>
              <w:top w:val="single" w:sz="8" w:space="0" w:color="000000"/>
              <w:left w:val="nil"/>
              <w:bottom w:val="single" w:sz="8" w:space="0" w:color="000000"/>
              <w:right w:val="nil"/>
            </w:tcBorders>
            <w:shd w:val="clear" w:color="auto" w:fill="F9DECA"/>
          </w:tcPr>
          <w:p>
            <w:pPr>
              <w:pStyle w:val="TableParagraph"/>
              <w:spacing w:line="278" w:lineRule="auto" w:before="0"/>
              <w:ind w:left="107" w:right="239"/>
              <w:rPr>
                <w:sz w:val="20"/>
              </w:rPr>
            </w:pPr>
            <w:r>
              <w:rPr>
                <w:sz w:val="20"/>
              </w:rPr>
              <w:t>389 de 22/07/15</w:t>
            </w:r>
          </w:p>
        </w:tc>
        <w:tc>
          <w:tcPr>
            <w:tcW w:w="566"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13</w:t>
            </w:r>
          </w:p>
        </w:tc>
        <w:tc>
          <w:tcPr>
            <w:tcW w:w="566"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right="54"/>
              <w:jc w:val="center"/>
              <w:rPr>
                <w:sz w:val="20"/>
              </w:rPr>
            </w:pPr>
            <w:r>
              <w:rPr>
                <w:w w:val="99"/>
                <w:sz w:val="20"/>
              </w:rPr>
              <w:t>-</w:t>
            </w:r>
          </w:p>
        </w:tc>
        <w:tc>
          <w:tcPr>
            <w:tcW w:w="566"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w:t>
            </w:r>
          </w:p>
        </w:tc>
        <w:tc>
          <w:tcPr>
            <w:tcW w:w="569"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71" w:right="106"/>
              <w:jc w:val="center"/>
              <w:rPr>
                <w:sz w:val="20"/>
              </w:rPr>
            </w:pPr>
            <w:r>
              <w:rPr>
                <w:sz w:val="20"/>
              </w:rPr>
              <w:t>18</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sz w:val="20"/>
              </w:rPr>
              <w:t>15</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w w:val="99"/>
                <w:sz w:val="20"/>
              </w:rPr>
              <w:t>8</w:t>
            </w:r>
          </w:p>
        </w:tc>
        <w:tc>
          <w:tcPr>
            <w:tcW w:w="456" w:type="dxa"/>
            <w:tcBorders>
              <w:top w:val="single" w:sz="8" w:space="0" w:color="000000"/>
              <w:left w:val="nil"/>
              <w:bottom w:val="single" w:sz="8" w:space="0" w:color="000000"/>
              <w:right w:val="nil"/>
            </w:tcBorders>
            <w:shd w:val="clear" w:color="auto" w:fill="F9DECA"/>
          </w:tcPr>
          <w:p>
            <w:pPr>
              <w:pStyle w:val="TableParagraph"/>
              <w:spacing w:before="130"/>
              <w:ind w:left="90" w:right="126"/>
              <w:jc w:val="center"/>
              <w:rPr>
                <w:sz w:val="20"/>
              </w:rPr>
            </w:pPr>
            <w:r>
              <w:rPr>
                <w:sz w:val="20"/>
              </w:rPr>
              <w:t>17</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5"/>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6"/>
              <w:jc w:val="center"/>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72" w:right="106"/>
              <w:jc w:val="center"/>
              <w:rPr>
                <w:sz w:val="20"/>
              </w:rPr>
            </w:pPr>
            <w:r>
              <w:rPr>
                <w:sz w:val="20"/>
              </w:rPr>
              <w:t>28</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72" w:right="106"/>
              <w:jc w:val="center"/>
              <w:rPr>
                <w:sz w:val="20"/>
              </w:rPr>
            </w:pPr>
            <w:r>
              <w:rPr>
                <w:sz w:val="20"/>
              </w:rPr>
              <w:t>12</w:t>
            </w:r>
          </w:p>
        </w:tc>
        <w:tc>
          <w:tcPr>
            <w:tcW w:w="456" w:type="dxa"/>
            <w:tcBorders>
              <w:top w:val="single" w:sz="8" w:space="0" w:color="000000"/>
              <w:left w:val="nil"/>
              <w:bottom w:val="single" w:sz="8" w:space="0" w:color="000000"/>
              <w:right w:val="nil"/>
            </w:tcBorders>
            <w:shd w:val="clear" w:color="auto" w:fill="F9DECA"/>
          </w:tcPr>
          <w:p>
            <w:pPr>
              <w:pStyle w:val="TableParagraph"/>
              <w:spacing w:before="130"/>
              <w:ind w:right="138"/>
              <w:jc w:val="center"/>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5"/>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7"/>
              <w:jc w:val="center"/>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1</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1</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6"/>
              <w:jc w:val="center"/>
              <w:rPr>
                <w:sz w:val="20"/>
              </w:rPr>
            </w:pPr>
            <w:r>
              <w:rPr>
                <w:w w:val="99"/>
                <w:sz w:val="20"/>
              </w:rPr>
              <w:t>6</w:t>
            </w:r>
          </w:p>
        </w:tc>
        <w:tc>
          <w:tcPr>
            <w:tcW w:w="457"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5"/>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12</w:t>
            </w:r>
          </w:p>
        </w:tc>
        <w:tc>
          <w:tcPr>
            <w:tcW w:w="622"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176</w:t>
            </w:r>
          </w:p>
        </w:tc>
      </w:tr>
      <w:tr>
        <w:trPr>
          <w:trHeight w:val="550" w:hRule="exact"/>
        </w:trPr>
        <w:tc>
          <w:tcPr>
            <w:tcW w:w="1304" w:type="dxa"/>
            <w:tcBorders>
              <w:top w:val="single" w:sz="8" w:space="0" w:color="000000"/>
              <w:left w:val="nil"/>
              <w:bottom w:val="single" w:sz="8" w:space="0" w:color="000000"/>
              <w:right w:val="nil"/>
            </w:tcBorders>
          </w:tcPr>
          <w:p>
            <w:pPr>
              <w:pStyle w:val="TableParagraph"/>
              <w:ind w:left="108"/>
              <w:rPr>
                <w:sz w:val="20"/>
              </w:rPr>
            </w:pPr>
            <w:r>
              <w:rPr>
                <w:sz w:val="20"/>
              </w:rPr>
              <w:t>São Valério</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846 de 24/06/15</w:t>
            </w:r>
          </w:p>
        </w:tc>
        <w:tc>
          <w:tcPr>
            <w:tcW w:w="566" w:type="dxa"/>
            <w:tcBorders>
              <w:top w:val="single" w:sz="8" w:space="0" w:color="000000"/>
              <w:left w:val="nil"/>
              <w:bottom w:val="single" w:sz="8" w:space="0" w:color="000000"/>
              <w:right w:val="nil"/>
            </w:tcBorders>
          </w:tcPr>
          <w:p>
            <w:pPr>
              <w:pStyle w:val="TableParagraph"/>
              <w:ind w:left="107"/>
              <w:rPr>
                <w:sz w:val="20"/>
              </w:rPr>
            </w:pPr>
            <w:r>
              <w:rPr>
                <w:sz w:val="20"/>
              </w:rPr>
              <w:t>13</w:t>
            </w:r>
          </w:p>
        </w:tc>
        <w:tc>
          <w:tcPr>
            <w:tcW w:w="566" w:type="dxa"/>
            <w:tcBorders>
              <w:top w:val="single" w:sz="8" w:space="0" w:color="000000"/>
              <w:left w:val="nil"/>
              <w:bottom w:val="single" w:sz="8" w:space="0" w:color="000000"/>
              <w:right w:val="nil"/>
            </w:tcBorders>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left="21"/>
              <w:jc w:val="center"/>
              <w:rPr>
                <w:sz w:val="20"/>
              </w:rPr>
            </w:pPr>
            <w:r>
              <w:rPr>
                <w:w w:val="99"/>
                <w:sz w:val="20"/>
              </w:rPr>
              <w:t>X</w:t>
            </w:r>
          </w:p>
        </w:tc>
        <w:tc>
          <w:tcPr>
            <w:tcW w:w="566" w:type="dxa"/>
            <w:tcBorders>
              <w:top w:val="single" w:sz="8" w:space="0" w:color="000000"/>
              <w:left w:val="nil"/>
              <w:bottom w:val="single" w:sz="8" w:space="0" w:color="000000"/>
              <w:right w:val="nil"/>
            </w:tcBorders>
          </w:tcPr>
          <w:p>
            <w:pPr>
              <w:pStyle w:val="TableParagraph"/>
              <w:ind w:left="107"/>
              <w:rPr>
                <w:sz w:val="20"/>
              </w:rPr>
            </w:pPr>
            <w:r>
              <w:rPr>
                <w:w w:val="99"/>
                <w:sz w:val="20"/>
              </w:rPr>
              <w:t>X</w:t>
            </w:r>
          </w:p>
        </w:tc>
        <w:tc>
          <w:tcPr>
            <w:tcW w:w="569" w:type="dxa"/>
            <w:tcBorders>
              <w:top w:val="single" w:sz="8" w:space="0" w:color="000000"/>
              <w:left w:val="nil"/>
              <w:bottom w:val="single" w:sz="8" w:space="0" w:color="000000"/>
              <w:right w:val="nil"/>
            </w:tcBorders>
          </w:tcPr>
          <w:p>
            <w:pPr>
              <w:pStyle w:val="TableParagraph"/>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ind w:left="71" w:right="106"/>
              <w:jc w:val="center"/>
              <w:rPr>
                <w:sz w:val="20"/>
              </w:rPr>
            </w:pPr>
            <w:r>
              <w:rPr>
                <w:sz w:val="20"/>
              </w:rPr>
              <w:t>16</w:t>
            </w:r>
          </w:p>
        </w:tc>
        <w:tc>
          <w:tcPr>
            <w:tcW w:w="454" w:type="dxa"/>
            <w:tcBorders>
              <w:top w:val="single" w:sz="8" w:space="0" w:color="000000"/>
              <w:left w:val="nil"/>
              <w:bottom w:val="single" w:sz="8" w:space="0" w:color="000000"/>
              <w:right w:val="nil"/>
            </w:tcBorders>
          </w:tcPr>
          <w:p>
            <w:pPr>
              <w:pStyle w:val="TableParagraph"/>
              <w:ind w:left="108"/>
              <w:rPr>
                <w:sz w:val="20"/>
              </w:rPr>
            </w:pPr>
            <w:r>
              <w:rPr>
                <w:sz w:val="20"/>
              </w:rPr>
              <w:t>13</w:t>
            </w:r>
          </w:p>
        </w:tc>
        <w:tc>
          <w:tcPr>
            <w:tcW w:w="454" w:type="dxa"/>
            <w:tcBorders>
              <w:top w:val="single" w:sz="8" w:space="0" w:color="000000"/>
              <w:left w:val="nil"/>
              <w:bottom w:val="single" w:sz="8" w:space="0" w:color="000000"/>
              <w:right w:val="nil"/>
            </w:tcBorders>
          </w:tcPr>
          <w:p>
            <w:pPr>
              <w:pStyle w:val="TableParagraph"/>
              <w:ind w:left="107"/>
              <w:rPr>
                <w:sz w:val="20"/>
              </w:rPr>
            </w:pPr>
            <w:r>
              <w:rPr>
                <w:sz w:val="20"/>
              </w:rPr>
              <w:t>13</w:t>
            </w:r>
          </w:p>
        </w:tc>
        <w:tc>
          <w:tcPr>
            <w:tcW w:w="456" w:type="dxa"/>
            <w:tcBorders>
              <w:top w:val="single" w:sz="8" w:space="0" w:color="000000"/>
              <w:left w:val="nil"/>
              <w:bottom w:val="single" w:sz="8" w:space="0" w:color="000000"/>
              <w:right w:val="nil"/>
            </w:tcBorders>
          </w:tcPr>
          <w:p>
            <w:pPr>
              <w:pStyle w:val="TableParagraph"/>
              <w:ind w:left="90" w:right="126"/>
              <w:jc w:val="center"/>
              <w:rPr>
                <w:sz w:val="20"/>
              </w:rPr>
            </w:pPr>
            <w:r>
              <w:rPr>
                <w:sz w:val="20"/>
              </w:rPr>
              <w:t>19</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ind w:left="72" w:right="106"/>
              <w:jc w:val="center"/>
              <w:rPr>
                <w:sz w:val="20"/>
              </w:rPr>
            </w:pPr>
            <w:r>
              <w:rPr>
                <w:sz w:val="20"/>
              </w:rPr>
              <w:t>32</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8</w:t>
            </w:r>
          </w:p>
        </w:tc>
        <w:tc>
          <w:tcPr>
            <w:tcW w:w="456" w:type="dxa"/>
            <w:tcBorders>
              <w:top w:val="single" w:sz="8" w:space="0" w:color="000000"/>
              <w:left w:val="nil"/>
              <w:bottom w:val="single" w:sz="8" w:space="0" w:color="000000"/>
              <w:right w:val="nil"/>
            </w:tcBorders>
          </w:tcPr>
          <w:p>
            <w:pPr>
              <w:pStyle w:val="TableParagraph"/>
              <w:ind w:right="138"/>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ind w:left="105"/>
              <w:rPr>
                <w:sz w:val="20"/>
              </w:rPr>
            </w:pPr>
            <w:r>
              <w:rPr>
                <w:sz w:val="20"/>
              </w:rPr>
              <w:t>13</w:t>
            </w:r>
          </w:p>
        </w:tc>
        <w:tc>
          <w:tcPr>
            <w:tcW w:w="454" w:type="dxa"/>
            <w:tcBorders>
              <w:top w:val="single" w:sz="8" w:space="0" w:color="000000"/>
              <w:left w:val="nil"/>
              <w:bottom w:val="single" w:sz="8" w:space="0" w:color="000000"/>
              <w:right w:val="nil"/>
            </w:tcBorders>
          </w:tcPr>
          <w:p>
            <w:pPr>
              <w:pStyle w:val="TableParagraph"/>
              <w:ind w:right="137"/>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1</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ind w:left="72" w:right="106"/>
              <w:jc w:val="center"/>
              <w:rPr>
                <w:sz w:val="20"/>
              </w:rPr>
            </w:pPr>
            <w:r>
              <w:rPr>
                <w:sz w:val="20"/>
              </w:rPr>
              <w:t>10</w:t>
            </w:r>
          </w:p>
        </w:tc>
        <w:tc>
          <w:tcPr>
            <w:tcW w:w="457" w:type="dxa"/>
            <w:tcBorders>
              <w:top w:val="single" w:sz="8" w:space="0" w:color="000000"/>
              <w:left w:val="nil"/>
              <w:bottom w:val="single" w:sz="8" w:space="0" w:color="000000"/>
              <w:right w:val="nil"/>
            </w:tcBorders>
          </w:tcPr>
          <w:p>
            <w:pPr>
              <w:pStyle w:val="TableParagraph"/>
              <w:ind w:left="107"/>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ind w:left="107"/>
              <w:rPr>
                <w:sz w:val="20"/>
              </w:rPr>
            </w:pPr>
            <w:r>
              <w:rPr>
                <w:sz w:val="20"/>
              </w:rPr>
              <w:t>12</w:t>
            </w:r>
          </w:p>
        </w:tc>
        <w:tc>
          <w:tcPr>
            <w:tcW w:w="622" w:type="dxa"/>
            <w:tcBorders>
              <w:top w:val="single" w:sz="8" w:space="0" w:color="000000"/>
              <w:left w:val="nil"/>
              <w:bottom w:val="single" w:sz="8" w:space="0" w:color="000000"/>
              <w:right w:val="nil"/>
            </w:tcBorders>
          </w:tcPr>
          <w:p>
            <w:pPr>
              <w:pStyle w:val="TableParagraph"/>
              <w:ind w:left="107"/>
              <w:rPr>
                <w:sz w:val="20"/>
              </w:rPr>
            </w:pPr>
            <w:r>
              <w:rPr>
                <w:sz w:val="20"/>
              </w:rPr>
              <w:t>210</w:t>
            </w:r>
          </w:p>
        </w:tc>
      </w:tr>
    </w:tbl>
    <w:p>
      <w:pPr>
        <w:spacing w:after="0"/>
        <w:rPr>
          <w:sz w:val="20"/>
        </w:rPr>
        <w:sectPr>
          <w:headerReference w:type="default" r:id="rId69"/>
          <w:pgSz w:w="16840" w:h="11910" w:orient="landscape"/>
          <w:pgMar w:header="749" w:footer="0" w:top="960" w:bottom="280" w:left="880" w:right="740"/>
          <w:pgNumType w:start="12"/>
        </w:sectPr>
      </w:pPr>
    </w:p>
    <w:p>
      <w:pPr>
        <w:pStyle w:val="BodyText"/>
        <w:rPr>
          <w:sz w:val="20"/>
        </w:rPr>
      </w:pPr>
      <w:r>
        <w:rPr/>
        <w:drawing>
          <wp:anchor distT="0" distB="0" distL="0" distR="0" allowOverlap="1" layoutInCell="1" locked="0" behindDoc="0" simplePos="0" relativeHeight="2416">
            <wp:simplePos x="0" y="0"/>
            <wp:positionH relativeFrom="page">
              <wp:posOffset>2860801</wp:posOffset>
            </wp:positionH>
            <wp:positionV relativeFrom="page">
              <wp:posOffset>2170430</wp:posOffset>
            </wp:positionV>
            <wp:extent cx="216469" cy="338137"/>
            <wp:effectExtent l="0" t="0" r="0" b="0"/>
            <wp:wrapNone/>
            <wp:docPr id="43" name="image28.png" descr=""/>
            <wp:cNvGraphicFramePr>
              <a:graphicFrameLocks noChangeAspect="1"/>
            </wp:cNvGraphicFramePr>
            <a:graphic>
              <a:graphicData uri="http://schemas.openxmlformats.org/drawingml/2006/picture">
                <pic:pic>
                  <pic:nvPicPr>
                    <pic:cNvPr id="44" name="image28.png"/>
                    <pic:cNvPicPr/>
                  </pic:nvPicPr>
                  <pic:blipFill>
                    <a:blip r:embed="rId79" cstate="print"/>
                    <a:stretch>
                      <a:fillRect/>
                    </a:stretch>
                  </pic:blipFill>
                  <pic:spPr>
                    <a:xfrm>
                      <a:off x="0" y="0"/>
                      <a:ext cx="216469" cy="338137"/>
                    </a:xfrm>
                    <a:prstGeom prst="rect">
                      <a:avLst/>
                    </a:prstGeom>
                  </pic:spPr>
                </pic:pic>
              </a:graphicData>
            </a:graphic>
          </wp:anchor>
        </w:drawing>
      </w:r>
      <w:r>
        <w:rPr/>
        <w:drawing>
          <wp:anchor distT="0" distB="0" distL="0" distR="0" allowOverlap="1" layoutInCell="1" locked="0" behindDoc="0" simplePos="0" relativeHeight="2440">
            <wp:simplePos x="0" y="0"/>
            <wp:positionH relativeFrom="page">
              <wp:posOffset>3795395</wp:posOffset>
            </wp:positionH>
            <wp:positionV relativeFrom="page">
              <wp:posOffset>2170430</wp:posOffset>
            </wp:positionV>
            <wp:extent cx="182694" cy="338137"/>
            <wp:effectExtent l="0" t="0" r="0" b="0"/>
            <wp:wrapNone/>
            <wp:docPr id="45" name="image29.png" descr=""/>
            <wp:cNvGraphicFramePr>
              <a:graphicFrameLocks noChangeAspect="1"/>
            </wp:cNvGraphicFramePr>
            <a:graphic>
              <a:graphicData uri="http://schemas.openxmlformats.org/drawingml/2006/picture">
                <pic:pic>
                  <pic:nvPicPr>
                    <pic:cNvPr id="46" name="image29.png"/>
                    <pic:cNvPicPr/>
                  </pic:nvPicPr>
                  <pic:blipFill>
                    <a:blip r:embed="rId80" cstate="print"/>
                    <a:stretch>
                      <a:fillRect/>
                    </a:stretch>
                  </pic:blipFill>
                  <pic:spPr>
                    <a:xfrm>
                      <a:off x="0" y="0"/>
                      <a:ext cx="182694" cy="338137"/>
                    </a:xfrm>
                    <a:prstGeom prst="rect">
                      <a:avLst/>
                    </a:prstGeom>
                  </pic:spPr>
                </pic:pic>
              </a:graphicData>
            </a:graphic>
          </wp:anchor>
        </w:drawing>
      </w:r>
      <w:r>
        <w:rPr/>
        <w:drawing>
          <wp:anchor distT="0" distB="0" distL="0" distR="0" allowOverlap="1" layoutInCell="1" locked="0" behindDoc="0" simplePos="0" relativeHeight="2464">
            <wp:simplePos x="0" y="0"/>
            <wp:positionH relativeFrom="page">
              <wp:posOffset>2860801</wp:posOffset>
            </wp:positionH>
            <wp:positionV relativeFrom="page">
              <wp:posOffset>2867279</wp:posOffset>
            </wp:positionV>
            <wp:extent cx="216950" cy="340042"/>
            <wp:effectExtent l="0" t="0" r="0" b="0"/>
            <wp:wrapNone/>
            <wp:docPr id="47" name="image30.png" descr=""/>
            <wp:cNvGraphicFramePr>
              <a:graphicFrameLocks noChangeAspect="1"/>
            </wp:cNvGraphicFramePr>
            <a:graphic>
              <a:graphicData uri="http://schemas.openxmlformats.org/drawingml/2006/picture">
                <pic:pic>
                  <pic:nvPicPr>
                    <pic:cNvPr id="48" name="image30.png"/>
                    <pic:cNvPicPr/>
                  </pic:nvPicPr>
                  <pic:blipFill>
                    <a:blip r:embed="rId81" cstate="print"/>
                    <a:stretch>
                      <a:fillRect/>
                    </a:stretch>
                  </pic:blipFill>
                  <pic:spPr>
                    <a:xfrm>
                      <a:off x="0" y="0"/>
                      <a:ext cx="216950" cy="340042"/>
                    </a:xfrm>
                    <a:prstGeom prst="rect">
                      <a:avLst/>
                    </a:prstGeom>
                  </pic:spPr>
                </pic:pic>
              </a:graphicData>
            </a:graphic>
          </wp:anchor>
        </w:drawing>
      </w:r>
      <w:r>
        <w:rPr/>
        <w:drawing>
          <wp:anchor distT="0" distB="0" distL="0" distR="0" allowOverlap="1" layoutInCell="1" locked="0" behindDoc="0" simplePos="0" relativeHeight="2488">
            <wp:simplePos x="0" y="0"/>
            <wp:positionH relativeFrom="page">
              <wp:posOffset>3795395</wp:posOffset>
            </wp:positionH>
            <wp:positionV relativeFrom="page">
              <wp:posOffset>2867279</wp:posOffset>
            </wp:positionV>
            <wp:extent cx="183099" cy="340042"/>
            <wp:effectExtent l="0" t="0" r="0" b="0"/>
            <wp:wrapNone/>
            <wp:docPr id="49" name="image31.png" descr=""/>
            <wp:cNvGraphicFramePr>
              <a:graphicFrameLocks noChangeAspect="1"/>
            </wp:cNvGraphicFramePr>
            <a:graphic>
              <a:graphicData uri="http://schemas.openxmlformats.org/drawingml/2006/picture">
                <pic:pic>
                  <pic:nvPicPr>
                    <pic:cNvPr id="50" name="image31.png"/>
                    <pic:cNvPicPr/>
                  </pic:nvPicPr>
                  <pic:blipFill>
                    <a:blip r:embed="rId82" cstate="print"/>
                    <a:stretch>
                      <a:fillRect/>
                    </a:stretch>
                  </pic:blipFill>
                  <pic:spPr>
                    <a:xfrm>
                      <a:off x="0" y="0"/>
                      <a:ext cx="183099" cy="340042"/>
                    </a:xfrm>
                    <a:prstGeom prst="rect">
                      <a:avLst/>
                    </a:prstGeom>
                  </pic:spPr>
                </pic:pic>
              </a:graphicData>
            </a:graphic>
          </wp:anchor>
        </w:drawing>
      </w:r>
      <w:r>
        <w:rPr/>
        <w:drawing>
          <wp:anchor distT="0" distB="0" distL="0" distR="0" allowOverlap="1" layoutInCell="1" locked="0" behindDoc="0" simplePos="0" relativeHeight="2512">
            <wp:simplePos x="0" y="0"/>
            <wp:positionH relativeFrom="page">
              <wp:posOffset>2860801</wp:posOffset>
            </wp:positionH>
            <wp:positionV relativeFrom="page">
              <wp:posOffset>3565271</wp:posOffset>
            </wp:positionV>
            <wp:extent cx="213663" cy="333375"/>
            <wp:effectExtent l="0" t="0" r="0" b="0"/>
            <wp:wrapNone/>
            <wp:docPr id="51" name="image20.png" descr=""/>
            <wp:cNvGraphicFramePr>
              <a:graphicFrameLocks noChangeAspect="1"/>
            </wp:cNvGraphicFramePr>
            <a:graphic>
              <a:graphicData uri="http://schemas.openxmlformats.org/drawingml/2006/picture">
                <pic:pic>
                  <pic:nvPicPr>
                    <pic:cNvPr id="52" name="image20.png"/>
                    <pic:cNvPicPr/>
                  </pic:nvPicPr>
                  <pic:blipFill>
                    <a:blip r:embed="rId70" cstate="print"/>
                    <a:stretch>
                      <a:fillRect/>
                    </a:stretch>
                  </pic:blipFill>
                  <pic:spPr>
                    <a:xfrm>
                      <a:off x="0" y="0"/>
                      <a:ext cx="213663" cy="333375"/>
                    </a:xfrm>
                    <a:prstGeom prst="rect">
                      <a:avLst/>
                    </a:prstGeom>
                  </pic:spPr>
                </pic:pic>
              </a:graphicData>
            </a:graphic>
          </wp:anchor>
        </w:drawing>
      </w:r>
      <w:r>
        <w:rPr/>
        <w:drawing>
          <wp:anchor distT="0" distB="0" distL="0" distR="0" allowOverlap="1" layoutInCell="1" locked="0" behindDoc="0" simplePos="0" relativeHeight="2536">
            <wp:simplePos x="0" y="0"/>
            <wp:positionH relativeFrom="page">
              <wp:posOffset>3795395</wp:posOffset>
            </wp:positionH>
            <wp:positionV relativeFrom="page">
              <wp:posOffset>3565271</wp:posOffset>
            </wp:positionV>
            <wp:extent cx="180325" cy="333375"/>
            <wp:effectExtent l="0" t="0" r="0" b="0"/>
            <wp:wrapNone/>
            <wp:docPr id="53" name="image21.png" descr=""/>
            <wp:cNvGraphicFramePr>
              <a:graphicFrameLocks noChangeAspect="1"/>
            </wp:cNvGraphicFramePr>
            <a:graphic>
              <a:graphicData uri="http://schemas.openxmlformats.org/drawingml/2006/picture">
                <pic:pic>
                  <pic:nvPicPr>
                    <pic:cNvPr id="54" name="image21.png"/>
                    <pic:cNvPicPr/>
                  </pic:nvPicPr>
                  <pic:blipFill>
                    <a:blip r:embed="rId71" cstate="print"/>
                    <a:stretch>
                      <a:fillRect/>
                    </a:stretch>
                  </pic:blipFill>
                  <pic:spPr>
                    <a:xfrm>
                      <a:off x="0" y="0"/>
                      <a:ext cx="180325" cy="333375"/>
                    </a:xfrm>
                    <a:prstGeom prst="rect">
                      <a:avLst/>
                    </a:prstGeom>
                  </pic:spPr>
                </pic:pic>
              </a:graphicData>
            </a:graphic>
          </wp:anchor>
        </w:drawing>
      </w:r>
      <w:r>
        <w:rPr/>
        <w:drawing>
          <wp:anchor distT="0" distB="0" distL="0" distR="0" allowOverlap="1" layoutInCell="1" locked="0" behindDoc="0" simplePos="0" relativeHeight="2560">
            <wp:simplePos x="0" y="0"/>
            <wp:positionH relativeFrom="page">
              <wp:posOffset>2860801</wp:posOffset>
            </wp:positionH>
            <wp:positionV relativeFrom="page">
              <wp:posOffset>4261992</wp:posOffset>
            </wp:positionV>
            <wp:extent cx="215734" cy="338137"/>
            <wp:effectExtent l="0" t="0" r="0" b="0"/>
            <wp:wrapNone/>
            <wp:docPr id="55" name="image32.png" descr=""/>
            <wp:cNvGraphicFramePr>
              <a:graphicFrameLocks noChangeAspect="1"/>
            </wp:cNvGraphicFramePr>
            <a:graphic>
              <a:graphicData uri="http://schemas.openxmlformats.org/drawingml/2006/picture">
                <pic:pic>
                  <pic:nvPicPr>
                    <pic:cNvPr id="56" name="image32.png"/>
                    <pic:cNvPicPr/>
                  </pic:nvPicPr>
                  <pic:blipFill>
                    <a:blip r:embed="rId83" cstate="print"/>
                    <a:stretch>
                      <a:fillRect/>
                    </a:stretch>
                  </pic:blipFill>
                  <pic:spPr>
                    <a:xfrm>
                      <a:off x="0" y="0"/>
                      <a:ext cx="215734" cy="338137"/>
                    </a:xfrm>
                    <a:prstGeom prst="rect">
                      <a:avLst/>
                    </a:prstGeom>
                  </pic:spPr>
                </pic:pic>
              </a:graphicData>
            </a:graphic>
          </wp:anchor>
        </w:drawing>
      </w:r>
      <w:r>
        <w:rPr/>
        <w:drawing>
          <wp:anchor distT="0" distB="0" distL="0" distR="0" allowOverlap="1" layoutInCell="1" locked="0" behindDoc="0" simplePos="0" relativeHeight="2584">
            <wp:simplePos x="0" y="0"/>
            <wp:positionH relativeFrom="page">
              <wp:posOffset>3795395</wp:posOffset>
            </wp:positionH>
            <wp:positionV relativeFrom="page">
              <wp:posOffset>4261992</wp:posOffset>
            </wp:positionV>
            <wp:extent cx="182074" cy="338137"/>
            <wp:effectExtent l="0" t="0" r="0" b="0"/>
            <wp:wrapNone/>
            <wp:docPr id="57" name="image33.png" descr=""/>
            <wp:cNvGraphicFramePr>
              <a:graphicFrameLocks noChangeAspect="1"/>
            </wp:cNvGraphicFramePr>
            <a:graphic>
              <a:graphicData uri="http://schemas.openxmlformats.org/drawingml/2006/picture">
                <pic:pic>
                  <pic:nvPicPr>
                    <pic:cNvPr id="58" name="image33.png"/>
                    <pic:cNvPicPr/>
                  </pic:nvPicPr>
                  <pic:blipFill>
                    <a:blip r:embed="rId84" cstate="print"/>
                    <a:stretch>
                      <a:fillRect/>
                    </a:stretch>
                  </pic:blipFill>
                  <pic:spPr>
                    <a:xfrm>
                      <a:off x="0" y="0"/>
                      <a:ext cx="182074" cy="338137"/>
                    </a:xfrm>
                    <a:prstGeom prst="rect">
                      <a:avLst/>
                    </a:prstGeom>
                  </pic:spPr>
                </pic:pic>
              </a:graphicData>
            </a:graphic>
          </wp:anchor>
        </w:drawing>
      </w:r>
      <w:r>
        <w:rPr/>
        <w:drawing>
          <wp:anchor distT="0" distB="0" distL="0" distR="0" allowOverlap="1" layoutInCell="1" locked="0" behindDoc="0" simplePos="0" relativeHeight="2608">
            <wp:simplePos x="0" y="0"/>
            <wp:positionH relativeFrom="page">
              <wp:posOffset>2860801</wp:posOffset>
            </wp:positionH>
            <wp:positionV relativeFrom="page">
              <wp:posOffset>4610989</wp:posOffset>
            </wp:positionV>
            <wp:extent cx="213663" cy="333375"/>
            <wp:effectExtent l="0" t="0" r="0" b="0"/>
            <wp:wrapNone/>
            <wp:docPr id="59" name="image20.png" descr=""/>
            <wp:cNvGraphicFramePr>
              <a:graphicFrameLocks noChangeAspect="1"/>
            </wp:cNvGraphicFramePr>
            <a:graphic>
              <a:graphicData uri="http://schemas.openxmlformats.org/drawingml/2006/picture">
                <pic:pic>
                  <pic:nvPicPr>
                    <pic:cNvPr id="60" name="image20.png"/>
                    <pic:cNvPicPr/>
                  </pic:nvPicPr>
                  <pic:blipFill>
                    <a:blip r:embed="rId70" cstate="print"/>
                    <a:stretch>
                      <a:fillRect/>
                    </a:stretch>
                  </pic:blipFill>
                  <pic:spPr>
                    <a:xfrm>
                      <a:off x="0" y="0"/>
                      <a:ext cx="213663" cy="333375"/>
                    </a:xfrm>
                    <a:prstGeom prst="rect">
                      <a:avLst/>
                    </a:prstGeom>
                  </pic:spPr>
                </pic:pic>
              </a:graphicData>
            </a:graphic>
          </wp:anchor>
        </w:drawing>
      </w:r>
      <w:r>
        <w:rPr/>
        <w:drawing>
          <wp:anchor distT="0" distB="0" distL="0" distR="0" allowOverlap="1" layoutInCell="1" locked="0" behindDoc="0" simplePos="0" relativeHeight="2632">
            <wp:simplePos x="0" y="0"/>
            <wp:positionH relativeFrom="page">
              <wp:posOffset>3795395</wp:posOffset>
            </wp:positionH>
            <wp:positionV relativeFrom="page">
              <wp:posOffset>4610989</wp:posOffset>
            </wp:positionV>
            <wp:extent cx="180325" cy="333375"/>
            <wp:effectExtent l="0" t="0" r="0" b="0"/>
            <wp:wrapNone/>
            <wp:docPr id="61" name="image21.png" descr=""/>
            <wp:cNvGraphicFramePr>
              <a:graphicFrameLocks noChangeAspect="1"/>
            </wp:cNvGraphicFramePr>
            <a:graphic>
              <a:graphicData uri="http://schemas.openxmlformats.org/drawingml/2006/picture">
                <pic:pic>
                  <pic:nvPicPr>
                    <pic:cNvPr id="62" name="image21.png"/>
                    <pic:cNvPicPr/>
                  </pic:nvPicPr>
                  <pic:blipFill>
                    <a:blip r:embed="rId71" cstate="print"/>
                    <a:stretch>
                      <a:fillRect/>
                    </a:stretch>
                  </pic:blipFill>
                  <pic:spPr>
                    <a:xfrm>
                      <a:off x="0" y="0"/>
                      <a:ext cx="180325" cy="333375"/>
                    </a:xfrm>
                    <a:prstGeom prst="rect">
                      <a:avLst/>
                    </a:prstGeom>
                  </pic:spPr>
                </pic:pic>
              </a:graphicData>
            </a:graphic>
          </wp:anchor>
        </w:drawing>
      </w:r>
      <w:r>
        <w:rPr/>
        <w:drawing>
          <wp:anchor distT="0" distB="0" distL="0" distR="0" allowOverlap="1" layoutInCell="1" locked="0" behindDoc="0" simplePos="0" relativeHeight="2656">
            <wp:simplePos x="0" y="0"/>
            <wp:positionH relativeFrom="page">
              <wp:posOffset>2860801</wp:posOffset>
            </wp:positionH>
            <wp:positionV relativeFrom="page">
              <wp:posOffset>5307457</wp:posOffset>
            </wp:positionV>
            <wp:extent cx="215491" cy="338137"/>
            <wp:effectExtent l="0" t="0" r="0" b="0"/>
            <wp:wrapNone/>
            <wp:docPr id="63" name="image34.png" descr=""/>
            <wp:cNvGraphicFramePr>
              <a:graphicFrameLocks noChangeAspect="1"/>
            </wp:cNvGraphicFramePr>
            <a:graphic>
              <a:graphicData uri="http://schemas.openxmlformats.org/drawingml/2006/picture">
                <pic:pic>
                  <pic:nvPicPr>
                    <pic:cNvPr id="64" name="image34.png"/>
                    <pic:cNvPicPr/>
                  </pic:nvPicPr>
                  <pic:blipFill>
                    <a:blip r:embed="rId85" cstate="print"/>
                    <a:stretch>
                      <a:fillRect/>
                    </a:stretch>
                  </pic:blipFill>
                  <pic:spPr>
                    <a:xfrm>
                      <a:off x="0" y="0"/>
                      <a:ext cx="215491" cy="338137"/>
                    </a:xfrm>
                    <a:prstGeom prst="rect">
                      <a:avLst/>
                    </a:prstGeom>
                  </pic:spPr>
                </pic:pic>
              </a:graphicData>
            </a:graphic>
          </wp:anchor>
        </w:drawing>
      </w:r>
      <w:r>
        <w:rPr/>
        <w:drawing>
          <wp:anchor distT="0" distB="0" distL="0" distR="0" allowOverlap="1" layoutInCell="1" locked="0" behindDoc="0" simplePos="0" relativeHeight="2680">
            <wp:simplePos x="0" y="0"/>
            <wp:positionH relativeFrom="page">
              <wp:posOffset>3795395</wp:posOffset>
            </wp:positionH>
            <wp:positionV relativeFrom="page">
              <wp:posOffset>5307457</wp:posOffset>
            </wp:positionV>
            <wp:extent cx="181868" cy="338137"/>
            <wp:effectExtent l="0" t="0" r="0" b="0"/>
            <wp:wrapNone/>
            <wp:docPr id="65" name="image35.png" descr=""/>
            <wp:cNvGraphicFramePr>
              <a:graphicFrameLocks noChangeAspect="1"/>
            </wp:cNvGraphicFramePr>
            <a:graphic>
              <a:graphicData uri="http://schemas.openxmlformats.org/drawingml/2006/picture">
                <pic:pic>
                  <pic:nvPicPr>
                    <pic:cNvPr id="66" name="image35.png"/>
                    <pic:cNvPicPr/>
                  </pic:nvPicPr>
                  <pic:blipFill>
                    <a:blip r:embed="rId86" cstate="print"/>
                    <a:stretch>
                      <a:fillRect/>
                    </a:stretch>
                  </pic:blipFill>
                  <pic:spPr>
                    <a:xfrm>
                      <a:off x="0" y="0"/>
                      <a:ext cx="181868" cy="338137"/>
                    </a:xfrm>
                    <a:prstGeom prst="rect">
                      <a:avLst/>
                    </a:prstGeom>
                  </pic:spPr>
                </pic:pic>
              </a:graphicData>
            </a:graphic>
          </wp:anchor>
        </w:drawing>
      </w:r>
      <w:r>
        <w:rPr/>
        <w:drawing>
          <wp:anchor distT="0" distB="0" distL="0" distR="0" allowOverlap="1" layoutInCell="1" locked="0" behindDoc="0" simplePos="0" relativeHeight="2704">
            <wp:simplePos x="0" y="0"/>
            <wp:positionH relativeFrom="page">
              <wp:posOffset>2860801</wp:posOffset>
            </wp:positionH>
            <wp:positionV relativeFrom="page">
              <wp:posOffset>6005829</wp:posOffset>
            </wp:positionV>
            <wp:extent cx="213695" cy="333375"/>
            <wp:effectExtent l="0" t="0" r="0" b="0"/>
            <wp:wrapNone/>
            <wp:docPr id="67" name="image36.png" descr=""/>
            <wp:cNvGraphicFramePr>
              <a:graphicFrameLocks noChangeAspect="1"/>
            </wp:cNvGraphicFramePr>
            <a:graphic>
              <a:graphicData uri="http://schemas.openxmlformats.org/drawingml/2006/picture">
                <pic:pic>
                  <pic:nvPicPr>
                    <pic:cNvPr id="68" name="image36.png"/>
                    <pic:cNvPicPr/>
                  </pic:nvPicPr>
                  <pic:blipFill>
                    <a:blip r:embed="rId87" cstate="print"/>
                    <a:stretch>
                      <a:fillRect/>
                    </a:stretch>
                  </pic:blipFill>
                  <pic:spPr>
                    <a:xfrm>
                      <a:off x="0" y="0"/>
                      <a:ext cx="213695" cy="333375"/>
                    </a:xfrm>
                    <a:prstGeom prst="rect">
                      <a:avLst/>
                    </a:prstGeom>
                  </pic:spPr>
                </pic:pic>
              </a:graphicData>
            </a:graphic>
          </wp:anchor>
        </w:drawing>
      </w:r>
      <w:r>
        <w:rPr/>
        <w:drawing>
          <wp:anchor distT="0" distB="0" distL="0" distR="0" allowOverlap="1" layoutInCell="1" locked="0" behindDoc="0" simplePos="0" relativeHeight="2728">
            <wp:simplePos x="0" y="0"/>
            <wp:positionH relativeFrom="page">
              <wp:posOffset>3795395</wp:posOffset>
            </wp:positionH>
            <wp:positionV relativeFrom="page">
              <wp:posOffset>6005829</wp:posOffset>
            </wp:positionV>
            <wp:extent cx="180352" cy="333375"/>
            <wp:effectExtent l="0" t="0" r="0" b="0"/>
            <wp:wrapNone/>
            <wp:docPr id="69" name="image37.png" descr=""/>
            <wp:cNvGraphicFramePr>
              <a:graphicFrameLocks noChangeAspect="1"/>
            </wp:cNvGraphicFramePr>
            <a:graphic>
              <a:graphicData uri="http://schemas.openxmlformats.org/drawingml/2006/picture">
                <pic:pic>
                  <pic:nvPicPr>
                    <pic:cNvPr id="70" name="image37.png"/>
                    <pic:cNvPicPr/>
                  </pic:nvPicPr>
                  <pic:blipFill>
                    <a:blip r:embed="rId88" cstate="print"/>
                    <a:stretch>
                      <a:fillRect/>
                    </a:stretch>
                  </pic:blipFill>
                  <pic:spPr>
                    <a:xfrm>
                      <a:off x="0" y="0"/>
                      <a:ext cx="180352" cy="333375"/>
                    </a:xfrm>
                    <a:prstGeom prst="rect">
                      <a:avLst/>
                    </a:prstGeom>
                  </pic:spPr>
                </pic:pic>
              </a:graphicData>
            </a:graphic>
          </wp:anchor>
        </w:drawing>
      </w:r>
    </w:p>
    <w:p>
      <w:pPr>
        <w:pStyle w:val="BodyText"/>
        <w:rPr>
          <w:sz w:val="20"/>
        </w:rPr>
      </w:pPr>
    </w:p>
    <w:p>
      <w:pPr>
        <w:pStyle w:val="BodyText"/>
        <w:spacing w:before="8"/>
        <w:rPr>
          <w:sz w:val="22"/>
        </w:rPr>
      </w:pPr>
    </w:p>
    <w:tbl>
      <w:tblPr>
        <w:tblW w:w="0" w:type="auto"/>
        <w:jc w:val="left"/>
        <w:tblInd w:w="101"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304"/>
        <w:gridCol w:w="1078"/>
        <w:gridCol w:w="566"/>
        <w:gridCol w:w="566"/>
        <w:gridCol w:w="338"/>
        <w:gridCol w:w="566"/>
        <w:gridCol w:w="569"/>
        <w:gridCol w:w="283"/>
        <w:gridCol w:w="454"/>
        <w:gridCol w:w="454"/>
        <w:gridCol w:w="454"/>
        <w:gridCol w:w="456"/>
        <w:gridCol w:w="454"/>
        <w:gridCol w:w="454"/>
        <w:gridCol w:w="454"/>
        <w:gridCol w:w="454"/>
        <w:gridCol w:w="454"/>
        <w:gridCol w:w="456"/>
        <w:gridCol w:w="454"/>
        <w:gridCol w:w="454"/>
        <w:gridCol w:w="454"/>
        <w:gridCol w:w="454"/>
        <w:gridCol w:w="454"/>
        <w:gridCol w:w="457"/>
        <w:gridCol w:w="454"/>
        <w:gridCol w:w="454"/>
        <w:gridCol w:w="454"/>
        <w:gridCol w:w="454"/>
        <w:gridCol w:w="622"/>
      </w:tblGrid>
      <w:tr>
        <w:trPr>
          <w:trHeight w:val="1132" w:hRule="exact"/>
        </w:trPr>
        <w:tc>
          <w:tcPr>
            <w:tcW w:w="1304" w:type="dxa"/>
            <w:tcBorders>
              <w:left w:val="single" w:sz="8" w:space="0" w:color="000000"/>
              <w:right w:val="single" w:sz="8" w:space="0" w:color="000000"/>
            </w:tcBorders>
            <w:shd w:val="clear" w:color="auto" w:fill="F9DECA"/>
          </w:tcPr>
          <w:p>
            <w:pPr>
              <w:pStyle w:val="TableParagraph"/>
              <w:spacing w:before="0"/>
              <w:rPr>
                <w:sz w:val="22"/>
              </w:rPr>
            </w:pPr>
          </w:p>
          <w:p>
            <w:pPr>
              <w:pStyle w:val="TableParagraph"/>
              <w:spacing w:before="155"/>
              <w:ind w:left="201"/>
              <w:rPr>
                <w:b/>
                <w:sz w:val="20"/>
              </w:rPr>
            </w:pPr>
            <w:r>
              <w:rPr>
                <w:b/>
                <w:sz w:val="20"/>
              </w:rPr>
              <w:t>Município</w:t>
            </w:r>
          </w:p>
        </w:tc>
        <w:tc>
          <w:tcPr>
            <w:tcW w:w="1078" w:type="dxa"/>
            <w:tcBorders>
              <w:left w:val="single" w:sz="8" w:space="0" w:color="000000"/>
              <w:right w:val="single" w:sz="8" w:space="0" w:color="000000"/>
            </w:tcBorders>
            <w:shd w:val="clear" w:color="auto" w:fill="F9DECA"/>
            <w:textDirection w:val="btLr"/>
          </w:tcPr>
          <w:p>
            <w:pPr>
              <w:pStyle w:val="TableParagraph"/>
              <w:spacing w:before="4"/>
              <w:rPr>
                <w:sz w:val="22"/>
              </w:rPr>
            </w:pPr>
          </w:p>
          <w:p>
            <w:pPr>
              <w:pStyle w:val="TableParagraph"/>
              <w:spacing w:line="283" w:lineRule="auto" w:before="0"/>
              <w:ind w:left="112" w:right="30"/>
              <w:rPr>
                <w:b/>
                <w:sz w:val="20"/>
              </w:rPr>
            </w:pPr>
            <w:r>
              <w:rPr>
                <w:b/>
                <w:spacing w:val="-1"/>
                <w:w w:val="99"/>
                <w:sz w:val="20"/>
              </w:rPr>
              <w:t>L</w:t>
            </w:r>
            <w:r>
              <w:rPr>
                <w:b/>
                <w:w w:val="99"/>
                <w:sz w:val="20"/>
              </w:rPr>
              <w:t>ei</w:t>
            </w:r>
            <w:r>
              <w:rPr>
                <w:b/>
                <w:sz w:val="20"/>
              </w:rPr>
              <w:t> </w:t>
            </w:r>
            <w:r>
              <w:rPr>
                <w:b/>
                <w:w w:val="99"/>
                <w:sz w:val="20"/>
              </w:rPr>
              <w:t>do </w:t>
            </w:r>
            <w:r>
              <w:rPr>
                <w:b/>
                <w:w w:val="99"/>
                <w:sz w:val="20"/>
              </w:rPr>
              <w:t>P</w:t>
            </w:r>
            <w:r>
              <w:rPr>
                <w:b/>
                <w:spacing w:val="-1"/>
                <w:w w:val="99"/>
                <w:sz w:val="20"/>
              </w:rPr>
              <w:t>M</w:t>
            </w:r>
            <w:r>
              <w:rPr>
                <w:b/>
                <w:w w:val="99"/>
                <w:sz w:val="20"/>
              </w:rPr>
              <w:t>E</w:t>
            </w:r>
          </w:p>
        </w:tc>
        <w:tc>
          <w:tcPr>
            <w:tcW w:w="566" w:type="dxa"/>
            <w:tcBorders>
              <w:left w:val="single" w:sz="8" w:space="0" w:color="000000"/>
              <w:right w:val="single" w:sz="8" w:space="0" w:color="000000"/>
            </w:tcBorders>
            <w:shd w:val="clear" w:color="auto" w:fill="F9DECA"/>
            <w:textDirection w:val="btLr"/>
          </w:tcPr>
          <w:p>
            <w:pPr>
              <w:pStyle w:val="TableParagraph"/>
              <w:spacing w:line="283" w:lineRule="auto" w:before="3"/>
              <w:ind w:left="112" w:right="30"/>
              <w:rPr>
                <w:b/>
                <w:sz w:val="20"/>
              </w:rPr>
            </w:pPr>
            <w:r>
              <w:rPr>
                <w:b/>
                <w:w w:val="99"/>
                <w:sz w:val="20"/>
              </w:rPr>
              <w:t>Nº</w:t>
            </w:r>
            <w:r>
              <w:rPr>
                <w:b/>
                <w:spacing w:val="-1"/>
                <w:sz w:val="20"/>
              </w:rPr>
              <w:t> </w:t>
            </w:r>
            <w:r>
              <w:rPr>
                <w:b/>
                <w:w w:val="99"/>
                <w:sz w:val="20"/>
              </w:rPr>
              <w:t>de Ar</w:t>
            </w:r>
            <w:r>
              <w:rPr>
                <w:b/>
                <w:spacing w:val="1"/>
                <w:w w:val="99"/>
                <w:sz w:val="20"/>
              </w:rPr>
              <w:t>t</w:t>
            </w:r>
            <w:r>
              <w:rPr>
                <w:b/>
                <w:w w:val="99"/>
                <w:sz w:val="20"/>
              </w:rPr>
              <w:t>ig</w:t>
            </w:r>
            <w:r>
              <w:rPr>
                <w:b/>
                <w:spacing w:val="1"/>
                <w:w w:val="99"/>
                <w:sz w:val="20"/>
              </w:rPr>
              <w:t>o</w:t>
            </w:r>
            <w:r>
              <w:rPr>
                <w:b/>
                <w:w w:val="99"/>
                <w:sz w:val="20"/>
              </w:rPr>
              <w:t>s</w:t>
            </w:r>
          </w:p>
        </w:tc>
        <w:tc>
          <w:tcPr>
            <w:tcW w:w="566" w:type="dxa"/>
            <w:tcBorders>
              <w:left w:val="single" w:sz="8" w:space="0" w:color="000000"/>
              <w:right w:val="single" w:sz="8" w:space="0" w:color="000000"/>
            </w:tcBorders>
            <w:shd w:val="clear" w:color="auto" w:fill="F9DECA"/>
            <w:textDirection w:val="btLr"/>
          </w:tcPr>
          <w:p>
            <w:pPr>
              <w:pStyle w:val="TableParagraph"/>
              <w:spacing w:line="283" w:lineRule="auto" w:before="3"/>
              <w:ind w:left="112" w:right="30"/>
              <w:rPr>
                <w:b/>
                <w:sz w:val="20"/>
              </w:rPr>
            </w:pPr>
            <w:r>
              <w:rPr>
                <w:b/>
                <w:w w:val="99"/>
                <w:sz w:val="20"/>
              </w:rPr>
              <w:t>Nº</w:t>
            </w:r>
            <w:r>
              <w:rPr>
                <w:b/>
                <w:spacing w:val="-1"/>
                <w:sz w:val="20"/>
              </w:rPr>
              <w:t> </w:t>
            </w:r>
            <w:r>
              <w:rPr>
                <w:b/>
                <w:w w:val="99"/>
                <w:sz w:val="20"/>
              </w:rPr>
              <w:t>de </w:t>
            </w:r>
            <w:r>
              <w:rPr>
                <w:b/>
                <w:spacing w:val="-1"/>
                <w:w w:val="99"/>
                <w:sz w:val="20"/>
              </w:rPr>
              <w:t>M</w:t>
            </w:r>
            <w:r>
              <w:rPr>
                <w:b/>
                <w:w w:val="99"/>
                <w:sz w:val="20"/>
              </w:rPr>
              <w:t>e</w:t>
            </w:r>
            <w:r>
              <w:rPr>
                <w:b/>
                <w:spacing w:val="1"/>
                <w:w w:val="99"/>
                <w:sz w:val="20"/>
              </w:rPr>
              <w:t>ta</w:t>
            </w:r>
            <w:r>
              <w:rPr>
                <w:b/>
                <w:w w:val="99"/>
                <w:sz w:val="20"/>
              </w:rPr>
              <w:t>s</w:t>
            </w:r>
          </w:p>
        </w:tc>
        <w:tc>
          <w:tcPr>
            <w:tcW w:w="338" w:type="dxa"/>
            <w:tcBorders>
              <w:left w:val="single" w:sz="8" w:space="0" w:color="000000"/>
              <w:right w:val="single" w:sz="8" w:space="0" w:color="000000"/>
            </w:tcBorders>
            <w:shd w:val="clear" w:color="auto" w:fill="F9DECA"/>
            <w:textDirection w:val="btLr"/>
          </w:tcPr>
          <w:p>
            <w:pPr>
              <w:pStyle w:val="TableParagraph"/>
              <w:spacing w:before="24"/>
              <w:ind w:left="-1"/>
              <w:rPr>
                <w:b/>
                <w:sz w:val="20"/>
              </w:rPr>
            </w:pPr>
            <w:r>
              <w:rPr>
                <w:b/>
                <w:w w:val="99"/>
                <w:sz w:val="20"/>
              </w:rPr>
              <w:t>C</w:t>
            </w:r>
            <w:r>
              <w:rPr>
                <w:b/>
                <w:spacing w:val="1"/>
                <w:w w:val="99"/>
                <w:sz w:val="20"/>
              </w:rPr>
              <w:t>o</w:t>
            </w:r>
            <w:r>
              <w:rPr>
                <w:b/>
                <w:w w:val="99"/>
                <w:sz w:val="20"/>
              </w:rPr>
              <w:t>mi</w:t>
            </w:r>
            <w:r>
              <w:rPr>
                <w:b/>
                <w:spacing w:val="-2"/>
                <w:w w:val="99"/>
                <w:sz w:val="20"/>
              </w:rPr>
              <w:t>s</w:t>
            </w:r>
            <w:r>
              <w:rPr>
                <w:b/>
                <w:spacing w:val="-1"/>
                <w:w w:val="99"/>
                <w:sz w:val="20"/>
              </w:rPr>
              <w:t>s</w:t>
            </w:r>
            <w:r>
              <w:rPr>
                <w:b/>
                <w:spacing w:val="1"/>
                <w:w w:val="99"/>
                <w:sz w:val="20"/>
              </w:rPr>
              <w:t>ã</w:t>
            </w:r>
            <w:r>
              <w:rPr>
                <w:b/>
                <w:w w:val="99"/>
                <w:sz w:val="20"/>
              </w:rPr>
              <w:t>o</w:t>
            </w:r>
          </w:p>
        </w:tc>
        <w:tc>
          <w:tcPr>
            <w:tcW w:w="566" w:type="dxa"/>
            <w:tcBorders>
              <w:left w:val="single" w:sz="8" w:space="0" w:color="000000"/>
              <w:right w:val="single" w:sz="8" w:space="0" w:color="000000"/>
            </w:tcBorders>
            <w:shd w:val="clear" w:color="auto" w:fill="F9DECA"/>
            <w:textDirection w:val="btLr"/>
          </w:tcPr>
          <w:p>
            <w:pPr>
              <w:pStyle w:val="TableParagraph"/>
              <w:spacing w:line="283" w:lineRule="auto" w:before="3"/>
              <w:ind w:left="-1" w:right="30"/>
              <w:rPr>
                <w:b/>
                <w:sz w:val="20"/>
              </w:rPr>
            </w:pPr>
            <w:r>
              <w:rPr>
                <w:b/>
                <w:spacing w:val="-1"/>
                <w:w w:val="99"/>
                <w:sz w:val="20"/>
              </w:rPr>
              <w:t>E</w:t>
            </w:r>
            <w:r>
              <w:rPr>
                <w:b/>
                <w:w w:val="99"/>
                <w:sz w:val="20"/>
              </w:rPr>
              <w:t>q</w:t>
            </w:r>
            <w:r>
              <w:rPr>
                <w:b/>
                <w:spacing w:val="-1"/>
                <w:w w:val="99"/>
                <w:sz w:val="20"/>
              </w:rPr>
              <w:t>u</w:t>
            </w:r>
            <w:r>
              <w:rPr>
                <w:b/>
                <w:spacing w:val="2"/>
                <w:w w:val="99"/>
                <w:sz w:val="20"/>
              </w:rPr>
              <w:t>i</w:t>
            </w:r>
            <w:r>
              <w:rPr>
                <w:b/>
                <w:w w:val="99"/>
                <w:sz w:val="20"/>
              </w:rPr>
              <w:t>pe </w:t>
            </w:r>
            <w:r>
              <w:rPr>
                <w:b/>
                <w:spacing w:val="-1"/>
                <w:w w:val="99"/>
                <w:sz w:val="20"/>
              </w:rPr>
              <w:t>T</w:t>
            </w:r>
            <w:r>
              <w:rPr>
                <w:b/>
                <w:w w:val="99"/>
                <w:sz w:val="20"/>
              </w:rPr>
              <w:t>écnica</w:t>
            </w:r>
          </w:p>
        </w:tc>
        <w:tc>
          <w:tcPr>
            <w:tcW w:w="569" w:type="dxa"/>
            <w:tcBorders>
              <w:left w:val="single" w:sz="8" w:space="0" w:color="000000"/>
              <w:right w:val="single" w:sz="8" w:space="0" w:color="000000"/>
            </w:tcBorders>
            <w:shd w:val="clear" w:color="auto" w:fill="F9DECA"/>
            <w:textDirection w:val="btLr"/>
          </w:tcPr>
          <w:p>
            <w:pPr>
              <w:pStyle w:val="TableParagraph"/>
              <w:spacing w:line="283" w:lineRule="auto" w:before="3"/>
              <w:ind w:left="-1"/>
              <w:rPr>
                <w:b/>
                <w:sz w:val="20"/>
              </w:rPr>
            </w:pPr>
            <w:r>
              <w:rPr>
                <w:b/>
                <w:w w:val="99"/>
                <w:sz w:val="20"/>
              </w:rPr>
              <w:t>H</w:t>
            </w:r>
            <w:r>
              <w:rPr>
                <w:b/>
                <w:w w:val="99"/>
                <w:sz w:val="20"/>
              </w:rPr>
              <w:t>i</w:t>
            </w:r>
            <w:r>
              <w:rPr>
                <w:b/>
                <w:spacing w:val="-1"/>
                <w:w w:val="99"/>
                <w:sz w:val="20"/>
              </w:rPr>
              <w:t>s</w:t>
            </w:r>
            <w:r>
              <w:rPr>
                <w:b/>
                <w:w w:val="99"/>
                <w:sz w:val="20"/>
              </w:rPr>
              <w:t>t</w:t>
            </w:r>
            <w:r>
              <w:rPr>
                <w:b/>
                <w:spacing w:val="1"/>
                <w:w w:val="99"/>
                <w:sz w:val="20"/>
              </w:rPr>
              <w:t>ó</w:t>
            </w:r>
            <w:r>
              <w:rPr>
                <w:b/>
                <w:w w:val="99"/>
                <w:sz w:val="20"/>
              </w:rPr>
              <w:t>rico</w:t>
            </w:r>
            <w:r>
              <w:rPr>
                <w:b/>
                <w:spacing w:val="1"/>
                <w:sz w:val="20"/>
              </w:rPr>
              <w:t> </w:t>
            </w:r>
            <w:r>
              <w:rPr>
                <w:b/>
                <w:w w:val="99"/>
                <w:sz w:val="20"/>
              </w:rPr>
              <w:t>do </w:t>
            </w:r>
            <w:r>
              <w:rPr>
                <w:b/>
                <w:spacing w:val="-1"/>
                <w:w w:val="99"/>
                <w:sz w:val="20"/>
              </w:rPr>
              <w:t>M</w:t>
            </w:r>
            <w:r>
              <w:rPr>
                <w:b/>
                <w:w w:val="99"/>
                <w:sz w:val="20"/>
              </w:rPr>
              <w:t>u</w:t>
            </w:r>
            <w:r>
              <w:rPr>
                <w:b/>
                <w:spacing w:val="1"/>
                <w:w w:val="99"/>
                <w:sz w:val="20"/>
              </w:rPr>
              <w:t>n</w:t>
            </w:r>
            <w:r>
              <w:rPr>
                <w:b/>
                <w:w w:val="99"/>
                <w:sz w:val="20"/>
              </w:rPr>
              <w:t>icípio</w:t>
            </w:r>
          </w:p>
        </w:tc>
        <w:tc>
          <w:tcPr>
            <w:tcW w:w="283" w:type="dxa"/>
            <w:tcBorders>
              <w:left w:val="single" w:sz="8" w:space="0" w:color="000000"/>
              <w:right w:val="single" w:sz="8" w:space="0" w:color="000000"/>
            </w:tcBorders>
            <w:shd w:val="clear" w:color="auto" w:fill="F9DECA"/>
            <w:textDirection w:val="btLr"/>
          </w:tcPr>
          <w:p>
            <w:pPr>
              <w:pStyle w:val="TableParagraph"/>
              <w:spacing w:line="226" w:lineRule="exact" w:before="0"/>
              <w:ind w:left="-1"/>
              <w:rPr>
                <w:b/>
                <w:sz w:val="20"/>
              </w:rPr>
            </w:pPr>
            <w:r>
              <w:rPr>
                <w:b/>
                <w:w w:val="99"/>
                <w:sz w:val="20"/>
              </w:rPr>
              <w:t>Di</w:t>
            </w:r>
            <w:r>
              <w:rPr>
                <w:b/>
                <w:spacing w:val="1"/>
                <w:w w:val="99"/>
                <w:sz w:val="20"/>
              </w:rPr>
              <w:t>a</w:t>
            </w:r>
            <w:r>
              <w:rPr>
                <w:b/>
                <w:spacing w:val="1"/>
                <w:w w:val="99"/>
                <w:sz w:val="20"/>
              </w:rPr>
              <w:t>g</w:t>
            </w:r>
            <w:r>
              <w:rPr>
                <w:b/>
                <w:w w:val="99"/>
                <w:sz w:val="20"/>
              </w:rPr>
              <w:t>nó</w:t>
            </w:r>
            <w:r>
              <w:rPr>
                <w:b/>
                <w:spacing w:val="-1"/>
                <w:w w:val="99"/>
                <w:sz w:val="20"/>
              </w:rPr>
              <w:t>s</w:t>
            </w:r>
            <w:r>
              <w:rPr>
                <w:b/>
                <w:w w:val="99"/>
                <w:sz w:val="20"/>
              </w:rPr>
              <w:t>tico</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1</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2</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3</w:t>
            </w:r>
          </w:p>
        </w:tc>
        <w:tc>
          <w:tcPr>
            <w:tcW w:w="456"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4</w:t>
            </w:r>
          </w:p>
        </w:tc>
        <w:tc>
          <w:tcPr>
            <w:tcW w:w="454" w:type="dxa"/>
            <w:tcBorders>
              <w:left w:val="single" w:sz="8" w:space="0" w:color="000000"/>
              <w:right w:val="single" w:sz="8" w:space="0" w:color="000000"/>
            </w:tcBorders>
            <w:shd w:val="clear" w:color="auto" w:fill="F9DECA"/>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5</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6</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7</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8</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9</w:t>
            </w:r>
          </w:p>
        </w:tc>
        <w:tc>
          <w:tcPr>
            <w:tcW w:w="456"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0</w:t>
            </w:r>
          </w:p>
        </w:tc>
        <w:tc>
          <w:tcPr>
            <w:tcW w:w="454" w:type="dxa"/>
            <w:tcBorders>
              <w:left w:val="single" w:sz="8" w:space="0" w:color="000000"/>
              <w:right w:val="single" w:sz="8" w:space="0" w:color="000000"/>
            </w:tcBorders>
            <w:shd w:val="clear" w:color="auto" w:fill="F9DECA"/>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1</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2</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3</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4</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5</w:t>
            </w:r>
          </w:p>
        </w:tc>
        <w:tc>
          <w:tcPr>
            <w:tcW w:w="457"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6</w:t>
            </w:r>
          </w:p>
        </w:tc>
        <w:tc>
          <w:tcPr>
            <w:tcW w:w="454" w:type="dxa"/>
            <w:tcBorders>
              <w:left w:val="single" w:sz="8" w:space="0" w:color="000000"/>
              <w:right w:val="single" w:sz="8" w:space="0" w:color="000000"/>
            </w:tcBorders>
            <w:shd w:val="clear" w:color="auto" w:fill="F9DECA"/>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7</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8</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9</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2</w:t>
            </w:r>
            <w:r>
              <w:rPr>
                <w:b/>
                <w:w w:val="99"/>
                <w:sz w:val="20"/>
              </w:rPr>
              <w:t>0</w:t>
            </w:r>
          </w:p>
        </w:tc>
        <w:tc>
          <w:tcPr>
            <w:tcW w:w="622" w:type="dxa"/>
            <w:tcBorders>
              <w:left w:val="single" w:sz="8" w:space="0" w:color="000000"/>
              <w:right w:val="single" w:sz="8" w:space="0" w:color="000000"/>
            </w:tcBorders>
            <w:shd w:val="clear" w:color="auto" w:fill="F9DECA"/>
            <w:textDirection w:val="btLr"/>
          </w:tcPr>
          <w:p>
            <w:pPr>
              <w:pStyle w:val="TableParagraph"/>
              <w:spacing w:line="283" w:lineRule="auto" w:before="29"/>
              <w:ind w:left="-1" w:right="30"/>
              <w:rPr>
                <w:b/>
                <w:sz w:val="20"/>
              </w:rPr>
            </w:pPr>
            <w:r>
              <w:rPr>
                <w:b/>
                <w:spacing w:val="-1"/>
                <w:w w:val="99"/>
                <w:sz w:val="20"/>
              </w:rPr>
              <w:t>T</w:t>
            </w:r>
            <w:r>
              <w:rPr>
                <w:b/>
                <w:spacing w:val="1"/>
                <w:w w:val="99"/>
                <w:sz w:val="20"/>
              </w:rPr>
              <w:t>o</w:t>
            </w:r>
            <w:r>
              <w:rPr>
                <w:b/>
                <w:w w:val="99"/>
                <w:sz w:val="20"/>
              </w:rPr>
              <w:t>t</w:t>
            </w:r>
            <w:r>
              <w:rPr>
                <w:b/>
                <w:spacing w:val="1"/>
                <w:w w:val="99"/>
                <w:sz w:val="20"/>
              </w:rPr>
              <w:t>a</w:t>
            </w:r>
            <w:r>
              <w:rPr>
                <w:b/>
                <w:w w:val="99"/>
                <w:sz w:val="20"/>
              </w:rPr>
              <w:t>l</w:t>
            </w:r>
            <w:r>
              <w:rPr>
                <w:b/>
                <w:spacing w:val="-1"/>
                <w:sz w:val="20"/>
              </w:rPr>
              <w:t> </w:t>
            </w:r>
            <w:r>
              <w:rPr>
                <w:b/>
                <w:w w:val="99"/>
                <w:sz w:val="20"/>
              </w:rPr>
              <w:t>de </w:t>
            </w:r>
            <w:r>
              <w:rPr>
                <w:b/>
                <w:spacing w:val="-1"/>
                <w:w w:val="99"/>
                <w:sz w:val="20"/>
              </w:rPr>
              <w:t>E</w:t>
            </w:r>
            <w:r>
              <w:rPr>
                <w:b/>
                <w:spacing w:val="-1"/>
                <w:w w:val="99"/>
                <w:sz w:val="20"/>
              </w:rPr>
              <w:t>s</w:t>
            </w:r>
            <w:r>
              <w:rPr>
                <w:b/>
                <w:w w:val="99"/>
                <w:sz w:val="20"/>
              </w:rPr>
              <w:t>tr</w:t>
            </w:r>
            <w:r>
              <w:rPr>
                <w:b/>
                <w:spacing w:val="1"/>
                <w:w w:val="99"/>
                <w:sz w:val="20"/>
              </w:rPr>
              <w:t>a</w:t>
            </w:r>
            <w:r>
              <w:rPr>
                <w:b/>
                <w:w w:val="99"/>
                <w:sz w:val="20"/>
              </w:rPr>
              <w:t>té</w:t>
            </w:r>
            <w:r>
              <w:rPr>
                <w:b/>
                <w:spacing w:val="1"/>
                <w:w w:val="99"/>
                <w:sz w:val="20"/>
              </w:rPr>
              <w:t>g</w:t>
            </w:r>
            <w:r>
              <w:rPr>
                <w:b/>
                <w:w w:val="99"/>
                <w:sz w:val="20"/>
              </w:rPr>
              <w:t>ia</w:t>
            </w:r>
            <w:r>
              <w:rPr>
                <w:b/>
                <w:w w:val="99"/>
                <w:sz w:val="20"/>
              </w:rPr>
              <w:t>s</w:t>
            </w:r>
          </w:p>
        </w:tc>
      </w:tr>
      <w:tr>
        <w:trPr>
          <w:trHeight w:val="563" w:hRule="exact"/>
        </w:trPr>
        <w:tc>
          <w:tcPr>
            <w:tcW w:w="1304" w:type="dxa"/>
            <w:tcBorders>
              <w:left w:val="nil"/>
              <w:bottom w:val="single" w:sz="8" w:space="0" w:color="000000"/>
              <w:right w:val="nil"/>
            </w:tcBorders>
          </w:tcPr>
          <w:p>
            <w:pPr>
              <w:pStyle w:val="TableParagraph"/>
              <w:spacing w:before="130"/>
              <w:ind w:left="108"/>
              <w:rPr>
                <w:sz w:val="20"/>
              </w:rPr>
            </w:pPr>
            <w:r>
              <w:rPr>
                <w:sz w:val="20"/>
              </w:rPr>
              <w:t>Sucupira</w:t>
            </w:r>
          </w:p>
        </w:tc>
        <w:tc>
          <w:tcPr>
            <w:tcW w:w="1078" w:type="dxa"/>
            <w:tcBorders>
              <w:left w:val="nil"/>
              <w:bottom w:val="single" w:sz="8" w:space="0" w:color="000000"/>
              <w:right w:val="nil"/>
            </w:tcBorders>
          </w:tcPr>
          <w:p>
            <w:pPr>
              <w:pStyle w:val="TableParagraph"/>
              <w:spacing w:line="276" w:lineRule="auto" w:before="0"/>
              <w:ind w:left="107" w:right="239"/>
              <w:rPr>
                <w:sz w:val="20"/>
              </w:rPr>
            </w:pPr>
            <w:r>
              <w:rPr>
                <w:sz w:val="20"/>
              </w:rPr>
              <w:t>89 de 18/06/15</w:t>
            </w:r>
          </w:p>
        </w:tc>
        <w:tc>
          <w:tcPr>
            <w:tcW w:w="566" w:type="dxa"/>
            <w:tcBorders>
              <w:left w:val="nil"/>
              <w:bottom w:val="single" w:sz="8" w:space="0" w:color="000000"/>
              <w:right w:val="nil"/>
            </w:tcBorders>
          </w:tcPr>
          <w:p>
            <w:pPr>
              <w:pStyle w:val="TableParagraph"/>
              <w:spacing w:before="130"/>
              <w:ind w:left="107"/>
              <w:rPr>
                <w:sz w:val="20"/>
              </w:rPr>
            </w:pPr>
            <w:r>
              <w:rPr>
                <w:sz w:val="20"/>
              </w:rPr>
              <w:t>13</w:t>
            </w:r>
          </w:p>
        </w:tc>
        <w:tc>
          <w:tcPr>
            <w:tcW w:w="566" w:type="dxa"/>
            <w:tcBorders>
              <w:left w:val="nil"/>
              <w:bottom w:val="single" w:sz="8" w:space="0" w:color="000000"/>
              <w:right w:val="nil"/>
            </w:tcBorders>
          </w:tcPr>
          <w:p>
            <w:pPr>
              <w:pStyle w:val="TableParagraph"/>
              <w:spacing w:before="130"/>
              <w:ind w:left="108"/>
              <w:rPr>
                <w:sz w:val="20"/>
              </w:rPr>
            </w:pPr>
            <w:r>
              <w:rPr>
                <w:sz w:val="20"/>
              </w:rPr>
              <w:t>20</w:t>
            </w:r>
          </w:p>
        </w:tc>
        <w:tc>
          <w:tcPr>
            <w:tcW w:w="338" w:type="dxa"/>
            <w:tcBorders>
              <w:left w:val="nil"/>
              <w:bottom w:val="single" w:sz="8" w:space="0" w:color="000000"/>
              <w:right w:val="nil"/>
            </w:tcBorders>
          </w:tcPr>
          <w:p>
            <w:pPr>
              <w:pStyle w:val="TableParagraph"/>
              <w:spacing w:before="130"/>
              <w:ind w:left="21"/>
              <w:jc w:val="center"/>
              <w:rPr>
                <w:sz w:val="20"/>
              </w:rPr>
            </w:pPr>
            <w:r>
              <w:rPr>
                <w:w w:val="99"/>
                <w:sz w:val="20"/>
              </w:rPr>
              <w:t>X</w:t>
            </w:r>
          </w:p>
        </w:tc>
        <w:tc>
          <w:tcPr>
            <w:tcW w:w="566" w:type="dxa"/>
            <w:tcBorders>
              <w:left w:val="nil"/>
              <w:bottom w:val="single" w:sz="8" w:space="0" w:color="000000"/>
              <w:right w:val="nil"/>
            </w:tcBorders>
          </w:tcPr>
          <w:p>
            <w:pPr>
              <w:pStyle w:val="TableParagraph"/>
              <w:spacing w:before="130"/>
              <w:ind w:left="107"/>
              <w:rPr>
                <w:sz w:val="20"/>
              </w:rPr>
            </w:pPr>
            <w:r>
              <w:rPr>
                <w:w w:val="99"/>
                <w:sz w:val="20"/>
              </w:rPr>
              <w:t>X</w:t>
            </w:r>
          </w:p>
        </w:tc>
        <w:tc>
          <w:tcPr>
            <w:tcW w:w="569" w:type="dxa"/>
            <w:tcBorders>
              <w:left w:val="nil"/>
              <w:bottom w:val="single" w:sz="8" w:space="0" w:color="000000"/>
              <w:right w:val="nil"/>
            </w:tcBorders>
          </w:tcPr>
          <w:p>
            <w:pPr>
              <w:pStyle w:val="TableParagraph"/>
              <w:spacing w:before="130"/>
              <w:ind w:left="108"/>
              <w:rPr>
                <w:sz w:val="20"/>
              </w:rPr>
            </w:pPr>
            <w:r>
              <w:rPr>
                <w:w w:val="99"/>
                <w:sz w:val="20"/>
              </w:rPr>
              <w:t>X</w:t>
            </w:r>
          </w:p>
        </w:tc>
        <w:tc>
          <w:tcPr>
            <w:tcW w:w="283" w:type="dxa"/>
            <w:tcBorders>
              <w:left w:val="nil"/>
              <w:bottom w:val="single" w:sz="8" w:space="0" w:color="000000"/>
              <w:right w:val="nil"/>
            </w:tcBorders>
          </w:tcPr>
          <w:p>
            <w:pPr>
              <w:pStyle w:val="TableParagraph"/>
              <w:spacing w:before="130"/>
              <w:ind w:left="105"/>
              <w:rPr>
                <w:sz w:val="20"/>
              </w:rPr>
            </w:pPr>
            <w:r>
              <w:rPr>
                <w:w w:val="99"/>
                <w:sz w:val="20"/>
              </w:rPr>
              <w:t>X</w:t>
            </w:r>
          </w:p>
        </w:tc>
        <w:tc>
          <w:tcPr>
            <w:tcW w:w="454" w:type="dxa"/>
            <w:tcBorders>
              <w:left w:val="nil"/>
              <w:bottom w:val="single" w:sz="8" w:space="0" w:color="000000"/>
              <w:right w:val="nil"/>
            </w:tcBorders>
          </w:tcPr>
          <w:p>
            <w:pPr>
              <w:pStyle w:val="TableParagraph"/>
              <w:spacing w:before="130"/>
              <w:ind w:left="71" w:right="106"/>
              <w:jc w:val="center"/>
              <w:rPr>
                <w:sz w:val="20"/>
              </w:rPr>
            </w:pPr>
            <w:r>
              <w:rPr>
                <w:sz w:val="20"/>
              </w:rPr>
              <w:t>14</w:t>
            </w:r>
          </w:p>
        </w:tc>
        <w:tc>
          <w:tcPr>
            <w:tcW w:w="454" w:type="dxa"/>
            <w:tcBorders>
              <w:left w:val="nil"/>
              <w:bottom w:val="single" w:sz="8" w:space="0" w:color="000000"/>
              <w:right w:val="nil"/>
            </w:tcBorders>
          </w:tcPr>
          <w:p>
            <w:pPr>
              <w:pStyle w:val="TableParagraph"/>
              <w:spacing w:before="130"/>
              <w:ind w:left="108"/>
              <w:rPr>
                <w:sz w:val="20"/>
              </w:rPr>
            </w:pPr>
            <w:r>
              <w:rPr>
                <w:sz w:val="20"/>
              </w:rPr>
              <w:t>14</w:t>
            </w:r>
          </w:p>
        </w:tc>
        <w:tc>
          <w:tcPr>
            <w:tcW w:w="454" w:type="dxa"/>
            <w:tcBorders>
              <w:left w:val="nil"/>
              <w:bottom w:val="single" w:sz="8" w:space="0" w:color="000000"/>
              <w:right w:val="nil"/>
            </w:tcBorders>
          </w:tcPr>
          <w:p>
            <w:pPr>
              <w:pStyle w:val="TableParagraph"/>
              <w:spacing w:before="130"/>
              <w:ind w:left="107"/>
              <w:rPr>
                <w:sz w:val="20"/>
              </w:rPr>
            </w:pPr>
            <w:r>
              <w:rPr>
                <w:w w:val="99"/>
                <w:sz w:val="20"/>
              </w:rPr>
              <w:t>5</w:t>
            </w:r>
          </w:p>
        </w:tc>
        <w:tc>
          <w:tcPr>
            <w:tcW w:w="456" w:type="dxa"/>
            <w:tcBorders>
              <w:left w:val="nil"/>
              <w:bottom w:val="single" w:sz="8" w:space="0" w:color="000000"/>
              <w:right w:val="nil"/>
            </w:tcBorders>
          </w:tcPr>
          <w:p>
            <w:pPr>
              <w:pStyle w:val="TableParagraph"/>
              <w:spacing w:before="130"/>
              <w:ind w:left="90" w:right="126"/>
              <w:jc w:val="center"/>
              <w:rPr>
                <w:sz w:val="20"/>
              </w:rPr>
            </w:pPr>
            <w:r>
              <w:rPr>
                <w:sz w:val="20"/>
              </w:rPr>
              <w:t>12</w:t>
            </w:r>
          </w:p>
        </w:tc>
        <w:tc>
          <w:tcPr>
            <w:tcW w:w="454" w:type="dxa"/>
            <w:tcBorders>
              <w:left w:val="nil"/>
              <w:bottom w:val="single" w:sz="8" w:space="0" w:color="000000"/>
              <w:right w:val="nil"/>
            </w:tcBorders>
          </w:tcPr>
          <w:p>
            <w:pPr>
              <w:pStyle w:val="TableParagraph"/>
              <w:spacing w:before="130"/>
              <w:ind w:left="105"/>
              <w:rPr>
                <w:sz w:val="20"/>
              </w:rPr>
            </w:pPr>
            <w:r>
              <w:rPr>
                <w:w w:val="99"/>
                <w:sz w:val="20"/>
              </w:rPr>
              <w:t>7</w:t>
            </w:r>
          </w:p>
        </w:tc>
        <w:tc>
          <w:tcPr>
            <w:tcW w:w="454" w:type="dxa"/>
            <w:tcBorders>
              <w:left w:val="nil"/>
              <w:bottom w:val="single" w:sz="8" w:space="0" w:color="000000"/>
              <w:right w:val="nil"/>
            </w:tcBorders>
          </w:tcPr>
          <w:p>
            <w:pPr>
              <w:pStyle w:val="TableParagraph"/>
              <w:spacing w:before="130"/>
              <w:ind w:right="136"/>
              <w:jc w:val="center"/>
              <w:rPr>
                <w:sz w:val="20"/>
              </w:rPr>
            </w:pPr>
            <w:r>
              <w:rPr>
                <w:w w:val="99"/>
                <w:sz w:val="20"/>
              </w:rPr>
              <w:t>5</w:t>
            </w:r>
          </w:p>
        </w:tc>
        <w:tc>
          <w:tcPr>
            <w:tcW w:w="454" w:type="dxa"/>
            <w:tcBorders>
              <w:left w:val="nil"/>
              <w:bottom w:val="single" w:sz="8" w:space="0" w:color="000000"/>
              <w:right w:val="nil"/>
            </w:tcBorders>
          </w:tcPr>
          <w:p>
            <w:pPr>
              <w:pStyle w:val="TableParagraph"/>
              <w:spacing w:before="130"/>
              <w:ind w:left="72" w:right="106"/>
              <w:jc w:val="center"/>
              <w:rPr>
                <w:sz w:val="20"/>
              </w:rPr>
            </w:pPr>
            <w:r>
              <w:rPr>
                <w:sz w:val="20"/>
              </w:rPr>
              <w:t>10</w:t>
            </w:r>
          </w:p>
        </w:tc>
        <w:tc>
          <w:tcPr>
            <w:tcW w:w="454" w:type="dxa"/>
            <w:tcBorders>
              <w:left w:val="nil"/>
              <w:bottom w:val="single" w:sz="8" w:space="0" w:color="000000"/>
              <w:right w:val="nil"/>
            </w:tcBorders>
          </w:tcPr>
          <w:p>
            <w:pPr>
              <w:pStyle w:val="TableParagraph"/>
              <w:spacing w:before="130"/>
              <w:ind w:left="108"/>
              <w:rPr>
                <w:sz w:val="20"/>
              </w:rPr>
            </w:pPr>
            <w:r>
              <w:rPr>
                <w:w w:val="99"/>
                <w:sz w:val="20"/>
              </w:rPr>
              <w:t>3</w:t>
            </w:r>
          </w:p>
        </w:tc>
        <w:tc>
          <w:tcPr>
            <w:tcW w:w="454" w:type="dxa"/>
            <w:tcBorders>
              <w:left w:val="nil"/>
              <w:bottom w:val="single" w:sz="8" w:space="0" w:color="000000"/>
              <w:right w:val="nil"/>
            </w:tcBorders>
          </w:tcPr>
          <w:p>
            <w:pPr>
              <w:pStyle w:val="TableParagraph"/>
              <w:spacing w:before="130"/>
              <w:ind w:left="72" w:right="106"/>
              <w:jc w:val="center"/>
              <w:rPr>
                <w:sz w:val="20"/>
              </w:rPr>
            </w:pPr>
            <w:r>
              <w:rPr>
                <w:sz w:val="20"/>
              </w:rPr>
              <w:t>12</w:t>
            </w:r>
          </w:p>
        </w:tc>
        <w:tc>
          <w:tcPr>
            <w:tcW w:w="456" w:type="dxa"/>
            <w:tcBorders>
              <w:left w:val="nil"/>
              <w:bottom w:val="single" w:sz="8" w:space="0" w:color="000000"/>
              <w:right w:val="nil"/>
            </w:tcBorders>
          </w:tcPr>
          <w:p>
            <w:pPr>
              <w:pStyle w:val="TableParagraph"/>
              <w:spacing w:before="130"/>
              <w:ind w:right="138"/>
              <w:jc w:val="center"/>
              <w:rPr>
                <w:sz w:val="20"/>
              </w:rPr>
            </w:pPr>
            <w:r>
              <w:rPr>
                <w:w w:val="99"/>
                <w:sz w:val="20"/>
              </w:rPr>
              <w:t>4</w:t>
            </w:r>
          </w:p>
        </w:tc>
        <w:tc>
          <w:tcPr>
            <w:tcW w:w="454" w:type="dxa"/>
            <w:tcBorders>
              <w:left w:val="nil"/>
              <w:bottom w:val="single" w:sz="8" w:space="0" w:color="000000"/>
              <w:right w:val="nil"/>
            </w:tcBorders>
          </w:tcPr>
          <w:p>
            <w:pPr>
              <w:pStyle w:val="TableParagraph"/>
              <w:spacing w:before="130"/>
              <w:ind w:left="105"/>
              <w:rPr>
                <w:sz w:val="20"/>
              </w:rPr>
            </w:pPr>
            <w:r>
              <w:rPr>
                <w:w w:val="99"/>
                <w:sz w:val="20"/>
              </w:rPr>
              <w:t>1</w:t>
            </w:r>
          </w:p>
        </w:tc>
        <w:tc>
          <w:tcPr>
            <w:tcW w:w="454" w:type="dxa"/>
            <w:tcBorders>
              <w:left w:val="nil"/>
              <w:bottom w:val="single" w:sz="8" w:space="0" w:color="000000"/>
              <w:right w:val="nil"/>
            </w:tcBorders>
          </w:tcPr>
          <w:p>
            <w:pPr>
              <w:pStyle w:val="TableParagraph"/>
              <w:spacing w:before="130"/>
              <w:ind w:right="137"/>
              <w:jc w:val="center"/>
              <w:rPr>
                <w:sz w:val="20"/>
              </w:rPr>
            </w:pPr>
            <w:r>
              <w:rPr>
                <w:w w:val="99"/>
                <w:sz w:val="20"/>
              </w:rPr>
              <w:t>4</w:t>
            </w:r>
          </w:p>
        </w:tc>
        <w:tc>
          <w:tcPr>
            <w:tcW w:w="454" w:type="dxa"/>
            <w:tcBorders>
              <w:left w:val="nil"/>
              <w:bottom w:val="single" w:sz="8" w:space="0" w:color="000000"/>
              <w:right w:val="nil"/>
            </w:tcBorders>
          </w:tcPr>
          <w:p>
            <w:pPr>
              <w:pStyle w:val="TableParagraph"/>
              <w:spacing w:before="130"/>
              <w:ind w:left="108"/>
              <w:rPr>
                <w:sz w:val="20"/>
              </w:rPr>
            </w:pPr>
            <w:r>
              <w:rPr>
                <w:w w:val="99"/>
                <w:sz w:val="20"/>
              </w:rPr>
              <w:t>1</w:t>
            </w:r>
          </w:p>
        </w:tc>
        <w:tc>
          <w:tcPr>
            <w:tcW w:w="454" w:type="dxa"/>
            <w:tcBorders>
              <w:left w:val="nil"/>
              <w:bottom w:val="single" w:sz="8" w:space="0" w:color="000000"/>
              <w:right w:val="nil"/>
            </w:tcBorders>
          </w:tcPr>
          <w:p>
            <w:pPr>
              <w:pStyle w:val="TableParagraph"/>
              <w:spacing w:before="130"/>
              <w:ind w:left="108"/>
              <w:rPr>
                <w:sz w:val="20"/>
              </w:rPr>
            </w:pPr>
            <w:r>
              <w:rPr>
                <w:w w:val="99"/>
                <w:sz w:val="20"/>
              </w:rPr>
              <w:t>3</w:t>
            </w:r>
          </w:p>
        </w:tc>
        <w:tc>
          <w:tcPr>
            <w:tcW w:w="454" w:type="dxa"/>
            <w:tcBorders>
              <w:left w:val="nil"/>
              <w:bottom w:val="single" w:sz="8" w:space="0" w:color="000000"/>
              <w:right w:val="nil"/>
            </w:tcBorders>
          </w:tcPr>
          <w:p>
            <w:pPr>
              <w:pStyle w:val="TableParagraph"/>
              <w:spacing w:before="130"/>
              <w:ind w:right="136"/>
              <w:jc w:val="center"/>
              <w:rPr>
                <w:sz w:val="20"/>
              </w:rPr>
            </w:pPr>
            <w:r>
              <w:rPr>
                <w:w w:val="99"/>
                <w:sz w:val="20"/>
              </w:rPr>
              <w:t>5</w:t>
            </w:r>
          </w:p>
        </w:tc>
        <w:tc>
          <w:tcPr>
            <w:tcW w:w="457" w:type="dxa"/>
            <w:tcBorders>
              <w:left w:val="nil"/>
              <w:bottom w:val="single" w:sz="8" w:space="0" w:color="000000"/>
              <w:right w:val="nil"/>
            </w:tcBorders>
          </w:tcPr>
          <w:p>
            <w:pPr>
              <w:pStyle w:val="TableParagraph"/>
              <w:spacing w:before="130"/>
              <w:ind w:left="107"/>
              <w:rPr>
                <w:sz w:val="20"/>
              </w:rPr>
            </w:pPr>
            <w:r>
              <w:rPr>
                <w:w w:val="99"/>
                <w:sz w:val="20"/>
              </w:rPr>
              <w:t>4</w:t>
            </w:r>
          </w:p>
        </w:tc>
        <w:tc>
          <w:tcPr>
            <w:tcW w:w="454" w:type="dxa"/>
            <w:tcBorders>
              <w:left w:val="nil"/>
              <w:bottom w:val="single" w:sz="8" w:space="0" w:color="000000"/>
              <w:right w:val="nil"/>
            </w:tcBorders>
          </w:tcPr>
          <w:p>
            <w:pPr>
              <w:pStyle w:val="TableParagraph"/>
              <w:spacing w:before="130"/>
              <w:ind w:left="105"/>
              <w:rPr>
                <w:sz w:val="20"/>
              </w:rPr>
            </w:pPr>
            <w:r>
              <w:rPr>
                <w:w w:val="99"/>
                <w:sz w:val="20"/>
              </w:rPr>
              <w:t>3</w:t>
            </w:r>
          </w:p>
        </w:tc>
        <w:tc>
          <w:tcPr>
            <w:tcW w:w="454" w:type="dxa"/>
            <w:tcBorders>
              <w:left w:val="nil"/>
              <w:bottom w:val="single" w:sz="8" w:space="0" w:color="000000"/>
              <w:right w:val="nil"/>
            </w:tcBorders>
          </w:tcPr>
          <w:p>
            <w:pPr>
              <w:pStyle w:val="TableParagraph"/>
              <w:spacing w:before="130"/>
              <w:ind w:right="137"/>
              <w:jc w:val="center"/>
              <w:rPr>
                <w:sz w:val="20"/>
              </w:rPr>
            </w:pPr>
            <w:r>
              <w:rPr>
                <w:w w:val="99"/>
                <w:sz w:val="20"/>
              </w:rPr>
              <w:t>6</w:t>
            </w:r>
          </w:p>
        </w:tc>
        <w:tc>
          <w:tcPr>
            <w:tcW w:w="454" w:type="dxa"/>
            <w:tcBorders>
              <w:left w:val="nil"/>
              <w:bottom w:val="single" w:sz="8" w:space="0" w:color="000000"/>
              <w:right w:val="nil"/>
            </w:tcBorders>
          </w:tcPr>
          <w:p>
            <w:pPr>
              <w:pStyle w:val="TableParagraph"/>
              <w:spacing w:before="130"/>
              <w:ind w:left="108"/>
              <w:rPr>
                <w:sz w:val="20"/>
              </w:rPr>
            </w:pPr>
            <w:r>
              <w:rPr>
                <w:w w:val="99"/>
                <w:sz w:val="20"/>
              </w:rPr>
              <w:t>6</w:t>
            </w:r>
          </w:p>
        </w:tc>
        <w:tc>
          <w:tcPr>
            <w:tcW w:w="454" w:type="dxa"/>
            <w:tcBorders>
              <w:left w:val="nil"/>
              <w:bottom w:val="single" w:sz="8" w:space="0" w:color="000000"/>
              <w:right w:val="nil"/>
            </w:tcBorders>
          </w:tcPr>
          <w:p>
            <w:pPr>
              <w:pStyle w:val="TableParagraph"/>
              <w:spacing w:before="130"/>
              <w:ind w:left="107"/>
              <w:rPr>
                <w:sz w:val="20"/>
              </w:rPr>
            </w:pPr>
            <w:r>
              <w:rPr>
                <w:sz w:val="20"/>
              </w:rPr>
              <w:t>10</w:t>
            </w:r>
          </w:p>
        </w:tc>
        <w:tc>
          <w:tcPr>
            <w:tcW w:w="622" w:type="dxa"/>
            <w:tcBorders>
              <w:left w:val="nil"/>
              <w:bottom w:val="single" w:sz="8" w:space="0" w:color="000000"/>
              <w:right w:val="nil"/>
            </w:tcBorders>
          </w:tcPr>
          <w:p>
            <w:pPr>
              <w:pStyle w:val="TableParagraph"/>
              <w:spacing w:before="130"/>
              <w:ind w:left="107"/>
              <w:rPr>
                <w:sz w:val="20"/>
              </w:rPr>
            </w:pPr>
            <w:r>
              <w:rPr>
                <w:sz w:val="20"/>
              </w:rPr>
              <w:t>129</w:t>
            </w:r>
          </w:p>
        </w:tc>
      </w:tr>
      <w:tr>
        <w:trPr>
          <w:trHeight w:val="549" w:hRule="exact"/>
        </w:trPr>
        <w:tc>
          <w:tcPr>
            <w:tcW w:w="130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Talismã</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546 de 13/05/15</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13</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29"/>
              <w:ind w:left="21"/>
              <w:jc w:val="center"/>
              <w:rPr>
                <w:sz w:val="20"/>
              </w:rPr>
            </w:pPr>
            <w:r>
              <w:rPr>
                <w:w w:val="99"/>
                <w:sz w:val="20"/>
              </w:rPr>
              <w:t>X</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X</w:t>
            </w:r>
          </w:p>
        </w:tc>
        <w:tc>
          <w:tcPr>
            <w:tcW w:w="569"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29"/>
              <w:ind w:left="108"/>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7"/>
              <w:jc w:val="center"/>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w w:val="99"/>
                <w:sz w:val="20"/>
              </w:rPr>
              <w:t>4</w:t>
            </w:r>
          </w:p>
        </w:tc>
        <w:tc>
          <w:tcPr>
            <w:tcW w:w="456" w:type="dxa"/>
            <w:tcBorders>
              <w:top w:val="single" w:sz="8" w:space="0" w:color="000000"/>
              <w:left w:val="nil"/>
              <w:bottom w:val="single" w:sz="8" w:space="0" w:color="000000"/>
              <w:right w:val="nil"/>
            </w:tcBorders>
            <w:shd w:val="clear" w:color="auto" w:fill="F9DECA"/>
          </w:tcPr>
          <w:p>
            <w:pPr>
              <w:pStyle w:val="TableParagraph"/>
              <w:spacing w:before="129"/>
              <w:ind w:right="138"/>
              <w:jc w:val="center"/>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6"/>
              <w:jc w:val="center"/>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6"/>
              <w:jc w:val="center"/>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2" w:right="106"/>
              <w:jc w:val="center"/>
              <w:rPr>
                <w:sz w:val="20"/>
              </w:rPr>
            </w:pPr>
            <w:r>
              <w:rPr>
                <w:sz w:val="20"/>
              </w:rPr>
              <w:t>11</w:t>
            </w:r>
          </w:p>
        </w:tc>
        <w:tc>
          <w:tcPr>
            <w:tcW w:w="456" w:type="dxa"/>
            <w:tcBorders>
              <w:top w:val="single" w:sz="8" w:space="0" w:color="000000"/>
              <w:left w:val="nil"/>
              <w:bottom w:val="single" w:sz="8" w:space="0" w:color="000000"/>
              <w:right w:val="nil"/>
            </w:tcBorders>
            <w:shd w:val="clear" w:color="auto" w:fill="F9DECA"/>
          </w:tcPr>
          <w:p>
            <w:pPr>
              <w:pStyle w:val="TableParagraph"/>
              <w:spacing w:before="129"/>
              <w:ind w:right="138"/>
              <w:jc w:val="center"/>
              <w:rPr>
                <w:sz w:val="20"/>
              </w:rPr>
            </w:pPr>
            <w:r>
              <w:rPr>
                <w:w w:val="99"/>
                <w:sz w:val="20"/>
              </w:rPr>
              <w:t>2</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7"/>
              <w:jc w:val="center"/>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6"/>
              <w:jc w:val="center"/>
              <w:rPr>
                <w:sz w:val="20"/>
              </w:rPr>
            </w:pPr>
            <w:r>
              <w:rPr>
                <w:w w:val="99"/>
                <w:sz w:val="20"/>
              </w:rPr>
              <w:t>9</w:t>
            </w:r>
          </w:p>
        </w:tc>
        <w:tc>
          <w:tcPr>
            <w:tcW w:w="457"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7"/>
              <w:jc w:val="center"/>
              <w:rPr>
                <w:sz w:val="20"/>
              </w:rPr>
            </w:pPr>
            <w:r>
              <w:rPr>
                <w:w w:val="99"/>
                <w:sz w:val="20"/>
              </w:rPr>
              <w:t>2</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w w:val="99"/>
                <w:sz w:val="20"/>
              </w:rPr>
              <w:t>5</w:t>
            </w:r>
          </w:p>
        </w:tc>
        <w:tc>
          <w:tcPr>
            <w:tcW w:w="622"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107</w:t>
            </w:r>
          </w:p>
        </w:tc>
      </w:tr>
      <w:tr>
        <w:trPr>
          <w:trHeight w:val="550" w:hRule="exact"/>
        </w:trPr>
        <w:tc>
          <w:tcPr>
            <w:tcW w:w="1304" w:type="dxa"/>
            <w:tcBorders>
              <w:top w:val="single" w:sz="8" w:space="0" w:color="000000"/>
              <w:left w:val="nil"/>
              <w:bottom w:val="single" w:sz="8" w:space="0" w:color="000000"/>
              <w:right w:val="nil"/>
            </w:tcBorders>
          </w:tcPr>
          <w:p>
            <w:pPr>
              <w:pStyle w:val="TableParagraph"/>
              <w:spacing w:before="130"/>
              <w:ind w:left="108"/>
              <w:rPr>
                <w:sz w:val="20"/>
              </w:rPr>
            </w:pPr>
            <w:r>
              <w:rPr>
                <w:sz w:val="20"/>
              </w:rPr>
              <w:t>Tupiratins</w:t>
            </w:r>
          </w:p>
        </w:tc>
        <w:tc>
          <w:tcPr>
            <w:tcW w:w="1078" w:type="dxa"/>
            <w:tcBorders>
              <w:top w:val="single" w:sz="8" w:space="0" w:color="000000"/>
              <w:left w:val="nil"/>
              <w:bottom w:val="single" w:sz="8" w:space="0" w:color="000000"/>
              <w:right w:val="nil"/>
            </w:tcBorders>
          </w:tcPr>
          <w:p>
            <w:pPr>
              <w:pStyle w:val="TableParagraph"/>
              <w:spacing w:line="278" w:lineRule="auto" w:before="0"/>
              <w:ind w:left="107" w:right="239"/>
              <w:rPr>
                <w:sz w:val="20"/>
              </w:rPr>
            </w:pPr>
            <w:r>
              <w:rPr>
                <w:sz w:val="20"/>
              </w:rPr>
              <w:t>423 de 02/06/15</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sz w:val="20"/>
              </w:rPr>
              <w:t>11</w:t>
            </w:r>
          </w:p>
        </w:tc>
        <w:tc>
          <w:tcPr>
            <w:tcW w:w="566" w:type="dxa"/>
            <w:tcBorders>
              <w:top w:val="single" w:sz="8" w:space="0" w:color="000000"/>
              <w:left w:val="nil"/>
              <w:bottom w:val="single" w:sz="8" w:space="0" w:color="000000"/>
              <w:right w:val="nil"/>
            </w:tcBorders>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right="54"/>
              <w:jc w:val="center"/>
              <w:rPr>
                <w:sz w:val="20"/>
              </w:rPr>
            </w:pPr>
            <w:r>
              <w:rPr>
                <w:w w:val="99"/>
                <w:sz w:val="20"/>
              </w:rPr>
              <w:t>-</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w:t>
            </w:r>
          </w:p>
        </w:tc>
        <w:tc>
          <w:tcPr>
            <w:tcW w:w="569"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15</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11</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4</w:t>
            </w:r>
          </w:p>
        </w:tc>
        <w:tc>
          <w:tcPr>
            <w:tcW w:w="456" w:type="dxa"/>
            <w:tcBorders>
              <w:top w:val="single" w:sz="8" w:space="0" w:color="000000"/>
              <w:left w:val="nil"/>
              <w:bottom w:val="single" w:sz="8" w:space="0" w:color="000000"/>
              <w:right w:val="nil"/>
            </w:tcBorders>
          </w:tcPr>
          <w:p>
            <w:pPr>
              <w:pStyle w:val="TableParagraph"/>
              <w:spacing w:before="130"/>
              <w:ind w:right="138"/>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15</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2</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5</w:t>
            </w:r>
          </w:p>
        </w:tc>
        <w:tc>
          <w:tcPr>
            <w:tcW w:w="456" w:type="dxa"/>
            <w:tcBorders>
              <w:top w:val="single" w:sz="8" w:space="0" w:color="000000"/>
              <w:left w:val="nil"/>
              <w:bottom w:val="single" w:sz="8" w:space="0" w:color="000000"/>
              <w:right w:val="nil"/>
            </w:tcBorders>
          </w:tcPr>
          <w:p>
            <w:pPr>
              <w:pStyle w:val="TableParagraph"/>
              <w:spacing w:before="130"/>
              <w:ind w:right="138"/>
              <w:jc w:val="center"/>
              <w:rPr>
                <w:sz w:val="20"/>
              </w:rPr>
            </w:pPr>
            <w:r>
              <w:rPr>
                <w:w w:val="99"/>
                <w:sz w:val="20"/>
              </w:rPr>
              <w:t>3</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2</w:t>
            </w:r>
          </w:p>
        </w:tc>
        <w:tc>
          <w:tcPr>
            <w:tcW w:w="454" w:type="dxa"/>
            <w:tcBorders>
              <w:top w:val="single" w:sz="8" w:space="0" w:color="000000"/>
              <w:left w:val="nil"/>
              <w:bottom w:val="single" w:sz="8" w:space="0" w:color="000000"/>
              <w:right w:val="nil"/>
            </w:tcBorders>
          </w:tcPr>
          <w:p>
            <w:pPr>
              <w:pStyle w:val="TableParagraph"/>
              <w:spacing w:before="130"/>
              <w:ind w:right="137"/>
              <w:jc w:val="center"/>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2</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2</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5</w:t>
            </w:r>
          </w:p>
        </w:tc>
        <w:tc>
          <w:tcPr>
            <w:tcW w:w="457"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sz w:val="20"/>
              </w:rPr>
              <w:t>10</w:t>
            </w:r>
          </w:p>
        </w:tc>
        <w:tc>
          <w:tcPr>
            <w:tcW w:w="454" w:type="dxa"/>
            <w:tcBorders>
              <w:top w:val="single" w:sz="8" w:space="0" w:color="000000"/>
              <w:left w:val="nil"/>
              <w:bottom w:val="single" w:sz="8" w:space="0" w:color="000000"/>
              <w:right w:val="nil"/>
            </w:tcBorders>
          </w:tcPr>
          <w:p>
            <w:pPr>
              <w:pStyle w:val="TableParagraph"/>
              <w:spacing w:before="130"/>
              <w:ind w:right="137"/>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4</w:t>
            </w:r>
          </w:p>
        </w:tc>
        <w:tc>
          <w:tcPr>
            <w:tcW w:w="622" w:type="dxa"/>
            <w:tcBorders>
              <w:top w:val="single" w:sz="8" w:space="0" w:color="000000"/>
              <w:left w:val="nil"/>
              <w:bottom w:val="single" w:sz="8" w:space="0" w:color="000000"/>
              <w:right w:val="nil"/>
            </w:tcBorders>
          </w:tcPr>
          <w:p>
            <w:pPr>
              <w:pStyle w:val="TableParagraph"/>
              <w:spacing w:before="130"/>
              <w:ind w:left="107"/>
              <w:rPr>
                <w:sz w:val="20"/>
              </w:rPr>
            </w:pPr>
            <w:r>
              <w:rPr>
                <w:sz w:val="20"/>
              </w:rPr>
              <w:t>122</w:t>
            </w:r>
          </w:p>
        </w:tc>
      </w:tr>
      <w:tr>
        <w:trPr>
          <w:trHeight w:val="550" w:hRule="exact"/>
        </w:trPr>
        <w:tc>
          <w:tcPr>
            <w:tcW w:w="130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Arraias</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924 de 17/06/15</w:t>
            </w:r>
          </w:p>
        </w:tc>
        <w:tc>
          <w:tcPr>
            <w:tcW w:w="566"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14</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left="21"/>
              <w:jc w:val="center"/>
              <w:rPr>
                <w:sz w:val="20"/>
              </w:rPr>
            </w:pPr>
            <w:r>
              <w:rPr>
                <w:w w:val="99"/>
                <w:sz w:val="20"/>
              </w:rPr>
              <w:t>X</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X</w:t>
            </w:r>
          </w:p>
        </w:tc>
        <w:tc>
          <w:tcPr>
            <w:tcW w:w="569"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ind w:left="108"/>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17</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12</w:t>
            </w:r>
          </w:p>
        </w:tc>
        <w:tc>
          <w:tcPr>
            <w:tcW w:w="456" w:type="dxa"/>
            <w:tcBorders>
              <w:top w:val="single" w:sz="8" w:space="0" w:color="000000"/>
              <w:left w:val="nil"/>
              <w:bottom w:val="single" w:sz="8" w:space="0" w:color="000000"/>
              <w:right w:val="nil"/>
            </w:tcBorders>
            <w:shd w:val="clear" w:color="auto" w:fill="F9DECA"/>
          </w:tcPr>
          <w:p>
            <w:pPr>
              <w:pStyle w:val="TableParagraph"/>
              <w:ind w:left="90" w:right="126"/>
              <w:jc w:val="center"/>
              <w:rPr>
                <w:sz w:val="20"/>
              </w:rPr>
            </w:pPr>
            <w:r>
              <w:rPr>
                <w:sz w:val="20"/>
              </w:rPr>
              <w:t>15</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32</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10</w:t>
            </w:r>
          </w:p>
        </w:tc>
        <w:tc>
          <w:tcPr>
            <w:tcW w:w="456" w:type="dxa"/>
            <w:tcBorders>
              <w:top w:val="single" w:sz="8" w:space="0" w:color="000000"/>
              <w:left w:val="nil"/>
              <w:bottom w:val="single" w:sz="8" w:space="0" w:color="000000"/>
              <w:right w:val="nil"/>
            </w:tcBorders>
            <w:shd w:val="clear" w:color="auto" w:fill="F9DECA"/>
          </w:tcPr>
          <w:p>
            <w:pPr>
              <w:pStyle w:val="TableParagraph"/>
              <w:ind w:right="138"/>
              <w:jc w:val="center"/>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17</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4</w:t>
            </w:r>
          </w:p>
        </w:tc>
        <w:tc>
          <w:tcPr>
            <w:tcW w:w="457"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ind w:right="137"/>
              <w:jc w:val="center"/>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5</w:t>
            </w:r>
          </w:p>
        </w:tc>
        <w:tc>
          <w:tcPr>
            <w:tcW w:w="622"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200</w:t>
            </w:r>
          </w:p>
        </w:tc>
      </w:tr>
      <w:tr>
        <w:trPr>
          <w:trHeight w:val="548" w:hRule="exact"/>
        </w:trPr>
        <w:tc>
          <w:tcPr>
            <w:tcW w:w="1304" w:type="dxa"/>
            <w:tcBorders>
              <w:top w:val="single" w:sz="8" w:space="0" w:color="000000"/>
              <w:left w:val="nil"/>
              <w:bottom w:val="single" w:sz="8" w:space="0" w:color="000000"/>
              <w:right w:val="nil"/>
            </w:tcBorders>
          </w:tcPr>
          <w:p>
            <w:pPr>
              <w:pStyle w:val="TableParagraph"/>
              <w:ind w:left="108"/>
              <w:rPr>
                <w:sz w:val="20"/>
              </w:rPr>
            </w:pPr>
            <w:r>
              <w:rPr>
                <w:sz w:val="20"/>
              </w:rPr>
              <w:t>Brasilândia</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463 de 15/06/15</w:t>
            </w:r>
          </w:p>
        </w:tc>
        <w:tc>
          <w:tcPr>
            <w:tcW w:w="566" w:type="dxa"/>
            <w:tcBorders>
              <w:top w:val="single" w:sz="8" w:space="0" w:color="000000"/>
              <w:left w:val="nil"/>
              <w:bottom w:val="single" w:sz="8" w:space="0" w:color="000000"/>
              <w:right w:val="nil"/>
            </w:tcBorders>
          </w:tcPr>
          <w:p>
            <w:pPr>
              <w:pStyle w:val="TableParagraph"/>
              <w:ind w:left="107"/>
              <w:rPr>
                <w:sz w:val="20"/>
              </w:rPr>
            </w:pPr>
            <w:r>
              <w:rPr>
                <w:sz w:val="20"/>
              </w:rPr>
              <w:t>13</w:t>
            </w:r>
          </w:p>
        </w:tc>
        <w:tc>
          <w:tcPr>
            <w:tcW w:w="566" w:type="dxa"/>
            <w:tcBorders>
              <w:top w:val="single" w:sz="8" w:space="0" w:color="000000"/>
              <w:left w:val="nil"/>
              <w:bottom w:val="single" w:sz="8" w:space="0" w:color="000000"/>
              <w:right w:val="nil"/>
            </w:tcBorders>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right="54"/>
              <w:jc w:val="center"/>
              <w:rPr>
                <w:sz w:val="20"/>
              </w:rPr>
            </w:pPr>
            <w:r>
              <w:rPr>
                <w:w w:val="99"/>
                <w:sz w:val="20"/>
              </w:rPr>
              <w:t>-</w:t>
            </w:r>
          </w:p>
        </w:tc>
        <w:tc>
          <w:tcPr>
            <w:tcW w:w="566" w:type="dxa"/>
            <w:tcBorders>
              <w:top w:val="single" w:sz="8" w:space="0" w:color="000000"/>
              <w:left w:val="nil"/>
              <w:bottom w:val="single" w:sz="8" w:space="0" w:color="000000"/>
              <w:right w:val="nil"/>
            </w:tcBorders>
          </w:tcPr>
          <w:p>
            <w:pPr>
              <w:pStyle w:val="TableParagraph"/>
              <w:ind w:left="107"/>
              <w:rPr>
                <w:sz w:val="20"/>
              </w:rPr>
            </w:pPr>
            <w:r>
              <w:rPr>
                <w:w w:val="99"/>
                <w:sz w:val="20"/>
              </w:rPr>
              <w:t>X</w:t>
            </w:r>
          </w:p>
        </w:tc>
        <w:tc>
          <w:tcPr>
            <w:tcW w:w="569" w:type="dxa"/>
            <w:tcBorders>
              <w:top w:val="single" w:sz="8" w:space="0" w:color="000000"/>
              <w:left w:val="nil"/>
              <w:bottom w:val="single" w:sz="8" w:space="0" w:color="000000"/>
              <w:right w:val="nil"/>
            </w:tcBorders>
          </w:tcPr>
          <w:p>
            <w:pPr>
              <w:pStyle w:val="TableParagraph"/>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ind w:left="71" w:right="106"/>
              <w:jc w:val="center"/>
              <w:rPr>
                <w:sz w:val="20"/>
              </w:rPr>
            </w:pPr>
            <w:r>
              <w:rPr>
                <w:sz w:val="20"/>
              </w:rPr>
              <w:t>17</w:t>
            </w:r>
          </w:p>
        </w:tc>
        <w:tc>
          <w:tcPr>
            <w:tcW w:w="454" w:type="dxa"/>
            <w:tcBorders>
              <w:top w:val="single" w:sz="8" w:space="0" w:color="000000"/>
              <w:left w:val="nil"/>
              <w:bottom w:val="single" w:sz="8" w:space="0" w:color="000000"/>
              <w:right w:val="nil"/>
            </w:tcBorders>
          </w:tcPr>
          <w:p>
            <w:pPr>
              <w:pStyle w:val="TableParagraph"/>
              <w:ind w:left="108"/>
              <w:rPr>
                <w:sz w:val="20"/>
              </w:rPr>
            </w:pPr>
            <w:r>
              <w:rPr>
                <w:sz w:val="20"/>
              </w:rPr>
              <w:t>10</w:t>
            </w:r>
          </w:p>
        </w:tc>
        <w:tc>
          <w:tcPr>
            <w:tcW w:w="454" w:type="dxa"/>
            <w:tcBorders>
              <w:top w:val="single" w:sz="8" w:space="0" w:color="000000"/>
              <w:left w:val="nil"/>
              <w:bottom w:val="single" w:sz="8" w:space="0" w:color="000000"/>
              <w:right w:val="nil"/>
            </w:tcBorders>
          </w:tcPr>
          <w:p>
            <w:pPr>
              <w:pStyle w:val="TableParagraph"/>
              <w:ind w:left="107"/>
              <w:rPr>
                <w:sz w:val="20"/>
              </w:rPr>
            </w:pPr>
            <w:r>
              <w:rPr>
                <w:sz w:val="20"/>
              </w:rPr>
              <w:t>15</w:t>
            </w:r>
          </w:p>
        </w:tc>
        <w:tc>
          <w:tcPr>
            <w:tcW w:w="456" w:type="dxa"/>
            <w:tcBorders>
              <w:top w:val="single" w:sz="8" w:space="0" w:color="000000"/>
              <w:left w:val="nil"/>
              <w:bottom w:val="single" w:sz="8" w:space="0" w:color="000000"/>
              <w:right w:val="nil"/>
            </w:tcBorders>
          </w:tcPr>
          <w:p>
            <w:pPr>
              <w:pStyle w:val="TableParagraph"/>
              <w:ind w:left="90" w:right="126"/>
              <w:jc w:val="center"/>
              <w:rPr>
                <w:sz w:val="20"/>
              </w:rPr>
            </w:pPr>
            <w:r>
              <w:rPr>
                <w:sz w:val="20"/>
              </w:rPr>
              <w:t>12</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left="72" w:right="106"/>
              <w:jc w:val="center"/>
              <w:rPr>
                <w:sz w:val="20"/>
              </w:rPr>
            </w:pPr>
            <w:r>
              <w:rPr>
                <w:sz w:val="20"/>
              </w:rPr>
              <w:t>15</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3</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7</w:t>
            </w:r>
          </w:p>
        </w:tc>
        <w:tc>
          <w:tcPr>
            <w:tcW w:w="456" w:type="dxa"/>
            <w:tcBorders>
              <w:top w:val="single" w:sz="8" w:space="0" w:color="000000"/>
              <w:left w:val="nil"/>
              <w:bottom w:val="single" w:sz="8" w:space="0" w:color="000000"/>
              <w:right w:val="nil"/>
            </w:tcBorders>
          </w:tcPr>
          <w:p>
            <w:pPr>
              <w:pStyle w:val="TableParagraph"/>
              <w:ind w:right="138"/>
              <w:jc w:val="center"/>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3</w:t>
            </w:r>
          </w:p>
        </w:tc>
        <w:tc>
          <w:tcPr>
            <w:tcW w:w="454" w:type="dxa"/>
            <w:tcBorders>
              <w:top w:val="single" w:sz="8" w:space="0" w:color="000000"/>
              <w:left w:val="nil"/>
              <w:bottom w:val="single" w:sz="8" w:space="0" w:color="000000"/>
              <w:right w:val="nil"/>
            </w:tcBorders>
          </w:tcPr>
          <w:p>
            <w:pPr>
              <w:pStyle w:val="TableParagraph"/>
              <w:ind w:right="137"/>
              <w:jc w:val="center"/>
              <w:rPr>
                <w:sz w:val="20"/>
              </w:rPr>
            </w:pPr>
            <w:r>
              <w:rPr>
                <w:w w:val="99"/>
                <w:sz w:val="20"/>
              </w:rPr>
              <w:t>3</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3</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6</w:t>
            </w:r>
          </w:p>
        </w:tc>
        <w:tc>
          <w:tcPr>
            <w:tcW w:w="457" w:type="dxa"/>
            <w:tcBorders>
              <w:top w:val="single" w:sz="8" w:space="0" w:color="000000"/>
              <w:left w:val="nil"/>
              <w:bottom w:val="single" w:sz="8" w:space="0" w:color="000000"/>
              <w:right w:val="nil"/>
            </w:tcBorders>
          </w:tcPr>
          <w:p>
            <w:pPr>
              <w:pStyle w:val="TableParagraph"/>
              <w:ind w:left="107"/>
              <w:rPr>
                <w:sz w:val="20"/>
              </w:rPr>
            </w:pPr>
            <w:r>
              <w:rPr>
                <w:w w:val="99"/>
                <w:sz w:val="20"/>
              </w:rPr>
              <w:t>2</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3</w:t>
            </w:r>
          </w:p>
        </w:tc>
        <w:tc>
          <w:tcPr>
            <w:tcW w:w="454" w:type="dxa"/>
            <w:tcBorders>
              <w:top w:val="single" w:sz="8" w:space="0" w:color="000000"/>
              <w:left w:val="nil"/>
              <w:bottom w:val="single" w:sz="8" w:space="0" w:color="000000"/>
              <w:right w:val="nil"/>
            </w:tcBorders>
          </w:tcPr>
          <w:p>
            <w:pPr>
              <w:pStyle w:val="TableParagraph"/>
              <w:ind w:right="137"/>
              <w:jc w:val="center"/>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left="107"/>
              <w:rPr>
                <w:sz w:val="20"/>
              </w:rPr>
            </w:pPr>
            <w:r>
              <w:rPr>
                <w:w w:val="99"/>
                <w:sz w:val="20"/>
              </w:rPr>
              <w:t>4</w:t>
            </w:r>
          </w:p>
        </w:tc>
        <w:tc>
          <w:tcPr>
            <w:tcW w:w="622" w:type="dxa"/>
            <w:tcBorders>
              <w:top w:val="single" w:sz="8" w:space="0" w:color="000000"/>
              <w:left w:val="nil"/>
              <w:bottom w:val="single" w:sz="8" w:space="0" w:color="000000"/>
              <w:right w:val="nil"/>
            </w:tcBorders>
          </w:tcPr>
          <w:p>
            <w:pPr>
              <w:pStyle w:val="TableParagraph"/>
              <w:ind w:left="107"/>
              <w:rPr>
                <w:sz w:val="20"/>
              </w:rPr>
            </w:pPr>
            <w:r>
              <w:rPr>
                <w:sz w:val="20"/>
              </w:rPr>
              <w:t>132</w:t>
            </w:r>
          </w:p>
        </w:tc>
      </w:tr>
      <w:tr>
        <w:trPr>
          <w:trHeight w:val="548" w:hRule="exact"/>
        </w:trPr>
        <w:tc>
          <w:tcPr>
            <w:tcW w:w="130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Colinas</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1421 de 23/06/15</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12</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29"/>
              <w:ind w:right="54"/>
              <w:jc w:val="center"/>
              <w:rPr>
                <w:sz w:val="20"/>
              </w:rPr>
            </w:pPr>
            <w:r>
              <w:rPr>
                <w:w w:val="99"/>
                <w:sz w:val="20"/>
              </w:rPr>
              <w:t>-</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w:t>
            </w:r>
          </w:p>
        </w:tc>
        <w:tc>
          <w:tcPr>
            <w:tcW w:w="569"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spacing w:before="129"/>
              <w:ind w:left="108"/>
              <w:rPr>
                <w:sz w:val="20"/>
              </w:rPr>
            </w:pPr>
            <w:r>
              <w:rPr>
                <w:w w:val="99"/>
                <w:sz w:val="20"/>
              </w:rPr>
              <w:t>-</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1" w:right="106"/>
              <w:jc w:val="center"/>
              <w:rPr>
                <w:sz w:val="20"/>
              </w:rPr>
            </w:pPr>
            <w:r>
              <w:rPr>
                <w:sz w:val="20"/>
              </w:rPr>
              <w:t>16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34</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16</w:t>
            </w:r>
          </w:p>
        </w:tc>
        <w:tc>
          <w:tcPr>
            <w:tcW w:w="456" w:type="dxa"/>
            <w:tcBorders>
              <w:top w:val="single" w:sz="8" w:space="0" w:color="000000"/>
              <w:left w:val="nil"/>
              <w:bottom w:val="single" w:sz="8" w:space="0" w:color="000000"/>
              <w:right w:val="nil"/>
            </w:tcBorders>
            <w:shd w:val="clear" w:color="auto" w:fill="F9DECA"/>
          </w:tcPr>
          <w:p>
            <w:pPr>
              <w:pStyle w:val="TableParagraph"/>
              <w:spacing w:before="129"/>
              <w:ind w:left="90" w:right="126"/>
              <w:jc w:val="center"/>
              <w:rPr>
                <w:sz w:val="20"/>
              </w:rPr>
            </w:pPr>
            <w:r>
              <w:rPr>
                <w:sz w:val="20"/>
              </w:rPr>
              <w:t>25</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2" w:right="106"/>
              <w:jc w:val="center"/>
              <w:rPr>
                <w:sz w:val="20"/>
              </w:rPr>
            </w:pPr>
            <w:r>
              <w:rPr>
                <w:sz w:val="20"/>
              </w:rPr>
              <w:t>12</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2" w:right="106"/>
              <w:jc w:val="center"/>
              <w:rPr>
                <w:sz w:val="20"/>
              </w:rPr>
            </w:pPr>
            <w:r>
              <w:rPr>
                <w:sz w:val="20"/>
              </w:rPr>
              <w:t>29</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2" w:right="106"/>
              <w:jc w:val="center"/>
              <w:rPr>
                <w:sz w:val="20"/>
              </w:rPr>
            </w:pPr>
            <w:r>
              <w:rPr>
                <w:sz w:val="20"/>
              </w:rPr>
              <w:t>22</w:t>
            </w:r>
          </w:p>
        </w:tc>
        <w:tc>
          <w:tcPr>
            <w:tcW w:w="456" w:type="dxa"/>
            <w:tcBorders>
              <w:top w:val="single" w:sz="8" w:space="0" w:color="000000"/>
              <w:left w:val="nil"/>
              <w:bottom w:val="single" w:sz="8" w:space="0" w:color="000000"/>
              <w:right w:val="nil"/>
            </w:tcBorders>
            <w:shd w:val="clear" w:color="auto" w:fill="F9DECA"/>
          </w:tcPr>
          <w:p>
            <w:pPr>
              <w:pStyle w:val="TableParagraph"/>
              <w:spacing w:before="129"/>
              <w:ind w:left="90" w:right="126"/>
              <w:jc w:val="center"/>
              <w:rPr>
                <w:sz w:val="20"/>
              </w:rPr>
            </w:pPr>
            <w:r>
              <w:rPr>
                <w:sz w:val="20"/>
              </w:rPr>
              <w:t>13</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7"/>
              <w:jc w:val="center"/>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2</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2" w:right="106"/>
              <w:jc w:val="center"/>
              <w:rPr>
                <w:sz w:val="20"/>
              </w:rPr>
            </w:pPr>
            <w:r>
              <w:rPr>
                <w:sz w:val="20"/>
              </w:rPr>
              <w:t>10</w:t>
            </w:r>
          </w:p>
        </w:tc>
        <w:tc>
          <w:tcPr>
            <w:tcW w:w="457"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sz w:val="20"/>
              </w:rPr>
              <w:t>12</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1" w:right="106"/>
              <w:jc w:val="center"/>
              <w:rPr>
                <w:sz w:val="20"/>
              </w:rPr>
            </w:pPr>
            <w:r>
              <w:rPr>
                <w:sz w:val="20"/>
              </w:rPr>
              <w:t>12</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16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13</w:t>
            </w:r>
          </w:p>
        </w:tc>
        <w:tc>
          <w:tcPr>
            <w:tcW w:w="622"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281</w:t>
            </w:r>
          </w:p>
        </w:tc>
      </w:tr>
      <w:tr>
        <w:trPr>
          <w:trHeight w:val="550" w:hRule="exact"/>
        </w:trPr>
        <w:tc>
          <w:tcPr>
            <w:tcW w:w="1304" w:type="dxa"/>
            <w:tcBorders>
              <w:top w:val="single" w:sz="8" w:space="0" w:color="000000"/>
              <w:left w:val="nil"/>
              <w:bottom w:val="single" w:sz="8" w:space="0" w:color="000000"/>
              <w:right w:val="nil"/>
            </w:tcBorders>
          </w:tcPr>
          <w:p>
            <w:pPr>
              <w:pStyle w:val="TableParagraph"/>
              <w:spacing w:before="128"/>
              <w:ind w:left="108"/>
              <w:rPr>
                <w:sz w:val="20"/>
              </w:rPr>
            </w:pPr>
            <w:r>
              <w:rPr>
                <w:sz w:val="20"/>
              </w:rPr>
              <w:t>Combinado</w:t>
            </w:r>
          </w:p>
        </w:tc>
        <w:tc>
          <w:tcPr>
            <w:tcW w:w="1078" w:type="dxa"/>
            <w:tcBorders>
              <w:top w:val="single" w:sz="8" w:space="0" w:color="000000"/>
              <w:left w:val="nil"/>
              <w:bottom w:val="single" w:sz="8" w:space="0" w:color="000000"/>
              <w:right w:val="nil"/>
            </w:tcBorders>
          </w:tcPr>
          <w:p>
            <w:pPr>
              <w:pStyle w:val="TableParagraph"/>
              <w:spacing w:line="278" w:lineRule="auto" w:before="0"/>
              <w:ind w:left="107" w:right="239"/>
              <w:rPr>
                <w:sz w:val="20"/>
              </w:rPr>
            </w:pPr>
            <w:r>
              <w:rPr>
                <w:sz w:val="20"/>
              </w:rPr>
              <w:t>418 de 17/06/15</w:t>
            </w:r>
          </w:p>
        </w:tc>
        <w:tc>
          <w:tcPr>
            <w:tcW w:w="566" w:type="dxa"/>
            <w:tcBorders>
              <w:top w:val="single" w:sz="8" w:space="0" w:color="000000"/>
              <w:left w:val="nil"/>
              <w:bottom w:val="single" w:sz="8" w:space="0" w:color="000000"/>
              <w:right w:val="nil"/>
            </w:tcBorders>
          </w:tcPr>
          <w:p>
            <w:pPr>
              <w:pStyle w:val="TableParagraph"/>
              <w:spacing w:before="128"/>
              <w:ind w:left="107"/>
              <w:rPr>
                <w:sz w:val="20"/>
              </w:rPr>
            </w:pPr>
            <w:r>
              <w:rPr>
                <w:sz w:val="20"/>
              </w:rPr>
              <w:t>14</w:t>
            </w:r>
          </w:p>
        </w:tc>
        <w:tc>
          <w:tcPr>
            <w:tcW w:w="566" w:type="dxa"/>
            <w:tcBorders>
              <w:top w:val="single" w:sz="8" w:space="0" w:color="000000"/>
              <w:left w:val="nil"/>
              <w:bottom w:val="single" w:sz="8" w:space="0" w:color="000000"/>
              <w:right w:val="nil"/>
            </w:tcBorders>
          </w:tcPr>
          <w:p>
            <w:pPr>
              <w:pStyle w:val="TableParagraph"/>
              <w:spacing w:before="128"/>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28"/>
              <w:ind w:left="21"/>
              <w:jc w:val="center"/>
              <w:rPr>
                <w:sz w:val="20"/>
              </w:rPr>
            </w:pPr>
            <w:r>
              <w:rPr>
                <w:w w:val="99"/>
                <w:sz w:val="20"/>
              </w:rPr>
              <w:t>X</w:t>
            </w:r>
          </w:p>
        </w:tc>
        <w:tc>
          <w:tcPr>
            <w:tcW w:w="566" w:type="dxa"/>
            <w:tcBorders>
              <w:top w:val="single" w:sz="8" w:space="0" w:color="000000"/>
              <w:left w:val="nil"/>
              <w:bottom w:val="single" w:sz="8" w:space="0" w:color="000000"/>
              <w:right w:val="nil"/>
            </w:tcBorders>
          </w:tcPr>
          <w:p>
            <w:pPr>
              <w:pStyle w:val="TableParagraph"/>
              <w:spacing w:before="128"/>
              <w:ind w:left="107"/>
              <w:rPr>
                <w:sz w:val="20"/>
              </w:rPr>
            </w:pPr>
            <w:r>
              <w:rPr>
                <w:w w:val="99"/>
                <w:sz w:val="20"/>
              </w:rPr>
              <w:t>X</w:t>
            </w:r>
          </w:p>
        </w:tc>
        <w:tc>
          <w:tcPr>
            <w:tcW w:w="569" w:type="dxa"/>
            <w:tcBorders>
              <w:top w:val="single" w:sz="8" w:space="0" w:color="000000"/>
              <w:left w:val="nil"/>
              <w:bottom w:val="single" w:sz="8" w:space="0" w:color="000000"/>
              <w:right w:val="nil"/>
            </w:tcBorders>
          </w:tcPr>
          <w:p>
            <w:pPr>
              <w:pStyle w:val="TableParagraph"/>
              <w:spacing w:before="128"/>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28"/>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spacing w:before="128"/>
              <w:ind w:left="71" w:right="106"/>
              <w:jc w:val="center"/>
              <w:rPr>
                <w:sz w:val="20"/>
              </w:rPr>
            </w:pPr>
            <w:r>
              <w:rPr>
                <w:sz w:val="20"/>
              </w:rPr>
              <w:t>19</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sz w:val="20"/>
              </w:rPr>
              <w:t>16</w:t>
            </w:r>
          </w:p>
        </w:tc>
        <w:tc>
          <w:tcPr>
            <w:tcW w:w="454" w:type="dxa"/>
            <w:tcBorders>
              <w:top w:val="single" w:sz="8" w:space="0" w:color="000000"/>
              <w:left w:val="nil"/>
              <w:bottom w:val="single" w:sz="8" w:space="0" w:color="000000"/>
              <w:right w:val="nil"/>
            </w:tcBorders>
          </w:tcPr>
          <w:p>
            <w:pPr>
              <w:pStyle w:val="TableParagraph"/>
              <w:spacing w:before="128"/>
              <w:ind w:left="107"/>
              <w:rPr>
                <w:sz w:val="20"/>
              </w:rPr>
            </w:pPr>
            <w:r>
              <w:rPr>
                <w:sz w:val="20"/>
              </w:rPr>
              <w:t>14</w:t>
            </w:r>
          </w:p>
        </w:tc>
        <w:tc>
          <w:tcPr>
            <w:tcW w:w="456" w:type="dxa"/>
            <w:tcBorders>
              <w:top w:val="single" w:sz="8" w:space="0" w:color="000000"/>
              <w:left w:val="nil"/>
              <w:bottom w:val="single" w:sz="8" w:space="0" w:color="000000"/>
              <w:right w:val="nil"/>
            </w:tcBorders>
          </w:tcPr>
          <w:p>
            <w:pPr>
              <w:pStyle w:val="TableParagraph"/>
              <w:spacing w:before="128"/>
              <w:ind w:left="90" w:right="126"/>
              <w:jc w:val="center"/>
              <w:rPr>
                <w:sz w:val="20"/>
              </w:rPr>
            </w:pPr>
            <w:r>
              <w:rPr>
                <w:sz w:val="20"/>
              </w:rPr>
              <w:t>17</w:t>
            </w:r>
          </w:p>
        </w:tc>
        <w:tc>
          <w:tcPr>
            <w:tcW w:w="454" w:type="dxa"/>
            <w:tcBorders>
              <w:top w:val="single" w:sz="8" w:space="0" w:color="000000"/>
              <w:left w:val="nil"/>
              <w:bottom w:val="single" w:sz="8" w:space="0" w:color="000000"/>
              <w:right w:val="nil"/>
            </w:tcBorders>
          </w:tcPr>
          <w:p>
            <w:pPr>
              <w:pStyle w:val="TableParagraph"/>
              <w:spacing w:before="128"/>
              <w:ind w:left="105"/>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28"/>
              <w:ind w:right="136"/>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28"/>
              <w:ind w:left="72" w:right="106"/>
              <w:jc w:val="center"/>
              <w:rPr>
                <w:sz w:val="20"/>
              </w:rPr>
            </w:pPr>
            <w:r>
              <w:rPr>
                <w:sz w:val="20"/>
              </w:rPr>
              <w:t>31</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28"/>
              <w:ind w:right="136"/>
              <w:jc w:val="center"/>
              <w:rPr>
                <w:sz w:val="20"/>
              </w:rPr>
            </w:pPr>
            <w:r>
              <w:rPr>
                <w:w w:val="99"/>
                <w:sz w:val="20"/>
              </w:rPr>
              <w:t>9</w:t>
            </w:r>
          </w:p>
        </w:tc>
        <w:tc>
          <w:tcPr>
            <w:tcW w:w="456" w:type="dxa"/>
            <w:tcBorders>
              <w:top w:val="single" w:sz="8" w:space="0" w:color="000000"/>
              <w:left w:val="nil"/>
              <w:bottom w:val="single" w:sz="8" w:space="0" w:color="000000"/>
              <w:right w:val="nil"/>
            </w:tcBorders>
          </w:tcPr>
          <w:p>
            <w:pPr>
              <w:pStyle w:val="TableParagraph"/>
              <w:spacing w:before="128"/>
              <w:ind w:left="90" w:right="126"/>
              <w:jc w:val="center"/>
              <w:rPr>
                <w:sz w:val="20"/>
              </w:rPr>
            </w:pPr>
            <w:r>
              <w:rPr>
                <w:sz w:val="20"/>
              </w:rPr>
              <w:t>11</w:t>
            </w:r>
          </w:p>
        </w:tc>
        <w:tc>
          <w:tcPr>
            <w:tcW w:w="454" w:type="dxa"/>
            <w:tcBorders>
              <w:top w:val="single" w:sz="8" w:space="0" w:color="000000"/>
              <w:left w:val="nil"/>
              <w:bottom w:val="single" w:sz="8" w:space="0" w:color="000000"/>
              <w:right w:val="nil"/>
            </w:tcBorders>
          </w:tcPr>
          <w:p>
            <w:pPr>
              <w:pStyle w:val="TableParagraph"/>
              <w:spacing w:before="128"/>
              <w:ind w:left="105"/>
              <w:rPr>
                <w:sz w:val="20"/>
              </w:rPr>
            </w:pPr>
            <w:r>
              <w:rPr>
                <w:sz w:val="20"/>
              </w:rPr>
              <w:t>12</w:t>
            </w:r>
          </w:p>
        </w:tc>
        <w:tc>
          <w:tcPr>
            <w:tcW w:w="454" w:type="dxa"/>
            <w:tcBorders>
              <w:top w:val="single" w:sz="8" w:space="0" w:color="000000"/>
              <w:left w:val="nil"/>
              <w:bottom w:val="single" w:sz="8" w:space="0" w:color="000000"/>
              <w:right w:val="nil"/>
            </w:tcBorders>
          </w:tcPr>
          <w:p>
            <w:pPr>
              <w:pStyle w:val="TableParagraph"/>
              <w:spacing w:before="128"/>
              <w:ind w:right="137"/>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28"/>
              <w:ind w:right="136"/>
              <w:jc w:val="center"/>
              <w:rPr>
                <w:sz w:val="20"/>
              </w:rPr>
            </w:pPr>
            <w:r>
              <w:rPr>
                <w:w w:val="99"/>
                <w:sz w:val="20"/>
              </w:rPr>
              <w:t>8</w:t>
            </w:r>
          </w:p>
        </w:tc>
        <w:tc>
          <w:tcPr>
            <w:tcW w:w="457" w:type="dxa"/>
            <w:tcBorders>
              <w:top w:val="single" w:sz="8" w:space="0" w:color="000000"/>
              <w:left w:val="nil"/>
              <w:bottom w:val="single" w:sz="8" w:space="0" w:color="000000"/>
              <w:right w:val="nil"/>
            </w:tcBorders>
          </w:tcPr>
          <w:p>
            <w:pPr>
              <w:pStyle w:val="TableParagraph"/>
              <w:spacing w:before="128"/>
              <w:ind w:left="107"/>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28"/>
              <w:ind w:left="105"/>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28"/>
              <w:ind w:right="137"/>
              <w:jc w:val="center"/>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28"/>
              <w:ind w:left="107"/>
              <w:rPr>
                <w:sz w:val="20"/>
              </w:rPr>
            </w:pPr>
            <w:r>
              <w:rPr>
                <w:sz w:val="20"/>
              </w:rPr>
              <w:t>11</w:t>
            </w:r>
          </w:p>
        </w:tc>
        <w:tc>
          <w:tcPr>
            <w:tcW w:w="622" w:type="dxa"/>
            <w:tcBorders>
              <w:top w:val="single" w:sz="8" w:space="0" w:color="000000"/>
              <w:left w:val="nil"/>
              <w:bottom w:val="single" w:sz="8" w:space="0" w:color="000000"/>
              <w:right w:val="nil"/>
            </w:tcBorders>
          </w:tcPr>
          <w:p>
            <w:pPr>
              <w:pStyle w:val="TableParagraph"/>
              <w:spacing w:before="128"/>
              <w:ind w:left="107"/>
              <w:rPr>
                <w:sz w:val="20"/>
              </w:rPr>
            </w:pPr>
            <w:r>
              <w:rPr>
                <w:sz w:val="20"/>
              </w:rPr>
              <w:t>215</w:t>
            </w:r>
          </w:p>
        </w:tc>
      </w:tr>
      <w:tr>
        <w:trPr>
          <w:trHeight w:val="550" w:hRule="exact"/>
        </w:trPr>
        <w:tc>
          <w:tcPr>
            <w:tcW w:w="130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Dois Irmãos</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473 de 18/06/15</w:t>
            </w:r>
          </w:p>
        </w:tc>
        <w:tc>
          <w:tcPr>
            <w:tcW w:w="566"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13</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left="21"/>
              <w:jc w:val="center"/>
              <w:rPr>
                <w:sz w:val="20"/>
              </w:rPr>
            </w:pPr>
            <w:r>
              <w:rPr>
                <w:w w:val="99"/>
                <w:sz w:val="20"/>
              </w:rPr>
              <w:t>X</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w:t>
            </w:r>
          </w:p>
        </w:tc>
        <w:tc>
          <w:tcPr>
            <w:tcW w:w="569"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ind w:left="108"/>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15</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13</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9</w:t>
            </w:r>
          </w:p>
        </w:tc>
        <w:tc>
          <w:tcPr>
            <w:tcW w:w="456" w:type="dxa"/>
            <w:tcBorders>
              <w:top w:val="single" w:sz="8" w:space="0" w:color="000000"/>
              <w:left w:val="nil"/>
              <w:bottom w:val="single" w:sz="8" w:space="0" w:color="000000"/>
              <w:right w:val="nil"/>
            </w:tcBorders>
            <w:shd w:val="clear" w:color="auto" w:fill="F9DECA"/>
          </w:tcPr>
          <w:p>
            <w:pPr>
              <w:pStyle w:val="TableParagraph"/>
              <w:ind w:left="90" w:right="126"/>
              <w:jc w:val="center"/>
              <w:rPr>
                <w:sz w:val="20"/>
              </w:rPr>
            </w:pPr>
            <w:r>
              <w:rPr>
                <w:sz w:val="20"/>
              </w:rPr>
              <w:t>19</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30</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10</w:t>
            </w:r>
          </w:p>
        </w:tc>
        <w:tc>
          <w:tcPr>
            <w:tcW w:w="456" w:type="dxa"/>
            <w:tcBorders>
              <w:top w:val="single" w:sz="8" w:space="0" w:color="000000"/>
              <w:left w:val="nil"/>
              <w:bottom w:val="single" w:sz="8" w:space="0" w:color="000000"/>
              <w:right w:val="nil"/>
            </w:tcBorders>
            <w:shd w:val="clear" w:color="auto" w:fill="F9DECA"/>
          </w:tcPr>
          <w:p>
            <w:pPr>
              <w:pStyle w:val="TableParagraph"/>
              <w:ind w:right="138"/>
              <w:jc w:val="center"/>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11</w:t>
            </w:r>
          </w:p>
        </w:tc>
        <w:tc>
          <w:tcPr>
            <w:tcW w:w="457"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right="137"/>
              <w:jc w:val="center"/>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12</w:t>
            </w:r>
          </w:p>
        </w:tc>
        <w:tc>
          <w:tcPr>
            <w:tcW w:w="622"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212</w:t>
            </w:r>
          </w:p>
        </w:tc>
      </w:tr>
      <w:tr>
        <w:trPr>
          <w:trHeight w:val="547" w:hRule="exact"/>
        </w:trPr>
        <w:tc>
          <w:tcPr>
            <w:tcW w:w="130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Lavandeira</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110 de 18/06/15</w:t>
            </w:r>
          </w:p>
        </w:tc>
        <w:tc>
          <w:tcPr>
            <w:tcW w:w="566"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12</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right="54"/>
              <w:jc w:val="center"/>
              <w:rPr>
                <w:sz w:val="20"/>
              </w:rPr>
            </w:pPr>
            <w:r>
              <w:rPr>
                <w:w w:val="99"/>
                <w:sz w:val="20"/>
              </w:rPr>
              <w:t>-</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w:t>
            </w:r>
          </w:p>
        </w:tc>
        <w:tc>
          <w:tcPr>
            <w:tcW w:w="569"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ind w:left="108"/>
              <w:rPr>
                <w:sz w:val="20"/>
              </w:rPr>
            </w:pPr>
            <w:r>
              <w:rPr>
                <w:w w:val="99"/>
                <w:sz w:val="20"/>
              </w:rPr>
              <w:t>-</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25</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16</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14</w:t>
            </w:r>
          </w:p>
        </w:tc>
        <w:tc>
          <w:tcPr>
            <w:tcW w:w="456" w:type="dxa"/>
            <w:tcBorders>
              <w:top w:val="single" w:sz="8" w:space="0" w:color="000000"/>
              <w:left w:val="nil"/>
              <w:bottom w:val="single" w:sz="8" w:space="0" w:color="000000"/>
              <w:right w:val="nil"/>
            </w:tcBorders>
            <w:shd w:val="clear" w:color="auto" w:fill="F9DECA"/>
          </w:tcPr>
          <w:p>
            <w:pPr>
              <w:pStyle w:val="TableParagraph"/>
              <w:ind w:left="90" w:right="126"/>
              <w:jc w:val="center"/>
              <w:rPr>
                <w:sz w:val="20"/>
              </w:rPr>
            </w:pPr>
            <w:r>
              <w:rPr>
                <w:sz w:val="20"/>
              </w:rPr>
              <w:t>15</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29</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9</w:t>
            </w:r>
          </w:p>
        </w:tc>
        <w:tc>
          <w:tcPr>
            <w:tcW w:w="456" w:type="dxa"/>
            <w:tcBorders>
              <w:top w:val="single" w:sz="8" w:space="0" w:color="000000"/>
              <w:left w:val="nil"/>
              <w:bottom w:val="single" w:sz="8" w:space="0" w:color="000000"/>
              <w:right w:val="nil"/>
            </w:tcBorders>
            <w:shd w:val="clear" w:color="auto" w:fill="F9DECA"/>
          </w:tcPr>
          <w:p>
            <w:pPr>
              <w:pStyle w:val="TableParagraph"/>
              <w:ind w:right="138"/>
              <w:jc w:val="center"/>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sz w:val="20"/>
              </w:rPr>
              <w:t>12</w:t>
            </w:r>
          </w:p>
        </w:tc>
        <w:tc>
          <w:tcPr>
            <w:tcW w:w="454" w:type="dxa"/>
            <w:tcBorders>
              <w:top w:val="single" w:sz="8" w:space="0" w:color="000000"/>
              <w:left w:val="nil"/>
              <w:bottom w:val="single" w:sz="8" w:space="0" w:color="000000"/>
              <w:right w:val="nil"/>
            </w:tcBorders>
            <w:shd w:val="clear" w:color="auto" w:fill="F9DECA"/>
          </w:tcPr>
          <w:p>
            <w:pPr>
              <w:pStyle w:val="TableParagraph"/>
              <w:ind w:right="137"/>
              <w:jc w:val="center"/>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10</w:t>
            </w:r>
          </w:p>
        </w:tc>
        <w:tc>
          <w:tcPr>
            <w:tcW w:w="457"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ind w:right="137"/>
              <w:jc w:val="center"/>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9</w:t>
            </w:r>
          </w:p>
        </w:tc>
        <w:tc>
          <w:tcPr>
            <w:tcW w:w="622"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213</w:t>
            </w:r>
          </w:p>
        </w:tc>
      </w:tr>
      <w:tr>
        <w:trPr>
          <w:trHeight w:val="550" w:hRule="exact"/>
        </w:trPr>
        <w:tc>
          <w:tcPr>
            <w:tcW w:w="1304" w:type="dxa"/>
            <w:tcBorders>
              <w:top w:val="single" w:sz="8" w:space="0" w:color="000000"/>
              <w:left w:val="nil"/>
              <w:bottom w:val="single" w:sz="8" w:space="0" w:color="000000"/>
              <w:right w:val="nil"/>
            </w:tcBorders>
          </w:tcPr>
          <w:p>
            <w:pPr>
              <w:pStyle w:val="TableParagraph"/>
              <w:spacing w:before="130"/>
              <w:ind w:left="108"/>
              <w:rPr>
                <w:sz w:val="20"/>
              </w:rPr>
            </w:pPr>
            <w:r>
              <w:rPr>
                <w:sz w:val="20"/>
              </w:rPr>
              <w:t>Miracema</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409 de 27/05/15</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sz w:val="20"/>
              </w:rPr>
              <w:t>12</w:t>
            </w:r>
          </w:p>
        </w:tc>
        <w:tc>
          <w:tcPr>
            <w:tcW w:w="566" w:type="dxa"/>
            <w:tcBorders>
              <w:top w:val="single" w:sz="8" w:space="0" w:color="000000"/>
              <w:left w:val="nil"/>
              <w:bottom w:val="single" w:sz="8" w:space="0" w:color="000000"/>
              <w:right w:val="nil"/>
            </w:tcBorders>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left="21"/>
              <w:jc w:val="center"/>
              <w:rPr>
                <w:sz w:val="20"/>
              </w:rPr>
            </w:pPr>
            <w:r>
              <w:rPr>
                <w:w w:val="99"/>
                <w:sz w:val="20"/>
              </w:rPr>
              <w:t>X</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X</w:t>
            </w:r>
          </w:p>
        </w:tc>
        <w:tc>
          <w:tcPr>
            <w:tcW w:w="569"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18</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14</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16</w:t>
            </w:r>
          </w:p>
        </w:tc>
        <w:tc>
          <w:tcPr>
            <w:tcW w:w="456" w:type="dxa"/>
            <w:tcBorders>
              <w:top w:val="single" w:sz="8" w:space="0" w:color="000000"/>
              <w:left w:val="nil"/>
              <w:bottom w:val="single" w:sz="8" w:space="0" w:color="000000"/>
              <w:right w:val="nil"/>
            </w:tcBorders>
          </w:tcPr>
          <w:p>
            <w:pPr>
              <w:pStyle w:val="TableParagraph"/>
              <w:spacing w:before="130"/>
              <w:ind w:left="90" w:right="126"/>
              <w:jc w:val="center"/>
              <w:rPr>
                <w:sz w:val="20"/>
              </w:rPr>
            </w:pPr>
            <w:r>
              <w:rPr>
                <w:sz w:val="20"/>
              </w:rPr>
              <w:t>19</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31</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10</w:t>
            </w:r>
          </w:p>
        </w:tc>
        <w:tc>
          <w:tcPr>
            <w:tcW w:w="456" w:type="dxa"/>
            <w:tcBorders>
              <w:top w:val="single" w:sz="8" w:space="0" w:color="000000"/>
              <w:left w:val="nil"/>
              <w:bottom w:val="single" w:sz="8" w:space="0" w:color="000000"/>
              <w:right w:val="nil"/>
            </w:tcBorders>
          </w:tcPr>
          <w:p>
            <w:pPr>
              <w:pStyle w:val="TableParagraph"/>
              <w:spacing w:before="130"/>
              <w:ind w:left="90" w:right="126"/>
              <w:jc w:val="center"/>
              <w:rPr>
                <w:sz w:val="20"/>
              </w:rPr>
            </w:pPr>
            <w:r>
              <w:rPr>
                <w:sz w:val="20"/>
              </w:rPr>
              <w:t>12</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sz w:val="20"/>
              </w:rPr>
              <w:t>13</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22</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14</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12</w:t>
            </w:r>
          </w:p>
        </w:tc>
        <w:tc>
          <w:tcPr>
            <w:tcW w:w="457"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right="137"/>
              <w:jc w:val="center"/>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13</w:t>
            </w:r>
          </w:p>
        </w:tc>
        <w:tc>
          <w:tcPr>
            <w:tcW w:w="622" w:type="dxa"/>
            <w:tcBorders>
              <w:top w:val="single" w:sz="8" w:space="0" w:color="000000"/>
              <w:left w:val="nil"/>
              <w:bottom w:val="single" w:sz="8" w:space="0" w:color="000000"/>
              <w:right w:val="nil"/>
            </w:tcBorders>
          </w:tcPr>
          <w:p>
            <w:pPr>
              <w:pStyle w:val="TableParagraph"/>
              <w:spacing w:before="130"/>
              <w:ind w:left="107"/>
              <w:rPr>
                <w:sz w:val="20"/>
              </w:rPr>
            </w:pPr>
            <w:r>
              <w:rPr>
                <w:sz w:val="20"/>
              </w:rPr>
              <w:t>251</w:t>
            </w:r>
          </w:p>
        </w:tc>
      </w:tr>
      <w:tr>
        <w:trPr>
          <w:trHeight w:val="550" w:hRule="exact"/>
        </w:trPr>
        <w:tc>
          <w:tcPr>
            <w:tcW w:w="130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Rio dos Bois</w:t>
            </w:r>
          </w:p>
        </w:tc>
        <w:tc>
          <w:tcPr>
            <w:tcW w:w="1078" w:type="dxa"/>
            <w:tcBorders>
              <w:top w:val="single" w:sz="8" w:space="0" w:color="000000"/>
              <w:left w:val="nil"/>
              <w:bottom w:val="single" w:sz="8" w:space="0" w:color="000000"/>
              <w:right w:val="nil"/>
            </w:tcBorders>
            <w:shd w:val="clear" w:color="auto" w:fill="F9DECA"/>
          </w:tcPr>
          <w:p>
            <w:pPr>
              <w:pStyle w:val="TableParagraph"/>
              <w:spacing w:line="278" w:lineRule="auto" w:before="0"/>
              <w:ind w:left="107" w:right="239"/>
              <w:rPr>
                <w:sz w:val="20"/>
              </w:rPr>
            </w:pPr>
            <w:r>
              <w:rPr>
                <w:sz w:val="20"/>
              </w:rPr>
              <w:t>236 de 18/06/15</w:t>
            </w:r>
          </w:p>
        </w:tc>
        <w:tc>
          <w:tcPr>
            <w:tcW w:w="566"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13</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right="54"/>
              <w:jc w:val="center"/>
              <w:rPr>
                <w:sz w:val="20"/>
              </w:rPr>
            </w:pPr>
            <w:r>
              <w:rPr>
                <w:w w:val="99"/>
                <w:sz w:val="20"/>
              </w:rPr>
              <w:t>-</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w:t>
            </w:r>
          </w:p>
        </w:tc>
        <w:tc>
          <w:tcPr>
            <w:tcW w:w="569"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ind w:left="108"/>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17</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13</w:t>
            </w:r>
          </w:p>
        </w:tc>
        <w:tc>
          <w:tcPr>
            <w:tcW w:w="456" w:type="dxa"/>
            <w:tcBorders>
              <w:top w:val="single" w:sz="8" w:space="0" w:color="000000"/>
              <w:left w:val="nil"/>
              <w:bottom w:val="single" w:sz="8" w:space="0" w:color="000000"/>
              <w:right w:val="nil"/>
            </w:tcBorders>
            <w:shd w:val="clear" w:color="auto" w:fill="F9DECA"/>
          </w:tcPr>
          <w:p>
            <w:pPr>
              <w:pStyle w:val="TableParagraph"/>
              <w:ind w:left="90" w:right="126"/>
              <w:jc w:val="center"/>
              <w:rPr>
                <w:sz w:val="20"/>
              </w:rPr>
            </w:pPr>
            <w:r>
              <w:rPr>
                <w:sz w:val="20"/>
              </w:rPr>
              <w:t>18</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33</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7</w:t>
            </w:r>
          </w:p>
        </w:tc>
        <w:tc>
          <w:tcPr>
            <w:tcW w:w="456" w:type="dxa"/>
            <w:tcBorders>
              <w:top w:val="single" w:sz="8" w:space="0" w:color="000000"/>
              <w:left w:val="nil"/>
              <w:bottom w:val="single" w:sz="8" w:space="0" w:color="000000"/>
              <w:right w:val="nil"/>
            </w:tcBorders>
            <w:shd w:val="clear" w:color="auto" w:fill="F9DECA"/>
          </w:tcPr>
          <w:p>
            <w:pPr>
              <w:pStyle w:val="TableParagraph"/>
              <w:ind w:right="138"/>
              <w:jc w:val="center"/>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sz w:val="20"/>
              </w:rPr>
              <w:t>13</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19</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14</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13</w:t>
            </w:r>
          </w:p>
        </w:tc>
        <w:tc>
          <w:tcPr>
            <w:tcW w:w="457"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right="137"/>
              <w:jc w:val="center"/>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13</w:t>
            </w:r>
          </w:p>
        </w:tc>
        <w:tc>
          <w:tcPr>
            <w:tcW w:w="622"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234</w:t>
            </w:r>
          </w:p>
        </w:tc>
      </w:tr>
      <w:tr>
        <w:trPr>
          <w:trHeight w:val="548" w:hRule="exact"/>
        </w:trPr>
        <w:tc>
          <w:tcPr>
            <w:tcW w:w="1304" w:type="dxa"/>
            <w:tcBorders>
              <w:top w:val="single" w:sz="8" w:space="0" w:color="000000"/>
              <w:left w:val="nil"/>
              <w:bottom w:val="single" w:sz="8" w:space="0" w:color="000000"/>
              <w:right w:val="nil"/>
            </w:tcBorders>
          </w:tcPr>
          <w:p>
            <w:pPr>
              <w:pStyle w:val="TableParagraph"/>
              <w:ind w:left="108"/>
              <w:rPr>
                <w:sz w:val="20"/>
              </w:rPr>
            </w:pPr>
            <w:r>
              <w:rPr>
                <w:sz w:val="20"/>
              </w:rPr>
              <w:t>Santa Maria</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48 de 15/05/15</w:t>
            </w:r>
          </w:p>
        </w:tc>
        <w:tc>
          <w:tcPr>
            <w:tcW w:w="566" w:type="dxa"/>
            <w:tcBorders>
              <w:top w:val="single" w:sz="8" w:space="0" w:color="000000"/>
              <w:left w:val="nil"/>
              <w:bottom w:val="single" w:sz="8" w:space="0" w:color="000000"/>
              <w:right w:val="nil"/>
            </w:tcBorders>
          </w:tcPr>
          <w:p>
            <w:pPr>
              <w:pStyle w:val="TableParagraph"/>
              <w:ind w:left="107"/>
              <w:rPr>
                <w:sz w:val="20"/>
              </w:rPr>
            </w:pPr>
            <w:r>
              <w:rPr>
                <w:sz w:val="20"/>
              </w:rPr>
              <w:t>12</w:t>
            </w:r>
          </w:p>
        </w:tc>
        <w:tc>
          <w:tcPr>
            <w:tcW w:w="566" w:type="dxa"/>
            <w:tcBorders>
              <w:top w:val="single" w:sz="8" w:space="0" w:color="000000"/>
              <w:left w:val="nil"/>
              <w:bottom w:val="single" w:sz="8" w:space="0" w:color="000000"/>
              <w:right w:val="nil"/>
            </w:tcBorders>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left="21"/>
              <w:jc w:val="center"/>
              <w:rPr>
                <w:sz w:val="20"/>
              </w:rPr>
            </w:pPr>
            <w:r>
              <w:rPr>
                <w:w w:val="99"/>
                <w:sz w:val="20"/>
              </w:rPr>
              <w:t>X</w:t>
            </w:r>
          </w:p>
        </w:tc>
        <w:tc>
          <w:tcPr>
            <w:tcW w:w="566" w:type="dxa"/>
            <w:tcBorders>
              <w:top w:val="single" w:sz="8" w:space="0" w:color="000000"/>
              <w:left w:val="nil"/>
              <w:bottom w:val="single" w:sz="8" w:space="0" w:color="000000"/>
              <w:right w:val="nil"/>
            </w:tcBorders>
          </w:tcPr>
          <w:p>
            <w:pPr>
              <w:pStyle w:val="TableParagraph"/>
              <w:ind w:left="107"/>
              <w:rPr>
                <w:sz w:val="20"/>
              </w:rPr>
            </w:pPr>
            <w:r>
              <w:rPr>
                <w:w w:val="99"/>
                <w:sz w:val="20"/>
              </w:rPr>
              <w:t>X</w:t>
            </w:r>
          </w:p>
        </w:tc>
        <w:tc>
          <w:tcPr>
            <w:tcW w:w="569" w:type="dxa"/>
            <w:tcBorders>
              <w:top w:val="single" w:sz="8" w:space="0" w:color="000000"/>
              <w:left w:val="nil"/>
              <w:bottom w:val="single" w:sz="8" w:space="0" w:color="000000"/>
              <w:right w:val="nil"/>
            </w:tcBorders>
          </w:tcPr>
          <w:p>
            <w:pPr>
              <w:pStyle w:val="TableParagraph"/>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ind w:left="71" w:right="106"/>
              <w:jc w:val="center"/>
              <w:rPr>
                <w:sz w:val="20"/>
              </w:rPr>
            </w:pPr>
            <w:r>
              <w:rPr>
                <w:sz w:val="20"/>
              </w:rPr>
              <w:t>16</w:t>
            </w:r>
          </w:p>
        </w:tc>
        <w:tc>
          <w:tcPr>
            <w:tcW w:w="454" w:type="dxa"/>
            <w:tcBorders>
              <w:top w:val="single" w:sz="8" w:space="0" w:color="000000"/>
              <w:left w:val="nil"/>
              <w:bottom w:val="single" w:sz="8" w:space="0" w:color="000000"/>
              <w:right w:val="nil"/>
            </w:tcBorders>
          </w:tcPr>
          <w:p>
            <w:pPr>
              <w:pStyle w:val="TableParagraph"/>
              <w:ind w:left="108"/>
              <w:rPr>
                <w:sz w:val="20"/>
              </w:rPr>
            </w:pPr>
            <w:r>
              <w:rPr>
                <w:sz w:val="20"/>
              </w:rPr>
              <w:t>11</w:t>
            </w:r>
          </w:p>
        </w:tc>
        <w:tc>
          <w:tcPr>
            <w:tcW w:w="454" w:type="dxa"/>
            <w:tcBorders>
              <w:top w:val="single" w:sz="8" w:space="0" w:color="000000"/>
              <w:left w:val="nil"/>
              <w:bottom w:val="single" w:sz="8" w:space="0" w:color="000000"/>
              <w:right w:val="nil"/>
            </w:tcBorders>
          </w:tcPr>
          <w:p>
            <w:pPr>
              <w:pStyle w:val="TableParagraph"/>
              <w:ind w:left="107"/>
              <w:rPr>
                <w:sz w:val="20"/>
              </w:rPr>
            </w:pPr>
            <w:r>
              <w:rPr>
                <w:sz w:val="20"/>
              </w:rPr>
              <w:t>13</w:t>
            </w:r>
          </w:p>
        </w:tc>
        <w:tc>
          <w:tcPr>
            <w:tcW w:w="456" w:type="dxa"/>
            <w:tcBorders>
              <w:top w:val="single" w:sz="8" w:space="0" w:color="000000"/>
              <w:left w:val="nil"/>
              <w:bottom w:val="single" w:sz="8" w:space="0" w:color="000000"/>
              <w:right w:val="nil"/>
            </w:tcBorders>
          </w:tcPr>
          <w:p>
            <w:pPr>
              <w:pStyle w:val="TableParagraph"/>
              <w:ind w:left="90" w:right="126"/>
              <w:jc w:val="center"/>
              <w:rPr>
                <w:sz w:val="20"/>
              </w:rPr>
            </w:pPr>
            <w:r>
              <w:rPr>
                <w:sz w:val="20"/>
              </w:rPr>
              <w:t>11</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left="72" w:right="106"/>
              <w:jc w:val="center"/>
              <w:rPr>
                <w:sz w:val="20"/>
              </w:rPr>
            </w:pPr>
            <w:r>
              <w:rPr>
                <w:sz w:val="20"/>
              </w:rPr>
              <w:t>21</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2</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7</w:t>
            </w:r>
          </w:p>
        </w:tc>
        <w:tc>
          <w:tcPr>
            <w:tcW w:w="456" w:type="dxa"/>
            <w:tcBorders>
              <w:top w:val="single" w:sz="8" w:space="0" w:color="000000"/>
              <w:left w:val="nil"/>
              <w:bottom w:val="single" w:sz="8" w:space="0" w:color="000000"/>
              <w:right w:val="nil"/>
            </w:tcBorders>
          </w:tcPr>
          <w:p>
            <w:pPr>
              <w:pStyle w:val="TableParagraph"/>
              <w:ind w:right="138"/>
              <w:jc w:val="center"/>
              <w:rPr>
                <w:sz w:val="20"/>
              </w:rPr>
            </w:pPr>
            <w:r>
              <w:rPr>
                <w:w w:val="99"/>
                <w:sz w:val="20"/>
              </w:rPr>
              <w:t>2</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right="137"/>
              <w:jc w:val="center"/>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2</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8</w:t>
            </w:r>
          </w:p>
        </w:tc>
        <w:tc>
          <w:tcPr>
            <w:tcW w:w="457" w:type="dxa"/>
            <w:tcBorders>
              <w:top w:val="single" w:sz="8" w:space="0" w:color="000000"/>
              <w:left w:val="nil"/>
              <w:bottom w:val="single" w:sz="8" w:space="0" w:color="000000"/>
              <w:right w:val="nil"/>
            </w:tcBorders>
          </w:tcPr>
          <w:p>
            <w:pPr>
              <w:pStyle w:val="TableParagraph"/>
              <w:ind w:left="107"/>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ind w:right="137"/>
              <w:jc w:val="center"/>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ind w:left="107"/>
              <w:rPr>
                <w:sz w:val="20"/>
              </w:rPr>
            </w:pPr>
            <w:r>
              <w:rPr>
                <w:sz w:val="20"/>
              </w:rPr>
              <w:t>11</w:t>
            </w:r>
          </w:p>
        </w:tc>
        <w:tc>
          <w:tcPr>
            <w:tcW w:w="622" w:type="dxa"/>
            <w:tcBorders>
              <w:top w:val="single" w:sz="8" w:space="0" w:color="000000"/>
              <w:left w:val="nil"/>
              <w:bottom w:val="single" w:sz="8" w:space="0" w:color="000000"/>
              <w:right w:val="nil"/>
            </w:tcBorders>
          </w:tcPr>
          <w:p>
            <w:pPr>
              <w:pStyle w:val="TableParagraph"/>
              <w:ind w:left="107"/>
              <w:rPr>
                <w:sz w:val="20"/>
              </w:rPr>
            </w:pPr>
            <w:r>
              <w:rPr>
                <w:sz w:val="20"/>
              </w:rPr>
              <w:t>152</w:t>
            </w:r>
          </w:p>
        </w:tc>
      </w:tr>
      <w:tr>
        <w:trPr>
          <w:trHeight w:val="555" w:hRule="exact"/>
        </w:trPr>
        <w:tc>
          <w:tcPr>
            <w:tcW w:w="130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Tocantínia</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497 de 15/06/15</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11</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29"/>
              <w:ind w:left="21"/>
              <w:jc w:val="center"/>
              <w:rPr>
                <w:sz w:val="20"/>
              </w:rPr>
            </w:pPr>
            <w:r>
              <w:rPr>
                <w:w w:val="99"/>
                <w:sz w:val="20"/>
              </w:rPr>
              <w:t>X</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w:t>
            </w:r>
          </w:p>
        </w:tc>
        <w:tc>
          <w:tcPr>
            <w:tcW w:w="569"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29"/>
              <w:ind w:left="108"/>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1" w:right="106"/>
              <w:jc w:val="center"/>
              <w:rPr>
                <w:sz w:val="20"/>
              </w:rPr>
            </w:pPr>
            <w:r>
              <w:rPr>
                <w:sz w:val="20"/>
              </w:rPr>
              <w:t>25</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26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12</w:t>
            </w:r>
          </w:p>
        </w:tc>
        <w:tc>
          <w:tcPr>
            <w:tcW w:w="456" w:type="dxa"/>
            <w:tcBorders>
              <w:top w:val="single" w:sz="8" w:space="0" w:color="000000"/>
              <w:left w:val="nil"/>
              <w:bottom w:val="single" w:sz="8" w:space="0" w:color="000000"/>
              <w:right w:val="nil"/>
            </w:tcBorders>
            <w:shd w:val="clear" w:color="auto" w:fill="F9DECA"/>
          </w:tcPr>
          <w:p>
            <w:pPr>
              <w:pStyle w:val="TableParagraph"/>
              <w:spacing w:before="129"/>
              <w:ind w:left="90" w:right="126"/>
              <w:jc w:val="center"/>
              <w:rPr>
                <w:sz w:val="20"/>
              </w:rPr>
            </w:pPr>
            <w:r>
              <w:rPr>
                <w:sz w:val="20"/>
              </w:rPr>
              <w:t>12</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sz w:val="20"/>
              </w:rPr>
              <w:t>14</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6"/>
              <w:jc w:val="center"/>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2" w:right="106"/>
              <w:jc w:val="center"/>
              <w:rPr>
                <w:sz w:val="20"/>
              </w:rPr>
            </w:pPr>
            <w:r>
              <w:rPr>
                <w:sz w:val="20"/>
              </w:rPr>
              <w:t>20</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2" w:right="106"/>
              <w:jc w:val="center"/>
              <w:rPr>
                <w:sz w:val="20"/>
              </w:rPr>
            </w:pPr>
            <w:r>
              <w:rPr>
                <w:sz w:val="20"/>
              </w:rPr>
              <w:t>21</w:t>
            </w:r>
          </w:p>
        </w:tc>
        <w:tc>
          <w:tcPr>
            <w:tcW w:w="456" w:type="dxa"/>
            <w:tcBorders>
              <w:top w:val="single" w:sz="8" w:space="0" w:color="000000"/>
              <w:left w:val="nil"/>
              <w:bottom w:val="single" w:sz="8" w:space="0" w:color="000000"/>
              <w:right w:val="nil"/>
            </w:tcBorders>
            <w:shd w:val="clear" w:color="auto" w:fill="F9DECA"/>
          </w:tcPr>
          <w:p>
            <w:pPr>
              <w:pStyle w:val="TableParagraph"/>
              <w:spacing w:before="129"/>
              <w:ind w:right="138"/>
              <w:jc w:val="center"/>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1" w:right="106"/>
              <w:jc w:val="center"/>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2" w:right="106"/>
              <w:jc w:val="center"/>
              <w:rPr>
                <w:sz w:val="20"/>
              </w:rPr>
            </w:pPr>
            <w:r>
              <w:rPr>
                <w:sz w:val="20"/>
              </w:rPr>
              <w:t>14</w:t>
            </w:r>
          </w:p>
        </w:tc>
        <w:tc>
          <w:tcPr>
            <w:tcW w:w="457"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7"/>
              <w:jc w:val="center"/>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w w:val="99"/>
                <w:sz w:val="20"/>
              </w:rPr>
              <w:t>6</w:t>
            </w:r>
          </w:p>
        </w:tc>
        <w:tc>
          <w:tcPr>
            <w:tcW w:w="622"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238</w:t>
            </w:r>
          </w:p>
        </w:tc>
      </w:tr>
    </w:tbl>
    <w:p>
      <w:pPr>
        <w:spacing w:after="0"/>
        <w:rPr>
          <w:sz w:val="20"/>
        </w:rPr>
        <w:sectPr>
          <w:headerReference w:type="default" r:id="rId78"/>
          <w:pgSz w:w="16840" w:h="11910" w:orient="landscape"/>
          <w:pgMar w:header="749" w:footer="0" w:top="960" w:bottom="280" w:left="880" w:right="740"/>
          <w:pgNumType w:start="13"/>
        </w:sectPr>
      </w:pPr>
    </w:p>
    <w:p>
      <w:pPr>
        <w:pStyle w:val="BodyText"/>
        <w:rPr>
          <w:sz w:val="20"/>
        </w:rPr>
      </w:pPr>
      <w:r>
        <w:rPr/>
        <w:drawing>
          <wp:anchor distT="0" distB="0" distL="0" distR="0" allowOverlap="1" layoutInCell="1" locked="0" behindDoc="0" simplePos="0" relativeHeight="2752">
            <wp:simplePos x="0" y="0"/>
            <wp:positionH relativeFrom="page">
              <wp:posOffset>2860801</wp:posOffset>
            </wp:positionH>
            <wp:positionV relativeFrom="page">
              <wp:posOffset>1821434</wp:posOffset>
            </wp:positionV>
            <wp:extent cx="215046" cy="504825"/>
            <wp:effectExtent l="0" t="0" r="0" b="0"/>
            <wp:wrapNone/>
            <wp:docPr id="71" name="image38.png" descr=""/>
            <wp:cNvGraphicFramePr>
              <a:graphicFrameLocks noChangeAspect="1"/>
            </wp:cNvGraphicFramePr>
            <a:graphic>
              <a:graphicData uri="http://schemas.openxmlformats.org/drawingml/2006/picture">
                <pic:pic>
                  <pic:nvPicPr>
                    <pic:cNvPr id="72" name="image38.png"/>
                    <pic:cNvPicPr/>
                  </pic:nvPicPr>
                  <pic:blipFill>
                    <a:blip r:embed="rId90" cstate="print"/>
                    <a:stretch>
                      <a:fillRect/>
                    </a:stretch>
                  </pic:blipFill>
                  <pic:spPr>
                    <a:xfrm>
                      <a:off x="0" y="0"/>
                      <a:ext cx="215046" cy="504825"/>
                    </a:xfrm>
                    <a:prstGeom prst="rect">
                      <a:avLst/>
                    </a:prstGeom>
                  </pic:spPr>
                </pic:pic>
              </a:graphicData>
            </a:graphic>
          </wp:anchor>
        </w:drawing>
      </w:r>
      <w:r>
        <w:rPr/>
        <w:drawing>
          <wp:anchor distT="0" distB="0" distL="0" distR="0" allowOverlap="1" layoutInCell="1" locked="0" behindDoc="0" simplePos="0" relativeHeight="2776">
            <wp:simplePos x="0" y="0"/>
            <wp:positionH relativeFrom="page">
              <wp:posOffset>3795395</wp:posOffset>
            </wp:positionH>
            <wp:positionV relativeFrom="page">
              <wp:posOffset>1821434</wp:posOffset>
            </wp:positionV>
            <wp:extent cx="181492" cy="504825"/>
            <wp:effectExtent l="0" t="0" r="0" b="0"/>
            <wp:wrapNone/>
            <wp:docPr id="73" name="image39.png" descr=""/>
            <wp:cNvGraphicFramePr>
              <a:graphicFrameLocks noChangeAspect="1"/>
            </wp:cNvGraphicFramePr>
            <a:graphic>
              <a:graphicData uri="http://schemas.openxmlformats.org/drawingml/2006/picture">
                <pic:pic>
                  <pic:nvPicPr>
                    <pic:cNvPr id="74" name="image39.png"/>
                    <pic:cNvPicPr/>
                  </pic:nvPicPr>
                  <pic:blipFill>
                    <a:blip r:embed="rId91" cstate="print"/>
                    <a:stretch>
                      <a:fillRect/>
                    </a:stretch>
                  </pic:blipFill>
                  <pic:spPr>
                    <a:xfrm>
                      <a:off x="0" y="0"/>
                      <a:ext cx="181492" cy="504825"/>
                    </a:xfrm>
                    <a:prstGeom prst="rect">
                      <a:avLst/>
                    </a:prstGeom>
                  </pic:spPr>
                </pic:pic>
              </a:graphicData>
            </a:graphic>
          </wp:anchor>
        </w:drawing>
      </w:r>
      <w:r>
        <w:rPr/>
        <w:drawing>
          <wp:anchor distT="0" distB="0" distL="0" distR="0" allowOverlap="1" layoutInCell="1" locked="0" behindDoc="0" simplePos="0" relativeHeight="2800">
            <wp:simplePos x="0" y="0"/>
            <wp:positionH relativeFrom="page">
              <wp:posOffset>2860801</wp:posOffset>
            </wp:positionH>
            <wp:positionV relativeFrom="page">
              <wp:posOffset>2711831</wp:posOffset>
            </wp:positionV>
            <wp:extent cx="213663" cy="333375"/>
            <wp:effectExtent l="0" t="0" r="0" b="0"/>
            <wp:wrapNone/>
            <wp:docPr id="75" name="image20.png" descr=""/>
            <wp:cNvGraphicFramePr>
              <a:graphicFrameLocks noChangeAspect="1"/>
            </wp:cNvGraphicFramePr>
            <a:graphic>
              <a:graphicData uri="http://schemas.openxmlformats.org/drawingml/2006/picture">
                <pic:pic>
                  <pic:nvPicPr>
                    <pic:cNvPr id="76" name="image20.png"/>
                    <pic:cNvPicPr/>
                  </pic:nvPicPr>
                  <pic:blipFill>
                    <a:blip r:embed="rId70" cstate="print"/>
                    <a:stretch>
                      <a:fillRect/>
                    </a:stretch>
                  </pic:blipFill>
                  <pic:spPr>
                    <a:xfrm>
                      <a:off x="0" y="0"/>
                      <a:ext cx="213663" cy="333375"/>
                    </a:xfrm>
                    <a:prstGeom prst="rect">
                      <a:avLst/>
                    </a:prstGeom>
                  </pic:spPr>
                </pic:pic>
              </a:graphicData>
            </a:graphic>
          </wp:anchor>
        </w:drawing>
      </w:r>
      <w:r>
        <w:rPr/>
        <w:drawing>
          <wp:anchor distT="0" distB="0" distL="0" distR="0" allowOverlap="1" layoutInCell="1" locked="0" behindDoc="0" simplePos="0" relativeHeight="2824">
            <wp:simplePos x="0" y="0"/>
            <wp:positionH relativeFrom="page">
              <wp:posOffset>3795395</wp:posOffset>
            </wp:positionH>
            <wp:positionV relativeFrom="page">
              <wp:posOffset>2711831</wp:posOffset>
            </wp:positionV>
            <wp:extent cx="180325" cy="333375"/>
            <wp:effectExtent l="0" t="0" r="0" b="0"/>
            <wp:wrapNone/>
            <wp:docPr id="77" name="image21.png" descr=""/>
            <wp:cNvGraphicFramePr>
              <a:graphicFrameLocks noChangeAspect="1"/>
            </wp:cNvGraphicFramePr>
            <a:graphic>
              <a:graphicData uri="http://schemas.openxmlformats.org/drawingml/2006/picture">
                <pic:pic>
                  <pic:nvPicPr>
                    <pic:cNvPr id="78" name="image21.png"/>
                    <pic:cNvPicPr/>
                  </pic:nvPicPr>
                  <pic:blipFill>
                    <a:blip r:embed="rId71" cstate="print"/>
                    <a:stretch>
                      <a:fillRect/>
                    </a:stretch>
                  </pic:blipFill>
                  <pic:spPr>
                    <a:xfrm>
                      <a:off x="0" y="0"/>
                      <a:ext cx="180325" cy="333375"/>
                    </a:xfrm>
                    <a:prstGeom prst="rect">
                      <a:avLst/>
                    </a:prstGeom>
                  </pic:spPr>
                </pic:pic>
              </a:graphicData>
            </a:graphic>
          </wp:anchor>
        </w:drawing>
      </w:r>
      <w:r>
        <w:rPr/>
        <w:drawing>
          <wp:anchor distT="0" distB="0" distL="0" distR="0" allowOverlap="1" layoutInCell="1" locked="0" behindDoc="0" simplePos="0" relativeHeight="2848">
            <wp:simplePos x="0" y="0"/>
            <wp:positionH relativeFrom="page">
              <wp:posOffset>2860801</wp:posOffset>
            </wp:positionH>
            <wp:positionV relativeFrom="page">
              <wp:posOffset>3408298</wp:posOffset>
            </wp:positionV>
            <wp:extent cx="216715" cy="338137"/>
            <wp:effectExtent l="0" t="0" r="0" b="0"/>
            <wp:wrapNone/>
            <wp:docPr id="79" name="image40.png" descr=""/>
            <wp:cNvGraphicFramePr>
              <a:graphicFrameLocks noChangeAspect="1"/>
            </wp:cNvGraphicFramePr>
            <a:graphic>
              <a:graphicData uri="http://schemas.openxmlformats.org/drawingml/2006/picture">
                <pic:pic>
                  <pic:nvPicPr>
                    <pic:cNvPr id="80" name="image40.png"/>
                    <pic:cNvPicPr/>
                  </pic:nvPicPr>
                  <pic:blipFill>
                    <a:blip r:embed="rId92" cstate="print"/>
                    <a:stretch>
                      <a:fillRect/>
                    </a:stretch>
                  </pic:blipFill>
                  <pic:spPr>
                    <a:xfrm>
                      <a:off x="0" y="0"/>
                      <a:ext cx="216715" cy="338137"/>
                    </a:xfrm>
                    <a:prstGeom prst="rect">
                      <a:avLst/>
                    </a:prstGeom>
                  </pic:spPr>
                </pic:pic>
              </a:graphicData>
            </a:graphic>
          </wp:anchor>
        </w:drawing>
      </w:r>
      <w:r>
        <w:rPr/>
        <w:drawing>
          <wp:anchor distT="0" distB="0" distL="0" distR="0" allowOverlap="1" layoutInCell="1" locked="0" behindDoc="0" simplePos="0" relativeHeight="2872">
            <wp:simplePos x="0" y="0"/>
            <wp:positionH relativeFrom="page">
              <wp:posOffset>3795395</wp:posOffset>
            </wp:positionH>
            <wp:positionV relativeFrom="page">
              <wp:posOffset>3408298</wp:posOffset>
            </wp:positionV>
            <wp:extent cx="182901" cy="338137"/>
            <wp:effectExtent l="0" t="0" r="0" b="0"/>
            <wp:wrapNone/>
            <wp:docPr id="81" name="image41.png" descr=""/>
            <wp:cNvGraphicFramePr>
              <a:graphicFrameLocks noChangeAspect="1"/>
            </wp:cNvGraphicFramePr>
            <a:graphic>
              <a:graphicData uri="http://schemas.openxmlformats.org/drawingml/2006/picture">
                <pic:pic>
                  <pic:nvPicPr>
                    <pic:cNvPr id="82" name="image41.png"/>
                    <pic:cNvPicPr/>
                  </pic:nvPicPr>
                  <pic:blipFill>
                    <a:blip r:embed="rId93" cstate="print"/>
                    <a:stretch>
                      <a:fillRect/>
                    </a:stretch>
                  </pic:blipFill>
                  <pic:spPr>
                    <a:xfrm>
                      <a:off x="0" y="0"/>
                      <a:ext cx="182901" cy="338137"/>
                    </a:xfrm>
                    <a:prstGeom prst="rect">
                      <a:avLst/>
                    </a:prstGeom>
                  </pic:spPr>
                </pic:pic>
              </a:graphicData>
            </a:graphic>
          </wp:anchor>
        </w:drawing>
      </w:r>
      <w:r>
        <w:rPr/>
        <w:drawing>
          <wp:anchor distT="0" distB="0" distL="0" distR="0" allowOverlap="1" layoutInCell="1" locked="0" behindDoc="0" simplePos="0" relativeHeight="2896">
            <wp:simplePos x="0" y="0"/>
            <wp:positionH relativeFrom="page">
              <wp:posOffset>2860801</wp:posOffset>
            </wp:positionH>
            <wp:positionV relativeFrom="page">
              <wp:posOffset>4105021</wp:posOffset>
            </wp:positionV>
            <wp:extent cx="215734" cy="338137"/>
            <wp:effectExtent l="0" t="0" r="0" b="0"/>
            <wp:wrapNone/>
            <wp:docPr id="83" name="image42.png" descr=""/>
            <wp:cNvGraphicFramePr>
              <a:graphicFrameLocks noChangeAspect="1"/>
            </wp:cNvGraphicFramePr>
            <a:graphic>
              <a:graphicData uri="http://schemas.openxmlformats.org/drawingml/2006/picture">
                <pic:pic>
                  <pic:nvPicPr>
                    <pic:cNvPr id="84" name="image42.png"/>
                    <pic:cNvPicPr/>
                  </pic:nvPicPr>
                  <pic:blipFill>
                    <a:blip r:embed="rId94" cstate="print"/>
                    <a:stretch>
                      <a:fillRect/>
                    </a:stretch>
                  </pic:blipFill>
                  <pic:spPr>
                    <a:xfrm>
                      <a:off x="0" y="0"/>
                      <a:ext cx="215734" cy="338137"/>
                    </a:xfrm>
                    <a:prstGeom prst="rect">
                      <a:avLst/>
                    </a:prstGeom>
                  </pic:spPr>
                </pic:pic>
              </a:graphicData>
            </a:graphic>
          </wp:anchor>
        </w:drawing>
      </w:r>
      <w:r>
        <w:rPr/>
        <w:drawing>
          <wp:anchor distT="0" distB="0" distL="0" distR="0" allowOverlap="1" layoutInCell="1" locked="0" behindDoc="0" simplePos="0" relativeHeight="2920">
            <wp:simplePos x="0" y="0"/>
            <wp:positionH relativeFrom="page">
              <wp:posOffset>3795395</wp:posOffset>
            </wp:positionH>
            <wp:positionV relativeFrom="page">
              <wp:posOffset>4105021</wp:posOffset>
            </wp:positionV>
            <wp:extent cx="182074" cy="338137"/>
            <wp:effectExtent l="0" t="0" r="0" b="0"/>
            <wp:wrapNone/>
            <wp:docPr id="85" name="image23.png" descr=""/>
            <wp:cNvGraphicFramePr>
              <a:graphicFrameLocks noChangeAspect="1"/>
            </wp:cNvGraphicFramePr>
            <a:graphic>
              <a:graphicData uri="http://schemas.openxmlformats.org/drawingml/2006/picture">
                <pic:pic>
                  <pic:nvPicPr>
                    <pic:cNvPr id="86" name="image23.png"/>
                    <pic:cNvPicPr/>
                  </pic:nvPicPr>
                  <pic:blipFill>
                    <a:blip r:embed="rId73" cstate="print"/>
                    <a:stretch>
                      <a:fillRect/>
                    </a:stretch>
                  </pic:blipFill>
                  <pic:spPr>
                    <a:xfrm>
                      <a:off x="0" y="0"/>
                      <a:ext cx="182074" cy="338137"/>
                    </a:xfrm>
                    <a:prstGeom prst="rect">
                      <a:avLst/>
                    </a:prstGeom>
                  </pic:spPr>
                </pic:pic>
              </a:graphicData>
            </a:graphic>
          </wp:anchor>
        </w:drawing>
      </w:r>
      <w:r>
        <w:rPr/>
        <w:drawing>
          <wp:anchor distT="0" distB="0" distL="0" distR="0" allowOverlap="1" layoutInCell="1" locked="0" behindDoc="0" simplePos="0" relativeHeight="2944">
            <wp:simplePos x="0" y="0"/>
            <wp:positionH relativeFrom="page">
              <wp:posOffset>2860801</wp:posOffset>
            </wp:positionH>
            <wp:positionV relativeFrom="page">
              <wp:posOffset>4803013</wp:posOffset>
            </wp:positionV>
            <wp:extent cx="213663" cy="333375"/>
            <wp:effectExtent l="0" t="0" r="0" b="0"/>
            <wp:wrapNone/>
            <wp:docPr id="87" name="image20.png" descr=""/>
            <wp:cNvGraphicFramePr>
              <a:graphicFrameLocks noChangeAspect="1"/>
            </wp:cNvGraphicFramePr>
            <a:graphic>
              <a:graphicData uri="http://schemas.openxmlformats.org/drawingml/2006/picture">
                <pic:pic>
                  <pic:nvPicPr>
                    <pic:cNvPr id="88" name="image20.png"/>
                    <pic:cNvPicPr/>
                  </pic:nvPicPr>
                  <pic:blipFill>
                    <a:blip r:embed="rId70" cstate="print"/>
                    <a:stretch>
                      <a:fillRect/>
                    </a:stretch>
                  </pic:blipFill>
                  <pic:spPr>
                    <a:xfrm>
                      <a:off x="0" y="0"/>
                      <a:ext cx="213663" cy="333375"/>
                    </a:xfrm>
                    <a:prstGeom prst="rect">
                      <a:avLst/>
                    </a:prstGeom>
                  </pic:spPr>
                </pic:pic>
              </a:graphicData>
            </a:graphic>
          </wp:anchor>
        </w:drawing>
      </w:r>
      <w:r>
        <w:rPr/>
        <w:drawing>
          <wp:anchor distT="0" distB="0" distL="0" distR="0" allowOverlap="1" layoutInCell="1" locked="0" behindDoc="0" simplePos="0" relativeHeight="2968">
            <wp:simplePos x="0" y="0"/>
            <wp:positionH relativeFrom="page">
              <wp:posOffset>3795395</wp:posOffset>
            </wp:positionH>
            <wp:positionV relativeFrom="page">
              <wp:posOffset>4803013</wp:posOffset>
            </wp:positionV>
            <wp:extent cx="180325" cy="333375"/>
            <wp:effectExtent l="0" t="0" r="0" b="0"/>
            <wp:wrapNone/>
            <wp:docPr id="89" name="image21.png" descr=""/>
            <wp:cNvGraphicFramePr>
              <a:graphicFrameLocks noChangeAspect="1"/>
            </wp:cNvGraphicFramePr>
            <a:graphic>
              <a:graphicData uri="http://schemas.openxmlformats.org/drawingml/2006/picture">
                <pic:pic>
                  <pic:nvPicPr>
                    <pic:cNvPr id="90" name="image21.png"/>
                    <pic:cNvPicPr/>
                  </pic:nvPicPr>
                  <pic:blipFill>
                    <a:blip r:embed="rId71" cstate="print"/>
                    <a:stretch>
                      <a:fillRect/>
                    </a:stretch>
                  </pic:blipFill>
                  <pic:spPr>
                    <a:xfrm>
                      <a:off x="0" y="0"/>
                      <a:ext cx="180325" cy="333375"/>
                    </a:xfrm>
                    <a:prstGeom prst="rect">
                      <a:avLst/>
                    </a:prstGeom>
                  </pic:spPr>
                </pic:pic>
              </a:graphicData>
            </a:graphic>
          </wp:anchor>
        </w:drawing>
      </w:r>
      <w:r>
        <w:rPr/>
        <w:drawing>
          <wp:anchor distT="0" distB="0" distL="0" distR="0" allowOverlap="1" layoutInCell="1" locked="0" behindDoc="0" simplePos="0" relativeHeight="2992">
            <wp:simplePos x="0" y="0"/>
            <wp:positionH relativeFrom="page">
              <wp:posOffset>2860801</wp:posOffset>
            </wp:positionH>
            <wp:positionV relativeFrom="page">
              <wp:posOffset>5499480</wp:posOffset>
            </wp:positionV>
            <wp:extent cx="215491" cy="338137"/>
            <wp:effectExtent l="0" t="0" r="0" b="0"/>
            <wp:wrapNone/>
            <wp:docPr id="91" name="image43.png" descr=""/>
            <wp:cNvGraphicFramePr>
              <a:graphicFrameLocks noChangeAspect="1"/>
            </wp:cNvGraphicFramePr>
            <a:graphic>
              <a:graphicData uri="http://schemas.openxmlformats.org/drawingml/2006/picture">
                <pic:pic>
                  <pic:nvPicPr>
                    <pic:cNvPr id="92" name="image43.png"/>
                    <pic:cNvPicPr/>
                  </pic:nvPicPr>
                  <pic:blipFill>
                    <a:blip r:embed="rId95" cstate="print"/>
                    <a:stretch>
                      <a:fillRect/>
                    </a:stretch>
                  </pic:blipFill>
                  <pic:spPr>
                    <a:xfrm>
                      <a:off x="0" y="0"/>
                      <a:ext cx="215491" cy="338137"/>
                    </a:xfrm>
                    <a:prstGeom prst="rect">
                      <a:avLst/>
                    </a:prstGeom>
                  </pic:spPr>
                </pic:pic>
              </a:graphicData>
            </a:graphic>
          </wp:anchor>
        </w:drawing>
      </w:r>
      <w:r>
        <w:rPr/>
        <w:drawing>
          <wp:anchor distT="0" distB="0" distL="0" distR="0" allowOverlap="1" layoutInCell="1" locked="0" behindDoc="0" simplePos="0" relativeHeight="3016">
            <wp:simplePos x="0" y="0"/>
            <wp:positionH relativeFrom="page">
              <wp:posOffset>3795395</wp:posOffset>
            </wp:positionH>
            <wp:positionV relativeFrom="page">
              <wp:posOffset>5499480</wp:posOffset>
            </wp:positionV>
            <wp:extent cx="181868" cy="338137"/>
            <wp:effectExtent l="0" t="0" r="0" b="0"/>
            <wp:wrapNone/>
            <wp:docPr id="93" name="image44.png" descr=""/>
            <wp:cNvGraphicFramePr>
              <a:graphicFrameLocks noChangeAspect="1"/>
            </wp:cNvGraphicFramePr>
            <a:graphic>
              <a:graphicData uri="http://schemas.openxmlformats.org/drawingml/2006/picture">
                <pic:pic>
                  <pic:nvPicPr>
                    <pic:cNvPr id="94" name="image44.png"/>
                    <pic:cNvPicPr/>
                  </pic:nvPicPr>
                  <pic:blipFill>
                    <a:blip r:embed="rId96" cstate="print"/>
                    <a:stretch>
                      <a:fillRect/>
                    </a:stretch>
                  </pic:blipFill>
                  <pic:spPr>
                    <a:xfrm>
                      <a:off x="0" y="0"/>
                      <a:ext cx="181868" cy="338137"/>
                    </a:xfrm>
                    <a:prstGeom prst="rect">
                      <a:avLst/>
                    </a:prstGeom>
                  </pic:spPr>
                </pic:pic>
              </a:graphicData>
            </a:graphic>
          </wp:anchor>
        </w:drawing>
      </w:r>
    </w:p>
    <w:p>
      <w:pPr>
        <w:pStyle w:val="BodyText"/>
        <w:rPr>
          <w:sz w:val="20"/>
        </w:rPr>
      </w:pPr>
    </w:p>
    <w:p>
      <w:pPr>
        <w:pStyle w:val="BodyText"/>
        <w:spacing w:before="8"/>
        <w:rPr>
          <w:sz w:val="22"/>
        </w:rPr>
      </w:pPr>
    </w:p>
    <w:tbl>
      <w:tblPr>
        <w:tblW w:w="0" w:type="auto"/>
        <w:jc w:val="left"/>
        <w:tblInd w:w="101"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304"/>
        <w:gridCol w:w="1078"/>
        <w:gridCol w:w="566"/>
        <w:gridCol w:w="566"/>
        <w:gridCol w:w="338"/>
        <w:gridCol w:w="566"/>
        <w:gridCol w:w="569"/>
        <w:gridCol w:w="283"/>
        <w:gridCol w:w="454"/>
        <w:gridCol w:w="454"/>
        <w:gridCol w:w="454"/>
        <w:gridCol w:w="456"/>
        <w:gridCol w:w="454"/>
        <w:gridCol w:w="454"/>
        <w:gridCol w:w="454"/>
        <w:gridCol w:w="454"/>
        <w:gridCol w:w="454"/>
        <w:gridCol w:w="456"/>
        <w:gridCol w:w="454"/>
        <w:gridCol w:w="454"/>
        <w:gridCol w:w="454"/>
        <w:gridCol w:w="454"/>
        <w:gridCol w:w="454"/>
        <w:gridCol w:w="457"/>
        <w:gridCol w:w="454"/>
        <w:gridCol w:w="454"/>
        <w:gridCol w:w="454"/>
        <w:gridCol w:w="454"/>
        <w:gridCol w:w="622"/>
      </w:tblGrid>
      <w:tr>
        <w:trPr>
          <w:trHeight w:val="1133" w:hRule="exact"/>
        </w:trPr>
        <w:tc>
          <w:tcPr>
            <w:tcW w:w="1304" w:type="dxa"/>
            <w:tcBorders>
              <w:left w:val="single" w:sz="8" w:space="0" w:color="000000"/>
              <w:bottom w:val="single" w:sz="18" w:space="0" w:color="000000"/>
              <w:right w:val="single" w:sz="8" w:space="0" w:color="000000"/>
            </w:tcBorders>
          </w:tcPr>
          <w:p>
            <w:pPr>
              <w:pStyle w:val="TableParagraph"/>
              <w:spacing w:before="0"/>
              <w:rPr>
                <w:sz w:val="22"/>
              </w:rPr>
            </w:pPr>
          </w:p>
          <w:p>
            <w:pPr>
              <w:pStyle w:val="TableParagraph"/>
              <w:spacing w:before="155"/>
              <w:ind w:left="201"/>
              <w:rPr>
                <w:b/>
                <w:sz w:val="20"/>
              </w:rPr>
            </w:pPr>
            <w:r>
              <w:rPr>
                <w:b/>
                <w:sz w:val="20"/>
              </w:rPr>
              <w:t>Município</w:t>
            </w:r>
          </w:p>
        </w:tc>
        <w:tc>
          <w:tcPr>
            <w:tcW w:w="1078" w:type="dxa"/>
            <w:tcBorders>
              <w:left w:val="single" w:sz="8" w:space="0" w:color="000000"/>
              <w:bottom w:val="single" w:sz="18" w:space="0" w:color="000000"/>
              <w:right w:val="single" w:sz="8" w:space="0" w:color="000000"/>
            </w:tcBorders>
            <w:textDirection w:val="btLr"/>
          </w:tcPr>
          <w:p>
            <w:pPr>
              <w:pStyle w:val="TableParagraph"/>
              <w:spacing w:before="4"/>
              <w:rPr>
                <w:sz w:val="22"/>
              </w:rPr>
            </w:pPr>
          </w:p>
          <w:p>
            <w:pPr>
              <w:pStyle w:val="TableParagraph"/>
              <w:spacing w:line="283" w:lineRule="auto" w:before="0"/>
              <w:ind w:left="112" w:right="32"/>
              <w:rPr>
                <w:b/>
                <w:sz w:val="20"/>
              </w:rPr>
            </w:pPr>
            <w:r>
              <w:rPr>
                <w:b/>
                <w:spacing w:val="-1"/>
                <w:w w:val="99"/>
                <w:sz w:val="20"/>
              </w:rPr>
              <w:t>L</w:t>
            </w:r>
            <w:r>
              <w:rPr>
                <w:b/>
                <w:w w:val="99"/>
                <w:sz w:val="20"/>
              </w:rPr>
              <w:t>ei</w:t>
            </w:r>
            <w:r>
              <w:rPr>
                <w:b/>
                <w:sz w:val="20"/>
              </w:rPr>
              <w:t> </w:t>
            </w:r>
            <w:r>
              <w:rPr>
                <w:b/>
                <w:w w:val="99"/>
                <w:sz w:val="20"/>
              </w:rPr>
              <w:t>do </w:t>
            </w:r>
            <w:r>
              <w:rPr>
                <w:b/>
                <w:w w:val="99"/>
                <w:sz w:val="20"/>
              </w:rPr>
              <w:t>P</w:t>
            </w:r>
            <w:r>
              <w:rPr>
                <w:b/>
                <w:spacing w:val="-1"/>
                <w:w w:val="99"/>
                <w:sz w:val="20"/>
              </w:rPr>
              <w:t>M</w:t>
            </w:r>
            <w:r>
              <w:rPr>
                <w:b/>
                <w:w w:val="99"/>
                <w:sz w:val="20"/>
              </w:rPr>
              <w:t>E</w:t>
            </w:r>
          </w:p>
        </w:tc>
        <w:tc>
          <w:tcPr>
            <w:tcW w:w="566" w:type="dxa"/>
            <w:tcBorders>
              <w:left w:val="single" w:sz="8" w:space="0" w:color="000000"/>
              <w:bottom w:val="single" w:sz="18" w:space="0" w:color="000000"/>
              <w:right w:val="single" w:sz="8" w:space="0" w:color="000000"/>
            </w:tcBorders>
            <w:textDirection w:val="btLr"/>
          </w:tcPr>
          <w:p>
            <w:pPr>
              <w:pStyle w:val="TableParagraph"/>
              <w:spacing w:line="283" w:lineRule="auto" w:before="3"/>
              <w:ind w:left="112" w:right="32"/>
              <w:rPr>
                <w:b/>
                <w:sz w:val="20"/>
              </w:rPr>
            </w:pPr>
            <w:r>
              <w:rPr>
                <w:b/>
                <w:w w:val="99"/>
                <w:sz w:val="20"/>
              </w:rPr>
              <w:t>Nº</w:t>
            </w:r>
            <w:r>
              <w:rPr>
                <w:b/>
                <w:spacing w:val="-1"/>
                <w:sz w:val="20"/>
              </w:rPr>
              <w:t> </w:t>
            </w:r>
            <w:r>
              <w:rPr>
                <w:b/>
                <w:w w:val="99"/>
                <w:sz w:val="20"/>
              </w:rPr>
              <w:t>de Ar</w:t>
            </w:r>
            <w:r>
              <w:rPr>
                <w:b/>
                <w:spacing w:val="1"/>
                <w:w w:val="99"/>
                <w:sz w:val="20"/>
              </w:rPr>
              <w:t>t</w:t>
            </w:r>
            <w:r>
              <w:rPr>
                <w:b/>
                <w:w w:val="99"/>
                <w:sz w:val="20"/>
              </w:rPr>
              <w:t>ig</w:t>
            </w:r>
            <w:r>
              <w:rPr>
                <w:b/>
                <w:spacing w:val="1"/>
                <w:w w:val="99"/>
                <w:sz w:val="20"/>
              </w:rPr>
              <w:t>o</w:t>
            </w:r>
            <w:r>
              <w:rPr>
                <w:b/>
                <w:w w:val="99"/>
                <w:sz w:val="20"/>
              </w:rPr>
              <w:t>s</w:t>
            </w:r>
          </w:p>
        </w:tc>
        <w:tc>
          <w:tcPr>
            <w:tcW w:w="566" w:type="dxa"/>
            <w:tcBorders>
              <w:left w:val="single" w:sz="8" w:space="0" w:color="000000"/>
              <w:bottom w:val="single" w:sz="18" w:space="0" w:color="000000"/>
              <w:right w:val="single" w:sz="8" w:space="0" w:color="000000"/>
            </w:tcBorders>
            <w:textDirection w:val="btLr"/>
          </w:tcPr>
          <w:p>
            <w:pPr>
              <w:pStyle w:val="TableParagraph"/>
              <w:spacing w:line="283" w:lineRule="auto" w:before="3"/>
              <w:ind w:left="112" w:right="32"/>
              <w:rPr>
                <w:b/>
                <w:sz w:val="20"/>
              </w:rPr>
            </w:pPr>
            <w:r>
              <w:rPr>
                <w:b/>
                <w:w w:val="99"/>
                <w:sz w:val="20"/>
              </w:rPr>
              <w:t>Nº</w:t>
            </w:r>
            <w:r>
              <w:rPr>
                <w:b/>
                <w:spacing w:val="-1"/>
                <w:sz w:val="20"/>
              </w:rPr>
              <w:t> </w:t>
            </w:r>
            <w:r>
              <w:rPr>
                <w:b/>
                <w:w w:val="99"/>
                <w:sz w:val="20"/>
              </w:rPr>
              <w:t>de </w:t>
            </w:r>
            <w:r>
              <w:rPr>
                <w:b/>
                <w:spacing w:val="-1"/>
                <w:w w:val="99"/>
                <w:sz w:val="20"/>
              </w:rPr>
              <w:t>M</w:t>
            </w:r>
            <w:r>
              <w:rPr>
                <w:b/>
                <w:w w:val="99"/>
                <w:sz w:val="20"/>
              </w:rPr>
              <w:t>e</w:t>
            </w:r>
            <w:r>
              <w:rPr>
                <w:b/>
                <w:spacing w:val="1"/>
                <w:w w:val="99"/>
                <w:sz w:val="20"/>
              </w:rPr>
              <w:t>ta</w:t>
            </w:r>
            <w:r>
              <w:rPr>
                <w:b/>
                <w:w w:val="99"/>
                <w:sz w:val="20"/>
              </w:rPr>
              <w:t>s</w:t>
            </w:r>
          </w:p>
        </w:tc>
        <w:tc>
          <w:tcPr>
            <w:tcW w:w="338" w:type="dxa"/>
            <w:tcBorders>
              <w:left w:val="single" w:sz="8" w:space="0" w:color="000000"/>
              <w:bottom w:val="single" w:sz="18" w:space="0" w:color="000000"/>
              <w:right w:val="single" w:sz="8" w:space="0" w:color="000000"/>
            </w:tcBorders>
            <w:textDirection w:val="btLr"/>
          </w:tcPr>
          <w:p>
            <w:pPr>
              <w:pStyle w:val="TableParagraph"/>
              <w:spacing w:before="24"/>
              <w:ind w:left="-1"/>
              <w:rPr>
                <w:b/>
                <w:sz w:val="20"/>
              </w:rPr>
            </w:pPr>
            <w:r>
              <w:rPr>
                <w:b/>
                <w:w w:val="99"/>
                <w:sz w:val="20"/>
              </w:rPr>
              <w:t>C</w:t>
            </w:r>
            <w:r>
              <w:rPr>
                <w:b/>
                <w:spacing w:val="1"/>
                <w:w w:val="99"/>
                <w:sz w:val="20"/>
              </w:rPr>
              <w:t>o</w:t>
            </w:r>
            <w:r>
              <w:rPr>
                <w:b/>
                <w:w w:val="99"/>
                <w:sz w:val="20"/>
              </w:rPr>
              <w:t>mi</w:t>
            </w:r>
            <w:r>
              <w:rPr>
                <w:b/>
                <w:spacing w:val="-2"/>
                <w:w w:val="99"/>
                <w:sz w:val="20"/>
              </w:rPr>
              <w:t>s</w:t>
            </w:r>
            <w:r>
              <w:rPr>
                <w:b/>
                <w:spacing w:val="-1"/>
                <w:w w:val="99"/>
                <w:sz w:val="20"/>
              </w:rPr>
              <w:t>s</w:t>
            </w:r>
            <w:r>
              <w:rPr>
                <w:b/>
                <w:spacing w:val="1"/>
                <w:w w:val="99"/>
                <w:sz w:val="20"/>
              </w:rPr>
              <w:t>ã</w:t>
            </w:r>
            <w:r>
              <w:rPr>
                <w:b/>
                <w:w w:val="99"/>
                <w:sz w:val="20"/>
              </w:rPr>
              <w:t>o</w:t>
            </w:r>
          </w:p>
        </w:tc>
        <w:tc>
          <w:tcPr>
            <w:tcW w:w="566" w:type="dxa"/>
            <w:tcBorders>
              <w:left w:val="single" w:sz="8" w:space="0" w:color="000000"/>
              <w:bottom w:val="single" w:sz="18" w:space="0" w:color="000000"/>
              <w:right w:val="single" w:sz="8" w:space="0" w:color="000000"/>
            </w:tcBorders>
            <w:textDirection w:val="btLr"/>
          </w:tcPr>
          <w:p>
            <w:pPr>
              <w:pStyle w:val="TableParagraph"/>
              <w:spacing w:line="283" w:lineRule="auto" w:before="3"/>
              <w:ind w:left="-1" w:right="32"/>
              <w:rPr>
                <w:b/>
                <w:sz w:val="20"/>
              </w:rPr>
            </w:pPr>
            <w:r>
              <w:rPr>
                <w:b/>
                <w:spacing w:val="-1"/>
                <w:w w:val="99"/>
                <w:sz w:val="20"/>
              </w:rPr>
              <w:t>E</w:t>
            </w:r>
            <w:r>
              <w:rPr>
                <w:b/>
                <w:w w:val="99"/>
                <w:sz w:val="20"/>
              </w:rPr>
              <w:t>q</w:t>
            </w:r>
            <w:r>
              <w:rPr>
                <w:b/>
                <w:spacing w:val="-1"/>
                <w:w w:val="99"/>
                <w:sz w:val="20"/>
              </w:rPr>
              <w:t>u</w:t>
            </w:r>
            <w:r>
              <w:rPr>
                <w:b/>
                <w:spacing w:val="2"/>
                <w:w w:val="99"/>
                <w:sz w:val="20"/>
              </w:rPr>
              <w:t>i</w:t>
            </w:r>
            <w:r>
              <w:rPr>
                <w:b/>
                <w:w w:val="99"/>
                <w:sz w:val="20"/>
              </w:rPr>
              <w:t>pe </w:t>
            </w:r>
            <w:r>
              <w:rPr>
                <w:b/>
                <w:spacing w:val="-1"/>
                <w:w w:val="99"/>
                <w:sz w:val="20"/>
              </w:rPr>
              <w:t>T</w:t>
            </w:r>
            <w:r>
              <w:rPr>
                <w:b/>
                <w:w w:val="99"/>
                <w:sz w:val="20"/>
              </w:rPr>
              <w:t>écnica</w:t>
            </w:r>
          </w:p>
        </w:tc>
        <w:tc>
          <w:tcPr>
            <w:tcW w:w="569" w:type="dxa"/>
            <w:tcBorders>
              <w:left w:val="single" w:sz="8" w:space="0" w:color="000000"/>
              <w:bottom w:val="single" w:sz="18" w:space="0" w:color="000000"/>
              <w:right w:val="single" w:sz="8" w:space="0" w:color="000000"/>
            </w:tcBorders>
            <w:textDirection w:val="btLr"/>
          </w:tcPr>
          <w:p>
            <w:pPr>
              <w:pStyle w:val="TableParagraph"/>
              <w:spacing w:line="283" w:lineRule="auto" w:before="3"/>
              <w:ind w:left="-1"/>
              <w:rPr>
                <w:b/>
                <w:sz w:val="20"/>
              </w:rPr>
            </w:pPr>
            <w:r>
              <w:rPr>
                <w:b/>
                <w:w w:val="99"/>
                <w:sz w:val="20"/>
              </w:rPr>
              <w:t>H</w:t>
            </w:r>
            <w:r>
              <w:rPr>
                <w:b/>
                <w:w w:val="99"/>
                <w:sz w:val="20"/>
              </w:rPr>
              <w:t>i</w:t>
            </w:r>
            <w:r>
              <w:rPr>
                <w:b/>
                <w:spacing w:val="-1"/>
                <w:w w:val="99"/>
                <w:sz w:val="20"/>
              </w:rPr>
              <w:t>s</w:t>
            </w:r>
            <w:r>
              <w:rPr>
                <w:b/>
                <w:w w:val="99"/>
                <w:sz w:val="20"/>
              </w:rPr>
              <w:t>t</w:t>
            </w:r>
            <w:r>
              <w:rPr>
                <w:b/>
                <w:spacing w:val="1"/>
                <w:w w:val="99"/>
                <w:sz w:val="20"/>
              </w:rPr>
              <w:t>ó</w:t>
            </w:r>
            <w:r>
              <w:rPr>
                <w:b/>
                <w:w w:val="99"/>
                <w:sz w:val="20"/>
              </w:rPr>
              <w:t>rico</w:t>
            </w:r>
            <w:r>
              <w:rPr>
                <w:b/>
                <w:spacing w:val="1"/>
                <w:sz w:val="20"/>
              </w:rPr>
              <w:t> </w:t>
            </w:r>
            <w:r>
              <w:rPr>
                <w:b/>
                <w:w w:val="99"/>
                <w:sz w:val="20"/>
              </w:rPr>
              <w:t>do </w:t>
            </w:r>
            <w:r>
              <w:rPr>
                <w:b/>
                <w:spacing w:val="-1"/>
                <w:w w:val="99"/>
                <w:sz w:val="20"/>
              </w:rPr>
              <w:t>M</w:t>
            </w:r>
            <w:r>
              <w:rPr>
                <w:b/>
                <w:w w:val="99"/>
                <w:sz w:val="20"/>
              </w:rPr>
              <w:t>u</w:t>
            </w:r>
            <w:r>
              <w:rPr>
                <w:b/>
                <w:spacing w:val="1"/>
                <w:w w:val="99"/>
                <w:sz w:val="20"/>
              </w:rPr>
              <w:t>n</w:t>
            </w:r>
            <w:r>
              <w:rPr>
                <w:b/>
                <w:w w:val="99"/>
                <w:sz w:val="20"/>
              </w:rPr>
              <w:t>icípio</w:t>
            </w:r>
          </w:p>
        </w:tc>
        <w:tc>
          <w:tcPr>
            <w:tcW w:w="283" w:type="dxa"/>
            <w:tcBorders>
              <w:left w:val="single" w:sz="8" w:space="0" w:color="000000"/>
              <w:bottom w:val="single" w:sz="18" w:space="0" w:color="000000"/>
              <w:right w:val="single" w:sz="8" w:space="0" w:color="000000"/>
            </w:tcBorders>
            <w:textDirection w:val="btLr"/>
          </w:tcPr>
          <w:p>
            <w:pPr>
              <w:pStyle w:val="TableParagraph"/>
              <w:spacing w:line="226" w:lineRule="exact" w:before="0"/>
              <w:ind w:left="-1"/>
              <w:rPr>
                <w:b/>
                <w:sz w:val="20"/>
              </w:rPr>
            </w:pPr>
            <w:r>
              <w:rPr>
                <w:b/>
                <w:w w:val="99"/>
                <w:sz w:val="20"/>
              </w:rPr>
              <w:t>Di</w:t>
            </w:r>
            <w:r>
              <w:rPr>
                <w:b/>
                <w:spacing w:val="1"/>
                <w:w w:val="99"/>
                <w:sz w:val="20"/>
              </w:rPr>
              <w:t>a</w:t>
            </w:r>
            <w:r>
              <w:rPr>
                <w:b/>
                <w:spacing w:val="1"/>
                <w:w w:val="99"/>
                <w:sz w:val="20"/>
              </w:rPr>
              <w:t>g</w:t>
            </w:r>
            <w:r>
              <w:rPr>
                <w:b/>
                <w:w w:val="99"/>
                <w:sz w:val="20"/>
              </w:rPr>
              <w:t>nó</w:t>
            </w:r>
            <w:r>
              <w:rPr>
                <w:b/>
                <w:spacing w:val="-1"/>
                <w:w w:val="99"/>
                <w:sz w:val="20"/>
              </w:rPr>
              <w:t>s</w:t>
            </w:r>
            <w:r>
              <w:rPr>
                <w:b/>
                <w:w w:val="99"/>
                <w:sz w:val="20"/>
              </w:rPr>
              <w:t>tico</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1</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2</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3</w:t>
            </w:r>
          </w:p>
        </w:tc>
        <w:tc>
          <w:tcPr>
            <w:tcW w:w="456"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4</w:t>
            </w:r>
          </w:p>
        </w:tc>
        <w:tc>
          <w:tcPr>
            <w:tcW w:w="454" w:type="dxa"/>
            <w:tcBorders>
              <w:left w:val="single" w:sz="8" w:space="0" w:color="000000"/>
              <w:bottom w:val="single" w:sz="18" w:space="0" w:color="000000"/>
              <w:right w:val="single" w:sz="8" w:space="0" w:color="000000"/>
            </w:tcBorders>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5</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6</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7</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8</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9</w:t>
            </w:r>
          </w:p>
        </w:tc>
        <w:tc>
          <w:tcPr>
            <w:tcW w:w="456"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0</w:t>
            </w:r>
          </w:p>
        </w:tc>
        <w:tc>
          <w:tcPr>
            <w:tcW w:w="454" w:type="dxa"/>
            <w:tcBorders>
              <w:left w:val="single" w:sz="8" w:space="0" w:color="000000"/>
              <w:bottom w:val="single" w:sz="18" w:space="0" w:color="000000"/>
              <w:right w:val="single" w:sz="8" w:space="0" w:color="000000"/>
            </w:tcBorders>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1</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2</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3</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4</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5</w:t>
            </w:r>
          </w:p>
        </w:tc>
        <w:tc>
          <w:tcPr>
            <w:tcW w:w="457"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6</w:t>
            </w:r>
          </w:p>
        </w:tc>
        <w:tc>
          <w:tcPr>
            <w:tcW w:w="454" w:type="dxa"/>
            <w:tcBorders>
              <w:left w:val="single" w:sz="8" w:space="0" w:color="000000"/>
              <w:bottom w:val="single" w:sz="18" w:space="0" w:color="000000"/>
              <w:right w:val="single" w:sz="8" w:space="0" w:color="000000"/>
            </w:tcBorders>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7</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8</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9</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2</w:t>
            </w:r>
            <w:r>
              <w:rPr>
                <w:b/>
                <w:w w:val="99"/>
                <w:sz w:val="20"/>
              </w:rPr>
              <w:t>0</w:t>
            </w:r>
          </w:p>
        </w:tc>
        <w:tc>
          <w:tcPr>
            <w:tcW w:w="622" w:type="dxa"/>
            <w:tcBorders>
              <w:left w:val="single" w:sz="8" w:space="0" w:color="000000"/>
              <w:bottom w:val="single" w:sz="18" w:space="0" w:color="000000"/>
              <w:right w:val="single" w:sz="8" w:space="0" w:color="000000"/>
            </w:tcBorders>
            <w:textDirection w:val="btLr"/>
          </w:tcPr>
          <w:p>
            <w:pPr>
              <w:pStyle w:val="TableParagraph"/>
              <w:spacing w:line="283" w:lineRule="auto" w:before="29"/>
              <w:ind w:left="-1" w:right="32"/>
              <w:rPr>
                <w:b/>
                <w:sz w:val="20"/>
              </w:rPr>
            </w:pPr>
            <w:r>
              <w:rPr>
                <w:b/>
                <w:spacing w:val="-1"/>
                <w:w w:val="99"/>
                <w:sz w:val="20"/>
              </w:rPr>
              <w:t>T</w:t>
            </w:r>
            <w:r>
              <w:rPr>
                <w:b/>
                <w:spacing w:val="1"/>
                <w:w w:val="99"/>
                <w:sz w:val="20"/>
              </w:rPr>
              <w:t>o</w:t>
            </w:r>
            <w:r>
              <w:rPr>
                <w:b/>
                <w:w w:val="99"/>
                <w:sz w:val="20"/>
              </w:rPr>
              <w:t>t</w:t>
            </w:r>
            <w:r>
              <w:rPr>
                <w:b/>
                <w:spacing w:val="1"/>
                <w:w w:val="99"/>
                <w:sz w:val="20"/>
              </w:rPr>
              <w:t>a</w:t>
            </w:r>
            <w:r>
              <w:rPr>
                <w:b/>
                <w:w w:val="99"/>
                <w:sz w:val="20"/>
              </w:rPr>
              <w:t>l</w:t>
            </w:r>
            <w:r>
              <w:rPr>
                <w:b/>
                <w:spacing w:val="-1"/>
                <w:sz w:val="20"/>
              </w:rPr>
              <w:t> </w:t>
            </w:r>
            <w:r>
              <w:rPr>
                <w:b/>
                <w:w w:val="99"/>
                <w:sz w:val="20"/>
              </w:rPr>
              <w:t>de </w:t>
            </w:r>
            <w:r>
              <w:rPr>
                <w:b/>
                <w:spacing w:val="-1"/>
                <w:w w:val="99"/>
                <w:sz w:val="20"/>
              </w:rPr>
              <w:t>E</w:t>
            </w:r>
            <w:r>
              <w:rPr>
                <w:b/>
                <w:spacing w:val="-1"/>
                <w:w w:val="99"/>
                <w:sz w:val="20"/>
              </w:rPr>
              <w:t>s</w:t>
            </w:r>
            <w:r>
              <w:rPr>
                <w:b/>
                <w:w w:val="99"/>
                <w:sz w:val="20"/>
              </w:rPr>
              <w:t>tr</w:t>
            </w:r>
            <w:r>
              <w:rPr>
                <w:b/>
                <w:spacing w:val="1"/>
                <w:w w:val="99"/>
                <w:sz w:val="20"/>
              </w:rPr>
              <w:t>a</w:t>
            </w:r>
            <w:r>
              <w:rPr>
                <w:b/>
                <w:w w:val="99"/>
                <w:sz w:val="20"/>
              </w:rPr>
              <w:t>té</w:t>
            </w:r>
            <w:r>
              <w:rPr>
                <w:b/>
                <w:spacing w:val="1"/>
                <w:w w:val="99"/>
                <w:sz w:val="20"/>
              </w:rPr>
              <w:t>g</w:t>
            </w:r>
            <w:r>
              <w:rPr>
                <w:b/>
                <w:w w:val="99"/>
                <w:sz w:val="20"/>
              </w:rPr>
              <w:t>ia</w:t>
            </w:r>
            <w:r>
              <w:rPr>
                <w:b/>
                <w:w w:val="99"/>
                <w:sz w:val="20"/>
              </w:rPr>
              <w:t>s</w:t>
            </w:r>
          </w:p>
        </w:tc>
      </w:tr>
      <w:tr>
        <w:trPr>
          <w:trHeight w:val="827" w:hRule="exact"/>
        </w:trPr>
        <w:tc>
          <w:tcPr>
            <w:tcW w:w="1304"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107"/>
              <w:rPr>
                <w:sz w:val="20"/>
              </w:rPr>
            </w:pPr>
            <w:r>
              <w:rPr>
                <w:sz w:val="20"/>
              </w:rPr>
              <w:t>Abreulândia</w:t>
            </w:r>
          </w:p>
        </w:tc>
        <w:tc>
          <w:tcPr>
            <w:tcW w:w="1078" w:type="dxa"/>
            <w:tcBorders>
              <w:left w:val="nil"/>
              <w:bottom w:val="single" w:sz="8" w:space="0" w:color="000000"/>
              <w:right w:val="nil"/>
            </w:tcBorders>
            <w:shd w:val="clear" w:color="auto" w:fill="F9DECA"/>
          </w:tcPr>
          <w:p>
            <w:pPr>
              <w:pStyle w:val="TableParagraph"/>
              <w:spacing w:line="276" w:lineRule="auto" w:before="0"/>
              <w:ind w:left="107" w:right="139"/>
              <w:rPr>
                <w:sz w:val="20"/>
              </w:rPr>
            </w:pPr>
            <w:r>
              <w:rPr>
                <w:sz w:val="20"/>
              </w:rPr>
              <w:t>006 de 18/06/201</w:t>
            </w:r>
          </w:p>
          <w:p>
            <w:pPr>
              <w:pStyle w:val="TableParagraph"/>
              <w:spacing w:before="4"/>
              <w:ind w:left="107"/>
              <w:rPr>
                <w:sz w:val="20"/>
              </w:rPr>
            </w:pPr>
            <w:r>
              <w:rPr>
                <w:w w:val="99"/>
                <w:sz w:val="20"/>
              </w:rPr>
              <w:t>5</w:t>
            </w:r>
          </w:p>
        </w:tc>
        <w:tc>
          <w:tcPr>
            <w:tcW w:w="566"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107"/>
              <w:rPr>
                <w:sz w:val="20"/>
              </w:rPr>
            </w:pPr>
            <w:r>
              <w:rPr>
                <w:sz w:val="20"/>
              </w:rPr>
              <w:t>11</w:t>
            </w:r>
          </w:p>
        </w:tc>
        <w:tc>
          <w:tcPr>
            <w:tcW w:w="566"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108"/>
              <w:rPr>
                <w:sz w:val="20"/>
              </w:rPr>
            </w:pPr>
            <w:r>
              <w:rPr>
                <w:sz w:val="20"/>
              </w:rPr>
              <w:t>20</w:t>
            </w:r>
          </w:p>
        </w:tc>
        <w:tc>
          <w:tcPr>
            <w:tcW w:w="338" w:type="dxa"/>
            <w:tcBorders>
              <w:top w:val="single" w:sz="18" w:space="0" w:color="000000"/>
              <w:left w:val="nil"/>
              <w:bottom w:val="single" w:sz="8" w:space="0" w:color="000000"/>
              <w:right w:val="nil"/>
            </w:tcBorders>
          </w:tcPr>
          <w:p>
            <w:pPr>
              <w:pStyle w:val="TableParagraph"/>
              <w:spacing w:before="6"/>
              <w:rPr>
                <w:sz w:val="22"/>
              </w:rPr>
            </w:pPr>
          </w:p>
          <w:p>
            <w:pPr>
              <w:pStyle w:val="TableParagraph"/>
              <w:spacing w:before="0"/>
              <w:ind w:right="54"/>
              <w:jc w:val="center"/>
              <w:rPr>
                <w:sz w:val="20"/>
              </w:rPr>
            </w:pPr>
            <w:r>
              <w:rPr>
                <w:w w:val="99"/>
                <w:sz w:val="20"/>
              </w:rPr>
              <w:t>-</w:t>
            </w:r>
          </w:p>
        </w:tc>
        <w:tc>
          <w:tcPr>
            <w:tcW w:w="566"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107"/>
              <w:rPr>
                <w:sz w:val="20"/>
              </w:rPr>
            </w:pPr>
            <w:r>
              <w:rPr>
                <w:w w:val="99"/>
                <w:sz w:val="20"/>
              </w:rPr>
              <w:t>-</w:t>
            </w:r>
          </w:p>
        </w:tc>
        <w:tc>
          <w:tcPr>
            <w:tcW w:w="569"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108"/>
              <w:rPr>
                <w:sz w:val="20"/>
              </w:rPr>
            </w:pPr>
            <w:r>
              <w:rPr>
                <w:w w:val="99"/>
                <w:sz w:val="20"/>
              </w:rPr>
              <w:t>-</w:t>
            </w:r>
          </w:p>
        </w:tc>
        <w:tc>
          <w:tcPr>
            <w:tcW w:w="283" w:type="dxa"/>
            <w:tcBorders>
              <w:top w:val="single" w:sz="18" w:space="0" w:color="000000"/>
              <w:left w:val="nil"/>
              <w:bottom w:val="single" w:sz="8" w:space="0" w:color="000000"/>
              <w:right w:val="nil"/>
            </w:tcBorders>
          </w:tcPr>
          <w:p>
            <w:pPr>
              <w:pStyle w:val="TableParagraph"/>
              <w:spacing w:before="6"/>
              <w:rPr>
                <w:sz w:val="22"/>
              </w:rPr>
            </w:pPr>
          </w:p>
          <w:p>
            <w:pPr>
              <w:pStyle w:val="TableParagraph"/>
              <w:spacing w:before="0"/>
              <w:ind w:left="105"/>
              <w:rPr>
                <w:sz w:val="20"/>
              </w:rPr>
            </w:pPr>
            <w:r>
              <w:rPr>
                <w:w w:val="99"/>
                <w:sz w:val="20"/>
              </w:rPr>
              <w:t>-</w:t>
            </w:r>
          </w:p>
        </w:tc>
        <w:tc>
          <w:tcPr>
            <w:tcW w:w="454"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71" w:right="106"/>
              <w:jc w:val="center"/>
              <w:rPr>
                <w:sz w:val="20"/>
              </w:rPr>
            </w:pPr>
            <w:r>
              <w:rPr>
                <w:sz w:val="20"/>
              </w:rPr>
              <w:t>17</w:t>
            </w:r>
          </w:p>
        </w:tc>
        <w:tc>
          <w:tcPr>
            <w:tcW w:w="454"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108"/>
              <w:rPr>
                <w:sz w:val="20"/>
              </w:rPr>
            </w:pPr>
            <w:r>
              <w:rPr>
                <w:sz w:val="20"/>
              </w:rPr>
              <w:t>14</w:t>
            </w:r>
          </w:p>
        </w:tc>
        <w:tc>
          <w:tcPr>
            <w:tcW w:w="454"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107"/>
              <w:rPr>
                <w:sz w:val="20"/>
              </w:rPr>
            </w:pPr>
            <w:r>
              <w:rPr>
                <w:sz w:val="20"/>
              </w:rPr>
              <w:t>11</w:t>
            </w:r>
          </w:p>
        </w:tc>
        <w:tc>
          <w:tcPr>
            <w:tcW w:w="456"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90" w:right="126"/>
              <w:jc w:val="center"/>
              <w:rPr>
                <w:sz w:val="20"/>
              </w:rPr>
            </w:pPr>
            <w:r>
              <w:rPr>
                <w:sz w:val="20"/>
              </w:rPr>
              <w:t>15</w:t>
            </w:r>
          </w:p>
        </w:tc>
        <w:tc>
          <w:tcPr>
            <w:tcW w:w="454"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105"/>
              <w:rPr>
                <w:sz w:val="20"/>
              </w:rPr>
            </w:pPr>
            <w:r>
              <w:rPr>
                <w:w w:val="99"/>
                <w:sz w:val="20"/>
              </w:rPr>
              <w:t>9</w:t>
            </w:r>
          </w:p>
        </w:tc>
        <w:tc>
          <w:tcPr>
            <w:tcW w:w="454"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right="136"/>
              <w:jc w:val="center"/>
              <w:rPr>
                <w:sz w:val="20"/>
              </w:rPr>
            </w:pPr>
            <w:r>
              <w:rPr>
                <w:w w:val="99"/>
                <w:sz w:val="20"/>
              </w:rPr>
              <w:t>5</w:t>
            </w:r>
          </w:p>
        </w:tc>
        <w:tc>
          <w:tcPr>
            <w:tcW w:w="454"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72" w:right="106"/>
              <w:jc w:val="center"/>
              <w:rPr>
                <w:sz w:val="20"/>
              </w:rPr>
            </w:pPr>
            <w:r>
              <w:rPr>
                <w:sz w:val="20"/>
              </w:rPr>
              <w:t>28</w:t>
            </w:r>
          </w:p>
        </w:tc>
        <w:tc>
          <w:tcPr>
            <w:tcW w:w="454"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108"/>
              <w:rPr>
                <w:sz w:val="20"/>
              </w:rPr>
            </w:pPr>
            <w:r>
              <w:rPr>
                <w:w w:val="99"/>
                <w:sz w:val="20"/>
              </w:rPr>
              <w:t>8</w:t>
            </w:r>
          </w:p>
        </w:tc>
        <w:tc>
          <w:tcPr>
            <w:tcW w:w="454"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right="136"/>
              <w:jc w:val="center"/>
              <w:rPr>
                <w:sz w:val="20"/>
              </w:rPr>
            </w:pPr>
            <w:r>
              <w:rPr>
                <w:w w:val="99"/>
                <w:sz w:val="20"/>
              </w:rPr>
              <w:t>8</w:t>
            </w:r>
          </w:p>
        </w:tc>
        <w:tc>
          <w:tcPr>
            <w:tcW w:w="456"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right="138"/>
              <w:jc w:val="center"/>
              <w:rPr>
                <w:sz w:val="20"/>
              </w:rPr>
            </w:pPr>
            <w:r>
              <w:rPr>
                <w:w w:val="99"/>
                <w:sz w:val="20"/>
              </w:rPr>
              <w:t>9</w:t>
            </w:r>
          </w:p>
        </w:tc>
        <w:tc>
          <w:tcPr>
            <w:tcW w:w="454"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105"/>
              <w:rPr>
                <w:sz w:val="20"/>
              </w:rPr>
            </w:pPr>
            <w:r>
              <w:rPr>
                <w:sz w:val="20"/>
              </w:rPr>
              <w:t>14</w:t>
            </w:r>
          </w:p>
        </w:tc>
        <w:tc>
          <w:tcPr>
            <w:tcW w:w="454"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71" w:right="106"/>
              <w:jc w:val="center"/>
              <w:rPr>
                <w:sz w:val="20"/>
              </w:rPr>
            </w:pPr>
            <w:r>
              <w:rPr>
                <w:sz w:val="20"/>
              </w:rPr>
              <w:t>22</w:t>
            </w:r>
          </w:p>
        </w:tc>
        <w:tc>
          <w:tcPr>
            <w:tcW w:w="454"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right="137"/>
              <w:jc w:val="center"/>
              <w:rPr>
                <w:sz w:val="20"/>
              </w:rPr>
            </w:pPr>
            <w:r>
              <w:rPr>
                <w:w w:val="99"/>
                <w:sz w:val="20"/>
              </w:rPr>
              <w:t>3</w:t>
            </w:r>
          </w:p>
        </w:tc>
        <w:tc>
          <w:tcPr>
            <w:tcW w:w="454"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108"/>
              <w:rPr>
                <w:sz w:val="20"/>
              </w:rPr>
            </w:pPr>
            <w:r>
              <w:rPr>
                <w:w w:val="99"/>
                <w:sz w:val="20"/>
              </w:rPr>
              <w:t>8</w:t>
            </w:r>
          </w:p>
        </w:tc>
        <w:tc>
          <w:tcPr>
            <w:tcW w:w="454"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right="136"/>
              <w:jc w:val="center"/>
              <w:rPr>
                <w:sz w:val="20"/>
              </w:rPr>
            </w:pPr>
            <w:r>
              <w:rPr>
                <w:w w:val="99"/>
                <w:sz w:val="20"/>
              </w:rPr>
              <w:t>8</w:t>
            </w:r>
          </w:p>
        </w:tc>
        <w:tc>
          <w:tcPr>
            <w:tcW w:w="457"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107"/>
              <w:rPr>
                <w:sz w:val="20"/>
              </w:rPr>
            </w:pPr>
            <w:r>
              <w:rPr>
                <w:w w:val="99"/>
                <w:sz w:val="20"/>
              </w:rPr>
              <w:t>5</w:t>
            </w:r>
          </w:p>
        </w:tc>
        <w:tc>
          <w:tcPr>
            <w:tcW w:w="454"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105"/>
              <w:rPr>
                <w:sz w:val="20"/>
              </w:rPr>
            </w:pPr>
            <w:r>
              <w:rPr>
                <w:w w:val="99"/>
                <w:sz w:val="20"/>
              </w:rPr>
              <w:t>4</w:t>
            </w:r>
          </w:p>
        </w:tc>
        <w:tc>
          <w:tcPr>
            <w:tcW w:w="454"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108"/>
              <w:rPr>
                <w:sz w:val="20"/>
              </w:rPr>
            </w:pPr>
            <w:r>
              <w:rPr>
                <w:w w:val="99"/>
                <w:sz w:val="20"/>
              </w:rPr>
              <w:t>6</w:t>
            </w:r>
          </w:p>
        </w:tc>
        <w:tc>
          <w:tcPr>
            <w:tcW w:w="454"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108"/>
              <w:rPr>
                <w:sz w:val="20"/>
              </w:rPr>
            </w:pPr>
            <w:r>
              <w:rPr>
                <w:sz w:val="20"/>
              </w:rPr>
              <w:t>16</w:t>
            </w:r>
          </w:p>
        </w:tc>
        <w:tc>
          <w:tcPr>
            <w:tcW w:w="454"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107"/>
              <w:rPr>
                <w:sz w:val="20"/>
              </w:rPr>
            </w:pPr>
            <w:r>
              <w:rPr>
                <w:sz w:val="20"/>
              </w:rPr>
              <w:t>13</w:t>
            </w:r>
          </w:p>
        </w:tc>
        <w:tc>
          <w:tcPr>
            <w:tcW w:w="622" w:type="dxa"/>
            <w:tcBorders>
              <w:left w:val="nil"/>
              <w:bottom w:val="single" w:sz="8" w:space="0" w:color="000000"/>
              <w:right w:val="nil"/>
            </w:tcBorders>
            <w:shd w:val="clear" w:color="auto" w:fill="F9DECA"/>
          </w:tcPr>
          <w:p>
            <w:pPr>
              <w:pStyle w:val="TableParagraph"/>
              <w:spacing w:before="7"/>
              <w:rPr>
                <w:sz w:val="22"/>
              </w:rPr>
            </w:pPr>
          </w:p>
          <w:p>
            <w:pPr>
              <w:pStyle w:val="TableParagraph"/>
              <w:spacing w:before="1"/>
              <w:ind w:left="107"/>
              <w:rPr>
                <w:sz w:val="20"/>
              </w:rPr>
            </w:pPr>
            <w:r>
              <w:rPr>
                <w:sz w:val="20"/>
              </w:rPr>
              <w:t>223</w:t>
            </w:r>
          </w:p>
        </w:tc>
      </w:tr>
      <w:tr>
        <w:trPr>
          <w:trHeight w:val="587" w:hRule="exact"/>
        </w:trPr>
        <w:tc>
          <w:tcPr>
            <w:tcW w:w="1304" w:type="dxa"/>
            <w:tcBorders>
              <w:top w:val="single" w:sz="8" w:space="0" w:color="000000"/>
              <w:left w:val="nil"/>
              <w:bottom w:val="single" w:sz="8" w:space="0" w:color="000000"/>
              <w:right w:val="nil"/>
            </w:tcBorders>
          </w:tcPr>
          <w:p>
            <w:pPr>
              <w:pStyle w:val="TableParagraph"/>
              <w:spacing w:before="147"/>
              <w:ind w:left="108"/>
              <w:rPr>
                <w:sz w:val="20"/>
              </w:rPr>
            </w:pPr>
            <w:r>
              <w:rPr>
                <w:sz w:val="20"/>
              </w:rPr>
              <w:t>Almas</w:t>
            </w:r>
          </w:p>
        </w:tc>
        <w:tc>
          <w:tcPr>
            <w:tcW w:w="1078" w:type="dxa"/>
            <w:tcBorders>
              <w:top w:val="single" w:sz="8" w:space="0" w:color="000000"/>
              <w:left w:val="nil"/>
              <w:bottom w:val="single" w:sz="8" w:space="0" w:color="000000"/>
              <w:right w:val="nil"/>
            </w:tcBorders>
          </w:tcPr>
          <w:p>
            <w:pPr>
              <w:pStyle w:val="TableParagraph"/>
              <w:spacing w:line="276" w:lineRule="auto" w:before="15"/>
              <w:ind w:left="107" w:right="239"/>
              <w:rPr>
                <w:sz w:val="20"/>
              </w:rPr>
            </w:pPr>
            <w:r>
              <w:rPr>
                <w:sz w:val="20"/>
              </w:rPr>
              <w:t>184 de 22/06/15</w:t>
            </w:r>
          </w:p>
        </w:tc>
        <w:tc>
          <w:tcPr>
            <w:tcW w:w="566" w:type="dxa"/>
            <w:tcBorders>
              <w:top w:val="single" w:sz="8" w:space="0" w:color="000000"/>
              <w:left w:val="nil"/>
              <w:bottom w:val="single" w:sz="8" w:space="0" w:color="000000"/>
              <w:right w:val="nil"/>
            </w:tcBorders>
          </w:tcPr>
          <w:p>
            <w:pPr>
              <w:pStyle w:val="TableParagraph"/>
              <w:spacing w:before="147"/>
              <w:ind w:left="107"/>
              <w:rPr>
                <w:sz w:val="20"/>
              </w:rPr>
            </w:pPr>
            <w:r>
              <w:rPr>
                <w:sz w:val="20"/>
              </w:rPr>
              <w:t>10</w:t>
            </w:r>
          </w:p>
        </w:tc>
        <w:tc>
          <w:tcPr>
            <w:tcW w:w="566" w:type="dxa"/>
            <w:tcBorders>
              <w:top w:val="single" w:sz="8" w:space="0" w:color="000000"/>
              <w:left w:val="nil"/>
              <w:bottom w:val="single" w:sz="8" w:space="0" w:color="000000"/>
              <w:right w:val="nil"/>
            </w:tcBorders>
          </w:tcPr>
          <w:p>
            <w:pPr>
              <w:pStyle w:val="TableParagraph"/>
              <w:spacing w:before="147"/>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47"/>
              <w:ind w:right="54"/>
              <w:jc w:val="center"/>
              <w:rPr>
                <w:sz w:val="20"/>
              </w:rPr>
            </w:pPr>
            <w:r>
              <w:rPr>
                <w:w w:val="99"/>
                <w:sz w:val="20"/>
              </w:rPr>
              <w:t>-</w:t>
            </w:r>
          </w:p>
        </w:tc>
        <w:tc>
          <w:tcPr>
            <w:tcW w:w="566" w:type="dxa"/>
            <w:tcBorders>
              <w:top w:val="single" w:sz="8" w:space="0" w:color="000000"/>
              <w:left w:val="nil"/>
              <w:bottom w:val="single" w:sz="8" w:space="0" w:color="000000"/>
              <w:right w:val="nil"/>
            </w:tcBorders>
          </w:tcPr>
          <w:p>
            <w:pPr>
              <w:pStyle w:val="TableParagraph"/>
              <w:spacing w:before="147"/>
              <w:ind w:left="107"/>
              <w:rPr>
                <w:sz w:val="20"/>
              </w:rPr>
            </w:pPr>
            <w:r>
              <w:rPr>
                <w:w w:val="99"/>
                <w:sz w:val="20"/>
              </w:rPr>
              <w:t>-</w:t>
            </w:r>
          </w:p>
        </w:tc>
        <w:tc>
          <w:tcPr>
            <w:tcW w:w="569" w:type="dxa"/>
            <w:tcBorders>
              <w:top w:val="single" w:sz="8" w:space="0" w:color="000000"/>
              <w:left w:val="nil"/>
              <w:bottom w:val="single" w:sz="8" w:space="0" w:color="000000"/>
              <w:right w:val="nil"/>
            </w:tcBorders>
          </w:tcPr>
          <w:p>
            <w:pPr>
              <w:pStyle w:val="TableParagraph"/>
              <w:spacing w:before="147"/>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spacing w:before="147"/>
              <w:ind w:left="105"/>
              <w:rPr>
                <w:sz w:val="20"/>
              </w:rPr>
            </w:pPr>
            <w:r>
              <w:rPr>
                <w:w w:val="99"/>
                <w:sz w:val="20"/>
              </w:rPr>
              <w:t>-</w:t>
            </w:r>
          </w:p>
        </w:tc>
        <w:tc>
          <w:tcPr>
            <w:tcW w:w="454" w:type="dxa"/>
            <w:tcBorders>
              <w:top w:val="single" w:sz="8" w:space="0" w:color="000000"/>
              <w:left w:val="nil"/>
              <w:bottom w:val="single" w:sz="8" w:space="0" w:color="000000"/>
              <w:right w:val="nil"/>
            </w:tcBorders>
          </w:tcPr>
          <w:p>
            <w:pPr>
              <w:pStyle w:val="TableParagraph"/>
              <w:spacing w:before="147"/>
              <w:ind w:left="71" w:right="106"/>
              <w:jc w:val="center"/>
              <w:rPr>
                <w:sz w:val="20"/>
              </w:rPr>
            </w:pPr>
            <w:r>
              <w:rPr>
                <w:sz w:val="20"/>
              </w:rPr>
              <w:t>16</w:t>
            </w:r>
          </w:p>
        </w:tc>
        <w:tc>
          <w:tcPr>
            <w:tcW w:w="454" w:type="dxa"/>
            <w:tcBorders>
              <w:top w:val="single" w:sz="8" w:space="0" w:color="000000"/>
              <w:left w:val="nil"/>
              <w:bottom w:val="single" w:sz="8" w:space="0" w:color="000000"/>
              <w:right w:val="nil"/>
            </w:tcBorders>
          </w:tcPr>
          <w:p>
            <w:pPr>
              <w:pStyle w:val="TableParagraph"/>
              <w:spacing w:before="147"/>
              <w:ind w:left="108"/>
              <w:rPr>
                <w:sz w:val="20"/>
              </w:rPr>
            </w:pPr>
            <w:r>
              <w:rPr>
                <w:sz w:val="20"/>
              </w:rPr>
              <w:t>11</w:t>
            </w:r>
          </w:p>
        </w:tc>
        <w:tc>
          <w:tcPr>
            <w:tcW w:w="454" w:type="dxa"/>
            <w:tcBorders>
              <w:top w:val="single" w:sz="8" w:space="0" w:color="000000"/>
              <w:left w:val="nil"/>
              <w:bottom w:val="single" w:sz="8" w:space="0" w:color="000000"/>
              <w:right w:val="nil"/>
            </w:tcBorders>
          </w:tcPr>
          <w:p>
            <w:pPr>
              <w:pStyle w:val="TableParagraph"/>
              <w:spacing w:before="147"/>
              <w:ind w:left="107"/>
              <w:rPr>
                <w:sz w:val="20"/>
              </w:rPr>
            </w:pPr>
            <w:r>
              <w:rPr>
                <w:w w:val="99"/>
                <w:sz w:val="20"/>
              </w:rPr>
              <w:t>6</w:t>
            </w:r>
          </w:p>
        </w:tc>
        <w:tc>
          <w:tcPr>
            <w:tcW w:w="456" w:type="dxa"/>
            <w:tcBorders>
              <w:top w:val="single" w:sz="8" w:space="0" w:color="000000"/>
              <w:left w:val="nil"/>
              <w:bottom w:val="single" w:sz="8" w:space="0" w:color="000000"/>
              <w:right w:val="nil"/>
            </w:tcBorders>
          </w:tcPr>
          <w:p>
            <w:pPr>
              <w:pStyle w:val="TableParagraph"/>
              <w:spacing w:before="147"/>
              <w:ind w:right="138"/>
              <w:jc w:val="center"/>
              <w:rPr>
                <w:sz w:val="20"/>
              </w:rPr>
            </w:pPr>
            <w:r>
              <w:rPr>
                <w:w w:val="99"/>
                <w:sz w:val="20"/>
              </w:rPr>
              <w:t>0</w:t>
            </w:r>
          </w:p>
        </w:tc>
        <w:tc>
          <w:tcPr>
            <w:tcW w:w="454" w:type="dxa"/>
            <w:tcBorders>
              <w:top w:val="single" w:sz="8" w:space="0" w:color="000000"/>
              <w:left w:val="nil"/>
              <w:bottom w:val="single" w:sz="8" w:space="0" w:color="000000"/>
              <w:right w:val="nil"/>
            </w:tcBorders>
          </w:tcPr>
          <w:p>
            <w:pPr>
              <w:pStyle w:val="TableParagraph"/>
              <w:spacing w:before="147"/>
              <w:ind w:left="105"/>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47"/>
              <w:ind w:right="136"/>
              <w:jc w:val="center"/>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47"/>
              <w:ind w:left="72" w:right="106"/>
              <w:jc w:val="center"/>
              <w:rPr>
                <w:sz w:val="20"/>
              </w:rPr>
            </w:pPr>
            <w:r>
              <w:rPr>
                <w:sz w:val="20"/>
              </w:rPr>
              <w:t>11</w:t>
            </w:r>
          </w:p>
        </w:tc>
        <w:tc>
          <w:tcPr>
            <w:tcW w:w="454" w:type="dxa"/>
            <w:tcBorders>
              <w:top w:val="single" w:sz="8" w:space="0" w:color="000000"/>
              <w:left w:val="nil"/>
              <w:bottom w:val="single" w:sz="8" w:space="0" w:color="000000"/>
              <w:right w:val="nil"/>
            </w:tcBorders>
          </w:tcPr>
          <w:p>
            <w:pPr>
              <w:pStyle w:val="TableParagraph"/>
              <w:spacing w:before="147"/>
              <w:ind w:left="108"/>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47"/>
              <w:ind w:right="136"/>
              <w:jc w:val="center"/>
              <w:rPr>
                <w:sz w:val="20"/>
              </w:rPr>
            </w:pPr>
            <w:r>
              <w:rPr>
                <w:w w:val="99"/>
                <w:sz w:val="20"/>
              </w:rPr>
              <w:t>5</w:t>
            </w:r>
          </w:p>
        </w:tc>
        <w:tc>
          <w:tcPr>
            <w:tcW w:w="456" w:type="dxa"/>
            <w:tcBorders>
              <w:top w:val="single" w:sz="8" w:space="0" w:color="000000"/>
              <w:left w:val="nil"/>
              <w:bottom w:val="single" w:sz="8" w:space="0" w:color="000000"/>
              <w:right w:val="nil"/>
            </w:tcBorders>
          </w:tcPr>
          <w:p>
            <w:pPr>
              <w:pStyle w:val="TableParagraph"/>
              <w:spacing w:before="147"/>
              <w:ind w:right="138"/>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47"/>
              <w:ind w:left="105"/>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47"/>
              <w:ind w:left="71" w:right="106"/>
              <w:jc w:val="center"/>
              <w:rPr>
                <w:sz w:val="20"/>
              </w:rPr>
            </w:pPr>
            <w:r>
              <w:rPr>
                <w:sz w:val="20"/>
              </w:rPr>
              <w:t>13</w:t>
            </w:r>
          </w:p>
        </w:tc>
        <w:tc>
          <w:tcPr>
            <w:tcW w:w="454" w:type="dxa"/>
            <w:tcBorders>
              <w:top w:val="single" w:sz="8" w:space="0" w:color="000000"/>
              <w:left w:val="nil"/>
              <w:bottom w:val="single" w:sz="8" w:space="0" w:color="000000"/>
              <w:right w:val="nil"/>
            </w:tcBorders>
          </w:tcPr>
          <w:p>
            <w:pPr>
              <w:pStyle w:val="TableParagraph"/>
              <w:spacing w:before="147"/>
              <w:ind w:right="137"/>
              <w:jc w:val="center"/>
              <w:rPr>
                <w:sz w:val="20"/>
              </w:rPr>
            </w:pPr>
            <w:r>
              <w:rPr>
                <w:w w:val="99"/>
                <w:sz w:val="20"/>
              </w:rPr>
              <w:t>2</w:t>
            </w:r>
          </w:p>
        </w:tc>
        <w:tc>
          <w:tcPr>
            <w:tcW w:w="454" w:type="dxa"/>
            <w:tcBorders>
              <w:top w:val="single" w:sz="8" w:space="0" w:color="000000"/>
              <w:left w:val="nil"/>
              <w:bottom w:val="single" w:sz="8" w:space="0" w:color="000000"/>
              <w:right w:val="nil"/>
            </w:tcBorders>
          </w:tcPr>
          <w:p>
            <w:pPr>
              <w:pStyle w:val="TableParagraph"/>
              <w:spacing w:before="147"/>
              <w:ind w:left="108"/>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47"/>
              <w:ind w:left="72" w:right="106"/>
              <w:jc w:val="center"/>
              <w:rPr>
                <w:sz w:val="20"/>
              </w:rPr>
            </w:pPr>
            <w:r>
              <w:rPr>
                <w:sz w:val="20"/>
              </w:rPr>
              <w:t>10</w:t>
            </w:r>
          </w:p>
        </w:tc>
        <w:tc>
          <w:tcPr>
            <w:tcW w:w="457" w:type="dxa"/>
            <w:tcBorders>
              <w:top w:val="single" w:sz="8" w:space="0" w:color="000000"/>
              <w:left w:val="nil"/>
              <w:bottom w:val="single" w:sz="8" w:space="0" w:color="000000"/>
              <w:right w:val="nil"/>
            </w:tcBorders>
          </w:tcPr>
          <w:p>
            <w:pPr>
              <w:pStyle w:val="TableParagraph"/>
              <w:spacing w:before="147"/>
              <w:ind w:left="107"/>
              <w:rPr>
                <w:sz w:val="20"/>
              </w:rPr>
            </w:pPr>
            <w:r>
              <w:rPr>
                <w:w w:val="99"/>
                <w:sz w:val="20"/>
              </w:rPr>
              <w:t>2</w:t>
            </w:r>
          </w:p>
        </w:tc>
        <w:tc>
          <w:tcPr>
            <w:tcW w:w="454" w:type="dxa"/>
            <w:tcBorders>
              <w:top w:val="single" w:sz="8" w:space="0" w:color="000000"/>
              <w:left w:val="nil"/>
              <w:bottom w:val="single" w:sz="8" w:space="0" w:color="000000"/>
              <w:right w:val="nil"/>
            </w:tcBorders>
          </w:tcPr>
          <w:p>
            <w:pPr>
              <w:pStyle w:val="TableParagraph"/>
              <w:spacing w:before="147"/>
              <w:ind w:left="105"/>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47"/>
              <w:ind w:left="108"/>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47"/>
              <w:ind w:left="108"/>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47"/>
              <w:ind w:left="107"/>
              <w:rPr>
                <w:sz w:val="20"/>
              </w:rPr>
            </w:pPr>
            <w:r>
              <w:rPr>
                <w:sz w:val="20"/>
              </w:rPr>
              <w:t>10</w:t>
            </w:r>
          </w:p>
        </w:tc>
        <w:tc>
          <w:tcPr>
            <w:tcW w:w="622" w:type="dxa"/>
            <w:tcBorders>
              <w:top w:val="single" w:sz="8" w:space="0" w:color="000000"/>
              <w:left w:val="nil"/>
              <w:bottom w:val="single" w:sz="8" w:space="0" w:color="000000"/>
              <w:right w:val="nil"/>
            </w:tcBorders>
          </w:tcPr>
          <w:p>
            <w:pPr>
              <w:pStyle w:val="TableParagraph"/>
              <w:spacing w:before="147"/>
              <w:ind w:left="107"/>
              <w:rPr>
                <w:sz w:val="20"/>
              </w:rPr>
            </w:pPr>
            <w:r>
              <w:rPr>
                <w:sz w:val="20"/>
              </w:rPr>
              <w:t>141</w:t>
            </w:r>
          </w:p>
        </w:tc>
      </w:tr>
      <w:tr>
        <w:trPr>
          <w:trHeight w:val="548" w:hRule="exact"/>
        </w:trPr>
        <w:tc>
          <w:tcPr>
            <w:tcW w:w="130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Araguacema</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253 de 17/06/15</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11</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29"/>
              <w:ind w:left="21"/>
              <w:jc w:val="center"/>
              <w:rPr>
                <w:sz w:val="20"/>
              </w:rPr>
            </w:pPr>
            <w:r>
              <w:rPr>
                <w:w w:val="99"/>
                <w:sz w:val="20"/>
              </w:rPr>
              <w:t>X</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w:t>
            </w:r>
          </w:p>
        </w:tc>
        <w:tc>
          <w:tcPr>
            <w:tcW w:w="569"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29"/>
              <w:ind w:left="108"/>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1" w:right="106"/>
              <w:jc w:val="center"/>
              <w:rPr>
                <w:sz w:val="20"/>
              </w:rPr>
            </w:pPr>
            <w:r>
              <w:rPr>
                <w:sz w:val="20"/>
              </w:rPr>
              <w:t>25</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26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12</w:t>
            </w:r>
          </w:p>
        </w:tc>
        <w:tc>
          <w:tcPr>
            <w:tcW w:w="456" w:type="dxa"/>
            <w:tcBorders>
              <w:top w:val="single" w:sz="8" w:space="0" w:color="000000"/>
              <w:left w:val="nil"/>
              <w:bottom w:val="single" w:sz="8" w:space="0" w:color="000000"/>
              <w:right w:val="nil"/>
            </w:tcBorders>
            <w:shd w:val="clear" w:color="auto" w:fill="F9DECA"/>
          </w:tcPr>
          <w:p>
            <w:pPr>
              <w:pStyle w:val="TableParagraph"/>
              <w:spacing w:before="129"/>
              <w:ind w:left="90" w:right="126"/>
              <w:jc w:val="center"/>
              <w:rPr>
                <w:sz w:val="20"/>
              </w:rPr>
            </w:pPr>
            <w:r>
              <w:rPr>
                <w:sz w:val="20"/>
              </w:rPr>
              <w:t>13</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sz w:val="20"/>
              </w:rPr>
              <w:t>14</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6"/>
              <w:jc w:val="center"/>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2" w:right="106"/>
              <w:jc w:val="center"/>
              <w:rPr>
                <w:sz w:val="20"/>
              </w:rPr>
            </w:pPr>
            <w:r>
              <w:rPr>
                <w:sz w:val="20"/>
              </w:rPr>
              <w:t>20</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2" w:right="106"/>
              <w:jc w:val="center"/>
              <w:rPr>
                <w:sz w:val="20"/>
              </w:rPr>
            </w:pPr>
            <w:r>
              <w:rPr>
                <w:sz w:val="20"/>
              </w:rPr>
              <w:t>21</w:t>
            </w:r>
          </w:p>
        </w:tc>
        <w:tc>
          <w:tcPr>
            <w:tcW w:w="456" w:type="dxa"/>
            <w:tcBorders>
              <w:top w:val="single" w:sz="8" w:space="0" w:color="000000"/>
              <w:left w:val="nil"/>
              <w:bottom w:val="single" w:sz="8" w:space="0" w:color="000000"/>
              <w:right w:val="nil"/>
            </w:tcBorders>
            <w:shd w:val="clear" w:color="auto" w:fill="F9DECA"/>
          </w:tcPr>
          <w:p>
            <w:pPr>
              <w:pStyle w:val="TableParagraph"/>
              <w:spacing w:before="129"/>
              <w:ind w:right="138"/>
              <w:jc w:val="center"/>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1" w:right="106"/>
              <w:jc w:val="center"/>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7"/>
              <w:jc w:val="center"/>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2" w:right="106"/>
              <w:jc w:val="center"/>
              <w:rPr>
                <w:sz w:val="20"/>
              </w:rPr>
            </w:pPr>
            <w:r>
              <w:rPr>
                <w:sz w:val="20"/>
              </w:rPr>
              <w:t>14</w:t>
            </w:r>
          </w:p>
        </w:tc>
        <w:tc>
          <w:tcPr>
            <w:tcW w:w="457"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w w:val="99"/>
                <w:sz w:val="20"/>
              </w:rPr>
              <w:t>6</w:t>
            </w:r>
          </w:p>
        </w:tc>
        <w:tc>
          <w:tcPr>
            <w:tcW w:w="622"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240</w:t>
            </w:r>
          </w:p>
        </w:tc>
      </w:tr>
      <w:tr>
        <w:trPr>
          <w:trHeight w:val="550" w:hRule="exact"/>
        </w:trPr>
        <w:tc>
          <w:tcPr>
            <w:tcW w:w="1304" w:type="dxa"/>
            <w:tcBorders>
              <w:top w:val="single" w:sz="8" w:space="0" w:color="000000"/>
              <w:left w:val="nil"/>
              <w:bottom w:val="single" w:sz="8" w:space="0" w:color="000000"/>
              <w:right w:val="nil"/>
            </w:tcBorders>
          </w:tcPr>
          <w:p>
            <w:pPr>
              <w:pStyle w:val="TableParagraph"/>
              <w:ind w:left="108"/>
              <w:rPr>
                <w:sz w:val="20"/>
              </w:rPr>
            </w:pPr>
            <w:r>
              <w:rPr>
                <w:sz w:val="20"/>
              </w:rPr>
              <w:t>Conceição</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419 de 11/06/15</w:t>
            </w:r>
          </w:p>
        </w:tc>
        <w:tc>
          <w:tcPr>
            <w:tcW w:w="566" w:type="dxa"/>
            <w:tcBorders>
              <w:top w:val="single" w:sz="8" w:space="0" w:color="000000"/>
              <w:left w:val="nil"/>
              <w:bottom w:val="single" w:sz="8" w:space="0" w:color="000000"/>
              <w:right w:val="nil"/>
            </w:tcBorders>
          </w:tcPr>
          <w:p>
            <w:pPr>
              <w:pStyle w:val="TableParagraph"/>
              <w:ind w:left="107"/>
              <w:rPr>
                <w:sz w:val="20"/>
              </w:rPr>
            </w:pPr>
            <w:r>
              <w:rPr>
                <w:sz w:val="20"/>
              </w:rPr>
              <w:t>13</w:t>
            </w:r>
          </w:p>
        </w:tc>
        <w:tc>
          <w:tcPr>
            <w:tcW w:w="566" w:type="dxa"/>
            <w:tcBorders>
              <w:top w:val="single" w:sz="8" w:space="0" w:color="000000"/>
              <w:left w:val="nil"/>
              <w:bottom w:val="single" w:sz="8" w:space="0" w:color="000000"/>
              <w:right w:val="nil"/>
            </w:tcBorders>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right="54"/>
              <w:jc w:val="center"/>
              <w:rPr>
                <w:sz w:val="20"/>
              </w:rPr>
            </w:pPr>
            <w:r>
              <w:rPr>
                <w:w w:val="99"/>
                <w:sz w:val="20"/>
              </w:rPr>
              <w:t>-</w:t>
            </w:r>
          </w:p>
        </w:tc>
        <w:tc>
          <w:tcPr>
            <w:tcW w:w="566" w:type="dxa"/>
            <w:tcBorders>
              <w:top w:val="single" w:sz="8" w:space="0" w:color="000000"/>
              <w:left w:val="nil"/>
              <w:bottom w:val="single" w:sz="8" w:space="0" w:color="000000"/>
              <w:right w:val="nil"/>
            </w:tcBorders>
          </w:tcPr>
          <w:p>
            <w:pPr>
              <w:pStyle w:val="TableParagraph"/>
              <w:ind w:left="107"/>
              <w:rPr>
                <w:sz w:val="20"/>
              </w:rPr>
            </w:pPr>
            <w:r>
              <w:rPr>
                <w:w w:val="99"/>
                <w:sz w:val="20"/>
              </w:rPr>
              <w:t>-</w:t>
            </w:r>
          </w:p>
        </w:tc>
        <w:tc>
          <w:tcPr>
            <w:tcW w:w="569" w:type="dxa"/>
            <w:tcBorders>
              <w:top w:val="single" w:sz="8" w:space="0" w:color="000000"/>
              <w:left w:val="nil"/>
              <w:bottom w:val="single" w:sz="8" w:space="0" w:color="000000"/>
              <w:right w:val="nil"/>
            </w:tcBorders>
          </w:tcPr>
          <w:p>
            <w:pPr>
              <w:pStyle w:val="TableParagraph"/>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ind w:left="105"/>
              <w:rPr>
                <w:sz w:val="20"/>
              </w:rPr>
            </w:pPr>
            <w:r>
              <w:rPr>
                <w:w w:val="99"/>
                <w:sz w:val="20"/>
              </w:rPr>
              <w:t>-</w:t>
            </w:r>
          </w:p>
        </w:tc>
        <w:tc>
          <w:tcPr>
            <w:tcW w:w="454" w:type="dxa"/>
            <w:tcBorders>
              <w:top w:val="single" w:sz="8" w:space="0" w:color="000000"/>
              <w:left w:val="nil"/>
              <w:bottom w:val="single" w:sz="8" w:space="0" w:color="000000"/>
              <w:right w:val="nil"/>
            </w:tcBorders>
          </w:tcPr>
          <w:p>
            <w:pPr>
              <w:pStyle w:val="TableParagraph"/>
              <w:ind w:right="137"/>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ind w:left="108"/>
              <w:rPr>
                <w:sz w:val="20"/>
              </w:rPr>
            </w:pPr>
            <w:r>
              <w:rPr>
                <w:sz w:val="20"/>
              </w:rPr>
              <w:t>11</w:t>
            </w:r>
          </w:p>
        </w:tc>
        <w:tc>
          <w:tcPr>
            <w:tcW w:w="454" w:type="dxa"/>
            <w:tcBorders>
              <w:top w:val="single" w:sz="8" w:space="0" w:color="000000"/>
              <w:left w:val="nil"/>
              <w:bottom w:val="single" w:sz="8" w:space="0" w:color="000000"/>
              <w:right w:val="nil"/>
            </w:tcBorders>
          </w:tcPr>
          <w:p>
            <w:pPr>
              <w:pStyle w:val="TableParagraph"/>
              <w:ind w:left="107"/>
              <w:rPr>
                <w:sz w:val="20"/>
              </w:rPr>
            </w:pPr>
            <w:r>
              <w:rPr>
                <w:w w:val="99"/>
                <w:sz w:val="20"/>
              </w:rPr>
              <w:t>8</w:t>
            </w:r>
          </w:p>
        </w:tc>
        <w:tc>
          <w:tcPr>
            <w:tcW w:w="456" w:type="dxa"/>
            <w:tcBorders>
              <w:top w:val="single" w:sz="8" w:space="0" w:color="000000"/>
              <w:left w:val="nil"/>
              <w:bottom w:val="single" w:sz="8" w:space="0" w:color="000000"/>
              <w:right w:val="nil"/>
            </w:tcBorders>
          </w:tcPr>
          <w:p>
            <w:pPr>
              <w:pStyle w:val="TableParagraph"/>
              <w:ind w:left="90" w:right="126"/>
              <w:jc w:val="center"/>
              <w:rPr>
                <w:sz w:val="20"/>
              </w:rPr>
            </w:pPr>
            <w:r>
              <w:rPr>
                <w:sz w:val="20"/>
              </w:rPr>
              <w:t>21</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7</w:t>
            </w:r>
          </w:p>
        </w:tc>
        <w:tc>
          <w:tcPr>
            <w:tcW w:w="456" w:type="dxa"/>
            <w:tcBorders>
              <w:top w:val="single" w:sz="8" w:space="0" w:color="000000"/>
              <w:left w:val="nil"/>
              <w:bottom w:val="single" w:sz="8" w:space="0" w:color="000000"/>
              <w:right w:val="nil"/>
            </w:tcBorders>
          </w:tcPr>
          <w:p>
            <w:pPr>
              <w:pStyle w:val="TableParagraph"/>
              <w:ind w:right="138"/>
              <w:jc w:val="center"/>
              <w:rPr>
                <w:sz w:val="20"/>
              </w:rPr>
            </w:pPr>
            <w:r>
              <w:rPr>
                <w:w w:val="99"/>
                <w:sz w:val="20"/>
              </w:rPr>
              <w:t>3</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2</w:t>
            </w:r>
          </w:p>
        </w:tc>
        <w:tc>
          <w:tcPr>
            <w:tcW w:w="454" w:type="dxa"/>
            <w:tcBorders>
              <w:top w:val="single" w:sz="8" w:space="0" w:color="000000"/>
              <w:left w:val="nil"/>
              <w:bottom w:val="single" w:sz="8" w:space="0" w:color="000000"/>
              <w:right w:val="nil"/>
            </w:tcBorders>
          </w:tcPr>
          <w:p>
            <w:pPr>
              <w:pStyle w:val="TableParagraph"/>
              <w:ind w:right="137"/>
              <w:jc w:val="center"/>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ind w:right="137"/>
              <w:jc w:val="center"/>
              <w:rPr>
                <w:sz w:val="20"/>
              </w:rPr>
            </w:pPr>
            <w:r>
              <w:rPr>
                <w:w w:val="99"/>
                <w:sz w:val="20"/>
              </w:rPr>
              <w:t>1</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2</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4</w:t>
            </w:r>
          </w:p>
        </w:tc>
        <w:tc>
          <w:tcPr>
            <w:tcW w:w="457" w:type="dxa"/>
            <w:tcBorders>
              <w:top w:val="single" w:sz="8" w:space="0" w:color="000000"/>
              <w:left w:val="nil"/>
              <w:bottom w:val="single" w:sz="8" w:space="0" w:color="000000"/>
              <w:right w:val="nil"/>
            </w:tcBorders>
          </w:tcPr>
          <w:p>
            <w:pPr>
              <w:pStyle w:val="TableParagraph"/>
              <w:ind w:left="107"/>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2</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left="107"/>
              <w:rPr>
                <w:sz w:val="20"/>
              </w:rPr>
            </w:pPr>
            <w:r>
              <w:rPr>
                <w:w w:val="99"/>
                <w:sz w:val="20"/>
              </w:rPr>
              <w:t>3</w:t>
            </w:r>
          </w:p>
        </w:tc>
        <w:tc>
          <w:tcPr>
            <w:tcW w:w="622" w:type="dxa"/>
            <w:tcBorders>
              <w:top w:val="single" w:sz="8" w:space="0" w:color="000000"/>
              <w:left w:val="nil"/>
              <w:bottom w:val="single" w:sz="8" w:space="0" w:color="000000"/>
              <w:right w:val="nil"/>
            </w:tcBorders>
          </w:tcPr>
          <w:p>
            <w:pPr>
              <w:pStyle w:val="TableParagraph"/>
              <w:ind w:left="107"/>
              <w:rPr>
                <w:sz w:val="20"/>
              </w:rPr>
            </w:pPr>
            <w:r>
              <w:rPr>
                <w:sz w:val="20"/>
              </w:rPr>
              <w:t>119</w:t>
            </w:r>
          </w:p>
        </w:tc>
      </w:tr>
      <w:tr>
        <w:trPr>
          <w:trHeight w:val="547" w:hRule="exact"/>
        </w:trPr>
        <w:tc>
          <w:tcPr>
            <w:tcW w:w="130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Cristalândia</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501 de 18/06/15</w:t>
            </w:r>
          </w:p>
        </w:tc>
        <w:tc>
          <w:tcPr>
            <w:tcW w:w="566"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13</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right="54"/>
              <w:jc w:val="center"/>
              <w:rPr>
                <w:sz w:val="20"/>
              </w:rPr>
            </w:pPr>
            <w:r>
              <w:rPr>
                <w:w w:val="99"/>
                <w:sz w:val="20"/>
              </w:rPr>
              <w:t>-</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w:t>
            </w:r>
          </w:p>
        </w:tc>
        <w:tc>
          <w:tcPr>
            <w:tcW w:w="569"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ind w:left="108"/>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20</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18</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21</w:t>
            </w:r>
          </w:p>
        </w:tc>
        <w:tc>
          <w:tcPr>
            <w:tcW w:w="456" w:type="dxa"/>
            <w:tcBorders>
              <w:top w:val="single" w:sz="8" w:space="0" w:color="000000"/>
              <w:left w:val="nil"/>
              <w:bottom w:val="single" w:sz="8" w:space="0" w:color="000000"/>
              <w:right w:val="nil"/>
            </w:tcBorders>
            <w:shd w:val="clear" w:color="auto" w:fill="F9DECA"/>
          </w:tcPr>
          <w:p>
            <w:pPr>
              <w:pStyle w:val="TableParagraph"/>
              <w:ind w:left="90" w:right="126"/>
              <w:jc w:val="center"/>
              <w:rPr>
                <w:sz w:val="20"/>
              </w:rPr>
            </w:pPr>
            <w:r>
              <w:rPr>
                <w:sz w:val="20"/>
              </w:rPr>
              <w:t>16</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14</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47</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13</w:t>
            </w:r>
          </w:p>
        </w:tc>
        <w:tc>
          <w:tcPr>
            <w:tcW w:w="456" w:type="dxa"/>
            <w:tcBorders>
              <w:top w:val="single" w:sz="8" w:space="0" w:color="000000"/>
              <w:left w:val="nil"/>
              <w:bottom w:val="single" w:sz="8" w:space="0" w:color="000000"/>
              <w:right w:val="nil"/>
            </w:tcBorders>
            <w:shd w:val="clear" w:color="auto" w:fill="F9DECA"/>
          </w:tcPr>
          <w:p>
            <w:pPr>
              <w:pStyle w:val="TableParagraph"/>
              <w:ind w:left="90" w:right="126"/>
              <w:jc w:val="center"/>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14</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12</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14</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11</w:t>
            </w:r>
          </w:p>
        </w:tc>
        <w:tc>
          <w:tcPr>
            <w:tcW w:w="457"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13</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14</w:t>
            </w:r>
          </w:p>
        </w:tc>
        <w:tc>
          <w:tcPr>
            <w:tcW w:w="622"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284</w:t>
            </w:r>
          </w:p>
        </w:tc>
      </w:tr>
      <w:tr>
        <w:trPr>
          <w:trHeight w:val="550" w:hRule="exact"/>
        </w:trPr>
        <w:tc>
          <w:tcPr>
            <w:tcW w:w="1304" w:type="dxa"/>
            <w:tcBorders>
              <w:top w:val="single" w:sz="8" w:space="0" w:color="000000"/>
              <w:left w:val="nil"/>
              <w:bottom w:val="single" w:sz="8" w:space="0" w:color="000000"/>
              <w:right w:val="nil"/>
            </w:tcBorders>
          </w:tcPr>
          <w:p>
            <w:pPr>
              <w:pStyle w:val="TableParagraph"/>
              <w:spacing w:before="130"/>
              <w:ind w:left="108"/>
              <w:rPr>
                <w:sz w:val="20"/>
              </w:rPr>
            </w:pPr>
            <w:r>
              <w:rPr>
                <w:sz w:val="20"/>
              </w:rPr>
              <w:t>Dianópolis</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1306 de 18/06/15</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sz w:val="20"/>
              </w:rPr>
              <w:t>10</w:t>
            </w:r>
          </w:p>
        </w:tc>
        <w:tc>
          <w:tcPr>
            <w:tcW w:w="566" w:type="dxa"/>
            <w:tcBorders>
              <w:top w:val="single" w:sz="8" w:space="0" w:color="000000"/>
              <w:left w:val="nil"/>
              <w:bottom w:val="single" w:sz="8" w:space="0" w:color="000000"/>
              <w:right w:val="nil"/>
            </w:tcBorders>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right="54"/>
              <w:jc w:val="center"/>
              <w:rPr>
                <w:sz w:val="20"/>
              </w:rPr>
            </w:pPr>
            <w:r>
              <w:rPr>
                <w:w w:val="99"/>
                <w:sz w:val="20"/>
              </w:rPr>
              <w:t>-</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w:t>
            </w:r>
          </w:p>
        </w:tc>
        <w:tc>
          <w:tcPr>
            <w:tcW w:w="569"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17</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15</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18</w:t>
            </w:r>
          </w:p>
        </w:tc>
        <w:tc>
          <w:tcPr>
            <w:tcW w:w="456" w:type="dxa"/>
            <w:tcBorders>
              <w:top w:val="single" w:sz="8" w:space="0" w:color="000000"/>
              <w:left w:val="nil"/>
              <w:bottom w:val="single" w:sz="8" w:space="0" w:color="000000"/>
              <w:right w:val="nil"/>
            </w:tcBorders>
          </w:tcPr>
          <w:p>
            <w:pPr>
              <w:pStyle w:val="TableParagraph"/>
              <w:spacing w:before="130"/>
              <w:ind w:left="90" w:right="126"/>
              <w:jc w:val="center"/>
              <w:rPr>
                <w:sz w:val="20"/>
              </w:rPr>
            </w:pPr>
            <w:r>
              <w:rPr>
                <w:sz w:val="20"/>
              </w:rPr>
              <w:t>19</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12</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31</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8</w:t>
            </w:r>
          </w:p>
        </w:tc>
        <w:tc>
          <w:tcPr>
            <w:tcW w:w="456" w:type="dxa"/>
            <w:tcBorders>
              <w:top w:val="single" w:sz="8" w:space="0" w:color="000000"/>
              <w:left w:val="nil"/>
              <w:bottom w:val="single" w:sz="8" w:space="0" w:color="000000"/>
              <w:right w:val="nil"/>
            </w:tcBorders>
          </w:tcPr>
          <w:p>
            <w:pPr>
              <w:pStyle w:val="TableParagraph"/>
              <w:spacing w:before="130"/>
              <w:ind w:right="138"/>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11</w:t>
            </w:r>
          </w:p>
        </w:tc>
        <w:tc>
          <w:tcPr>
            <w:tcW w:w="454" w:type="dxa"/>
            <w:tcBorders>
              <w:top w:val="single" w:sz="8" w:space="0" w:color="000000"/>
              <w:left w:val="nil"/>
              <w:bottom w:val="single" w:sz="8" w:space="0" w:color="000000"/>
              <w:right w:val="nil"/>
            </w:tcBorders>
          </w:tcPr>
          <w:p>
            <w:pPr>
              <w:pStyle w:val="TableParagraph"/>
              <w:spacing w:before="130"/>
              <w:ind w:right="137"/>
              <w:jc w:val="center"/>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10</w:t>
            </w:r>
          </w:p>
        </w:tc>
        <w:tc>
          <w:tcPr>
            <w:tcW w:w="457"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20</w:t>
            </w:r>
          </w:p>
        </w:tc>
        <w:tc>
          <w:tcPr>
            <w:tcW w:w="622" w:type="dxa"/>
            <w:tcBorders>
              <w:top w:val="single" w:sz="8" w:space="0" w:color="000000"/>
              <w:left w:val="nil"/>
              <w:bottom w:val="single" w:sz="8" w:space="0" w:color="000000"/>
              <w:right w:val="nil"/>
            </w:tcBorders>
          </w:tcPr>
          <w:p>
            <w:pPr>
              <w:pStyle w:val="TableParagraph"/>
              <w:spacing w:before="130"/>
              <w:ind w:left="107"/>
              <w:rPr>
                <w:sz w:val="20"/>
              </w:rPr>
            </w:pPr>
            <w:r>
              <w:rPr>
                <w:sz w:val="20"/>
              </w:rPr>
              <w:t>233</w:t>
            </w:r>
          </w:p>
        </w:tc>
      </w:tr>
      <w:tr>
        <w:trPr>
          <w:trHeight w:val="550" w:hRule="exact"/>
        </w:trPr>
        <w:tc>
          <w:tcPr>
            <w:tcW w:w="1304"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Divinópolis</w:t>
            </w:r>
          </w:p>
        </w:tc>
        <w:tc>
          <w:tcPr>
            <w:tcW w:w="1078" w:type="dxa"/>
            <w:tcBorders>
              <w:top w:val="single" w:sz="8" w:space="0" w:color="000000"/>
              <w:left w:val="nil"/>
              <w:bottom w:val="single" w:sz="8" w:space="0" w:color="000000"/>
              <w:right w:val="nil"/>
            </w:tcBorders>
            <w:shd w:val="clear" w:color="auto" w:fill="F9DECA"/>
          </w:tcPr>
          <w:p>
            <w:pPr>
              <w:pStyle w:val="TableParagraph"/>
              <w:spacing w:line="278" w:lineRule="auto" w:before="0"/>
              <w:ind w:left="107" w:right="239"/>
              <w:rPr>
                <w:sz w:val="20"/>
              </w:rPr>
            </w:pPr>
            <w:r>
              <w:rPr>
                <w:sz w:val="20"/>
              </w:rPr>
              <w:t>536 de 15/06/15</w:t>
            </w:r>
          </w:p>
        </w:tc>
        <w:tc>
          <w:tcPr>
            <w:tcW w:w="566"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13</w:t>
            </w:r>
          </w:p>
        </w:tc>
        <w:tc>
          <w:tcPr>
            <w:tcW w:w="566"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right="54"/>
              <w:jc w:val="center"/>
              <w:rPr>
                <w:sz w:val="20"/>
              </w:rPr>
            </w:pPr>
            <w:r>
              <w:rPr>
                <w:w w:val="99"/>
                <w:sz w:val="20"/>
              </w:rPr>
              <w:t>-</w:t>
            </w:r>
          </w:p>
        </w:tc>
        <w:tc>
          <w:tcPr>
            <w:tcW w:w="566"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w:t>
            </w:r>
          </w:p>
        </w:tc>
        <w:tc>
          <w:tcPr>
            <w:tcW w:w="569"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71" w:right="106"/>
              <w:jc w:val="center"/>
              <w:rPr>
                <w:sz w:val="20"/>
              </w:rPr>
            </w:pPr>
            <w:r>
              <w:rPr>
                <w:sz w:val="20"/>
              </w:rPr>
              <w:t>13</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10</w:t>
            </w:r>
          </w:p>
        </w:tc>
        <w:tc>
          <w:tcPr>
            <w:tcW w:w="456" w:type="dxa"/>
            <w:tcBorders>
              <w:top w:val="single" w:sz="8" w:space="0" w:color="000000"/>
              <w:left w:val="nil"/>
              <w:bottom w:val="single" w:sz="8" w:space="0" w:color="000000"/>
              <w:right w:val="nil"/>
            </w:tcBorders>
            <w:shd w:val="clear" w:color="auto" w:fill="F9DECA"/>
          </w:tcPr>
          <w:p>
            <w:pPr>
              <w:pStyle w:val="TableParagraph"/>
              <w:spacing w:before="130"/>
              <w:ind w:left="90" w:right="126"/>
              <w:jc w:val="center"/>
              <w:rPr>
                <w:sz w:val="20"/>
              </w:rPr>
            </w:pPr>
            <w:r>
              <w:rPr>
                <w:sz w:val="20"/>
              </w:rPr>
              <w:t>12</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5"/>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6"/>
              <w:jc w:val="center"/>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72" w:right="106"/>
              <w:jc w:val="center"/>
              <w:rPr>
                <w:sz w:val="20"/>
              </w:rPr>
            </w:pPr>
            <w:r>
              <w:rPr>
                <w:sz w:val="20"/>
              </w:rPr>
              <w:t>22</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6"/>
              <w:jc w:val="center"/>
              <w:rPr>
                <w:sz w:val="20"/>
              </w:rPr>
            </w:pPr>
            <w:r>
              <w:rPr>
                <w:w w:val="99"/>
                <w:sz w:val="20"/>
              </w:rPr>
              <w:t>7</w:t>
            </w:r>
          </w:p>
        </w:tc>
        <w:tc>
          <w:tcPr>
            <w:tcW w:w="456" w:type="dxa"/>
            <w:tcBorders>
              <w:top w:val="single" w:sz="8" w:space="0" w:color="000000"/>
              <w:left w:val="nil"/>
              <w:bottom w:val="single" w:sz="8" w:space="0" w:color="000000"/>
              <w:right w:val="nil"/>
            </w:tcBorders>
            <w:shd w:val="clear" w:color="auto" w:fill="F9DECA"/>
          </w:tcPr>
          <w:p>
            <w:pPr>
              <w:pStyle w:val="TableParagraph"/>
              <w:spacing w:before="130"/>
              <w:ind w:right="138"/>
              <w:jc w:val="center"/>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5"/>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7"/>
              <w:jc w:val="center"/>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7"/>
              <w:jc w:val="center"/>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6"/>
              <w:jc w:val="center"/>
              <w:rPr>
                <w:sz w:val="20"/>
              </w:rPr>
            </w:pPr>
            <w:r>
              <w:rPr>
                <w:w w:val="99"/>
                <w:sz w:val="20"/>
              </w:rPr>
              <w:t>6</w:t>
            </w:r>
          </w:p>
        </w:tc>
        <w:tc>
          <w:tcPr>
            <w:tcW w:w="457"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5"/>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14</w:t>
            </w:r>
          </w:p>
        </w:tc>
        <w:tc>
          <w:tcPr>
            <w:tcW w:w="622"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162</w:t>
            </w:r>
          </w:p>
        </w:tc>
      </w:tr>
      <w:tr>
        <w:trPr>
          <w:trHeight w:val="550" w:hRule="exact"/>
        </w:trPr>
        <w:tc>
          <w:tcPr>
            <w:tcW w:w="1304" w:type="dxa"/>
            <w:tcBorders>
              <w:top w:val="single" w:sz="8" w:space="0" w:color="000000"/>
              <w:left w:val="nil"/>
              <w:bottom w:val="single" w:sz="8" w:space="0" w:color="000000"/>
              <w:right w:val="nil"/>
            </w:tcBorders>
          </w:tcPr>
          <w:p>
            <w:pPr>
              <w:pStyle w:val="TableParagraph"/>
              <w:spacing w:line="276" w:lineRule="auto" w:before="0"/>
              <w:ind w:left="108" w:right="403"/>
              <w:rPr>
                <w:sz w:val="20"/>
              </w:rPr>
            </w:pPr>
            <w:r>
              <w:rPr>
                <w:sz w:val="20"/>
              </w:rPr>
              <w:t>Monte do Carmo</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574 de 22/06/15</w:t>
            </w:r>
          </w:p>
        </w:tc>
        <w:tc>
          <w:tcPr>
            <w:tcW w:w="566" w:type="dxa"/>
            <w:tcBorders>
              <w:top w:val="single" w:sz="8" w:space="0" w:color="000000"/>
              <w:left w:val="nil"/>
              <w:bottom w:val="single" w:sz="8" w:space="0" w:color="000000"/>
              <w:right w:val="nil"/>
            </w:tcBorders>
          </w:tcPr>
          <w:p>
            <w:pPr>
              <w:pStyle w:val="TableParagraph"/>
              <w:ind w:left="107"/>
              <w:rPr>
                <w:sz w:val="20"/>
              </w:rPr>
            </w:pPr>
            <w:r>
              <w:rPr>
                <w:sz w:val="20"/>
              </w:rPr>
              <w:t>13</w:t>
            </w:r>
          </w:p>
        </w:tc>
        <w:tc>
          <w:tcPr>
            <w:tcW w:w="566" w:type="dxa"/>
            <w:tcBorders>
              <w:top w:val="single" w:sz="8" w:space="0" w:color="000000"/>
              <w:left w:val="nil"/>
              <w:bottom w:val="single" w:sz="8" w:space="0" w:color="000000"/>
              <w:right w:val="nil"/>
            </w:tcBorders>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right="54"/>
              <w:jc w:val="center"/>
              <w:rPr>
                <w:sz w:val="20"/>
              </w:rPr>
            </w:pPr>
            <w:r>
              <w:rPr>
                <w:w w:val="99"/>
                <w:sz w:val="20"/>
              </w:rPr>
              <w:t>-</w:t>
            </w:r>
          </w:p>
        </w:tc>
        <w:tc>
          <w:tcPr>
            <w:tcW w:w="566" w:type="dxa"/>
            <w:tcBorders>
              <w:top w:val="single" w:sz="8" w:space="0" w:color="000000"/>
              <w:left w:val="nil"/>
              <w:bottom w:val="single" w:sz="8" w:space="0" w:color="000000"/>
              <w:right w:val="nil"/>
            </w:tcBorders>
          </w:tcPr>
          <w:p>
            <w:pPr>
              <w:pStyle w:val="TableParagraph"/>
              <w:ind w:left="107"/>
              <w:rPr>
                <w:sz w:val="20"/>
              </w:rPr>
            </w:pPr>
            <w:r>
              <w:rPr>
                <w:w w:val="99"/>
                <w:sz w:val="20"/>
              </w:rPr>
              <w:t>X</w:t>
            </w:r>
          </w:p>
        </w:tc>
        <w:tc>
          <w:tcPr>
            <w:tcW w:w="569" w:type="dxa"/>
            <w:tcBorders>
              <w:top w:val="single" w:sz="8" w:space="0" w:color="000000"/>
              <w:left w:val="nil"/>
              <w:bottom w:val="single" w:sz="8" w:space="0" w:color="000000"/>
              <w:right w:val="nil"/>
            </w:tcBorders>
          </w:tcPr>
          <w:p>
            <w:pPr>
              <w:pStyle w:val="TableParagraph"/>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ind w:left="105"/>
              <w:rPr>
                <w:sz w:val="20"/>
              </w:rPr>
            </w:pPr>
            <w:r>
              <w:rPr>
                <w:w w:val="99"/>
                <w:sz w:val="20"/>
              </w:rPr>
              <w:t>-</w:t>
            </w:r>
          </w:p>
        </w:tc>
        <w:tc>
          <w:tcPr>
            <w:tcW w:w="454" w:type="dxa"/>
            <w:tcBorders>
              <w:top w:val="single" w:sz="8" w:space="0" w:color="000000"/>
              <w:left w:val="nil"/>
              <w:bottom w:val="single" w:sz="8" w:space="0" w:color="000000"/>
              <w:right w:val="nil"/>
            </w:tcBorders>
          </w:tcPr>
          <w:p>
            <w:pPr>
              <w:pStyle w:val="TableParagraph"/>
              <w:ind w:left="71" w:right="106"/>
              <w:jc w:val="center"/>
              <w:rPr>
                <w:sz w:val="20"/>
              </w:rPr>
            </w:pPr>
            <w:r>
              <w:rPr>
                <w:sz w:val="20"/>
              </w:rPr>
              <w:t>17</w:t>
            </w:r>
          </w:p>
        </w:tc>
        <w:tc>
          <w:tcPr>
            <w:tcW w:w="454" w:type="dxa"/>
            <w:tcBorders>
              <w:top w:val="single" w:sz="8" w:space="0" w:color="000000"/>
              <w:left w:val="nil"/>
              <w:bottom w:val="single" w:sz="8" w:space="0" w:color="000000"/>
              <w:right w:val="nil"/>
            </w:tcBorders>
          </w:tcPr>
          <w:p>
            <w:pPr>
              <w:pStyle w:val="TableParagraph"/>
              <w:ind w:left="108"/>
              <w:rPr>
                <w:sz w:val="20"/>
              </w:rPr>
            </w:pPr>
            <w:r>
              <w:rPr>
                <w:sz w:val="20"/>
              </w:rPr>
              <w:t>14</w:t>
            </w:r>
          </w:p>
        </w:tc>
        <w:tc>
          <w:tcPr>
            <w:tcW w:w="454" w:type="dxa"/>
            <w:tcBorders>
              <w:top w:val="single" w:sz="8" w:space="0" w:color="000000"/>
              <w:left w:val="nil"/>
              <w:bottom w:val="single" w:sz="8" w:space="0" w:color="000000"/>
              <w:right w:val="nil"/>
            </w:tcBorders>
          </w:tcPr>
          <w:p>
            <w:pPr>
              <w:pStyle w:val="TableParagraph"/>
              <w:ind w:left="107"/>
              <w:rPr>
                <w:sz w:val="20"/>
              </w:rPr>
            </w:pPr>
            <w:r>
              <w:rPr>
                <w:w w:val="99"/>
                <w:sz w:val="20"/>
              </w:rPr>
              <w:t>6</w:t>
            </w:r>
          </w:p>
        </w:tc>
        <w:tc>
          <w:tcPr>
            <w:tcW w:w="456" w:type="dxa"/>
            <w:tcBorders>
              <w:top w:val="single" w:sz="8" w:space="0" w:color="000000"/>
              <w:left w:val="nil"/>
              <w:bottom w:val="single" w:sz="8" w:space="0" w:color="000000"/>
              <w:right w:val="nil"/>
            </w:tcBorders>
          </w:tcPr>
          <w:p>
            <w:pPr>
              <w:pStyle w:val="TableParagraph"/>
              <w:ind w:right="138"/>
              <w:jc w:val="center"/>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ind w:left="72" w:right="106"/>
              <w:jc w:val="center"/>
              <w:rPr>
                <w:sz w:val="20"/>
              </w:rPr>
            </w:pPr>
            <w:r>
              <w:rPr>
                <w:sz w:val="20"/>
              </w:rPr>
              <w:t>20</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5</w:t>
            </w:r>
          </w:p>
        </w:tc>
        <w:tc>
          <w:tcPr>
            <w:tcW w:w="456" w:type="dxa"/>
            <w:tcBorders>
              <w:top w:val="single" w:sz="8" w:space="0" w:color="000000"/>
              <w:left w:val="nil"/>
              <w:bottom w:val="single" w:sz="8" w:space="0" w:color="000000"/>
              <w:right w:val="nil"/>
            </w:tcBorders>
          </w:tcPr>
          <w:p>
            <w:pPr>
              <w:pStyle w:val="TableParagraph"/>
              <w:ind w:left="90" w:right="126"/>
              <w:jc w:val="center"/>
              <w:rPr>
                <w:sz w:val="20"/>
              </w:rPr>
            </w:pPr>
            <w:r>
              <w:rPr>
                <w:sz w:val="20"/>
              </w:rPr>
              <w:t>10</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right="137"/>
              <w:jc w:val="center"/>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right="137"/>
              <w:jc w:val="center"/>
              <w:rPr>
                <w:sz w:val="20"/>
              </w:rPr>
            </w:pPr>
            <w:r>
              <w:rPr>
                <w:w w:val="99"/>
                <w:sz w:val="20"/>
              </w:rPr>
              <w:t>3</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6</w:t>
            </w:r>
          </w:p>
        </w:tc>
        <w:tc>
          <w:tcPr>
            <w:tcW w:w="457" w:type="dxa"/>
            <w:tcBorders>
              <w:top w:val="single" w:sz="8" w:space="0" w:color="000000"/>
              <w:left w:val="nil"/>
              <w:bottom w:val="single" w:sz="8" w:space="0" w:color="000000"/>
              <w:right w:val="nil"/>
            </w:tcBorders>
          </w:tcPr>
          <w:p>
            <w:pPr>
              <w:pStyle w:val="TableParagraph"/>
              <w:ind w:left="107"/>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ind w:left="107"/>
              <w:rPr>
                <w:sz w:val="20"/>
              </w:rPr>
            </w:pPr>
            <w:r>
              <w:rPr>
                <w:sz w:val="20"/>
              </w:rPr>
              <w:t>10</w:t>
            </w:r>
          </w:p>
        </w:tc>
        <w:tc>
          <w:tcPr>
            <w:tcW w:w="622" w:type="dxa"/>
            <w:tcBorders>
              <w:top w:val="single" w:sz="8" w:space="0" w:color="000000"/>
              <w:left w:val="nil"/>
              <w:bottom w:val="single" w:sz="8" w:space="0" w:color="000000"/>
              <w:right w:val="nil"/>
            </w:tcBorders>
          </w:tcPr>
          <w:p>
            <w:pPr>
              <w:pStyle w:val="TableParagraph"/>
              <w:ind w:left="107"/>
              <w:rPr>
                <w:sz w:val="20"/>
              </w:rPr>
            </w:pPr>
            <w:r>
              <w:rPr>
                <w:sz w:val="20"/>
              </w:rPr>
              <w:t>151</w:t>
            </w:r>
          </w:p>
        </w:tc>
      </w:tr>
      <w:tr>
        <w:trPr>
          <w:trHeight w:val="547" w:hRule="exact"/>
        </w:trPr>
        <w:tc>
          <w:tcPr>
            <w:tcW w:w="1304"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304"/>
              <w:rPr>
                <w:sz w:val="20"/>
              </w:rPr>
            </w:pPr>
            <w:r>
              <w:rPr>
                <w:sz w:val="20"/>
              </w:rPr>
              <w:t>Nova </w:t>
            </w:r>
            <w:r>
              <w:rPr>
                <w:w w:val="95"/>
                <w:sz w:val="20"/>
              </w:rPr>
              <w:t>Rosalândia</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364 de 26/06/15</w:t>
            </w:r>
          </w:p>
        </w:tc>
        <w:tc>
          <w:tcPr>
            <w:tcW w:w="566"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13</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left="21"/>
              <w:jc w:val="center"/>
              <w:rPr>
                <w:sz w:val="20"/>
              </w:rPr>
            </w:pPr>
            <w:r>
              <w:rPr>
                <w:w w:val="99"/>
                <w:sz w:val="20"/>
              </w:rPr>
              <w:t>X</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X</w:t>
            </w:r>
          </w:p>
        </w:tc>
        <w:tc>
          <w:tcPr>
            <w:tcW w:w="569"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ind w:left="108"/>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16</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23</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11</w:t>
            </w:r>
          </w:p>
        </w:tc>
        <w:tc>
          <w:tcPr>
            <w:tcW w:w="456" w:type="dxa"/>
            <w:tcBorders>
              <w:top w:val="single" w:sz="8" w:space="0" w:color="000000"/>
              <w:left w:val="nil"/>
              <w:bottom w:val="single" w:sz="8" w:space="0" w:color="000000"/>
              <w:right w:val="nil"/>
            </w:tcBorders>
            <w:shd w:val="clear" w:color="auto" w:fill="F9DECA"/>
          </w:tcPr>
          <w:p>
            <w:pPr>
              <w:pStyle w:val="TableParagraph"/>
              <w:ind w:right="138"/>
              <w:jc w:val="center"/>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17</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3</w:t>
            </w:r>
          </w:p>
        </w:tc>
        <w:tc>
          <w:tcPr>
            <w:tcW w:w="456" w:type="dxa"/>
            <w:tcBorders>
              <w:top w:val="single" w:sz="8" w:space="0" w:color="000000"/>
              <w:left w:val="nil"/>
              <w:bottom w:val="single" w:sz="8" w:space="0" w:color="000000"/>
              <w:right w:val="nil"/>
            </w:tcBorders>
            <w:shd w:val="clear" w:color="auto" w:fill="F9DECA"/>
          </w:tcPr>
          <w:p>
            <w:pPr>
              <w:pStyle w:val="TableParagraph"/>
              <w:ind w:right="138"/>
              <w:jc w:val="center"/>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2</w:t>
            </w:r>
          </w:p>
        </w:tc>
        <w:tc>
          <w:tcPr>
            <w:tcW w:w="454" w:type="dxa"/>
            <w:tcBorders>
              <w:top w:val="single" w:sz="8" w:space="0" w:color="000000"/>
              <w:left w:val="nil"/>
              <w:bottom w:val="single" w:sz="8" w:space="0" w:color="000000"/>
              <w:right w:val="nil"/>
            </w:tcBorders>
            <w:shd w:val="clear" w:color="auto" w:fill="F9DECA"/>
          </w:tcPr>
          <w:p>
            <w:pPr>
              <w:pStyle w:val="TableParagraph"/>
              <w:ind w:right="137"/>
              <w:jc w:val="center"/>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ind w:right="137"/>
              <w:jc w:val="center"/>
              <w:rPr>
                <w:sz w:val="20"/>
              </w:rPr>
            </w:pPr>
            <w:r>
              <w:rPr>
                <w:w w:val="99"/>
                <w:sz w:val="20"/>
              </w:rPr>
              <w:t>2</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2</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13</w:t>
            </w:r>
          </w:p>
        </w:tc>
        <w:tc>
          <w:tcPr>
            <w:tcW w:w="457"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2</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6</w:t>
            </w:r>
          </w:p>
        </w:tc>
        <w:tc>
          <w:tcPr>
            <w:tcW w:w="622"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141</w:t>
            </w:r>
          </w:p>
        </w:tc>
      </w:tr>
      <w:tr>
        <w:trPr>
          <w:trHeight w:val="550" w:hRule="exact"/>
        </w:trPr>
        <w:tc>
          <w:tcPr>
            <w:tcW w:w="1304" w:type="dxa"/>
            <w:tcBorders>
              <w:top w:val="single" w:sz="8" w:space="0" w:color="000000"/>
              <w:left w:val="nil"/>
              <w:bottom w:val="single" w:sz="8" w:space="0" w:color="000000"/>
              <w:right w:val="nil"/>
            </w:tcBorders>
          </w:tcPr>
          <w:p>
            <w:pPr>
              <w:pStyle w:val="TableParagraph"/>
              <w:spacing w:before="130"/>
              <w:ind w:left="108"/>
              <w:rPr>
                <w:sz w:val="20"/>
              </w:rPr>
            </w:pPr>
            <w:r>
              <w:rPr>
                <w:sz w:val="20"/>
              </w:rPr>
              <w:t>Novo Jardim</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205 de 23/06/15</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sz w:val="20"/>
              </w:rPr>
              <w:t>12</w:t>
            </w:r>
          </w:p>
        </w:tc>
        <w:tc>
          <w:tcPr>
            <w:tcW w:w="566" w:type="dxa"/>
            <w:tcBorders>
              <w:top w:val="single" w:sz="8" w:space="0" w:color="000000"/>
              <w:left w:val="nil"/>
              <w:bottom w:val="single" w:sz="8" w:space="0" w:color="000000"/>
              <w:right w:val="nil"/>
            </w:tcBorders>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right="54"/>
              <w:jc w:val="center"/>
              <w:rPr>
                <w:sz w:val="20"/>
              </w:rPr>
            </w:pPr>
            <w:r>
              <w:rPr>
                <w:w w:val="99"/>
                <w:sz w:val="20"/>
              </w:rPr>
              <w:t>-</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w:t>
            </w:r>
          </w:p>
        </w:tc>
        <w:tc>
          <w:tcPr>
            <w:tcW w:w="569"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16</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16</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14</w:t>
            </w:r>
          </w:p>
        </w:tc>
        <w:tc>
          <w:tcPr>
            <w:tcW w:w="456" w:type="dxa"/>
            <w:tcBorders>
              <w:top w:val="single" w:sz="8" w:space="0" w:color="000000"/>
              <w:left w:val="nil"/>
              <w:bottom w:val="single" w:sz="8" w:space="0" w:color="000000"/>
              <w:right w:val="nil"/>
            </w:tcBorders>
          </w:tcPr>
          <w:p>
            <w:pPr>
              <w:pStyle w:val="TableParagraph"/>
              <w:spacing w:before="130"/>
              <w:ind w:left="90" w:right="126"/>
              <w:jc w:val="center"/>
              <w:rPr>
                <w:sz w:val="20"/>
              </w:rPr>
            </w:pPr>
            <w:r>
              <w:rPr>
                <w:sz w:val="20"/>
              </w:rPr>
              <w:t>19</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31</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11</w:t>
            </w:r>
          </w:p>
        </w:tc>
        <w:tc>
          <w:tcPr>
            <w:tcW w:w="456" w:type="dxa"/>
            <w:tcBorders>
              <w:top w:val="single" w:sz="8" w:space="0" w:color="000000"/>
              <w:left w:val="nil"/>
              <w:bottom w:val="single" w:sz="8" w:space="0" w:color="000000"/>
              <w:right w:val="nil"/>
            </w:tcBorders>
          </w:tcPr>
          <w:p>
            <w:pPr>
              <w:pStyle w:val="TableParagraph"/>
              <w:spacing w:before="130"/>
              <w:ind w:left="90" w:right="126"/>
              <w:jc w:val="center"/>
              <w:rPr>
                <w:sz w:val="20"/>
              </w:rPr>
            </w:pPr>
            <w:r>
              <w:rPr>
                <w:sz w:val="20"/>
              </w:rPr>
              <w:t>11</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sz w:val="20"/>
              </w:rPr>
              <w:t>11</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16</w:t>
            </w:r>
          </w:p>
        </w:tc>
        <w:tc>
          <w:tcPr>
            <w:tcW w:w="454" w:type="dxa"/>
            <w:tcBorders>
              <w:top w:val="single" w:sz="8" w:space="0" w:color="000000"/>
              <w:left w:val="nil"/>
              <w:bottom w:val="single" w:sz="8" w:space="0" w:color="000000"/>
              <w:right w:val="nil"/>
            </w:tcBorders>
          </w:tcPr>
          <w:p>
            <w:pPr>
              <w:pStyle w:val="TableParagraph"/>
              <w:spacing w:before="130"/>
              <w:ind w:right="137"/>
              <w:jc w:val="center"/>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11</w:t>
            </w:r>
          </w:p>
        </w:tc>
        <w:tc>
          <w:tcPr>
            <w:tcW w:w="457"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11</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12</w:t>
            </w:r>
          </w:p>
        </w:tc>
        <w:tc>
          <w:tcPr>
            <w:tcW w:w="622" w:type="dxa"/>
            <w:tcBorders>
              <w:top w:val="single" w:sz="8" w:space="0" w:color="000000"/>
              <w:left w:val="nil"/>
              <w:bottom w:val="single" w:sz="8" w:space="0" w:color="000000"/>
              <w:right w:val="nil"/>
            </w:tcBorders>
          </w:tcPr>
          <w:p>
            <w:pPr>
              <w:pStyle w:val="TableParagraph"/>
              <w:spacing w:before="130"/>
              <w:ind w:left="107"/>
              <w:rPr>
                <w:sz w:val="20"/>
              </w:rPr>
            </w:pPr>
            <w:r>
              <w:rPr>
                <w:sz w:val="20"/>
              </w:rPr>
              <w:t>225</w:t>
            </w:r>
          </w:p>
        </w:tc>
      </w:tr>
      <w:tr>
        <w:trPr>
          <w:trHeight w:val="550" w:hRule="exact"/>
        </w:trPr>
        <w:tc>
          <w:tcPr>
            <w:tcW w:w="1304" w:type="dxa"/>
            <w:tcBorders>
              <w:top w:val="single" w:sz="8" w:space="0" w:color="000000"/>
              <w:left w:val="nil"/>
              <w:bottom w:val="single" w:sz="8" w:space="0" w:color="000000"/>
              <w:right w:val="nil"/>
            </w:tcBorders>
            <w:shd w:val="clear" w:color="auto" w:fill="F9DECA"/>
          </w:tcPr>
          <w:p>
            <w:pPr>
              <w:pStyle w:val="TableParagraph"/>
              <w:spacing w:before="128"/>
              <w:ind w:left="107"/>
              <w:rPr>
                <w:sz w:val="20"/>
              </w:rPr>
            </w:pPr>
            <w:r>
              <w:rPr>
                <w:sz w:val="20"/>
              </w:rPr>
              <w:t>Paraíso</w:t>
            </w:r>
          </w:p>
        </w:tc>
        <w:tc>
          <w:tcPr>
            <w:tcW w:w="1078" w:type="dxa"/>
            <w:tcBorders>
              <w:top w:val="single" w:sz="8" w:space="0" w:color="000000"/>
              <w:left w:val="nil"/>
              <w:bottom w:val="single" w:sz="8" w:space="0" w:color="000000"/>
              <w:right w:val="nil"/>
            </w:tcBorders>
            <w:shd w:val="clear" w:color="auto" w:fill="F9DECA"/>
          </w:tcPr>
          <w:p>
            <w:pPr>
              <w:pStyle w:val="TableParagraph"/>
              <w:spacing w:line="278" w:lineRule="auto" w:before="0"/>
              <w:ind w:left="107" w:right="239"/>
              <w:rPr>
                <w:sz w:val="20"/>
              </w:rPr>
            </w:pPr>
            <w:r>
              <w:rPr>
                <w:sz w:val="20"/>
              </w:rPr>
              <w:t>1804 de 23/06/15</w:t>
            </w:r>
          </w:p>
        </w:tc>
        <w:tc>
          <w:tcPr>
            <w:tcW w:w="566" w:type="dxa"/>
            <w:tcBorders>
              <w:top w:val="single" w:sz="8" w:space="0" w:color="000000"/>
              <w:left w:val="nil"/>
              <w:bottom w:val="single" w:sz="8" w:space="0" w:color="000000"/>
              <w:right w:val="nil"/>
            </w:tcBorders>
            <w:shd w:val="clear" w:color="auto" w:fill="F9DECA"/>
          </w:tcPr>
          <w:p>
            <w:pPr>
              <w:pStyle w:val="TableParagraph"/>
              <w:spacing w:before="128"/>
              <w:ind w:left="107"/>
              <w:rPr>
                <w:sz w:val="20"/>
              </w:rPr>
            </w:pPr>
            <w:r>
              <w:rPr>
                <w:sz w:val="20"/>
              </w:rPr>
              <w:t>12</w:t>
            </w:r>
          </w:p>
        </w:tc>
        <w:tc>
          <w:tcPr>
            <w:tcW w:w="566" w:type="dxa"/>
            <w:tcBorders>
              <w:top w:val="single" w:sz="8" w:space="0" w:color="000000"/>
              <w:left w:val="nil"/>
              <w:bottom w:val="single" w:sz="8" w:space="0" w:color="000000"/>
              <w:right w:val="nil"/>
            </w:tcBorders>
            <w:shd w:val="clear" w:color="auto" w:fill="F9DECA"/>
          </w:tcPr>
          <w:p>
            <w:pPr>
              <w:pStyle w:val="TableParagraph"/>
              <w:spacing w:before="128"/>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28"/>
              <w:ind w:right="54"/>
              <w:jc w:val="center"/>
              <w:rPr>
                <w:sz w:val="20"/>
              </w:rPr>
            </w:pPr>
            <w:r>
              <w:rPr>
                <w:w w:val="99"/>
                <w:sz w:val="20"/>
              </w:rPr>
              <w:t>-</w:t>
            </w:r>
          </w:p>
        </w:tc>
        <w:tc>
          <w:tcPr>
            <w:tcW w:w="566" w:type="dxa"/>
            <w:tcBorders>
              <w:top w:val="single" w:sz="8" w:space="0" w:color="000000"/>
              <w:left w:val="nil"/>
              <w:bottom w:val="single" w:sz="8" w:space="0" w:color="000000"/>
              <w:right w:val="nil"/>
            </w:tcBorders>
            <w:shd w:val="clear" w:color="auto" w:fill="F9DECA"/>
          </w:tcPr>
          <w:p>
            <w:pPr>
              <w:pStyle w:val="TableParagraph"/>
              <w:spacing w:before="128"/>
              <w:ind w:left="108"/>
              <w:rPr>
                <w:sz w:val="20"/>
              </w:rPr>
            </w:pPr>
            <w:r>
              <w:rPr>
                <w:w w:val="99"/>
                <w:sz w:val="20"/>
              </w:rPr>
              <w:t>-</w:t>
            </w:r>
          </w:p>
        </w:tc>
        <w:tc>
          <w:tcPr>
            <w:tcW w:w="569" w:type="dxa"/>
            <w:tcBorders>
              <w:top w:val="single" w:sz="8" w:space="0" w:color="000000"/>
              <w:left w:val="nil"/>
              <w:bottom w:val="single" w:sz="8" w:space="0" w:color="000000"/>
              <w:right w:val="nil"/>
            </w:tcBorders>
            <w:shd w:val="clear" w:color="auto" w:fill="F9DECA"/>
          </w:tcPr>
          <w:p>
            <w:pPr>
              <w:pStyle w:val="TableParagraph"/>
              <w:spacing w:before="128"/>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spacing w:before="128"/>
              <w:ind w:left="108"/>
              <w:rPr>
                <w:sz w:val="20"/>
              </w:rPr>
            </w:pPr>
            <w:r>
              <w:rPr>
                <w:w w:val="99"/>
                <w:sz w:val="20"/>
              </w:rPr>
              <w:t>-</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71" w:right="106"/>
              <w:jc w:val="center"/>
              <w:rPr>
                <w:sz w:val="20"/>
              </w:rPr>
            </w:pPr>
            <w:r>
              <w:rPr>
                <w:sz w:val="20"/>
              </w:rPr>
              <w:t>15</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8"/>
              <w:rPr>
                <w:sz w:val="20"/>
              </w:rPr>
            </w:pPr>
            <w:r>
              <w:rPr>
                <w:sz w:val="20"/>
              </w:rPr>
              <w:t>15</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7"/>
              <w:rPr>
                <w:sz w:val="20"/>
              </w:rPr>
            </w:pPr>
            <w:r>
              <w:rPr>
                <w:sz w:val="20"/>
              </w:rPr>
              <w:t>13</w:t>
            </w:r>
          </w:p>
        </w:tc>
        <w:tc>
          <w:tcPr>
            <w:tcW w:w="456" w:type="dxa"/>
            <w:tcBorders>
              <w:top w:val="single" w:sz="8" w:space="0" w:color="000000"/>
              <w:left w:val="nil"/>
              <w:bottom w:val="single" w:sz="8" w:space="0" w:color="000000"/>
              <w:right w:val="nil"/>
            </w:tcBorders>
            <w:shd w:val="clear" w:color="auto" w:fill="F9DECA"/>
          </w:tcPr>
          <w:p>
            <w:pPr>
              <w:pStyle w:val="TableParagraph"/>
              <w:spacing w:before="128"/>
              <w:ind w:left="90" w:right="126"/>
              <w:jc w:val="center"/>
              <w:rPr>
                <w:sz w:val="20"/>
              </w:rPr>
            </w:pPr>
            <w:r>
              <w:rPr>
                <w:sz w:val="20"/>
              </w:rPr>
              <w:t>18</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5"/>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right="136"/>
              <w:jc w:val="center"/>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72" w:right="106"/>
              <w:jc w:val="center"/>
              <w:rPr>
                <w:sz w:val="20"/>
              </w:rPr>
            </w:pPr>
            <w:r>
              <w:rPr>
                <w:sz w:val="20"/>
              </w:rPr>
              <w:t>16</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8"/>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72" w:right="106"/>
              <w:jc w:val="center"/>
              <w:rPr>
                <w:sz w:val="20"/>
              </w:rPr>
            </w:pPr>
            <w:r>
              <w:rPr>
                <w:sz w:val="20"/>
              </w:rPr>
              <w:t>12</w:t>
            </w:r>
          </w:p>
        </w:tc>
        <w:tc>
          <w:tcPr>
            <w:tcW w:w="456" w:type="dxa"/>
            <w:tcBorders>
              <w:top w:val="single" w:sz="8" w:space="0" w:color="000000"/>
              <w:left w:val="nil"/>
              <w:bottom w:val="single" w:sz="8" w:space="0" w:color="000000"/>
              <w:right w:val="nil"/>
            </w:tcBorders>
            <w:shd w:val="clear" w:color="auto" w:fill="F9DECA"/>
          </w:tcPr>
          <w:p>
            <w:pPr>
              <w:pStyle w:val="TableParagraph"/>
              <w:spacing w:before="128"/>
              <w:ind w:left="90" w:right="126"/>
              <w:jc w:val="center"/>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5"/>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71" w:right="106"/>
              <w:jc w:val="center"/>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right="137"/>
              <w:jc w:val="center"/>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8"/>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72" w:right="106"/>
              <w:jc w:val="center"/>
              <w:rPr>
                <w:sz w:val="20"/>
              </w:rPr>
            </w:pPr>
            <w:r>
              <w:rPr>
                <w:sz w:val="20"/>
              </w:rPr>
              <w:t>10</w:t>
            </w:r>
          </w:p>
        </w:tc>
        <w:tc>
          <w:tcPr>
            <w:tcW w:w="457" w:type="dxa"/>
            <w:tcBorders>
              <w:top w:val="single" w:sz="8" w:space="0" w:color="000000"/>
              <w:left w:val="nil"/>
              <w:bottom w:val="single" w:sz="8" w:space="0" w:color="000000"/>
              <w:right w:val="nil"/>
            </w:tcBorders>
            <w:shd w:val="clear" w:color="auto" w:fill="F9DECA"/>
          </w:tcPr>
          <w:p>
            <w:pPr>
              <w:pStyle w:val="TableParagraph"/>
              <w:spacing w:before="128"/>
              <w:ind w:left="107"/>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5"/>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8"/>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7"/>
              <w:rPr>
                <w:sz w:val="20"/>
              </w:rPr>
            </w:pPr>
            <w:r>
              <w:rPr>
                <w:sz w:val="20"/>
              </w:rPr>
              <w:t>10</w:t>
            </w:r>
          </w:p>
        </w:tc>
        <w:tc>
          <w:tcPr>
            <w:tcW w:w="622" w:type="dxa"/>
            <w:tcBorders>
              <w:top w:val="single" w:sz="8" w:space="0" w:color="000000"/>
              <w:left w:val="nil"/>
              <w:bottom w:val="single" w:sz="8" w:space="0" w:color="000000"/>
              <w:right w:val="nil"/>
            </w:tcBorders>
            <w:shd w:val="clear" w:color="auto" w:fill="F9DECA"/>
          </w:tcPr>
          <w:p>
            <w:pPr>
              <w:pStyle w:val="TableParagraph"/>
              <w:spacing w:before="128"/>
              <w:ind w:left="107"/>
              <w:rPr>
                <w:sz w:val="20"/>
              </w:rPr>
            </w:pPr>
            <w:r>
              <w:rPr>
                <w:sz w:val="20"/>
              </w:rPr>
              <w:t>198</w:t>
            </w:r>
          </w:p>
        </w:tc>
      </w:tr>
      <w:tr>
        <w:trPr>
          <w:trHeight w:val="550" w:hRule="exact"/>
        </w:trPr>
        <w:tc>
          <w:tcPr>
            <w:tcW w:w="1304" w:type="dxa"/>
            <w:tcBorders>
              <w:top w:val="single" w:sz="8" w:space="0" w:color="000000"/>
              <w:left w:val="nil"/>
              <w:bottom w:val="single" w:sz="8" w:space="0" w:color="000000"/>
              <w:right w:val="nil"/>
            </w:tcBorders>
          </w:tcPr>
          <w:p>
            <w:pPr>
              <w:pStyle w:val="TableParagraph"/>
              <w:ind w:left="108"/>
              <w:rPr>
                <w:sz w:val="20"/>
              </w:rPr>
            </w:pPr>
            <w:r>
              <w:rPr>
                <w:sz w:val="20"/>
              </w:rPr>
              <w:t>Pium</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828 de 12/06/15</w:t>
            </w:r>
          </w:p>
        </w:tc>
        <w:tc>
          <w:tcPr>
            <w:tcW w:w="566" w:type="dxa"/>
            <w:tcBorders>
              <w:top w:val="single" w:sz="8" w:space="0" w:color="000000"/>
              <w:left w:val="nil"/>
              <w:bottom w:val="single" w:sz="8" w:space="0" w:color="000000"/>
              <w:right w:val="nil"/>
            </w:tcBorders>
          </w:tcPr>
          <w:p>
            <w:pPr>
              <w:pStyle w:val="TableParagraph"/>
              <w:ind w:left="107"/>
              <w:rPr>
                <w:sz w:val="20"/>
              </w:rPr>
            </w:pPr>
            <w:r>
              <w:rPr>
                <w:sz w:val="20"/>
              </w:rPr>
              <w:t>13</w:t>
            </w:r>
          </w:p>
        </w:tc>
        <w:tc>
          <w:tcPr>
            <w:tcW w:w="566" w:type="dxa"/>
            <w:tcBorders>
              <w:top w:val="single" w:sz="8" w:space="0" w:color="000000"/>
              <w:left w:val="nil"/>
              <w:bottom w:val="single" w:sz="8" w:space="0" w:color="000000"/>
              <w:right w:val="nil"/>
            </w:tcBorders>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right="54"/>
              <w:jc w:val="center"/>
              <w:rPr>
                <w:sz w:val="20"/>
              </w:rPr>
            </w:pPr>
            <w:r>
              <w:rPr>
                <w:w w:val="99"/>
                <w:sz w:val="20"/>
              </w:rPr>
              <w:t>-</w:t>
            </w:r>
          </w:p>
        </w:tc>
        <w:tc>
          <w:tcPr>
            <w:tcW w:w="566" w:type="dxa"/>
            <w:tcBorders>
              <w:top w:val="single" w:sz="8" w:space="0" w:color="000000"/>
              <w:left w:val="nil"/>
              <w:bottom w:val="single" w:sz="8" w:space="0" w:color="000000"/>
              <w:right w:val="nil"/>
            </w:tcBorders>
          </w:tcPr>
          <w:p>
            <w:pPr>
              <w:pStyle w:val="TableParagraph"/>
              <w:ind w:left="107"/>
              <w:rPr>
                <w:sz w:val="20"/>
              </w:rPr>
            </w:pPr>
            <w:r>
              <w:rPr>
                <w:w w:val="99"/>
                <w:sz w:val="20"/>
              </w:rPr>
              <w:t>-</w:t>
            </w:r>
          </w:p>
        </w:tc>
        <w:tc>
          <w:tcPr>
            <w:tcW w:w="569" w:type="dxa"/>
            <w:tcBorders>
              <w:top w:val="single" w:sz="8" w:space="0" w:color="000000"/>
              <w:left w:val="nil"/>
              <w:bottom w:val="single" w:sz="8" w:space="0" w:color="000000"/>
              <w:right w:val="nil"/>
            </w:tcBorders>
          </w:tcPr>
          <w:p>
            <w:pPr>
              <w:pStyle w:val="TableParagraph"/>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ind w:left="105"/>
              <w:rPr>
                <w:sz w:val="20"/>
              </w:rPr>
            </w:pPr>
            <w:r>
              <w:rPr>
                <w:w w:val="99"/>
                <w:sz w:val="20"/>
              </w:rPr>
              <w:t>-</w:t>
            </w:r>
          </w:p>
        </w:tc>
        <w:tc>
          <w:tcPr>
            <w:tcW w:w="454" w:type="dxa"/>
            <w:tcBorders>
              <w:top w:val="single" w:sz="8" w:space="0" w:color="000000"/>
              <w:left w:val="nil"/>
              <w:bottom w:val="single" w:sz="8" w:space="0" w:color="000000"/>
              <w:right w:val="nil"/>
            </w:tcBorders>
          </w:tcPr>
          <w:p>
            <w:pPr>
              <w:pStyle w:val="TableParagraph"/>
              <w:ind w:left="71" w:right="106"/>
              <w:jc w:val="center"/>
              <w:rPr>
                <w:sz w:val="20"/>
              </w:rPr>
            </w:pPr>
            <w:r>
              <w:rPr>
                <w:sz w:val="20"/>
              </w:rPr>
              <w:t>16</w:t>
            </w:r>
          </w:p>
        </w:tc>
        <w:tc>
          <w:tcPr>
            <w:tcW w:w="454" w:type="dxa"/>
            <w:tcBorders>
              <w:top w:val="single" w:sz="8" w:space="0" w:color="000000"/>
              <w:left w:val="nil"/>
              <w:bottom w:val="single" w:sz="8" w:space="0" w:color="000000"/>
              <w:right w:val="nil"/>
            </w:tcBorders>
          </w:tcPr>
          <w:p>
            <w:pPr>
              <w:pStyle w:val="TableParagraph"/>
              <w:ind w:left="108"/>
              <w:rPr>
                <w:sz w:val="20"/>
              </w:rPr>
            </w:pPr>
            <w:r>
              <w:rPr>
                <w:sz w:val="20"/>
              </w:rPr>
              <w:t>11</w:t>
            </w:r>
          </w:p>
        </w:tc>
        <w:tc>
          <w:tcPr>
            <w:tcW w:w="454" w:type="dxa"/>
            <w:tcBorders>
              <w:top w:val="single" w:sz="8" w:space="0" w:color="000000"/>
              <w:left w:val="nil"/>
              <w:bottom w:val="single" w:sz="8" w:space="0" w:color="000000"/>
              <w:right w:val="nil"/>
            </w:tcBorders>
          </w:tcPr>
          <w:p>
            <w:pPr>
              <w:pStyle w:val="TableParagraph"/>
              <w:ind w:left="107"/>
              <w:rPr>
                <w:sz w:val="20"/>
              </w:rPr>
            </w:pPr>
            <w:r>
              <w:rPr>
                <w:w w:val="99"/>
                <w:sz w:val="20"/>
              </w:rPr>
              <w:t>9</w:t>
            </w:r>
          </w:p>
        </w:tc>
        <w:tc>
          <w:tcPr>
            <w:tcW w:w="456" w:type="dxa"/>
            <w:tcBorders>
              <w:top w:val="single" w:sz="8" w:space="0" w:color="000000"/>
              <w:left w:val="nil"/>
              <w:bottom w:val="single" w:sz="8" w:space="0" w:color="000000"/>
              <w:right w:val="nil"/>
            </w:tcBorders>
          </w:tcPr>
          <w:p>
            <w:pPr>
              <w:pStyle w:val="TableParagraph"/>
              <w:ind w:left="90" w:right="126"/>
              <w:jc w:val="center"/>
              <w:rPr>
                <w:sz w:val="20"/>
              </w:rPr>
            </w:pPr>
            <w:r>
              <w:rPr>
                <w:sz w:val="20"/>
              </w:rPr>
              <w:t>13</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ind w:left="72" w:right="106"/>
              <w:jc w:val="center"/>
              <w:rPr>
                <w:sz w:val="20"/>
              </w:rPr>
            </w:pPr>
            <w:r>
              <w:rPr>
                <w:sz w:val="20"/>
              </w:rPr>
              <w:t>14</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7</w:t>
            </w:r>
          </w:p>
        </w:tc>
        <w:tc>
          <w:tcPr>
            <w:tcW w:w="456" w:type="dxa"/>
            <w:tcBorders>
              <w:top w:val="single" w:sz="8" w:space="0" w:color="000000"/>
              <w:left w:val="nil"/>
              <w:bottom w:val="single" w:sz="8" w:space="0" w:color="000000"/>
              <w:right w:val="nil"/>
            </w:tcBorders>
          </w:tcPr>
          <w:p>
            <w:pPr>
              <w:pStyle w:val="TableParagraph"/>
              <w:ind w:right="138"/>
              <w:jc w:val="center"/>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ind w:left="105"/>
              <w:rPr>
                <w:sz w:val="20"/>
              </w:rPr>
            </w:pPr>
            <w:r>
              <w:rPr>
                <w:sz w:val="20"/>
              </w:rPr>
              <w:t>11</w:t>
            </w:r>
          </w:p>
        </w:tc>
        <w:tc>
          <w:tcPr>
            <w:tcW w:w="454" w:type="dxa"/>
            <w:tcBorders>
              <w:top w:val="single" w:sz="8" w:space="0" w:color="000000"/>
              <w:left w:val="nil"/>
              <w:bottom w:val="single" w:sz="8" w:space="0" w:color="000000"/>
              <w:right w:val="nil"/>
            </w:tcBorders>
          </w:tcPr>
          <w:p>
            <w:pPr>
              <w:pStyle w:val="TableParagraph"/>
              <w:ind w:right="137"/>
              <w:jc w:val="center"/>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ind w:right="137"/>
              <w:jc w:val="center"/>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left="72" w:right="106"/>
              <w:jc w:val="center"/>
              <w:rPr>
                <w:sz w:val="20"/>
              </w:rPr>
            </w:pPr>
            <w:r>
              <w:rPr>
                <w:sz w:val="20"/>
              </w:rPr>
              <w:t>10</w:t>
            </w:r>
          </w:p>
        </w:tc>
        <w:tc>
          <w:tcPr>
            <w:tcW w:w="457" w:type="dxa"/>
            <w:tcBorders>
              <w:top w:val="single" w:sz="8" w:space="0" w:color="000000"/>
              <w:left w:val="nil"/>
              <w:bottom w:val="single" w:sz="8" w:space="0" w:color="000000"/>
              <w:right w:val="nil"/>
            </w:tcBorders>
          </w:tcPr>
          <w:p>
            <w:pPr>
              <w:pStyle w:val="TableParagraph"/>
              <w:ind w:left="107"/>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3</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left="107"/>
              <w:rPr>
                <w:sz w:val="20"/>
              </w:rPr>
            </w:pPr>
            <w:r>
              <w:rPr>
                <w:w w:val="99"/>
                <w:sz w:val="20"/>
              </w:rPr>
              <w:t>9</w:t>
            </w:r>
          </w:p>
        </w:tc>
        <w:tc>
          <w:tcPr>
            <w:tcW w:w="622" w:type="dxa"/>
            <w:tcBorders>
              <w:top w:val="single" w:sz="8" w:space="0" w:color="000000"/>
              <w:left w:val="nil"/>
              <w:bottom w:val="single" w:sz="8" w:space="0" w:color="000000"/>
              <w:right w:val="nil"/>
            </w:tcBorders>
          </w:tcPr>
          <w:p>
            <w:pPr>
              <w:pStyle w:val="TableParagraph"/>
              <w:ind w:left="107"/>
              <w:rPr>
                <w:sz w:val="20"/>
              </w:rPr>
            </w:pPr>
            <w:r>
              <w:rPr>
                <w:sz w:val="20"/>
              </w:rPr>
              <w:t>162</w:t>
            </w:r>
          </w:p>
        </w:tc>
      </w:tr>
    </w:tbl>
    <w:p>
      <w:pPr>
        <w:spacing w:after="0"/>
        <w:rPr>
          <w:sz w:val="20"/>
        </w:rPr>
        <w:sectPr>
          <w:headerReference w:type="default" r:id="rId89"/>
          <w:pgSz w:w="16840" w:h="11910" w:orient="landscape"/>
          <w:pgMar w:header="749" w:footer="0" w:top="960" w:bottom="280" w:left="880" w:right="740"/>
          <w:pgNumType w:start="131"/>
        </w:sectPr>
      </w:pPr>
    </w:p>
    <w:p>
      <w:pPr>
        <w:pStyle w:val="BodyText"/>
        <w:rPr>
          <w:sz w:val="20"/>
        </w:rPr>
      </w:pPr>
      <w:r>
        <w:rPr/>
        <w:drawing>
          <wp:anchor distT="0" distB="0" distL="0" distR="0" allowOverlap="1" layoutInCell="1" locked="0" behindDoc="0" simplePos="0" relativeHeight="3040">
            <wp:simplePos x="0" y="0"/>
            <wp:positionH relativeFrom="page">
              <wp:posOffset>2860801</wp:posOffset>
            </wp:positionH>
            <wp:positionV relativeFrom="page">
              <wp:posOffset>2338146</wp:posOffset>
            </wp:positionV>
            <wp:extent cx="216518" cy="338137"/>
            <wp:effectExtent l="0" t="0" r="0" b="0"/>
            <wp:wrapNone/>
            <wp:docPr id="95" name="image45.png" descr=""/>
            <wp:cNvGraphicFramePr>
              <a:graphicFrameLocks noChangeAspect="1"/>
            </wp:cNvGraphicFramePr>
            <a:graphic>
              <a:graphicData uri="http://schemas.openxmlformats.org/drawingml/2006/picture">
                <pic:pic>
                  <pic:nvPicPr>
                    <pic:cNvPr id="96" name="image45.png"/>
                    <pic:cNvPicPr/>
                  </pic:nvPicPr>
                  <pic:blipFill>
                    <a:blip r:embed="rId97" cstate="print"/>
                    <a:stretch>
                      <a:fillRect/>
                    </a:stretch>
                  </pic:blipFill>
                  <pic:spPr>
                    <a:xfrm>
                      <a:off x="0" y="0"/>
                      <a:ext cx="216518" cy="338137"/>
                    </a:xfrm>
                    <a:prstGeom prst="rect">
                      <a:avLst/>
                    </a:prstGeom>
                  </pic:spPr>
                </pic:pic>
              </a:graphicData>
            </a:graphic>
          </wp:anchor>
        </w:drawing>
      </w:r>
      <w:r>
        <w:rPr/>
        <w:drawing>
          <wp:anchor distT="0" distB="0" distL="0" distR="0" allowOverlap="1" layoutInCell="1" locked="0" behindDoc="0" simplePos="0" relativeHeight="3064">
            <wp:simplePos x="0" y="0"/>
            <wp:positionH relativeFrom="page">
              <wp:posOffset>3795395</wp:posOffset>
            </wp:positionH>
            <wp:positionV relativeFrom="page">
              <wp:posOffset>2338146</wp:posOffset>
            </wp:positionV>
            <wp:extent cx="182735" cy="338137"/>
            <wp:effectExtent l="0" t="0" r="0" b="0"/>
            <wp:wrapNone/>
            <wp:docPr id="97" name="image46.png" descr=""/>
            <wp:cNvGraphicFramePr>
              <a:graphicFrameLocks noChangeAspect="1"/>
            </wp:cNvGraphicFramePr>
            <a:graphic>
              <a:graphicData uri="http://schemas.openxmlformats.org/drawingml/2006/picture">
                <pic:pic>
                  <pic:nvPicPr>
                    <pic:cNvPr id="98" name="image46.png"/>
                    <pic:cNvPicPr/>
                  </pic:nvPicPr>
                  <pic:blipFill>
                    <a:blip r:embed="rId98" cstate="print"/>
                    <a:stretch>
                      <a:fillRect/>
                    </a:stretch>
                  </pic:blipFill>
                  <pic:spPr>
                    <a:xfrm>
                      <a:off x="0" y="0"/>
                      <a:ext cx="182735" cy="338137"/>
                    </a:xfrm>
                    <a:prstGeom prst="rect">
                      <a:avLst/>
                    </a:prstGeom>
                  </pic:spPr>
                </pic:pic>
              </a:graphicData>
            </a:graphic>
          </wp:anchor>
        </w:drawing>
      </w:r>
      <w:r>
        <w:rPr/>
        <w:drawing>
          <wp:anchor distT="0" distB="0" distL="0" distR="0" allowOverlap="1" layoutInCell="1" locked="0" behindDoc="0" simplePos="0" relativeHeight="3088">
            <wp:simplePos x="0" y="0"/>
            <wp:positionH relativeFrom="page">
              <wp:posOffset>2860801</wp:posOffset>
            </wp:positionH>
            <wp:positionV relativeFrom="page">
              <wp:posOffset>3034919</wp:posOffset>
            </wp:positionV>
            <wp:extent cx="215443" cy="366712"/>
            <wp:effectExtent l="0" t="0" r="0" b="0"/>
            <wp:wrapNone/>
            <wp:docPr id="99" name="image47.png" descr=""/>
            <wp:cNvGraphicFramePr>
              <a:graphicFrameLocks noChangeAspect="1"/>
            </wp:cNvGraphicFramePr>
            <a:graphic>
              <a:graphicData uri="http://schemas.openxmlformats.org/drawingml/2006/picture">
                <pic:pic>
                  <pic:nvPicPr>
                    <pic:cNvPr id="100" name="image47.png"/>
                    <pic:cNvPicPr/>
                  </pic:nvPicPr>
                  <pic:blipFill>
                    <a:blip r:embed="rId99" cstate="print"/>
                    <a:stretch>
                      <a:fillRect/>
                    </a:stretch>
                  </pic:blipFill>
                  <pic:spPr>
                    <a:xfrm>
                      <a:off x="0" y="0"/>
                      <a:ext cx="215443" cy="366712"/>
                    </a:xfrm>
                    <a:prstGeom prst="rect">
                      <a:avLst/>
                    </a:prstGeom>
                  </pic:spPr>
                </pic:pic>
              </a:graphicData>
            </a:graphic>
          </wp:anchor>
        </w:drawing>
      </w:r>
      <w:r>
        <w:rPr/>
        <w:drawing>
          <wp:anchor distT="0" distB="0" distL="0" distR="0" allowOverlap="1" layoutInCell="1" locked="0" behindDoc="0" simplePos="0" relativeHeight="3112">
            <wp:simplePos x="0" y="0"/>
            <wp:positionH relativeFrom="page">
              <wp:posOffset>3795395</wp:posOffset>
            </wp:positionH>
            <wp:positionV relativeFrom="page">
              <wp:posOffset>3034919</wp:posOffset>
            </wp:positionV>
            <wp:extent cx="181828" cy="366712"/>
            <wp:effectExtent l="0" t="0" r="0" b="0"/>
            <wp:wrapNone/>
            <wp:docPr id="101" name="image48.png" descr=""/>
            <wp:cNvGraphicFramePr>
              <a:graphicFrameLocks noChangeAspect="1"/>
            </wp:cNvGraphicFramePr>
            <a:graphic>
              <a:graphicData uri="http://schemas.openxmlformats.org/drawingml/2006/picture">
                <pic:pic>
                  <pic:nvPicPr>
                    <pic:cNvPr id="102" name="image48.png"/>
                    <pic:cNvPicPr/>
                  </pic:nvPicPr>
                  <pic:blipFill>
                    <a:blip r:embed="rId100" cstate="print"/>
                    <a:stretch>
                      <a:fillRect/>
                    </a:stretch>
                  </pic:blipFill>
                  <pic:spPr>
                    <a:xfrm>
                      <a:off x="0" y="0"/>
                      <a:ext cx="181828" cy="366712"/>
                    </a:xfrm>
                    <a:prstGeom prst="rect">
                      <a:avLst/>
                    </a:prstGeom>
                  </pic:spPr>
                </pic:pic>
              </a:graphicData>
            </a:graphic>
          </wp:anchor>
        </w:drawing>
      </w:r>
      <w:r>
        <w:rPr/>
        <w:drawing>
          <wp:anchor distT="0" distB="0" distL="0" distR="0" allowOverlap="1" layoutInCell="1" locked="0" behindDoc="0" simplePos="0" relativeHeight="3136">
            <wp:simplePos x="0" y="0"/>
            <wp:positionH relativeFrom="page">
              <wp:posOffset>2860801</wp:posOffset>
            </wp:positionH>
            <wp:positionV relativeFrom="page">
              <wp:posOffset>3761867</wp:posOffset>
            </wp:positionV>
            <wp:extent cx="215572" cy="338137"/>
            <wp:effectExtent l="0" t="0" r="0" b="0"/>
            <wp:wrapNone/>
            <wp:docPr id="103" name="image49.png" descr=""/>
            <wp:cNvGraphicFramePr>
              <a:graphicFrameLocks noChangeAspect="1"/>
            </wp:cNvGraphicFramePr>
            <a:graphic>
              <a:graphicData uri="http://schemas.openxmlformats.org/drawingml/2006/picture">
                <pic:pic>
                  <pic:nvPicPr>
                    <pic:cNvPr id="104" name="image49.png"/>
                    <pic:cNvPicPr/>
                  </pic:nvPicPr>
                  <pic:blipFill>
                    <a:blip r:embed="rId101" cstate="print"/>
                    <a:stretch>
                      <a:fillRect/>
                    </a:stretch>
                  </pic:blipFill>
                  <pic:spPr>
                    <a:xfrm>
                      <a:off x="0" y="0"/>
                      <a:ext cx="215572" cy="338137"/>
                    </a:xfrm>
                    <a:prstGeom prst="rect">
                      <a:avLst/>
                    </a:prstGeom>
                  </pic:spPr>
                </pic:pic>
              </a:graphicData>
            </a:graphic>
          </wp:anchor>
        </w:drawing>
      </w:r>
      <w:r>
        <w:rPr/>
        <w:drawing>
          <wp:anchor distT="0" distB="0" distL="0" distR="0" allowOverlap="1" layoutInCell="1" locked="0" behindDoc="0" simplePos="0" relativeHeight="3160">
            <wp:simplePos x="0" y="0"/>
            <wp:positionH relativeFrom="page">
              <wp:posOffset>3795395</wp:posOffset>
            </wp:positionH>
            <wp:positionV relativeFrom="page">
              <wp:posOffset>3761867</wp:posOffset>
            </wp:positionV>
            <wp:extent cx="181936" cy="338137"/>
            <wp:effectExtent l="0" t="0" r="0" b="0"/>
            <wp:wrapNone/>
            <wp:docPr id="105" name="image50.png" descr=""/>
            <wp:cNvGraphicFramePr>
              <a:graphicFrameLocks noChangeAspect="1"/>
            </wp:cNvGraphicFramePr>
            <a:graphic>
              <a:graphicData uri="http://schemas.openxmlformats.org/drawingml/2006/picture">
                <pic:pic>
                  <pic:nvPicPr>
                    <pic:cNvPr id="106" name="image50.png"/>
                    <pic:cNvPicPr/>
                  </pic:nvPicPr>
                  <pic:blipFill>
                    <a:blip r:embed="rId102" cstate="print"/>
                    <a:stretch>
                      <a:fillRect/>
                    </a:stretch>
                  </pic:blipFill>
                  <pic:spPr>
                    <a:xfrm>
                      <a:off x="0" y="0"/>
                      <a:ext cx="181936" cy="338137"/>
                    </a:xfrm>
                    <a:prstGeom prst="rect">
                      <a:avLst/>
                    </a:prstGeom>
                  </pic:spPr>
                </pic:pic>
              </a:graphicData>
            </a:graphic>
          </wp:anchor>
        </w:drawing>
      </w:r>
      <w:r>
        <w:rPr/>
        <w:drawing>
          <wp:anchor distT="0" distB="0" distL="0" distR="0" allowOverlap="1" layoutInCell="1" locked="0" behindDoc="0" simplePos="0" relativeHeight="3184">
            <wp:simplePos x="0" y="0"/>
            <wp:positionH relativeFrom="page">
              <wp:posOffset>2860801</wp:posOffset>
            </wp:positionH>
            <wp:positionV relativeFrom="page">
              <wp:posOffset>4460113</wp:posOffset>
            </wp:positionV>
            <wp:extent cx="213663" cy="333375"/>
            <wp:effectExtent l="0" t="0" r="0" b="0"/>
            <wp:wrapNone/>
            <wp:docPr id="107" name="image20.png" descr=""/>
            <wp:cNvGraphicFramePr>
              <a:graphicFrameLocks noChangeAspect="1"/>
            </wp:cNvGraphicFramePr>
            <a:graphic>
              <a:graphicData uri="http://schemas.openxmlformats.org/drawingml/2006/picture">
                <pic:pic>
                  <pic:nvPicPr>
                    <pic:cNvPr id="108" name="image20.png"/>
                    <pic:cNvPicPr/>
                  </pic:nvPicPr>
                  <pic:blipFill>
                    <a:blip r:embed="rId70" cstate="print"/>
                    <a:stretch>
                      <a:fillRect/>
                    </a:stretch>
                  </pic:blipFill>
                  <pic:spPr>
                    <a:xfrm>
                      <a:off x="0" y="0"/>
                      <a:ext cx="213663" cy="333375"/>
                    </a:xfrm>
                    <a:prstGeom prst="rect">
                      <a:avLst/>
                    </a:prstGeom>
                  </pic:spPr>
                </pic:pic>
              </a:graphicData>
            </a:graphic>
          </wp:anchor>
        </w:drawing>
      </w:r>
      <w:r>
        <w:rPr/>
        <w:drawing>
          <wp:anchor distT="0" distB="0" distL="0" distR="0" allowOverlap="1" layoutInCell="1" locked="0" behindDoc="0" simplePos="0" relativeHeight="3208">
            <wp:simplePos x="0" y="0"/>
            <wp:positionH relativeFrom="page">
              <wp:posOffset>3795395</wp:posOffset>
            </wp:positionH>
            <wp:positionV relativeFrom="page">
              <wp:posOffset>4460113</wp:posOffset>
            </wp:positionV>
            <wp:extent cx="180325" cy="333375"/>
            <wp:effectExtent l="0" t="0" r="0" b="0"/>
            <wp:wrapNone/>
            <wp:docPr id="109" name="image21.png" descr=""/>
            <wp:cNvGraphicFramePr>
              <a:graphicFrameLocks noChangeAspect="1"/>
            </wp:cNvGraphicFramePr>
            <a:graphic>
              <a:graphicData uri="http://schemas.openxmlformats.org/drawingml/2006/picture">
                <pic:pic>
                  <pic:nvPicPr>
                    <pic:cNvPr id="110" name="image21.png"/>
                    <pic:cNvPicPr/>
                  </pic:nvPicPr>
                  <pic:blipFill>
                    <a:blip r:embed="rId71" cstate="print"/>
                    <a:stretch>
                      <a:fillRect/>
                    </a:stretch>
                  </pic:blipFill>
                  <pic:spPr>
                    <a:xfrm>
                      <a:off x="0" y="0"/>
                      <a:ext cx="180325" cy="333375"/>
                    </a:xfrm>
                    <a:prstGeom prst="rect">
                      <a:avLst/>
                    </a:prstGeom>
                  </pic:spPr>
                </pic:pic>
              </a:graphicData>
            </a:graphic>
          </wp:anchor>
        </w:drawing>
      </w:r>
      <w:r>
        <w:rPr/>
        <w:drawing>
          <wp:anchor distT="0" distB="0" distL="0" distR="0" allowOverlap="1" layoutInCell="1" locked="0" behindDoc="0" simplePos="0" relativeHeight="3232">
            <wp:simplePos x="0" y="0"/>
            <wp:positionH relativeFrom="page">
              <wp:posOffset>2860801</wp:posOffset>
            </wp:positionH>
            <wp:positionV relativeFrom="page">
              <wp:posOffset>5156580</wp:posOffset>
            </wp:positionV>
            <wp:extent cx="215734" cy="338137"/>
            <wp:effectExtent l="0" t="0" r="0" b="0"/>
            <wp:wrapNone/>
            <wp:docPr id="111" name="image51.png" descr=""/>
            <wp:cNvGraphicFramePr>
              <a:graphicFrameLocks noChangeAspect="1"/>
            </wp:cNvGraphicFramePr>
            <a:graphic>
              <a:graphicData uri="http://schemas.openxmlformats.org/drawingml/2006/picture">
                <pic:pic>
                  <pic:nvPicPr>
                    <pic:cNvPr id="112" name="image51.png"/>
                    <pic:cNvPicPr/>
                  </pic:nvPicPr>
                  <pic:blipFill>
                    <a:blip r:embed="rId103" cstate="print"/>
                    <a:stretch>
                      <a:fillRect/>
                    </a:stretch>
                  </pic:blipFill>
                  <pic:spPr>
                    <a:xfrm>
                      <a:off x="0" y="0"/>
                      <a:ext cx="215734" cy="338137"/>
                    </a:xfrm>
                    <a:prstGeom prst="rect">
                      <a:avLst/>
                    </a:prstGeom>
                  </pic:spPr>
                </pic:pic>
              </a:graphicData>
            </a:graphic>
          </wp:anchor>
        </w:drawing>
      </w:r>
      <w:r>
        <w:rPr/>
        <w:drawing>
          <wp:anchor distT="0" distB="0" distL="0" distR="0" allowOverlap="1" layoutInCell="1" locked="0" behindDoc="0" simplePos="0" relativeHeight="3256">
            <wp:simplePos x="0" y="0"/>
            <wp:positionH relativeFrom="page">
              <wp:posOffset>3795395</wp:posOffset>
            </wp:positionH>
            <wp:positionV relativeFrom="page">
              <wp:posOffset>5156580</wp:posOffset>
            </wp:positionV>
            <wp:extent cx="182074" cy="338137"/>
            <wp:effectExtent l="0" t="0" r="0" b="0"/>
            <wp:wrapNone/>
            <wp:docPr id="113" name="image52.png" descr=""/>
            <wp:cNvGraphicFramePr>
              <a:graphicFrameLocks noChangeAspect="1"/>
            </wp:cNvGraphicFramePr>
            <a:graphic>
              <a:graphicData uri="http://schemas.openxmlformats.org/drawingml/2006/picture">
                <pic:pic>
                  <pic:nvPicPr>
                    <pic:cNvPr id="114" name="image52.png"/>
                    <pic:cNvPicPr/>
                  </pic:nvPicPr>
                  <pic:blipFill>
                    <a:blip r:embed="rId104" cstate="print"/>
                    <a:stretch>
                      <a:fillRect/>
                    </a:stretch>
                  </pic:blipFill>
                  <pic:spPr>
                    <a:xfrm>
                      <a:off x="0" y="0"/>
                      <a:ext cx="182074" cy="338137"/>
                    </a:xfrm>
                    <a:prstGeom prst="rect">
                      <a:avLst/>
                    </a:prstGeom>
                  </pic:spPr>
                </pic:pic>
              </a:graphicData>
            </a:graphic>
          </wp:anchor>
        </w:drawing>
      </w:r>
      <w:r>
        <w:rPr/>
        <w:drawing>
          <wp:anchor distT="0" distB="0" distL="0" distR="0" allowOverlap="1" layoutInCell="1" locked="0" behindDoc="0" simplePos="0" relativeHeight="3280">
            <wp:simplePos x="0" y="0"/>
            <wp:positionH relativeFrom="page">
              <wp:posOffset>2860801</wp:posOffset>
            </wp:positionH>
            <wp:positionV relativeFrom="page">
              <wp:posOffset>5854954</wp:posOffset>
            </wp:positionV>
            <wp:extent cx="213663" cy="333375"/>
            <wp:effectExtent l="0" t="0" r="0" b="0"/>
            <wp:wrapNone/>
            <wp:docPr id="115" name="image20.png" descr=""/>
            <wp:cNvGraphicFramePr>
              <a:graphicFrameLocks noChangeAspect="1"/>
            </wp:cNvGraphicFramePr>
            <a:graphic>
              <a:graphicData uri="http://schemas.openxmlformats.org/drawingml/2006/picture">
                <pic:pic>
                  <pic:nvPicPr>
                    <pic:cNvPr id="116" name="image20.png"/>
                    <pic:cNvPicPr/>
                  </pic:nvPicPr>
                  <pic:blipFill>
                    <a:blip r:embed="rId70" cstate="print"/>
                    <a:stretch>
                      <a:fillRect/>
                    </a:stretch>
                  </pic:blipFill>
                  <pic:spPr>
                    <a:xfrm>
                      <a:off x="0" y="0"/>
                      <a:ext cx="213663" cy="333375"/>
                    </a:xfrm>
                    <a:prstGeom prst="rect">
                      <a:avLst/>
                    </a:prstGeom>
                  </pic:spPr>
                </pic:pic>
              </a:graphicData>
            </a:graphic>
          </wp:anchor>
        </w:drawing>
      </w:r>
      <w:r>
        <w:rPr/>
        <w:drawing>
          <wp:anchor distT="0" distB="0" distL="0" distR="0" allowOverlap="1" layoutInCell="1" locked="0" behindDoc="0" simplePos="0" relativeHeight="3304">
            <wp:simplePos x="0" y="0"/>
            <wp:positionH relativeFrom="page">
              <wp:posOffset>3795395</wp:posOffset>
            </wp:positionH>
            <wp:positionV relativeFrom="page">
              <wp:posOffset>5854954</wp:posOffset>
            </wp:positionV>
            <wp:extent cx="180325" cy="333375"/>
            <wp:effectExtent l="0" t="0" r="0" b="0"/>
            <wp:wrapNone/>
            <wp:docPr id="117" name="image21.png" descr=""/>
            <wp:cNvGraphicFramePr>
              <a:graphicFrameLocks noChangeAspect="1"/>
            </wp:cNvGraphicFramePr>
            <a:graphic>
              <a:graphicData uri="http://schemas.openxmlformats.org/drawingml/2006/picture">
                <pic:pic>
                  <pic:nvPicPr>
                    <pic:cNvPr id="118" name="image21.png"/>
                    <pic:cNvPicPr/>
                  </pic:nvPicPr>
                  <pic:blipFill>
                    <a:blip r:embed="rId71" cstate="print"/>
                    <a:stretch>
                      <a:fillRect/>
                    </a:stretch>
                  </pic:blipFill>
                  <pic:spPr>
                    <a:xfrm>
                      <a:off x="0" y="0"/>
                      <a:ext cx="180325" cy="333375"/>
                    </a:xfrm>
                    <a:prstGeom prst="rect">
                      <a:avLst/>
                    </a:prstGeom>
                  </pic:spPr>
                </pic:pic>
              </a:graphicData>
            </a:graphic>
          </wp:anchor>
        </w:drawing>
      </w:r>
    </w:p>
    <w:p>
      <w:pPr>
        <w:pStyle w:val="BodyText"/>
        <w:rPr>
          <w:sz w:val="20"/>
        </w:rPr>
      </w:pPr>
    </w:p>
    <w:p>
      <w:pPr>
        <w:pStyle w:val="BodyText"/>
        <w:spacing w:before="8"/>
        <w:rPr>
          <w:sz w:val="22"/>
        </w:rPr>
      </w:pPr>
    </w:p>
    <w:tbl>
      <w:tblPr>
        <w:tblW w:w="0" w:type="auto"/>
        <w:jc w:val="left"/>
        <w:tblInd w:w="101"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304"/>
        <w:gridCol w:w="1078"/>
        <w:gridCol w:w="566"/>
        <w:gridCol w:w="566"/>
        <w:gridCol w:w="338"/>
        <w:gridCol w:w="566"/>
        <w:gridCol w:w="569"/>
        <w:gridCol w:w="283"/>
        <w:gridCol w:w="454"/>
        <w:gridCol w:w="454"/>
        <w:gridCol w:w="454"/>
        <w:gridCol w:w="456"/>
        <w:gridCol w:w="454"/>
        <w:gridCol w:w="454"/>
        <w:gridCol w:w="454"/>
        <w:gridCol w:w="454"/>
        <w:gridCol w:w="454"/>
        <w:gridCol w:w="456"/>
        <w:gridCol w:w="454"/>
        <w:gridCol w:w="454"/>
        <w:gridCol w:w="454"/>
        <w:gridCol w:w="454"/>
        <w:gridCol w:w="454"/>
        <w:gridCol w:w="457"/>
        <w:gridCol w:w="454"/>
        <w:gridCol w:w="454"/>
        <w:gridCol w:w="454"/>
        <w:gridCol w:w="454"/>
        <w:gridCol w:w="622"/>
      </w:tblGrid>
      <w:tr>
        <w:trPr>
          <w:trHeight w:val="1132" w:hRule="exact"/>
        </w:trPr>
        <w:tc>
          <w:tcPr>
            <w:tcW w:w="1304" w:type="dxa"/>
            <w:tcBorders>
              <w:left w:val="single" w:sz="8" w:space="0" w:color="000000"/>
              <w:right w:val="single" w:sz="8" w:space="0" w:color="000000"/>
            </w:tcBorders>
            <w:shd w:val="clear" w:color="auto" w:fill="F9DECA"/>
          </w:tcPr>
          <w:p>
            <w:pPr>
              <w:pStyle w:val="TableParagraph"/>
              <w:spacing w:before="0"/>
              <w:rPr>
                <w:sz w:val="22"/>
              </w:rPr>
            </w:pPr>
          </w:p>
          <w:p>
            <w:pPr>
              <w:pStyle w:val="TableParagraph"/>
              <w:spacing w:before="155"/>
              <w:ind w:left="201"/>
              <w:rPr>
                <w:b/>
                <w:sz w:val="20"/>
              </w:rPr>
            </w:pPr>
            <w:r>
              <w:rPr>
                <w:b/>
                <w:sz w:val="20"/>
              </w:rPr>
              <w:t>Município</w:t>
            </w:r>
          </w:p>
        </w:tc>
        <w:tc>
          <w:tcPr>
            <w:tcW w:w="1078" w:type="dxa"/>
            <w:tcBorders>
              <w:left w:val="single" w:sz="8" w:space="0" w:color="000000"/>
              <w:right w:val="single" w:sz="8" w:space="0" w:color="000000"/>
            </w:tcBorders>
            <w:shd w:val="clear" w:color="auto" w:fill="F9DECA"/>
            <w:textDirection w:val="btLr"/>
          </w:tcPr>
          <w:p>
            <w:pPr>
              <w:pStyle w:val="TableParagraph"/>
              <w:spacing w:before="4"/>
              <w:rPr>
                <w:sz w:val="22"/>
              </w:rPr>
            </w:pPr>
          </w:p>
          <w:p>
            <w:pPr>
              <w:pStyle w:val="TableParagraph"/>
              <w:spacing w:line="283" w:lineRule="auto" w:before="0"/>
              <w:ind w:left="112" w:right="30"/>
              <w:rPr>
                <w:b/>
                <w:sz w:val="20"/>
              </w:rPr>
            </w:pPr>
            <w:r>
              <w:rPr>
                <w:b/>
                <w:spacing w:val="-1"/>
                <w:w w:val="99"/>
                <w:sz w:val="20"/>
              </w:rPr>
              <w:t>L</w:t>
            </w:r>
            <w:r>
              <w:rPr>
                <w:b/>
                <w:w w:val="99"/>
                <w:sz w:val="20"/>
              </w:rPr>
              <w:t>ei</w:t>
            </w:r>
            <w:r>
              <w:rPr>
                <w:b/>
                <w:sz w:val="20"/>
              </w:rPr>
              <w:t> </w:t>
            </w:r>
            <w:r>
              <w:rPr>
                <w:b/>
                <w:w w:val="99"/>
                <w:sz w:val="20"/>
              </w:rPr>
              <w:t>do </w:t>
            </w:r>
            <w:r>
              <w:rPr>
                <w:b/>
                <w:w w:val="99"/>
                <w:sz w:val="20"/>
              </w:rPr>
              <w:t>P</w:t>
            </w:r>
            <w:r>
              <w:rPr>
                <w:b/>
                <w:spacing w:val="-1"/>
                <w:w w:val="99"/>
                <w:sz w:val="20"/>
              </w:rPr>
              <w:t>M</w:t>
            </w:r>
            <w:r>
              <w:rPr>
                <w:b/>
                <w:w w:val="99"/>
                <w:sz w:val="20"/>
              </w:rPr>
              <w:t>E</w:t>
            </w:r>
          </w:p>
        </w:tc>
        <w:tc>
          <w:tcPr>
            <w:tcW w:w="566" w:type="dxa"/>
            <w:tcBorders>
              <w:left w:val="single" w:sz="8" w:space="0" w:color="000000"/>
              <w:right w:val="single" w:sz="8" w:space="0" w:color="000000"/>
            </w:tcBorders>
            <w:shd w:val="clear" w:color="auto" w:fill="F9DECA"/>
            <w:textDirection w:val="btLr"/>
          </w:tcPr>
          <w:p>
            <w:pPr>
              <w:pStyle w:val="TableParagraph"/>
              <w:spacing w:line="283" w:lineRule="auto" w:before="3"/>
              <w:ind w:left="112" w:right="30"/>
              <w:rPr>
                <w:b/>
                <w:sz w:val="20"/>
              </w:rPr>
            </w:pPr>
            <w:r>
              <w:rPr>
                <w:b/>
                <w:w w:val="99"/>
                <w:sz w:val="20"/>
              </w:rPr>
              <w:t>Nº</w:t>
            </w:r>
            <w:r>
              <w:rPr>
                <w:b/>
                <w:spacing w:val="-1"/>
                <w:sz w:val="20"/>
              </w:rPr>
              <w:t> </w:t>
            </w:r>
            <w:r>
              <w:rPr>
                <w:b/>
                <w:w w:val="99"/>
                <w:sz w:val="20"/>
              </w:rPr>
              <w:t>de Ar</w:t>
            </w:r>
            <w:r>
              <w:rPr>
                <w:b/>
                <w:spacing w:val="1"/>
                <w:w w:val="99"/>
                <w:sz w:val="20"/>
              </w:rPr>
              <w:t>t</w:t>
            </w:r>
            <w:r>
              <w:rPr>
                <w:b/>
                <w:w w:val="99"/>
                <w:sz w:val="20"/>
              </w:rPr>
              <w:t>ig</w:t>
            </w:r>
            <w:r>
              <w:rPr>
                <w:b/>
                <w:spacing w:val="1"/>
                <w:w w:val="99"/>
                <w:sz w:val="20"/>
              </w:rPr>
              <w:t>o</w:t>
            </w:r>
            <w:r>
              <w:rPr>
                <w:b/>
                <w:w w:val="99"/>
                <w:sz w:val="20"/>
              </w:rPr>
              <w:t>s</w:t>
            </w:r>
          </w:p>
        </w:tc>
        <w:tc>
          <w:tcPr>
            <w:tcW w:w="566" w:type="dxa"/>
            <w:tcBorders>
              <w:left w:val="single" w:sz="8" w:space="0" w:color="000000"/>
              <w:right w:val="single" w:sz="8" w:space="0" w:color="000000"/>
            </w:tcBorders>
            <w:shd w:val="clear" w:color="auto" w:fill="F9DECA"/>
            <w:textDirection w:val="btLr"/>
          </w:tcPr>
          <w:p>
            <w:pPr>
              <w:pStyle w:val="TableParagraph"/>
              <w:spacing w:line="283" w:lineRule="auto" w:before="3"/>
              <w:ind w:left="112" w:right="30"/>
              <w:rPr>
                <w:b/>
                <w:sz w:val="20"/>
              </w:rPr>
            </w:pPr>
            <w:r>
              <w:rPr>
                <w:b/>
                <w:w w:val="99"/>
                <w:sz w:val="20"/>
              </w:rPr>
              <w:t>Nº</w:t>
            </w:r>
            <w:r>
              <w:rPr>
                <w:b/>
                <w:spacing w:val="-1"/>
                <w:sz w:val="20"/>
              </w:rPr>
              <w:t> </w:t>
            </w:r>
            <w:r>
              <w:rPr>
                <w:b/>
                <w:w w:val="99"/>
                <w:sz w:val="20"/>
              </w:rPr>
              <w:t>de </w:t>
            </w:r>
            <w:r>
              <w:rPr>
                <w:b/>
                <w:spacing w:val="-1"/>
                <w:w w:val="99"/>
                <w:sz w:val="20"/>
              </w:rPr>
              <w:t>M</w:t>
            </w:r>
            <w:r>
              <w:rPr>
                <w:b/>
                <w:w w:val="99"/>
                <w:sz w:val="20"/>
              </w:rPr>
              <w:t>e</w:t>
            </w:r>
            <w:r>
              <w:rPr>
                <w:b/>
                <w:spacing w:val="1"/>
                <w:w w:val="99"/>
                <w:sz w:val="20"/>
              </w:rPr>
              <w:t>ta</w:t>
            </w:r>
            <w:r>
              <w:rPr>
                <w:b/>
                <w:w w:val="99"/>
                <w:sz w:val="20"/>
              </w:rPr>
              <w:t>s</w:t>
            </w:r>
          </w:p>
        </w:tc>
        <w:tc>
          <w:tcPr>
            <w:tcW w:w="338" w:type="dxa"/>
            <w:tcBorders>
              <w:left w:val="single" w:sz="8" w:space="0" w:color="000000"/>
              <w:right w:val="single" w:sz="8" w:space="0" w:color="000000"/>
            </w:tcBorders>
            <w:shd w:val="clear" w:color="auto" w:fill="F9DECA"/>
            <w:textDirection w:val="btLr"/>
          </w:tcPr>
          <w:p>
            <w:pPr>
              <w:pStyle w:val="TableParagraph"/>
              <w:spacing w:before="24"/>
              <w:ind w:left="-1"/>
              <w:rPr>
                <w:b/>
                <w:sz w:val="20"/>
              </w:rPr>
            </w:pPr>
            <w:r>
              <w:rPr>
                <w:b/>
                <w:w w:val="99"/>
                <w:sz w:val="20"/>
              </w:rPr>
              <w:t>C</w:t>
            </w:r>
            <w:r>
              <w:rPr>
                <w:b/>
                <w:spacing w:val="1"/>
                <w:w w:val="99"/>
                <w:sz w:val="20"/>
              </w:rPr>
              <w:t>o</w:t>
            </w:r>
            <w:r>
              <w:rPr>
                <w:b/>
                <w:w w:val="99"/>
                <w:sz w:val="20"/>
              </w:rPr>
              <w:t>mi</w:t>
            </w:r>
            <w:r>
              <w:rPr>
                <w:b/>
                <w:spacing w:val="-2"/>
                <w:w w:val="99"/>
                <w:sz w:val="20"/>
              </w:rPr>
              <w:t>s</w:t>
            </w:r>
            <w:r>
              <w:rPr>
                <w:b/>
                <w:spacing w:val="-1"/>
                <w:w w:val="99"/>
                <w:sz w:val="20"/>
              </w:rPr>
              <w:t>s</w:t>
            </w:r>
            <w:r>
              <w:rPr>
                <w:b/>
                <w:spacing w:val="1"/>
                <w:w w:val="99"/>
                <w:sz w:val="20"/>
              </w:rPr>
              <w:t>ã</w:t>
            </w:r>
            <w:r>
              <w:rPr>
                <w:b/>
                <w:w w:val="99"/>
                <w:sz w:val="20"/>
              </w:rPr>
              <w:t>o</w:t>
            </w:r>
          </w:p>
        </w:tc>
        <w:tc>
          <w:tcPr>
            <w:tcW w:w="566" w:type="dxa"/>
            <w:tcBorders>
              <w:left w:val="single" w:sz="8" w:space="0" w:color="000000"/>
              <w:right w:val="single" w:sz="8" w:space="0" w:color="000000"/>
            </w:tcBorders>
            <w:shd w:val="clear" w:color="auto" w:fill="F9DECA"/>
            <w:textDirection w:val="btLr"/>
          </w:tcPr>
          <w:p>
            <w:pPr>
              <w:pStyle w:val="TableParagraph"/>
              <w:spacing w:line="283" w:lineRule="auto" w:before="3"/>
              <w:ind w:left="-1" w:right="30"/>
              <w:rPr>
                <w:b/>
                <w:sz w:val="20"/>
              </w:rPr>
            </w:pPr>
            <w:r>
              <w:rPr>
                <w:b/>
                <w:spacing w:val="-1"/>
                <w:w w:val="99"/>
                <w:sz w:val="20"/>
              </w:rPr>
              <w:t>E</w:t>
            </w:r>
            <w:r>
              <w:rPr>
                <w:b/>
                <w:w w:val="99"/>
                <w:sz w:val="20"/>
              </w:rPr>
              <w:t>q</w:t>
            </w:r>
            <w:r>
              <w:rPr>
                <w:b/>
                <w:spacing w:val="-1"/>
                <w:w w:val="99"/>
                <w:sz w:val="20"/>
              </w:rPr>
              <w:t>u</w:t>
            </w:r>
            <w:r>
              <w:rPr>
                <w:b/>
                <w:spacing w:val="2"/>
                <w:w w:val="99"/>
                <w:sz w:val="20"/>
              </w:rPr>
              <w:t>i</w:t>
            </w:r>
            <w:r>
              <w:rPr>
                <w:b/>
                <w:w w:val="99"/>
                <w:sz w:val="20"/>
              </w:rPr>
              <w:t>pe </w:t>
            </w:r>
            <w:r>
              <w:rPr>
                <w:b/>
                <w:spacing w:val="-1"/>
                <w:w w:val="99"/>
                <w:sz w:val="20"/>
              </w:rPr>
              <w:t>T</w:t>
            </w:r>
            <w:r>
              <w:rPr>
                <w:b/>
                <w:w w:val="99"/>
                <w:sz w:val="20"/>
              </w:rPr>
              <w:t>écnica</w:t>
            </w:r>
          </w:p>
        </w:tc>
        <w:tc>
          <w:tcPr>
            <w:tcW w:w="569" w:type="dxa"/>
            <w:tcBorders>
              <w:left w:val="single" w:sz="8" w:space="0" w:color="000000"/>
              <w:right w:val="single" w:sz="8" w:space="0" w:color="000000"/>
            </w:tcBorders>
            <w:shd w:val="clear" w:color="auto" w:fill="F9DECA"/>
            <w:textDirection w:val="btLr"/>
          </w:tcPr>
          <w:p>
            <w:pPr>
              <w:pStyle w:val="TableParagraph"/>
              <w:spacing w:line="283" w:lineRule="auto" w:before="3"/>
              <w:ind w:left="-1"/>
              <w:rPr>
                <w:b/>
                <w:sz w:val="20"/>
              </w:rPr>
            </w:pPr>
            <w:r>
              <w:rPr>
                <w:b/>
                <w:w w:val="99"/>
                <w:sz w:val="20"/>
              </w:rPr>
              <w:t>H</w:t>
            </w:r>
            <w:r>
              <w:rPr>
                <w:b/>
                <w:w w:val="99"/>
                <w:sz w:val="20"/>
              </w:rPr>
              <w:t>i</w:t>
            </w:r>
            <w:r>
              <w:rPr>
                <w:b/>
                <w:spacing w:val="-1"/>
                <w:w w:val="99"/>
                <w:sz w:val="20"/>
              </w:rPr>
              <w:t>s</w:t>
            </w:r>
            <w:r>
              <w:rPr>
                <w:b/>
                <w:w w:val="99"/>
                <w:sz w:val="20"/>
              </w:rPr>
              <w:t>t</w:t>
            </w:r>
            <w:r>
              <w:rPr>
                <w:b/>
                <w:spacing w:val="1"/>
                <w:w w:val="99"/>
                <w:sz w:val="20"/>
              </w:rPr>
              <w:t>ó</w:t>
            </w:r>
            <w:r>
              <w:rPr>
                <w:b/>
                <w:w w:val="99"/>
                <w:sz w:val="20"/>
              </w:rPr>
              <w:t>rico</w:t>
            </w:r>
            <w:r>
              <w:rPr>
                <w:b/>
                <w:spacing w:val="1"/>
                <w:sz w:val="20"/>
              </w:rPr>
              <w:t> </w:t>
            </w:r>
            <w:r>
              <w:rPr>
                <w:b/>
                <w:w w:val="99"/>
                <w:sz w:val="20"/>
              </w:rPr>
              <w:t>do </w:t>
            </w:r>
            <w:r>
              <w:rPr>
                <w:b/>
                <w:spacing w:val="-1"/>
                <w:w w:val="99"/>
                <w:sz w:val="20"/>
              </w:rPr>
              <w:t>M</w:t>
            </w:r>
            <w:r>
              <w:rPr>
                <w:b/>
                <w:w w:val="99"/>
                <w:sz w:val="20"/>
              </w:rPr>
              <w:t>u</w:t>
            </w:r>
            <w:r>
              <w:rPr>
                <w:b/>
                <w:spacing w:val="1"/>
                <w:w w:val="99"/>
                <w:sz w:val="20"/>
              </w:rPr>
              <w:t>n</w:t>
            </w:r>
            <w:r>
              <w:rPr>
                <w:b/>
                <w:w w:val="99"/>
                <w:sz w:val="20"/>
              </w:rPr>
              <w:t>icípio</w:t>
            </w:r>
          </w:p>
        </w:tc>
        <w:tc>
          <w:tcPr>
            <w:tcW w:w="283" w:type="dxa"/>
            <w:tcBorders>
              <w:left w:val="single" w:sz="8" w:space="0" w:color="000000"/>
              <w:right w:val="single" w:sz="8" w:space="0" w:color="000000"/>
            </w:tcBorders>
            <w:shd w:val="clear" w:color="auto" w:fill="F9DECA"/>
            <w:textDirection w:val="btLr"/>
          </w:tcPr>
          <w:p>
            <w:pPr>
              <w:pStyle w:val="TableParagraph"/>
              <w:spacing w:line="226" w:lineRule="exact" w:before="0"/>
              <w:ind w:left="-1"/>
              <w:rPr>
                <w:b/>
                <w:sz w:val="20"/>
              </w:rPr>
            </w:pPr>
            <w:r>
              <w:rPr>
                <w:b/>
                <w:w w:val="99"/>
                <w:sz w:val="20"/>
              </w:rPr>
              <w:t>Di</w:t>
            </w:r>
            <w:r>
              <w:rPr>
                <w:b/>
                <w:spacing w:val="1"/>
                <w:w w:val="99"/>
                <w:sz w:val="20"/>
              </w:rPr>
              <w:t>a</w:t>
            </w:r>
            <w:r>
              <w:rPr>
                <w:b/>
                <w:spacing w:val="1"/>
                <w:w w:val="99"/>
                <w:sz w:val="20"/>
              </w:rPr>
              <w:t>g</w:t>
            </w:r>
            <w:r>
              <w:rPr>
                <w:b/>
                <w:w w:val="99"/>
                <w:sz w:val="20"/>
              </w:rPr>
              <w:t>nó</w:t>
            </w:r>
            <w:r>
              <w:rPr>
                <w:b/>
                <w:spacing w:val="-1"/>
                <w:w w:val="99"/>
                <w:sz w:val="20"/>
              </w:rPr>
              <w:t>s</w:t>
            </w:r>
            <w:r>
              <w:rPr>
                <w:b/>
                <w:w w:val="99"/>
                <w:sz w:val="20"/>
              </w:rPr>
              <w:t>tico</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1</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2</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3</w:t>
            </w:r>
          </w:p>
        </w:tc>
        <w:tc>
          <w:tcPr>
            <w:tcW w:w="456"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4</w:t>
            </w:r>
          </w:p>
        </w:tc>
        <w:tc>
          <w:tcPr>
            <w:tcW w:w="454" w:type="dxa"/>
            <w:tcBorders>
              <w:left w:val="single" w:sz="8" w:space="0" w:color="000000"/>
              <w:right w:val="single" w:sz="8" w:space="0" w:color="000000"/>
            </w:tcBorders>
            <w:shd w:val="clear" w:color="auto" w:fill="F9DECA"/>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5</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6</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7</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8</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9</w:t>
            </w:r>
          </w:p>
        </w:tc>
        <w:tc>
          <w:tcPr>
            <w:tcW w:w="456"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0</w:t>
            </w:r>
          </w:p>
        </w:tc>
        <w:tc>
          <w:tcPr>
            <w:tcW w:w="454" w:type="dxa"/>
            <w:tcBorders>
              <w:left w:val="single" w:sz="8" w:space="0" w:color="000000"/>
              <w:right w:val="single" w:sz="8" w:space="0" w:color="000000"/>
            </w:tcBorders>
            <w:shd w:val="clear" w:color="auto" w:fill="F9DECA"/>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1</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2</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3</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4</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5</w:t>
            </w:r>
          </w:p>
        </w:tc>
        <w:tc>
          <w:tcPr>
            <w:tcW w:w="457"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6</w:t>
            </w:r>
          </w:p>
        </w:tc>
        <w:tc>
          <w:tcPr>
            <w:tcW w:w="454" w:type="dxa"/>
            <w:tcBorders>
              <w:left w:val="single" w:sz="8" w:space="0" w:color="000000"/>
              <w:right w:val="single" w:sz="8" w:space="0" w:color="000000"/>
            </w:tcBorders>
            <w:shd w:val="clear" w:color="auto" w:fill="F9DECA"/>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7</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8</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9</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2</w:t>
            </w:r>
            <w:r>
              <w:rPr>
                <w:b/>
                <w:w w:val="99"/>
                <w:sz w:val="20"/>
              </w:rPr>
              <w:t>0</w:t>
            </w:r>
          </w:p>
        </w:tc>
        <w:tc>
          <w:tcPr>
            <w:tcW w:w="622" w:type="dxa"/>
            <w:tcBorders>
              <w:left w:val="single" w:sz="8" w:space="0" w:color="000000"/>
              <w:right w:val="single" w:sz="8" w:space="0" w:color="000000"/>
            </w:tcBorders>
            <w:shd w:val="clear" w:color="auto" w:fill="F9DECA"/>
            <w:textDirection w:val="btLr"/>
          </w:tcPr>
          <w:p>
            <w:pPr>
              <w:pStyle w:val="TableParagraph"/>
              <w:spacing w:line="283" w:lineRule="auto" w:before="29"/>
              <w:ind w:left="-1" w:right="30"/>
              <w:rPr>
                <w:b/>
                <w:sz w:val="20"/>
              </w:rPr>
            </w:pPr>
            <w:r>
              <w:rPr>
                <w:b/>
                <w:spacing w:val="-1"/>
                <w:w w:val="99"/>
                <w:sz w:val="20"/>
              </w:rPr>
              <w:t>T</w:t>
            </w:r>
            <w:r>
              <w:rPr>
                <w:b/>
                <w:spacing w:val="1"/>
                <w:w w:val="99"/>
                <w:sz w:val="20"/>
              </w:rPr>
              <w:t>o</w:t>
            </w:r>
            <w:r>
              <w:rPr>
                <w:b/>
                <w:w w:val="99"/>
                <w:sz w:val="20"/>
              </w:rPr>
              <w:t>t</w:t>
            </w:r>
            <w:r>
              <w:rPr>
                <w:b/>
                <w:spacing w:val="1"/>
                <w:w w:val="99"/>
                <w:sz w:val="20"/>
              </w:rPr>
              <w:t>a</w:t>
            </w:r>
            <w:r>
              <w:rPr>
                <w:b/>
                <w:w w:val="99"/>
                <w:sz w:val="20"/>
              </w:rPr>
              <w:t>l</w:t>
            </w:r>
            <w:r>
              <w:rPr>
                <w:b/>
                <w:spacing w:val="-1"/>
                <w:sz w:val="20"/>
              </w:rPr>
              <w:t> </w:t>
            </w:r>
            <w:r>
              <w:rPr>
                <w:b/>
                <w:w w:val="99"/>
                <w:sz w:val="20"/>
              </w:rPr>
              <w:t>de </w:t>
            </w:r>
            <w:r>
              <w:rPr>
                <w:b/>
                <w:spacing w:val="-1"/>
                <w:w w:val="99"/>
                <w:sz w:val="20"/>
              </w:rPr>
              <w:t>E</w:t>
            </w:r>
            <w:r>
              <w:rPr>
                <w:b/>
                <w:spacing w:val="-1"/>
                <w:w w:val="99"/>
                <w:sz w:val="20"/>
              </w:rPr>
              <w:t>s</w:t>
            </w:r>
            <w:r>
              <w:rPr>
                <w:b/>
                <w:w w:val="99"/>
                <w:sz w:val="20"/>
              </w:rPr>
              <w:t>tr</w:t>
            </w:r>
            <w:r>
              <w:rPr>
                <w:b/>
                <w:spacing w:val="1"/>
                <w:w w:val="99"/>
                <w:sz w:val="20"/>
              </w:rPr>
              <w:t>a</w:t>
            </w:r>
            <w:r>
              <w:rPr>
                <w:b/>
                <w:w w:val="99"/>
                <w:sz w:val="20"/>
              </w:rPr>
              <w:t>té</w:t>
            </w:r>
            <w:r>
              <w:rPr>
                <w:b/>
                <w:spacing w:val="1"/>
                <w:w w:val="99"/>
                <w:sz w:val="20"/>
              </w:rPr>
              <w:t>g</w:t>
            </w:r>
            <w:r>
              <w:rPr>
                <w:b/>
                <w:w w:val="99"/>
                <w:sz w:val="20"/>
              </w:rPr>
              <w:t>ia</w:t>
            </w:r>
            <w:r>
              <w:rPr>
                <w:b/>
                <w:w w:val="99"/>
                <w:sz w:val="20"/>
              </w:rPr>
              <w:t>s</w:t>
            </w:r>
          </w:p>
        </w:tc>
      </w:tr>
      <w:tr>
        <w:trPr>
          <w:trHeight w:val="828" w:hRule="exact"/>
        </w:trPr>
        <w:tc>
          <w:tcPr>
            <w:tcW w:w="1304" w:type="dxa"/>
            <w:tcBorders>
              <w:left w:val="nil"/>
              <w:bottom w:val="single" w:sz="8" w:space="0" w:color="000000"/>
              <w:right w:val="nil"/>
            </w:tcBorders>
          </w:tcPr>
          <w:p>
            <w:pPr>
              <w:pStyle w:val="TableParagraph"/>
              <w:spacing w:line="276" w:lineRule="auto" w:before="0"/>
              <w:ind w:left="108" w:right="165"/>
              <w:rPr>
                <w:sz w:val="20"/>
              </w:rPr>
            </w:pPr>
            <w:r>
              <w:rPr>
                <w:sz w:val="20"/>
              </w:rPr>
              <w:t>Ponte Alta do Bom Jesus</w:t>
            </w:r>
          </w:p>
        </w:tc>
        <w:tc>
          <w:tcPr>
            <w:tcW w:w="1078" w:type="dxa"/>
            <w:tcBorders>
              <w:left w:val="nil"/>
              <w:bottom w:val="single" w:sz="8" w:space="0" w:color="000000"/>
              <w:right w:val="nil"/>
            </w:tcBorders>
          </w:tcPr>
          <w:p>
            <w:pPr>
              <w:pStyle w:val="TableParagraph"/>
              <w:spacing w:line="276" w:lineRule="auto" w:before="130"/>
              <w:ind w:left="107" w:right="239"/>
              <w:rPr>
                <w:sz w:val="20"/>
              </w:rPr>
            </w:pPr>
            <w:r>
              <w:rPr>
                <w:sz w:val="20"/>
              </w:rPr>
              <w:t>165 de 22/06/15</w:t>
            </w:r>
          </w:p>
        </w:tc>
        <w:tc>
          <w:tcPr>
            <w:tcW w:w="566" w:type="dxa"/>
            <w:tcBorders>
              <w:left w:val="nil"/>
              <w:bottom w:val="single" w:sz="8" w:space="0" w:color="000000"/>
              <w:right w:val="nil"/>
            </w:tcBorders>
          </w:tcPr>
          <w:p>
            <w:pPr>
              <w:pStyle w:val="TableParagraph"/>
              <w:spacing w:before="9"/>
              <w:rPr>
                <w:sz w:val="22"/>
              </w:rPr>
            </w:pPr>
          </w:p>
          <w:p>
            <w:pPr>
              <w:pStyle w:val="TableParagraph"/>
              <w:spacing w:before="0"/>
              <w:ind w:left="107"/>
              <w:rPr>
                <w:sz w:val="20"/>
              </w:rPr>
            </w:pPr>
            <w:r>
              <w:rPr>
                <w:sz w:val="20"/>
              </w:rPr>
              <w:t>12</w:t>
            </w:r>
          </w:p>
        </w:tc>
        <w:tc>
          <w:tcPr>
            <w:tcW w:w="566" w:type="dxa"/>
            <w:tcBorders>
              <w:left w:val="nil"/>
              <w:bottom w:val="single" w:sz="8" w:space="0" w:color="000000"/>
              <w:right w:val="nil"/>
            </w:tcBorders>
          </w:tcPr>
          <w:p>
            <w:pPr>
              <w:pStyle w:val="TableParagraph"/>
              <w:spacing w:before="9"/>
              <w:rPr>
                <w:sz w:val="22"/>
              </w:rPr>
            </w:pPr>
          </w:p>
          <w:p>
            <w:pPr>
              <w:pStyle w:val="TableParagraph"/>
              <w:spacing w:before="0"/>
              <w:ind w:left="108"/>
              <w:rPr>
                <w:sz w:val="20"/>
              </w:rPr>
            </w:pPr>
            <w:r>
              <w:rPr>
                <w:sz w:val="20"/>
              </w:rPr>
              <w:t>20</w:t>
            </w:r>
          </w:p>
        </w:tc>
        <w:tc>
          <w:tcPr>
            <w:tcW w:w="338" w:type="dxa"/>
            <w:tcBorders>
              <w:left w:val="nil"/>
              <w:bottom w:val="single" w:sz="8" w:space="0" w:color="000000"/>
              <w:right w:val="nil"/>
            </w:tcBorders>
          </w:tcPr>
          <w:p>
            <w:pPr>
              <w:pStyle w:val="TableParagraph"/>
              <w:spacing w:before="9"/>
              <w:rPr>
                <w:sz w:val="22"/>
              </w:rPr>
            </w:pPr>
          </w:p>
          <w:p>
            <w:pPr>
              <w:pStyle w:val="TableParagraph"/>
              <w:spacing w:before="0"/>
              <w:ind w:right="54"/>
              <w:jc w:val="center"/>
              <w:rPr>
                <w:sz w:val="20"/>
              </w:rPr>
            </w:pPr>
            <w:r>
              <w:rPr>
                <w:w w:val="99"/>
                <w:sz w:val="20"/>
              </w:rPr>
              <w:t>-</w:t>
            </w:r>
          </w:p>
        </w:tc>
        <w:tc>
          <w:tcPr>
            <w:tcW w:w="566" w:type="dxa"/>
            <w:tcBorders>
              <w:left w:val="nil"/>
              <w:bottom w:val="single" w:sz="8" w:space="0" w:color="000000"/>
              <w:right w:val="nil"/>
            </w:tcBorders>
          </w:tcPr>
          <w:p>
            <w:pPr>
              <w:pStyle w:val="TableParagraph"/>
              <w:spacing w:before="9"/>
              <w:rPr>
                <w:sz w:val="22"/>
              </w:rPr>
            </w:pPr>
          </w:p>
          <w:p>
            <w:pPr>
              <w:pStyle w:val="TableParagraph"/>
              <w:spacing w:before="0"/>
              <w:ind w:left="107"/>
              <w:rPr>
                <w:sz w:val="20"/>
              </w:rPr>
            </w:pPr>
            <w:r>
              <w:rPr>
                <w:w w:val="99"/>
                <w:sz w:val="20"/>
              </w:rPr>
              <w:t>-</w:t>
            </w:r>
          </w:p>
        </w:tc>
        <w:tc>
          <w:tcPr>
            <w:tcW w:w="569" w:type="dxa"/>
            <w:tcBorders>
              <w:left w:val="nil"/>
              <w:bottom w:val="single" w:sz="8" w:space="0" w:color="000000"/>
              <w:right w:val="nil"/>
            </w:tcBorders>
          </w:tcPr>
          <w:p>
            <w:pPr>
              <w:pStyle w:val="TableParagraph"/>
              <w:spacing w:before="9"/>
              <w:rPr>
                <w:sz w:val="22"/>
              </w:rPr>
            </w:pPr>
          </w:p>
          <w:p>
            <w:pPr>
              <w:pStyle w:val="TableParagraph"/>
              <w:spacing w:before="0"/>
              <w:ind w:left="108"/>
              <w:rPr>
                <w:sz w:val="20"/>
              </w:rPr>
            </w:pPr>
            <w:r>
              <w:rPr>
                <w:w w:val="99"/>
                <w:sz w:val="20"/>
              </w:rPr>
              <w:t>-</w:t>
            </w:r>
          </w:p>
        </w:tc>
        <w:tc>
          <w:tcPr>
            <w:tcW w:w="283" w:type="dxa"/>
            <w:tcBorders>
              <w:left w:val="nil"/>
              <w:bottom w:val="single" w:sz="8" w:space="0" w:color="000000"/>
              <w:right w:val="nil"/>
            </w:tcBorders>
          </w:tcPr>
          <w:p>
            <w:pPr>
              <w:pStyle w:val="TableParagraph"/>
              <w:spacing w:before="9"/>
              <w:rPr>
                <w:sz w:val="22"/>
              </w:rPr>
            </w:pPr>
          </w:p>
          <w:p>
            <w:pPr>
              <w:pStyle w:val="TableParagraph"/>
              <w:spacing w:before="0"/>
              <w:ind w:left="105"/>
              <w:rPr>
                <w:sz w:val="20"/>
              </w:rPr>
            </w:pPr>
            <w:r>
              <w:rPr>
                <w:w w:val="99"/>
                <w:sz w:val="20"/>
              </w:rPr>
              <w:t>-</w:t>
            </w:r>
          </w:p>
        </w:tc>
        <w:tc>
          <w:tcPr>
            <w:tcW w:w="454" w:type="dxa"/>
            <w:tcBorders>
              <w:left w:val="nil"/>
              <w:bottom w:val="single" w:sz="8" w:space="0" w:color="000000"/>
              <w:right w:val="nil"/>
            </w:tcBorders>
          </w:tcPr>
          <w:p>
            <w:pPr>
              <w:pStyle w:val="TableParagraph"/>
              <w:spacing w:before="9"/>
              <w:rPr>
                <w:sz w:val="22"/>
              </w:rPr>
            </w:pPr>
          </w:p>
          <w:p>
            <w:pPr>
              <w:pStyle w:val="TableParagraph"/>
              <w:spacing w:before="0"/>
              <w:ind w:left="71" w:right="106"/>
              <w:jc w:val="center"/>
              <w:rPr>
                <w:sz w:val="20"/>
              </w:rPr>
            </w:pPr>
            <w:r>
              <w:rPr>
                <w:sz w:val="20"/>
              </w:rPr>
              <w:t>17</w:t>
            </w:r>
          </w:p>
        </w:tc>
        <w:tc>
          <w:tcPr>
            <w:tcW w:w="454" w:type="dxa"/>
            <w:tcBorders>
              <w:left w:val="nil"/>
              <w:bottom w:val="single" w:sz="8" w:space="0" w:color="000000"/>
              <w:right w:val="nil"/>
            </w:tcBorders>
          </w:tcPr>
          <w:p>
            <w:pPr>
              <w:pStyle w:val="TableParagraph"/>
              <w:spacing w:before="9"/>
              <w:rPr>
                <w:sz w:val="22"/>
              </w:rPr>
            </w:pPr>
          </w:p>
          <w:p>
            <w:pPr>
              <w:pStyle w:val="TableParagraph"/>
              <w:spacing w:before="0"/>
              <w:ind w:left="108"/>
              <w:rPr>
                <w:sz w:val="20"/>
              </w:rPr>
            </w:pPr>
            <w:r>
              <w:rPr>
                <w:sz w:val="20"/>
              </w:rPr>
              <w:t>13</w:t>
            </w:r>
          </w:p>
        </w:tc>
        <w:tc>
          <w:tcPr>
            <w:tcW w:w="454" w:type="dxa"/>
            <w:tcBorders>
              <w:left w:val="nil"/>
              <w:bottom w:val="single" w:sz="8" w:space="0" w:color="000000"/>
              <w:right w:val="nil"/>
            </w:tcBorders>
          </w:tcPr>
          <w:p>
            <w:pPr>
              <w:pStyle w:val="TableParagraph"/>
              <w:spacing w:before="9"/>
              <w:rPr>
                <w:sz w:val="22"/>
              </w:rPr>
            </w:pPr>
          </w:p>
          <w:p>
            <w:pPr>
              <w:pStyle w:val="TableParagraph"/>
              <w:spacing w:before="0"/>
              <w:ind w:left="107"/>
              <w:rPr>
                <w:sz w:val="20"/>
              </w:rPr>
            </w:pPr>
            <w:r>
              <w:rPr>
                <w:sz w:val="20"/>
              </w:rPr>
              <w:t>14</w:t>
            </w:r>
          </w:p>
        </w:tc>
        <w:tc>
          <w:tcPr>
            <w:tcW w:w="456" w:type="dxa"/>
            <w:tcBorders>
              <w:left w:val="nil"/>
              <w:bottom w:val="single" w:sz="8" w:space="0" w:color="000000"/>
              <w:right w:val="nil"/>
            </w:tcBorders>
          </w:tcPr>
          <w:p>
            <w:pPr>
              <w:pStyle w:val="TableParagraph"/>
              <w:spacing w:before="9"/>
              <w:rPr>
                <w:sz w:val="22"/>
              </w:rPr>
            </w:pPr>
          </w:p>
          <w:p>
            <w:pPr>
              <w:pStyle w:val="TableParagraph"/>
              <w:spacing w:before="0"/>
              <w:ind w:left="90" w:right="126"/>
              <w:jc w:val="center"/>
              <w:rPr>
                <w:sz w:val="20"/>
              </w:rPr>
            </w:pPr>
            <w:r>
              <w:rPr>
                <w:sz w:val="20"/>
              </w:rPr>
              <w:t>15</w:t>
            </w:r>
          </w:p>
        </w:tc>
        <w:tc>
          <w:tcPr>
            <w:tcW w:w="454" w:type="dxa"/>
            <w:tcBorders>
              <w:left w:val="nil"/>
              <w:bottom w:val="single" w:sz="8" w:space="0" w:color="000000"/>
              <w:right w:val="nil"/>
            </w:tcBorders>
          </w:tcPr>
          <w:p>
            <w:pPr>
              <w:pStyle w:val="TableParagraph"/>
              <w:spacing w:before="9"/>
              <w:rPr>
                <w:sz w:val="22"/>
              </w:rPr>
            </w:pPr>
          </w:p>
          <w:p>
            <w:pPr>
              <w:pStyle w:val="TableParagraph"/>
              <w:spacing w:before="0"/>
              <w:ind w:left="105"/>
              <w:rPr>
                <w:sz w:val="20"/>
              </w:rPr>
            </w:pPr>
            <w:r>
              <w:rPr>
                <w:w w:val="99"/>
                <w:sz w:val="20"/>
              </w:rPr>
              <w:t>5</w:t>
            </w:r>
          </w:p>
        </w:tc>
        <w:tc>
          <w:tcPr>
            <w:tcW w:w="454" w:type="dxa"/>
            <w:tcBorders>
              <w:left w:val="nil"/>
              <w:bottom w:val="single" w:sz="8" w:space="0" w:color="000000"/>
              <w:right w:val="nil"/>
            </w:tcBorders>
          </w:tcPr>
          <w:p>
            <w:pPr>
              <w:pStyle w:val="TableParagraph"/>
              <w:spacing w:before="9"/>
              <w:rPr>
                <w:sz w:val="22"/>
              </w:rPr>
            </w:pPr>
          </w:p>
          <w:p>
            <w:pPr>
              <w:pStyle w:val="TableParagraph"/>
              <w:spacing w:before="0"/>
              <w:ind w:right="136"/>
              <w:jc w:val="center"/>
              <w:rPr>
                <w:sz w:val="20"/>
              </w:rPr>
            </w:pPr>
            <w:r>
              <w:rPr>
                <w:w w:val="99"/>
                <w:sz w:val="20"/>
              </w:rPr>
              <w:t>9</w:t>
            </w:r>
          </w:p>
        </w:tc>
        <w:tc>
          <w:tcPr>
            <w:tcW w:w="454" w:type="dxa"/>
            <w:tcBorders>
              <w:left w:val="nil"/>
              <w:bottom w:val="single" w:sz="8" w:space="0" w:color="000000"/>
              <w:right w:val="nil"/>
            </w:tcBorders>
          </w:tcPr>
          <w:p>
            <w:pPr>
              <w:pStyle w:val="TableParagraph"/>
              <w:spacing w:before="9"/>
              <w:rPr>
                <w:sz w:val="22"/>
              </w:rPr>
            </w:pPr>
          </w:p>
          <w:p>
            <w:pPr>
              <w:pStyle w:val="TableParagraph"/>
              <w:spacing w:before="0"/>
              <w:ind w:left="72" w:right="106"/>
              <w:jc w:val="center"/>
              <w:rPr>
                <w:sz w:val="20"/>
              </w:rPr>
            </w:pPr>
            <w:r>
              <w:rPr>
                <w:sz w:val="20"/>
              </w:rPr>
              <w:t>30</w:t>
            </w:r>
          </w:p>
        </w:tc>
        <w:tc>
          <w:tcPr>
            <w:tcW w:w="454" w:type="dxa"/>
            <w:tcBorders>
              <w:left w:val="nil"/>
              <w:bottom w:val="single" w:sz="8" w:space="0" w:color="000000"/>
              <w:right w:val="nil"/>
            </w:tcBorders>
          </w:tcPr>
          <w:p>
            <w:pPr>
              <w:pStyle w:val="TableParagraph"/>
              <w:spacing w:before="9"/>
              <w:rPr>
                <w:sz w:val="22"/>
              </w:rPr>
            </w:pPr>
          </w:p>
          <w:p>
            <w:pPr>
              <w:pStyle w:val="TableParagraph"/>
              <w:spacing w:before="0"/>
              <w:ind w:left="108"/>
              <w:rPr>
                <w:sz w:val="20"/>
              </w:rPr>
            </w:pPr>
            <w:r>
              <w:rPr>
                <w:w w:val="99"/>
                <w:sz w:val="20"/>
              </w:rPr>
              <w:t>8</w:t>
            </w:r>
          </w:p>
        </w:tc>
        <w:tc>
          <w:tcPr>
            <w:tcW w:w="454" w:type="dxa"/>
            <w:tcBorders>
              <w:left w:val="nil"/>
              <w:bottom w:val="single" w:sz="8" w:space="0" w:color="000000"/>
              <w:right w:val="nil"/>
            </w:tcBorders>
          </w:tcPr>
          <w:p>
            <w:pPr>
              <w:pStyle w:val="TableParagraph"/>
              <w:spacing w:before="9"/>
              <w:rPr>
                <w:sz w:val="22"/>
              </w:rPr>
            </w:pPr>
          </w:p>
          <w:p>
            <w:pPr>
              <w:pStyle w:val="TableParagraph"/>
              <w:spacing w:before="0"/>
              <w:ind w:left="72" w:right="106"/>
              <w:jc w:val="center"/>
              <w:rPr>
                <w:sz w:val="20"/>
              </w:rPr>
            </w:pPr>
            <w:r>
              <w:rPr>
                <w:sz w:val="20"/>
              </w:rPr>
              <w:t>10</w:t>
            </w:r>
          </w:p>
        </w:tc>
        <w:tc>
          <w:tcPr>
            <w:tcW w:w="456" w:type="dxa"/>
            <w:tcBorders>
              <w:left w:val="nil"/>
              <w:bottom w:val="single" w:sz="8" w:space="0" w:color="000000"/>
              <w:right w:val="nil"/>
            </w:tcBorders>
          </w:tcPr>
          <w:p>
            <w:pPr>
              <w:pStyle w:val="TableParagraph"/>
              <w:spacing w:before="9"/>
              <w:rPr>
                <w:sz w:val="22"/>
              </w:rPr>
            </w:pPr>
          </w:p>
          <w:p>
            <w:pPr>
              <w:pStyle w:val="TableParagraph"/>
              <w:spacing w:before="0"/>
              <w:ind w:left="90" w:right="126"/>
              <w:jc w:val="center"/>
              <w:rPr>
                <w:sz w:val="20"/>
              </w:rPr>
            </w:pPr>
            <w:r>
              <w:rPr>
                <w:sz w:val="20"/>
              </w:rPr>
              <w:t>11</w:t>
            </w:r>
          </w:p>
        </w:tc>
        <w:tc>
          <w:tcPr>
            <w:tcW w:w="454" w:type="dxa"/>
            <w:tcBorders>
              <w:left w:val="nil"/>
              <w:bottom w:val="single" w:sz="8" w:space="0" w:color="000000"/>
              <w:right w:val="nil"/>
            </w:tcBorders>
          </w:tcPr>
          <w:p>
            <w:pPr>
              <w:pStyle w:val="TableParagraph"/>
              <w:spacing w:before="9"/>
              <w:rPr>
                <w:sz w:val="22"/>
              </w:rPr>
            </w:pPr>
          </w:p>
          <w:p>
            <w:pPr>
              <w:pStyle w:val="TableParagraph"/>
              <w:spacing w:before="0"/>
              <w:ind w:left="105"/>
              <w:rPr>
                <w:sz w:val="20"/>
              </w:rPr>
            </w:pPr>
            <w:r>
              <w:rPr>
                <w:sz w:val="20"/>
              </w:rPr>
              <w:t>14</w:t>
            </w:r>
          </w:p>
        </w:tc>
        <w:tc>
          <w:tcPr>
            <w:tcW w:w="454" w:type="dxa"/>
            <w:tcBorders>
              <w:left w:val="nil"/>
              <w:bottom w:val="single" w:sz="8" w:space="0" w:color="000000"/>
              <w:right w:val="nil"/>
            </w:tcBorders>
          </w:tcPr>
          <w:p>
            <w:pPr>
              <w:pStyle w:val="TableParagraph"/>
              <w:spacing w:before="9"/>
              <w:rPr>
                <w:sz w:val="22"/>
              </w:rPr>
            </w:pPr>
          </w:p>
          <w:p>
            <w:pPr>
              <w:pStyle w:val="TableParagraph"/>
              <w:spacing w:before="0"/>
              <w:ind w:right="137"/>
              <w:jc w:val="center"/>
              <w:rPr>
                <w:sz w:val="20"/>
              </w:rPr>
            </w:pPr>
            <w:r>
              <w:rPr>
                <w:w w:val="99"/>
                <w:sz w:val="20"/>
              </w:rPr>
              <w:t>9</w:t>
            </w:r>
          </w:p>
        </w:tc>
        <w:tc>
          <w:tcPr>
            <w:tcW w:w="454" w:type="dxa"/>
            <w:tcBorders>
              <w:left w:val="nil"/>
              <w:bottom w:val="single" w:sz="8" w:space="0" w:color="000000"/>
              <w:right w:val="nil"/>
            </w:tcBorders>
          </w:tcPr>
          <w:p>
            <w:pPr>
              <w:pStyle w:val="TableParagraph"/>
              <w:spacing w:before="9"/>
              <w:rPr>
                <w:sz w:val="22"/>
              </w:rPr>
            </w:pPr>
          </w:p>
          <w:p>
            <w:pPr>
              <w:pStyle w:val="TableParagraph"/>
              <w:spacing w:before="0"/>
              <w:ind w:left="108"/>
              <w:rPr>
                <w:sz w:val="20"/>
              </w:rPr>
            </w:pPr>
            <w:r>
              <w:rPr>
                <w:w w:val="99"/>
                <w:sz w:val="20"/>
              </w:rPr>
              <w:t>4</w:t>
            </w:r>
          </w:p>
        </w:tc>
        <w:tc>
          <w:tcPr>
            <w:tcW w:w="454" w:type="dxa"/>
            <w:tcBorders>
              <w:left w:val="nil"/>
              <w:bottom w:val="single" w:sz="8" w:space="0" w:color="000000"/>
              <w:right w:val="nil"/>
            </w:tcBorders>
          </w:tcPr>
          <w:p>
            <w:pPr>
              <w:pStyle w:val="TableParagraph"/>
              <w:spacing w:before="9"/>
              <w:rPr>
                <w:sz w:val="22"/>
              </w:rPr>
            </w:pPr>
          </w:p>
          <w:p>
            <w:pPr>
              <w:pStyle w:val="TableParagraph"/>
              <w:spacing w:before="0"/>
              <w:ind w:left="108"/>
              <w:rPr>
                <w:sz w:val="20"/>
              </w:rPr>
            </w:pPr>
            <w:r>
              <w:rPr>
                <w:w w:val="99"/>
                <w:sz w:val="20"/>
              </w:rPr>
              <w:t>7</w:t>
            </w:r>
          </w:p>
        </w:tc>
        <w:tc>
          <w:tcPr>
            <w:tcW w:w="454" w:type="dxa"/>
            <w:tcBorders>
              <w:left w:val="nil"/>
              <w:bottom w:val="single" w:sz="8" w:space="0" w:color="000000"/>
              <w:right w:val="nil"/>
            </w:tcBorders>
          </w:tcPr>
          <w:p>
            <w:pPr>
              <w:pStyle w:val="TableParagraph"/>
              <w:spacing w:before="9"/>
              <w:rPr>
                <w:sz w:val="22"/>
              </w:rPr>
            </w:pPr>
          </w:p>
          <w:p>
            <w:pPr>
              <w:pStyle w:val="TableParagraph"/>
              <w:spacing w:before="0"/>
              <w:ind w:right="136"/>
              <w:jc w:val="center"/>
              <w:rPr>
                <w:sz w:val="20"/>
              </w:rPr>
            </w:pPr>
            <w:r>
              <w:rPr>
                <w:w w:val="99"/>
                <w:sz w:val="20"/>
              </w:rPr>
              <w:t>8</w:t>
            </w:r>
          </w:p>
        </w:tc>
        <w:tc>
          <w:tcPr>
            <w:tcW w:w="457" w:type="dxa"/>
            <w:tcBorders>
              <w:left w:val="nil"/>
              <w:bottom w:val="single" w:sz="8" w:space="0" w:color="000000"/>
              <w:right w:val="nil"/>
            </w:tcBorders>
          </w:tcPr>
          <w:p>
            <w:pPr>
              <w:pStyle w:val="TableParagraph"/>
              <w:spacing w:before="9"/>
              <w:rPr>
                <w:sz w:val="22"/>
              </w:rPr>
            </w:pPr>
          </w:p>
          <w:p>
            <w:pPr>
              <w:pStyle w:val="TableParagraph"/>
              <w:spacing w:before="0"/>
              <w:ind w:left="107"/>
              <w:rPr>
                <w:sz w:val="20"/>
              </w:rPr>
            </w:pPr>
            <w:r>
              <w:rPr>
                <w:w w:val="99"/>
                <w:sz w:val="20"/>
              </w:rPr>
              <w:t>6</w:t>
            </w:r>
          </w:p>
        </w:tc>
        <w:tc>
          <w:tcPr>
            <w:tcW w:w="454" w:type="dxa"/>
            <w:tcBorders>
              <w:left w:val="nil"/>
              <w:bottom w:val="single" w:sz="8" w:space="0" w:color="000000"/>
              <w:right w:val="nil"/>
            </w:tcBorders>
          </w:tcPr>
          <w:p>
            <w:pPr>
              <w:pStyle w:val="TableParagraph"/>
              <w:spacing w:before="9"/>
              <w:rPr>
                <w:sz w:val="22"/>
              </w:rPr>
            </w:pPr>
          </w:p>
          <w:p>
            <w:pPr>
              <w:pStyle w:val="TableParagraph"/>
              <w:spacing w:before="0"/>
              <w:ind w:left="105"/>
              <w:rPr>
                <w:sz w:val="20"/>
              </w:rPr>
            </w:pPr>
            <w:r>
              <w:rPr>
                <w:w w:val="99"/>
                <w:sz w:val="20"/>
              </w:rPr>
              <w:t>4</w:t>
            </w:r>
          </w:p>
        </w:tc>
        <w:tc>
          <w:tcPr>
            <w:tcW w:w="454" w:type="dxa"/>
            <w:tcBorders>
              <w:left w:val="nil"/>
              <w:bottom w:val="single" w:sz="8" w:space="0" w:color="000000"/>
              <w:right w:val="nil"/>
            </w:tcBorders>
          </w:tcPr>
          <w:p>
            <w:pPr>
              <w:pStyle w:val="TableParagraph"/>
              <w:spacing w:before="9"/>
              <w:rPr>
                <w:sz w:val="22"/>
              </w:rPr>
            </w:pPr>
          </w:p>
          <w:p>
            <w:pPr>
              <w:pStyle w:val="TableParagraph"/>
              <w:spacing w:before="0"/>
              <w:ind w:left="108"/>
              <w:rPr>
                <w:sz w:val="20"/>
              </w:rPr>
            </w:pPr>
            <w:r>
              <w:rPr>
                <w:w w:val="99"/>
                <w:sz w:val="20"/>
              </w:rPr>
              <w:t>7</w:t>
            </w:r>
          </w:p>
        </w:tc>
        <w:tc>
          <w:tcPr>
            <w:tcW w:w="454" w:type="dxa"/>
            <w:tcBorders>
              <w:left w:val="nil"/>
              <w:bottom w:val="single" w:sz="8" w:space="0" w:color="000000"/>
              <w:right w:val="nil"/>
            </w:tcBorders>
          </w:tcPr>
          <w:p>
            <w:pPr>
              <w:pStyle w:val="TableParagraph"/>
              <w:spacing w:before="9"/>
              <w:rPr>
                <w:sz w:val="22"/>
              </w:rPr>
            </w:pPr>
          </w:p>
          <w:p>
            <w:pPr>
              <w:pStyle w:val="TableParagraph"/>
              <w:spacing w:before="0"/>
              <w:ind w:left="108"/>
              <w:rPr>
                <w:sz w:val="20"/>
              </w:rPr>
            </w:pPr>
            <w:r>
              <w:rPr>
                <w:w w:val="99"/>
                <w:sz w:val="20"/>
              </w:rPr>
              <w:t>7</w:t>
            </w:r>
          </w:p>
        </w:tc>
        <w:tc>
          <w:tcPr>
            <w:tcW w:w="454" w:type="dxa"/>
            <w:tcBorders>
              <w:left w:val="nil"/>
              <w:bottom w:val="single" w:sz="8" w:space="0" w:color="000000"/>
              <w:right w:val="nil"/>
            </w:tcBorders>
          </w:tcPr>
          <w:p>
            <w:pPr>
              <w:pStyle w:val="TableParagraph"/>
              <w:spacing w:before="9"/>
              <w:rPr>
                <w:sz w:val="22"/>
              </w:rPr>
            </w:pPr>
          </w:p>
          <w:p>
            <w:pPr>
              <w:pStyle w:val="TableParagraph"/>
              <w:spacing w:before="0"/>
              <w:ind w:left="107"/>
              <w:rPr>
                <w:sz w:val="20"/>
              </w:rPr>
            </w:pPr>
            <w:r>
              <w:rPr>
                <w:sz w:val="20"/>
              </w:rPr>
              <w:t>12</w:t>
            </w:r>
          </w:p>
        </w:tc>
        <w:tc>
          <w:tcPr>
            <w:tcW w:w="622" w:type="dxa"/>
            <w:tcBorders>
              <w:left w:val="nil"/>
              <w:bottom w:val="single" w:sz="8" w:space="0" w:color="000000"/>
              <w:right w:val="nil"/>
            </w:tcBorders>
          </w:tcPr>
          <w:p>
            <w:pPr>
              <w:pStyle w:val="TableParagraph"/>
              <w:spacing w:before="9"/>
              <w:rPr>
                <w:sz w:val="22"/>
              </w:rPr>
            </w:pPr>
          </w:p>
          <w:p>
            <w:pPr>
              <w:pStyle w:val="TableParagraph"/>
              <w:spacing w:before="0"/>
              <w:ind w:left="107"/>
              <w:rPr>
                <w:sz w:val="20"/>
              </w:rPr>
            </w:pPr>
            <w:r>
              <w:rPr>
                <w:sz w:val="20"/>
              </w:rPr>
              <w:t>210</w:t>
            </w:r>
          </w:p>
        </w:tc>
      </w:tr>
      <w:tr>
        <w:trPr>
          <w:trHeight w:val="548" w:hRule="exact"/>
        </w:trPr>
        <w:tc>
          <w:tcPr>
            <w:tcW w:w="1304"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138"/>
              <w:rPr>
                <w:sz w:val="20"/>
              </w:rPr>
            </w:pPr>
            <w:r>
              <w:rPr>
                <w:sz w:val="20"/>
              </w:rPr>
              <w:t>Porto Alegre do Tocantins</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15 de 06/11/14</w:t>
            </w:r>
          </w:p>
        </w:tc>
        <w:tc>
          <w:tcPr>
            <w:tcW w:w="566" w:type="dxa"/>
            <w:tcBorders>
              <w:top w:val="single" w:sz="8" w:space="0" w:color="000000"/>
              <w:left w:val="nil"/>
              <w:bottom w:val="single" w:sz="8" w:space="0" w:color="000000"/>
              <w:right w:val="nil"/>
            </w:tcBorders>
            <w:shd w:val="clear" w:color="auto" w:fill="F9DECA"/>
          </w:tcPr>
          <w:p>
            <w:pPr>
              <w:pStyle w:val="TableParagraph"/>
              <w:spacing w:before="128"/>
              <w:ind w:left="107"/>
              <w:rPr>
                <w:sz w:val="20"/>
              </w:rPr>
            </w:pPr>
            <w:r>
              <w:rPr>
                <w:w w:val="99"/>
                <w:sz w:val="20"/>
              </w:rPr>
              <w:t>2</w:t>
            </w:r>
          </w:p>
        </w:tc>
        <w:tc>
          <w:tcPr>
            <w:tcW w:w="566" w:type="dxa"/>
            <w:tcBorders>
              <w:top w:val="single" w:sz="8" w:space="0" w:color="000000"/>
              <w:left w:val="nil"/>
              <w:bottom w:val="single" w:sz="8" w:space="0" w:color="000000"/>
              <w:right w:val="nil"/>
            </w:tcBorders>
            <w:shd w:val="clear" w:color="auto" w:fill="F9DECA"/>
          </w:tcPr>
          <w:p>
            <w:pPr>
              <w:pStyle w:val="TableParagraph"/>
              <w:spacing w:before="128"/>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28"/>
              <w:ind w:left="21"/>
              <w:jc w:val="center"/>
              <w:rPr>
                <w:sz w:val="20"/>
              </w:rPr>
            </w:pPr>
            <w:r>
              <w:rPr>
                <w:w w:val="99"/>
                <w:sz w:val="20"/>
              </w:rPr>
              <w:t>X</w:t>
            </w:r>
          </w:p>
        </w:tc>
        <w:tc>
          <w:tcPr>
            <w:tcW w:w="566" w:type="dxa"/>
            <w:tcBorders>
              <w:top w:val="single" w:sz="8" w:space="0" w:color="000000"/>
              <w:left w:val="nil"/>
              <w:bottom w:val="single" w:sz="8" w:space="0" w:color="000000"/>
              <w:right w:val="nil"/>
            </w:tcBorders>
            <w:shd w:val="clear" w:color="auto" w:fill="F9DECA"/>
          </w:tcPr>
          <w:p>
            <w:pPr>
              <w:pStyle w:val="TableParagraph"/>
              <w:spacing w:before="128"/>
              <w:ind w:left="108"/>
              <w:rPr>
                <w:sz w:val="20"/>
              </w:rPr>
            </w:pPr>
            <w:r>
              <w:rPr>
                <w:w w:val="99"/>
                <w:sz w:val="20"/>
              </w:rPr>
              <w:t>X</w:t>
            </w:r>
          </w:p>
        </w:tc>
        <w:tc>
          <w:tcPr>
            <w:tcW w:w="569" w:type="dxa"/>
            <w:tcBorders>
              <w:top w:val="single" w:sz="8" w:space="0" w:color="000000"/>
              <w:left w:val="nil"/>
              <w:bottom w:val="single" w:sz="8" w:space="0" w:color="000000"/>
              <w:right w:val="nil"/>
            </w:tcBorders>
            <w:shd w:val="clear" w:color="auto" w:fill="F9DECA"/>
          </w:tcPr>
          <w:p>
            <w:pPr>
              <w:pStyle w:val="TableParagraph"/>
              <w:spacing w:before="128"/>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28"/>
              <w:ind w:left="108"/>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71" w:right="106"/>
              <w:jc w:val="center"/>
              <w:rPr>
                <w:sz w:val="20"/>
              </w:rPr>
            </w:pPr>
            <w:r>
              <w:rPr>
                <w:sz w:val="20"/>
              </w:rPr>
              <w:t>16</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8"/>
              <w:rPr>
                <w:sz w:val="20"/>
              </w:rPr>
            </w:pPr>
            <w:r>
              <w:rPr>
                <w:sz w:val="20"/>
              </w:rPr>
              <w:t>13</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7"/>
              <w:rPr>
                <w:sz w:val="20"/>
              </w:rPr>
            </w:pPr>
            <w:r>
              <w:rPr>
                <w:sz w:val="20"/>
              </w:rPr>
              <w:t>14</w:t>
            </w:r>
          </w:p>
        </w:tc>
        <w:tc>
          <w:tcPr>
            <w:tcW w:w="456" w:type="dxa"/>
            <w:tcBorders>
              <w:top w:val="single" w:sz="8" w:space="0" w:color="000000"/>
              <w:left w:val="nil"/>
              <w:bottom w:val="single" w:sz="8" w:space="0" w:color="000000"/>
              <w:right w:val="nil"/>
            </w:tcBorders>
            <w:shd w:val="clear" w:color="auto" w:fill="F9DECA"/>
          </w:tcPr>
          <w:p>
            <w:pPr>
              <w:pStyle w:val="TableParagraph"/>
              <w:spacing w:before="128"/>
              <w:ind w:left="90" w:right="126"/>
              <w:jc w:val="center"/>
              <w:rPr>
                <w:sz w:val="20"/>
              </w:rPr>
            </w:pPr>
            <w:r>
              <w:rPr>
                <w:sz w:val="20"/>
              </w:rPr>
              <w:t>17</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5"/>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right="136"/>
              <w:jc w:val="center"/>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72" w:right="106"/>
              <w:jc w:val="center"/>
              <w:rPr>
                <w:sz w:val="20"/>
              </w:rPr>
            </w:pPr>
            <w:r>
              <w:rPr>
                <w:sz w:val="20"/>
              </w:rPr>
              <w:t>27</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8"/>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right="136"/>
              <w:jc w:val="center"/>
              <w:rPr>
                <w:sz w:val="20"/>
              </w:rPr>
            </w:pPr>
            <w:r>
              <w:rPr>
                <w:w w:val="99"/>
                <w:sz w:val="20"/>
              </w:rPr>
              <w:t>8</w:t>
            </w:r>
          </w:p>
        </w:tc>
        <w:tc>
          <w:tcPr>
            <w:tcW w:w="456" w:type="dxa"/>
            <w:tcBorders>
              <w:top w:val="single" w:sz="8" w:space="0" w:color="000000"/>
              <w:left w:val="nil"/>
              <w:bottom w:val="single" w:sz="8" w:space="0" w:color="000000"/>
              <w:right w:val="nil"/>
            </w:tcBorders>
            <w:shd w:val="clear" w:color="auto" w:fill="F9DECA"/>
          </w:tcPr>
          <w:p>
            <w:pPr>
              <w:pStyle w:val="TableParagraph"/>
              <w:spacing w:before="128"/>
              <w:ind w:right="138"/>
              <w:jc w:val="center"/>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5"/>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71" w:right="106"/>
              <w:jc w:val="center"/>
              <w:rPr>
                <w:sz w:val="20"/>
              </w:rPr>
            </w:pPr>
            <w:r>
              <w:rPr>
                <w:sz w:val="20"/>
              </w:rPr>
              <w:t>14</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8"/>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8"/>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72" w:right="106"/>
              <w:jc w:val="center"/>
              <w:rPr>
                <w:sz w:val="20"/>
              </w:rPr>
            </w:pPr>
            <w:r>
              <w:rPr>
                <w:sz w:val="20"/>
              </w:rPr>
              <w:t>12</w:t>
            </w:r>
          </w:p>
        </w:tc>
        <w:tc>
          <w:tcPr>
            <w:tcW w:w="457" w:type="dxa"/>
            <w:tcBorders>
              <w:top w:val="single" w:sz="8" w:space="0" w:color="000000"/>
              <w:left w:val="nil"/>
              <w:bottom w:val="single" w:sz="8" w:space="0" w:color="000000"/>
              <w:right w:val="nil"/>
            </w:tcBorders>
            <w:shd w:val="clear" w:color="auto" w:fill="F9DECA"/>
          </w:tcPr>
          <w:p>
            <w:pPr>
              <w:pStyle w:val="TableParagraph"/>
              <w:spacing w:before="128"/>
              <w:ind w:left="107"/>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5"/>
              <w:rPr>
                <w:sz w:val="20"/>
              </w:rPr>
            </w:pPr>
            <w:r>
              <w:rPr>
                <w:w w:val="99"/>
                <w:sz w:val="20"/>
              </w:rPr>
              <w:t>2</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8"/>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28"/>
              <w:ind w:left="107"/>
              <w:rPr>
                <w:sz w:val="20"/>
              </w:rPr>
            </w:pPr>
            <w:r>
              <w:rPr>
                <w:w w:val="99"/>
                <w:sz w:val="20"/>
              </w:rPr>
              <w:t>4</w:t>
            </w:r>
          </w:p>
        </w:tc>
        <w:tc>
          <w:tcPr>
            <w:tcW w:w="622" w:type="dxa"/>
            <w:tcBorders>
              <w:top w:val="single" w:sz="8" w:space="0" w:color="000000"/>
              <w:left w:val="nil"/>
              <w:bottom w:val="single" w:sz="8" w:space="0" w:color="000000"/>
              <w:right w:val="nil"/>
            </w:tcBorders>
            <w:shd w:val="clear" w:color="auto" w:fill="F9DECA"/>
          </w:tcPr>
          <w:p>
            <w:pPr>
              <w:pStyle w:val="TableParagraph"/>
              <w:spacing w:before="128"/>
              <w:ind w:left="107"/>
              <w:rPr>
                <w:sz w:val="20"/>
              </w:rPr>
            </w:pPr>
            <w:r>
              <w:rPr>
                <w:sz w:val="20"/>
              </w:rPr>
              <w:t>197</w:t>
            </w:r>
          </w:p>
        </w:tc>
      </w:tr>
      <w:tr>
        <w:trPr>
          <w:trHeight w:val="550" w:hRule="exact"/>
        </w:trPr>
        <w:tc>
          <w:tcPr>
            <w:tcW w:w="1304" w:type="dxa"/>
            <w:tcBorders>
              <w:top w:val="single" w:sz="8" w:space="0" w:color="000000"/>
              <w:left w:val="nil"/>
              <w:bottom w:val="single" w:sz="8" w:space="0" w:color="000000"/>
              <w:right w:val="nil"/>
            </w:tcBorders>
          </w:tcPr>
          <w:p>
            <w:pPr>
              <w:pStyle w:val="TableParagraph"/>
              <w:spacing w:before="130"/>
              <w:ind w:left="108"/>
              <w:rPr>
                <w:sz w:val="20"/>
              </w:rPr>
            </w:pPr>
            <w:r>
              <w:rPr>
                <w:sz w:val="20"/>
              </w:rPr>
              <w:t>Taguatinga</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448 de 18/06/15</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sz w:val="20"/>
              </w:rPr>
              <w:t>12</w:t>
            </w:r>
          </w:p>
        </w:tc>
        <w:tc>
          <w:tcPr>
            <w:tcW w:w="566" w:type="dxa"/>
            <w:tcBorders>
              <w:top w:val="single" w:sz="8" w:space="0" w:color="000000"/>
              <w:left w:val="nil"/>
              <w:bottom w:val="single" w:sz="8" w:space="0" w:color="000000"/>
              <w:right w:val="nil"/>
            </w:tcBorders>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left="21"/>
              <w:jc w:val="center"/>
              <w:rPr>
                <w:sz w:val="20"/>
              </w:rPr>
            </w:pPr>
            <w:r>
              <w:rPr>
                <w:w w:val="99"/>
                <w:sz w:val="20"/>
              </w:rPr>
              <w:t>X</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w:t>
            </w:r>
          </w:p>
        </w:tc>
        <w:tc>
          <w:tcPr>
            <w:tcW w:w="569"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15</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14</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13</w:t>
            </w:r>
          </w:p>
        </w:tc>
        <w:tc>
          <w:tcPr>
            <w:tcW w:w="456" w:type="dxa"/>
            <w:tcBorders>
              <w:top w:val="single" w:sz="8" w:space="0" w:color="000000"/>
              <w:left w:val="nil"/>
              <w:bottom w:val="single" w:sz="8" w:space="0" w:color="000000"/>
              <w:right w:val="nil"/>
            </w:tcBorders>
          </w:tcPr>
          <w:p>
            <w:pPr>
              <w:pStyle w:val="TableParagraph"/>
              <w:spacing w:before="130"/>
              <w:ind w:left="90" w:right="126"/>
              <w:jc w:val="center"/>
              <w:rPr>
                <w:sz w:val="20"/>
              </w:rPr>
            </w:pPr>
            <w:r>
              <w:rPr>
                <w:sz w:val="20"/>
              </w:rPr>
              <w:t>15</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25</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8</w:t>
            </w:r>
          </w:p>
        </w:tc>
        <w:tc>
          <w:tcPr>
            <w:tcW w:w="456" w:type="dxa"/>
            <w:tcBorders>
              <w:top w:val="single" w:sz="8" w:space="0" w:color="000000"/>
              <w:left w:val="nil"/>
              <w:bottom w:val="single" w:sz="8" w:space="0" w:color="000000"/>
              <w:right w:val="nil"/>
            </w:tcBorders>
          </w:tcPr>
          <w:p>
            <w:pPr>
              <w:pStyle w:val="TableParagraph"/>
              <w:spacing w:before="130"/>
              <w:ind w:right="138"/>
              <w:jc w:val="center"/>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sz w:val="20"/>
              </w:rPr>
              <w:t>11</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14</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9</w:t>
            </w:r>
          </w:p>
        </w:tc>
        <w:tc>
          <w:tcPr>
            <w:tcW w:w="457"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21</w:t>
            </w:r>
          </w:p>
        </w:tc>
        <w:tc>
          <w:tcPr>
            <w:tcW w:w="622" w:type="dxa"/>
            <w:tcBorders>
              <w:top w:val="single" w:sz="8" w:space="0" w:color="000000"/>
              <w:left w:val="nil"/>
              <w:bottom w:val="single" w:sz="8" w:space="0" w:color="000000"/>
              <w:right w:val="nil"/>
            </w:tcBorders>
          </w:tcPr>
          <w:p>
            <w:pPr>
              <w:pStyle w:val="TableParagraph"/>
              <w:spacing w:before="130"/>
              <w:ind w:left="107"/>
              <w:rPr>
                <w:sz w:val="20"/>
              </w:rPr>
            </w:pPr>
            <w:r>
              <w:rPr>
                <w:sz w:val="20"/>
              </w:rPr>
              <w:t>210</w:t>
            </w:r>
          </w:p>
        </w:tc>
      </w:tr>
      <w:tr>
        <w:trPr>
          <w:trHeight w:val="595" w:hRule="exact"/>
        </w:trPr>
        <w:tc>
          <w:tcPr>
            <w:tcW w:w="1304" w:type="dxa"/>
            <w:tcBorders>
              <w:top w:val="single" w:sz="8" w:space="0" w:color="000000"/>
              <w:left w:val="nil"/>
              <w:bottom w:val="single" w:sz="8" w:space="0" w:color="000000"/>
              <w:right w:val="nil"/>
            </w:tcBorders>
            <w:shd w:val="clear" w:color="auto" w:fill="F9DECA"/>
          </w:tcPr>
          <w:p>
            <w:pPr>
              <w:pStyle w:val="TableParagraph"/>
              <w:spacing w:before="151"/>
              <w:ind w:left="107"/>
              <w:rPr>
                <w:sz w:val="20"/>
              </w:rPr>
            </w:pPr>
            <w:r>
              <w:rPr>
                <w:sz w:val="20"/>
              </w:rPr>
              <w:t>Taipas</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19"/>
              <w:ind w:left="107" w:right="239"/>
              <w:rPr>
                <w:sz w:val="20"/>
              </w:rPr>
            </w:pPr>
            <w:r>
              <w:rPr>
                <w:sz w:val="20"/>
              </w:rPr>
              <w:t>176 de 12/06/15</w:t>
            </w:r>
          </w:p>
        </w:tc>
        <w:tc>
          <w:tcPr>
            <w:tcW w:w="566" w:type="dxa"/>
            <w:tcBorders>
              <w:top w:val="single" w:sz="8" w:space="0" w:color="000000"/>
              <w:left w:val="nil"/>
              <w:bottom w:val="single" w:sz="8" w:space="0" w:color="000000"/>
              <w:right w:val="nil"/>
            </w:tcBorders>
            <w:shd w:val="clear" w:color="auto" w:fill="F9DECA"/>
          </w:tcPr>
          <w:p>
            <w:pPr>
              <w:pStyle w:val="TableParagraph"/>
              <w:spacing w:before="151"/>
              <w:ind w:left="107"/>
              <w:rPr>
                <w:sz w:val="20"/>
              </w:rPr>
            </w:pPr>
            <w:r>
              <w:rPr>
                <w:sz w:val="20"/>
              </w:rPr>
              <w:t>12</w:t>
            </w:r>
          </w:p>
        </w:tc>
        <w:tc>
          <w:tcPr>
            <w:tcW w:w="566" w:type="dxa"/>
            <w:tcBorders>
              <w:top w:val="single" w:sz="8" w:space="0" w:color="000000"/>
              <w:left w:val="nil"/>
              <w:bottom w:val="single" w:sz="8" w:space="0" w:color="000000"/>
              <w:right w:val="nil"/>
            </w:tcBorders>
            <w:shd w:val="clear" w:color="auto" w:fill="F9DECA"/>
          </w:tcPr>
          <w:p>
            <w:pPr>
              <w:pStyle w:val="TableParagraph"/>
              <w:spacing w:before="151"/>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51"/>
              <w:ind w:right="54"/>
              <w:jc w:val="center"/>
              <w:rPr>
                <w:sz w:val="20"/>
              </w:rPr>
            </w:pPr>
            <w:r>
              <w:rPr>
                <w:w w:val="99"/>
                <w:sz w:val="20"/>
              </w:rPr>
              <w:t>-</w:t>
            </w:r>
          </w:p>
        </w:tc>
        <w:tc>
          <w:tcPr>
            <w:tcW w:w="566" w:type="dxa"/>
            <w:tcBorders>
              <w:top w:val="single" w:sz="8" w:space="0" w:color="000000"/>
              <w:left w:val="nil"/>
              <w:bottom w:val="single" w:sz="8" w:space="0" w:color="000000"/>
              <w:right w:val="nil"/>
            </w:tcBorders>
            <w:shd w:val="clear" w:color="auto" w:fill="F9DECA"/>
          </w:tcPr>
          <w:p>
            <w:pPr>
              <w:pStyle w:val="TableParagraph"/>
              <w:spacing w:before="151"/>
              <w:ind w:left="108"/>
              <w:rPr>
                <w:sz w:val="20"/>
              </w:rPr>
            </w:pPr>
            <w:r>
              <w:rPr>
                <w:w w:val="99"/>
                <w:sz w:val="20"/>
              </w:rPr>
              <w:t>-</w:t>
            </w:r>
          </w:p>
        </w:tc>
        <w:tc>
          <w:tcPr>
            <w:tcW w:w="569" w:type="dxa"/>
            <w:tcBorders>
              <w:top w:val="single" w:sz="8" w:space="0" w:color="000000"/>
              <w:left w:val="nil"/>
              <w:bottom w:val="single" w:sz="8" w:space="0" w:color="000000"/>
              <w:right w:val="nil"/>
            </w:tcBorders>
            <w:shd w:val="clear" w:color="auto" w:fill="F9DECA"/>
          </w:tcPr>
          <w:p>
            <w:pPr>
              <w:pStyle w:val="TableParagraph"/>
              <w:spacing w:before="151"/>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spacing w:before="151"/>
              <w:ind w:left="108"/>
              <w:rPr>
                <w:sz w:val="20"/>
              </w:rPr>
            </w:pPr>
            <w:r>
              <w:rPr>
                <w:w w:val="99"/>
                <w:sz w:val="20"/>
              </w:rPr>
              <w:t>-</w:t>
            </w:r>
          </w:p>
        </w:tc>
        <w:tc>
          <w:tcPr>
            <w:tcW w:w="454" w:type="dxa"/>
            <w:tcBorders>
              <w:top w:val="single" w:sz="8" w:space="0" w:color="000000"/>
              <w:left w:val="nil"/>
              <w:bottom w:val="single" w:sz="8" w:space="0" w:color="000000"/>
              <w:right w:val="nil"/>
            </w:tcBorders>
            <w:shd w:val="clear" w:color="auto" w:fill="F9DECA"/>
          </w:tcPr>
          <w:p>
            <w:pPr>
              <w:pStyle w:val="TableParagraph"/>
              <w:spacing w:before="151"/>
              <w:ind w:left="71" w:right="106"/>
              <w:jc w:val="center"/>
              <w:rPr>
                <w:sz w:val="20"/>
              </w:rPr>
            </w:pPr>
            <w:r>
              <w:rPr>
                <w:sz w:val="20"/>
              </w:rPr>
              <w:t>19</w:t>
            </w:r>
          </w:p>
        </w:tc>
        <w:tc>
          <w:tcPr>
            <w:tcW w:w="454" w:type="dxa"/>
            <w:tcBorders>
              <w:top w:val="single" w:sz="8" w:space="0" w:color="000000"/>
              <w:left w:val="nil"/>
              <w:bottom w:val="single" w:sz="8" w:space="0" w:color="000000"/>
              <w:right w:val="nil"/>
            </w:tcBorders>
            <w:shd w:val="clear" w:color="auto" w:fill="F9DECA"/>
          </w:tcPr>
          <w:p>
            <w:pPr>
              <w:pStyle w:val="TableParagraph"/>
              <w:spacing w:before="151"/>
              <w:ind w:left="108"/>
              <w:rPr>
                <w:sz w:val="20"/>
              </w:rPr>
            </w:pPr>
            <w:r>
              <w:rPr>
                <w:sz w:val="20"/>
              </w:rPr>
              <w:t>16</w:t>
            </w:r>
          </w:p>
        </w:tc>
        <w:tc>
          <w:tcPr>
            <w:tcW w:w="454" w:type="dxa"/>
            <w:tcBorders>
              <w:top w:val="single" w:sz="8" w:space="0" w:color="000000"/>
              <w:left w:val="nil"/>
              <w:bottom w:val="single" w:sz="8" w:space="0" w:color="000000"/>
              <w:right w:val="nil"/>
            </w:tcBorders>
            <w:shd w:val="clear" w:color="auto" w:fill="F9DECA"/>
          </w:tcPr>
          <w:p>
            <w:pPr>
              <w:pStyle w:val="TableParagraph"/>
              <w:spacing w:before="151"/>
              <w:ind w:left="107"/>
              <w:rPr>
                <w:sz w:val="20"/>
              </w:rPr>
            </w:pPr>
            <w:r>
              <w:rPr>
                <w:sz w:val="20"/>
              </w:rPr>
              <w:t>14</w:t>
            </w:r>
          </w:p>
        </w:tc>
        <w:tc>
          <w:tcPr>
            <w:tcW w:w="456" w:type="dxa"/>
            <w:tcBorders>
              <w:top w:val="single" w:sz="8" w:space="0" w:color="000000"/>
              <w:left w:val="nil"/>
              <w:bottom w:val="single" w:sz="8" w:space="0" w:color="000000"/>
              <w:right w:val="nil"/>
            </w:tcBorders>
            <w:shd w:val="clear" w:color="auto" w:fill="F9DECA"/>
          </w:tcPr>
          <w:p>
            <w:pPr>
              <w:pStyle w:val="TableParagraph"/>
              <w:spacing w:before="151"/>
              <w:ind w:left="90" w:right="126"/>
              <w:jc w:val="center"/>
              <w:rPr>
                <w:sz w:val="20"/>
              </w:rPr>
            </w:pPr>
            <w:r>
              <w:rPr>
                <w:sz w:val="20"/>
              </w:rPr>
              <w:t>15</w:t>
            </w:r>
          </w:p>
        </w:tc>
        <w:tc>
          <w:tcPr>
            <w:tcW w:w="454" w:type="dxa"/>
            <w:tcBorders>
              <w:top w:val="single" w:sz="8" w:space="0" w:color="000000"/>
              <w:left w:val="nil"/>
              <w:bottom w:val="single" w:sz="8" w:space="0" w:color="000000"/>
              <w:right w:val="nil"/>
            </w:tcBorders>
            <w:shd w:val="clear" w:color="auto" w:fill="F9DECA"/>
          </w:tcPr>
          <w:p>
            <w:pPr>
              <w:pStyle w:val="TableParagraph"/>
              <w:spacing w:before="151"/>
              <w:ind w:left="105"/>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51"/>
              <w:ind w:right="136"/>
              <w:jc w:val="center"/>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51"/>
              <w:ind w:left="72" w:right="106"/>
              <w:jc w:val="center"/>
              <w:rPr>
                <w:sz w:val="20"/>
              </w:rPr>
            </w:pPr>
            <w:r>
              <w:rPr>
                <w:sz w:val="20"/>
              </w:rPr>
              <w:t>31</w:t>
            </w:r>
          </w:p>
        </w:tc>
        <w:tc>
          <w:tcPr>
            <w:tcW w:w="454" w:type="dxa"/>
            <w:tcBorders>
              <w:top w:val="single" w:sz="8" w:space="0" w:color="000000"/>
              <w:left w:val="nil"/>
              <w:bottom w:val="single" w:sz="8" w:space="0" w:color="000000"/>
              <w:right w:val="nil"/>
            </w:tcBorders>
            <w:shd w:val="clear" w:color="auto" w:fill="F9DECA"/>
          </w:tcPr>
          <w:p>
            <w:pPr>
              <w:pStyle w:val="TableParagraph"/>
              <w:spacing w:before="151"/>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51"/>
              <w:ind w:right="136"/>
              <w:jc w:val="center"/>
              <w:rPr>
                <w:sz w:val="20"/>
              </w:rPr>
            </w:pPr>
            <w:r>
              <w:rPr>
                <w:w w:val="99"/>
                <w:sz w:val="20"/>
              </w:rPr>
              <w:t>9</w:t>
            </w:r>
          </w:p>
        </w:tc>
        <w:tc>
          <w:tcPr>
            <w:tcW w:w="456" w:type="dxa"/>
            <w:tcBorders>
              <w:top w:val="single" w:sz="8" w:space="0" w:color="000000"/>
              <w:left w:val="nil"/>
              <w:bottom w:val="single" w:sz="8" w:space="0" w:color="000000"/>
              <w:right w:val="nil"/>
            </w:tcBorders>
            <w:shd w:val="clear" w:color="auto" w:fill="F9DECA"/>
          </w:tcPr>
          <w:p>
            <w:pPr>
              <w:pStyle w:val="TableParagraph"/>
              <w:spacing w:before="151"/>
              <w:ind w:left="90" w:right="126"/>
              <w:jc w:val="center"/>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151"/>
              <w:ind w:left="105"/>
              <w:rPr>
                <w:sz w:val="20"/>
              </w:rPr>
            </w:pPr>
            <w:r>
              <w:rPr>
                <w:sz w:val="20"/>
              </w:rPr>
              <w:t>15</w:t>
            </w:r>
          </w:p>
        </w:tc>
        <w:tc>
          <w:tcPr>
            <w:tcW w:w="454" w:type="dxa"/>
            <w:tcBorders>
              <w:top w:val="single" w:sz="8" w:space="0" w:color="000000"/>
              <w:left w:val="nil"/>
              <w:bottom w:val="single" w:sz="8" w:space="0" w:color="000000"/>
              <w:right w:val="nil"/>
            </w:tcBorders>
            <w:shd w:val="clear" w:color="auto" w:fill="F9DECA"/>
          </w:tcPr>
          <w:p>
            <w:pPr>
              <w:pStyle w:val="TableParagraph"/>
              <w:spacing w:before="151"/>
              <w:ind w:right="137"/>
              <w:jc w:val="center"/>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51"/>
              <w:ind w:left="108"/>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spacing w:before="151"/>
              <w:ind w:left="108"/>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51"/>
              <w:ind w:right="136"/>
              <w:jc w:val="center"/>
              <w:rPr>
                <w:sz w:val="20"/>
              </w:rPr>
            </w:pPr>
            <w:r>
              <w:rPr>
                <w:w w:val="99"/>
                <w:sz w:val="20"/>
              </w:rPr>
              <w:t>8</w:t>
            </w:r>
          </w:p>
        </w:tc>
        <w:tc>
          <w:tcPr>
            <w:tcW w:w="457" w:type="dxa"/>
            <w:tcBorders>
              <w:top w:val="single" w:sz="8" w:space="0" w:color="000000"/>
              <w:left w:val="nil"/>
              <w:bottom w:val="single" w:sz="8" w:space="0" w:color="000000"/>
              <w:right w:val="nil"/>
            </w:tcBorders>
            <w:shd w:val="clear" w:color="auto" w:fill="F9DECA"/>
          </w:tcPr>
          <w:p>
            <w:pPr>
              <w:pStyle w:val="TableParagraph"/>
              <w:spacing w:before="151"/>
              <w:ind w:left="107"/>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51"/>
              <w:ind w:left="105"/>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spacing w:before="151"/>
              <w:ind w:left="108"/>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51"/>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51"/>
              <w:ind w:left="107"/>
              <w:rPr>
                <w:sz w:val="20"/>
              </w:rPr>
            </w:pPr>
            <w:r>
              <w:rPr>
                <w:sz w:val="20"/>
              </w:rPr>
              <w:t>12</w:t>
            </w:r>
          </w:p>
        </w:tc>
        <w:tc>
          <w:tcPr>
            <w:tcW w:w="622" w:type="dxa"/>
            <w:tcBorders>
              <w:top w:val="single" w:sz="8" w:space="0" w:color="000000"/>
              <w:left w:val="nil"/>
              <w:bottom w:val="single" w:sz="8" w:space="0" w:color="000000"/>
              <w:right w:val="nil"/>
            </w:tcBorders>
            <w:shd w:val="clear" w:color="auto" w:fill="F9DECA"/>
          </w:tcPr>
          <w:p>
            <w:pPr>
              <w:pStyle w:val="TableParagraph"/>
              <w:spacing w:before="151"/>
              <w:ind w:left="107"/>
              <w:rPr>
                <w:sz w:val="20"/>
              </w:rPr>
            </w:pPr>
            <w:r>
              <w:rPr>
                <w:sz w:val="20"/>
              </w:rPr>
              <w:t>215</w:t>
            </w:r>
          </w:p>
        </w:tc>
      </w:tr>
      <w:tr>
        <w:trPr>
          <w:trHeight w:val="550" w:hRule="exact"/>
        </w:trPr>
        <w:tc>
          <w:tcPr>
            <w:tcW w:w="1304" w:type="dxa"/>
            <w:tcBorders>
              <w:top w:val="single" w:sz="8" w:space="0" w:color="000000"/>
              <w:left w:val="nil"/>
              <w:bottom w:val="single" w:sz="8" w:space="0" w:color="000000"/>
              <w:right w:val="nil"/>
            </w:tcBorders>
          </w:tcPr>
          <w:p>
            <w:pPr>
              <w:pStyle w:val="TableParagraph"/>
              <w:spacing w:before="141"/>
              <w:ind w:left="108"/>
              <w:rPr>
                <w:sz w:val="18"/>
              </w:rPr>
            </w:pPr>
            <w:r>
              <w:rPr>
                <w:sz w:val="18"/>
              </w:rPr>
              <w:t>Aguiarnópolis</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139 de 16/06/15</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sz w:val="20"/>
              </w:rPr>
              <w:t>13</w:t>
            </w:r>
          </w:p>
        </w:tc>
        <w:tc>
          <w:tcPr>
            <w:tcW w:w="566" w:type="dxa"/>
            <w:tcBorders>
              <w:top w:val="single" w:sz="8" w:space="0" w:color="000000"/>
              <w:left w:val="nil"/>
              <w:bottom w:val="single" w:sz="8" w:space="0" w:color="000000"/>
              <w:right w:val="nil"/>
            </w:tcBorders>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right="54"/>
              <w:jc w:val="center"/>
              <w:rPr>
                <w:sz w:val="20"/>
              </w:rPr>
            </w:pPr>
            <w:r>
              <w:rPr>
                <w:w w:val="99"/>
                <w:sz w:val="20"/>
              </w:rPr>
              <w:t>-</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w:t>
            </w:r>
          </w:p>
        </w:tc>
        <w:tc>
          <w:tcPr>
            <w:tcW w:w="569"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18</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14</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14</w:t>
            </w:r>
          </w:p>
        </w:tc>
        <w:tc>
          <w:tcPr>
            <w:tcW w:w="456" w:type="dxa"/>
            <w:tcBorders>
              <w:top w:val="single" w:sz="8" w:space="0" w:color="000000"/>
              <w:left w:val="nil"/>
              <w:bottom w:val="single" w:sz="8" w:space="0" w:color="000000"/>
              <w:right w:val="nil"/>
            </w:tcBorders>
          </w:tcPr>
          <w:p>
            <w:pPr>
              <w:pStyle w:val="TableParagraph"/>
              <w:spacing w:before="130"/>
              <w:ind w:right="138"/>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36</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12</w:t>
            </w:r>
          </w:p>
        </w:tc>
        <w:tc>
          <w:tcPr>
            <w:tcW w:w="456" w:type="dxa"/>
            <w:tcBorders>
              <w:top w:val="single" w:sz="8" w:space="0" w:color="000000"/>
              <w:left w:val="nil"/>
              <w:bottom w:val="single" w:sz="8" w:space="0" w:color="000000"/>
              <w:right w:val="nil"/>
            </w:tcBorders>
          </w:tcPr>
          <w:p>
            <w:pPr>
              <w:pStyle w:val="TableParagraph"/>
              <w:spacing w:before="130"/>
              <w:ind w:left="90" w:right="126"/>
              <w:jc w:val="center"/>
              <w:rPr>
                <w:sz w:val="20"/>
              </w:rPr>
            </w:pPr>
            <w:r>
              <w:rPr>
                <w:sz w:val="20"/>
              </w:rPr>
              <w:t>12</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sz w:val="20"/>
              </w:rPr>
              <w:t>14</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20</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15</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11</w:t>
            </w:r>
          </w:p>
        </w:tc>
        <w:tc>
          <w:tcPr>
            <w:tcW w:w="457"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10</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10</w:t>
            </w:r>
          </w:p>
        </w:tc>
        <w:tc>
          <w:tcPr>
            <w:tcW w:w="622" w:type="dxa"/>
            <w:tcBorders>
              <w:top w:val="single" w:sz="8" w:space="0" w:color="000000"/>
              <w:left w:val="nil"/>
              <w:bottom w:val="single" w:sz="8" w:space="0" w:color="000000"/>
              <w:right w:val="nil"/>
            </w:tcBorders>
          </w:tcPr>
          <w:p>
            <w:pPr>
              <w:pStyle w:val="TableParagraph"/>
              <w:spacing w:before="130"/>
              <w:ind w:left="107"/>
              <w:rPr>
                <w:sz w:val="20"/>
              </w:rPr>
            </w:pPr>
            <w:r>
              <w:rPr>
                <w:sz w:val="20"/>
              </w:rPr>
              <w:t>239</w:t>
            </w:r>
          </w:p>
        </w:tc>
      </w:tr>
      <w:tr>
        <w:trPr>
          <w:trHeight w:val="550" w:hRule="exact"/>
        </w:trPr>
        <w:tc>
          <w:tcPr>
            <w:tcW w:w="1304"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Angico</w:t>
            </w:r>
          </w:p>
        </w:tc>
        <w:tc>
          <w:tcPr>
            <w:tcW w:w="1078" w:type="dxa"/>
            <w:tcBorders>
              <w:top w:val="single" w:sz="8" w:space="0" w:color="000000"/>
              <w:left w:val="nil"/>
              <w:bottom w:val="single" w:sz="8" w:space="0" w:color="000000"/>
              <w:right w:val="nil"/>
            </w:tcBorders>
            <w:shd w:val="clear" w:color="auto" w:fill="F9DECA"/>
          </w:tcPr>
          <w:p>
            <w:pPr>
              <w:pStyle w:val="TableParagraph"/>
              <w:spacing w:line="278" w:lineRule="auto" w:before="0"/>
              <w:ind w:left="107" w:right="239"/>
              <w:rPr>
                <w:sz w:val="20"/>
              </w:rPr>
            </w:pPr>
            <w:r>
              <w:rPr>
                <w:sz w:val="20"/>
              </w:rPr>
              <w:t>241 de 22/06/15</w:t>
            </w:r>
          </w:p>
        </w:tc>
        <w:tc>
          <w:tcPr>
            <w:tcW w:w="566"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14</w:t>
            </w:r>
          </w:p>
        </w:tc>
        <w:tc>
          <w:tcPr>
            <w:tcW w:w="566"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right="54"/>
              <w:jc w:val="center"/>
              <w:rPr>
                <w:sz w:val="20"/>
              </w:rPr>
            </w:pPr>
            <w:r>
              <w:rPr>
                <w:w w:val="99"/>
                <w:sz w:val="20"/>
              </w:rPr>
              <w:t>-</w:t>
            </w:r>
          </w:p>
        </w:tc>
        <w:tc>
          <w:tcPr>
            <w:tcW w:w="566"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w:t>
            </w:r>
          </w:p>
        </w:tc>
        <w:tc>
          <w:tcPr>
            <w:tcW w:w="569"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71" w:right="106"/>
              <w:jc w:val="center"/>
              <w:rPr>
                <w:sz w:val="20"/>
              </w:rPr>
            </w:pPr>
            <w:r>
              <w:rPr>
                <w:sz w:val="20"/>
              </w:rPr>
              <w:t>17</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13</w:t>
            </w:r>
          </w:p>
        </w:tc>
        <w:tc>
          <w:tcPr>
            <w:tcW w:w="456" w:type="dxa"/>
            <w:tcBorders>
              <w:top w:val="single" w:sz="8" w:space="0" w:color="000000"/>
              <w:left w:val="nil"/>
              <w:bottom w:val="single" w:sz="8" w:space="0" w:color="000000"/>
              <w:right w:val="nil"/>
            </w:tcBorders>
            <w:shd w:val="clear" w:color="auto" w:fill="F9DECA"/>
          </w:tcPr>
          <w:p>
            <w:pPr>
              <w:pStyle w:val="TableParagraph"/>
              <w:spacing w:before="130"/>
              <w:ind w:left="90" w:right="126"/>
              <w:jc w:val="center"/>
              <w:rPr>
                <w:sz w:val="20"/>
              </w:rPr>
            </w:pPr>
            <w:r>
              <w:rPr>
                <w:sz w:val="20"/>
              </w:rPr>
              <w:t>20</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5"/>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6"/>
              <w:jc w:val="center"/>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72" w:right="106"/>
              <w:jc w:val="center"/>
              <w:rPr>
                <w:sz w:val="20"/>
              </w:rPr>
            </w:pPr>
            <w:r>
              <w:rPr>
                <w:sz w:val="20"/>
              </w:rPr>
              <w:t>29</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6"/>
              <w:jc w:val="center"/>
              <w:rPr>
                <w:sz w:val="20"/>
              </w:rPr>
            </w:pPr>
            <w:r>
              <w:rPr>
                <w:w w:val="99"/>
                <w:sz w:val="20"/>
              </w:rPr>
              <w:t>9</w:t>
            </w:r>
          </w:p>
        </w:tc>
        <w:tc>
          <w:tcPr>
            <w:tcW w:w="456" w:type="dxa"/>
            <w:tcBorders>
              <w:top w:val="single" w:sz="8" w:space="0" w:color="000000"/>
              <w:left w:val="nil"/>
              <w:bottom w:val="single" w:sz="8" w:space="0" w:color="000000"/>
              <w:right w:val="nil"/>
            </w:tcBorders>
            <w:shd w:val="clear" w:color="auto" w:fill="F9DECA"/>
          </w:tcPr>
          <w:p>
            <w:pPr>
              <w:pStyle w:val="TableParagraph"/>
              <w:spacing w:before="130"/>
              <w:ind w:right="138"/>
              <w:jc w:val="center"/>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5"/>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7"/>
              <w:jc w:val="center"/>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2</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72" w:right="106"/>
              <w:jc w:val="center"/>
              <w:rPr>
                <w:sz w:val="20"/>
              </w:rPr>
            </w:pPr>
            <w:r>
              <w:rPr>
                <w:sz w:val="20"/>
              </w:rPr>
              <w:t>10</w:t>
            </w:r>
          </w:p>
        </w:tc>
        <w:tc>
          <w:tcPr>
            <w:tcW w:w="457"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5"/>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w w:val="99"/>
                <w:sz w:val="20"/>
              </w:rPr>
              <w:t>9</w:t>
            </w:r>
          </w:p>
        </w:tc>
        <w:tc>
          <w:tcPr>
            <w:tcW w:w="622"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191</w:t>
            </w:r>
          </w:p>
        </w:tc>
      </w:tr>
      <w:tr>
        <w:trPr>
          <w:trHeight w:val="550" w:hRule="exact"/>
        </w:trPr>
        <w:tc>
          <w:tcPr>
            <w:tcW w:w="1304" w:type="dxa"/>
            <w:tcBorders>
              <w:top w:val="single" w:sz="8" w:space="0" w:color="000000"/>
              <w:left w:val="nil"/>
              <w:bottom w:val="single" w:sz="8" w:space="0" w:color="000000"/>
              <w:right w:val="nil"/>
            </w:tcBorders>
          </w:tcPr>
          <w:p>
            <w:pPr>
              <w:pStyle w:val="TableParagraph"/>
              <w:ind w:left="108"/>
              <w:rPr>
                <w:sz w:val="20"/>
              </w:rPr>
            </w:pPr>
            <w:r>
              <w:rPr>
                <w:sz w:val="20"/>
              </w:rPr>
              <w:t>Araguatins</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1190 de 23/06/15</w:t>
            </w:r>
          </w:p>
        </w:tc>
        <w:tc>
          <w:tcPr>
            <w:tcW w:w="566" w:type="dxa"/>
            <w:tcBorders>
              <w:top w:val="single" w:sz="8" w:space="0" w:color="000000"/>
              <w:left w:val="nil"/>
              <w:bottom w:val="single" w:sz="8" w:space="0" w:color="000000"/>
              <w:right w:val="nil"/>
            </w:tcBorders>
          </w:tcPr>
          <w:p>
            <w:pPr>
              <w:pStyle w:val="TableParagraph"/>
              <w:ind w:left="107"/>
              <w:rPr>
                <w:sz w:val="20"/>
              </w:rPr>
            </w:pPr>
            <w:r>
              <w:rPr>
                <w:sz w:val="20"/>
              </w:rPr>
              <w:t>14</w:t>
            </w:r>
          </w:p>
        </w:tc>
        <w:tc>
          <w:tcPr>
            <w:tcW w:w="566" w:type="dxa"/>
            <w:tcBorders>
              <w:top w:val="single" w:sz="8" w:space="0" w:color="000000"/>
              <w:left w:val="nil"/>
              <w:bottom w:val="single" w:sz="8" w:space="0" w:color="000000"/>
              <w:right w:val="nil"/>
            </w:tcBorders>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left="21"/>
              <w:jc w:val="center"/>
              <w:rPr>
                <w:sz w:val="20"/>
              </w:rPr>
            </w:pPr>
            <w:r>
              <w:rPr>
                <w:w w:val="99"/>
                <w:sz w:val="20"/>
              </w:rPr>
              <w:t>X</w:t>
            </w:r>
          </w:p>
        </w:tc>
        <w:tc>
          <w:tcPr>
            <w:tcW w:w="566" w:type="dxa"/>
            <w:tcBorders>
              <w:top w:val="single" w:sz="8" w:space="0" w:color="000000"/>
              <w:left w:val="nil"/>
              <w:bottom w:val="single" w:sz="8" w:space="0" w:color="000000"/>
              <w:right w:val="nil"/>
            </w:tcBorders>
          </w:tcPr>
          <w:p>
            <w:pPr>
              <w:pStyle w:val="TableParagraph"/>
              <w:ind w:left="107"/>
              <w:rPr>
                <w:sz w:val="20"/>
              </w:rPr>
            </w:pPr>
            <w:r>
              <w:rPr>
                <w:w w:val="99"/>
                <w:sz w:val="20"/>
              </w:rPr>
              <w:t>X</w:t>
            </w:r>
          </w:p>
        </w:tc>
        <w:tc>
          <w:tcPr>
            <w:tcW w:w="569" w:type="dxa"/>
            <w:tcBorders>
              <w:top w:val="single" w:sz="8" w:space="0" w:color="000000"/>
              <w:left w:val="nil"/>
              <w:bottom w:val="single" w:sz="8" w:space="0" w:color="000000"/>
              <w:right w:val="nil"/>
            </w:tcBorders>
          </w:tcPr>
          <w:p>
            <w:pPr>
              <w:pStyle w:val="TableParagraph"/>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ind w:left="71" w:right="106"/>
              <w:jc w:val="center"/>
              <w:rPr>
                <w:sz w:val="20"/>
              </w:rPr>
            </w:pPr>
            <w:r>
              <w:rPr>
                <w:sz w:val="20"/>
              </w:rPr>
              <w:t>19</w:t>
            </w:r>
          </w:p>
        </w:tc>
        <w:tc>
          <w:tcPr>
            <w:tcW w:w="454" w:type="dxa"/>
            <w:tcBorders>
              <w:top w:val="single" w:sz="8" w:space="0" w:color="000000"/>
              <w:left w:val="nil"/>
              <w:bottom w:val="single" w:sz="8" w:space="0" w:color="000000"/>
              <w:right w:val="nil"/>
            </w:tcBorders>
          </w:tcPr>
          <w:p>
            <w:pPr>
              <w:pStyle w:val="TableParagraph"/>
              <w:ind w:left="108"/>
              <w:rPr>
                <w:sz w:val="20"/>
              </w:rPr>
            </w:pPr>
            <w:r>
              <w:rPr>
                <w:sz w:val="20"/>
              </w:rPr>
              <w:t>17</w:t>
            </w:r>
          </w:p>
        </w:tc>
        <w:tc>
          <w:tcPr>
            <w:tcW w:w="454" w:type="dxa"/>
            <w:tcBorders>
              <w:top w:val="single" w:sz="8" w:space="0" w:color="000000"/>
              <w:left w:val="nil"/>
              <w:bottom w:val="single" w:sz="8" w:space="0" w:color="000000"/>
              <w:right w:val="nil"/>
            </w:tcBorders>
          </w:tcPr>
          <w:p>
            <w:pPr>
              <w:pStyle w:val="TableParagraph"/>
              <w:ind w:left="107"/>
              <w:rPr>
                <w:sz w:val="20"/>
              </w:rPr>
            </w:pPr>
            <w:r>
              <w:rPr>
                <w:sz w:val="20"/>
              </w:rPr>
              <w:t>14</w:t>
            </w:r>
          </w:p>
        </w:tc>
        <w:tc>
          <w:tcPr>
            <w:tcW w:w="456" w:type="dxa"/>
            <w:tcBorders>
              <w:top w:val="single" w:sz="8" w:space="0" w:color="000000"/>
              <w:left w:val="nil"/>
              <w:bottom w:val="single" w:sz="8" w:space="0" w:color="000000"/>
              <w:right w:val="nil"/>
            </w:tcBorders>
          </w:tcPr>
          <w:p>
            <w:pPr>
              <w:pStyle w:val="TableParagraph"/>
              <w:ind w:left="90" w:right="126"/>
              <w:jc w:val="center"/>
              <w:rPr>
                <w:sz w:val="20"/>
              </w:rPr>
            </w:pPr>
            <w:r>
              <w:rPr>
                <w:sz w:val="20"/>
              </w:rPr>
              <w:t>20</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ind w:left="72" w:right="106"/>
              <w:jc w:val="center"/>
              <w:rPr>
                <w:sz w:val="20"/>
              </w:rPr>
            </w:pPr>
            <w:r>
              <w:rPr>
                <w:sz w:val="20"/>
              </w:rPr>
              <w:t>35</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left="72" w:right="106"/>
              <w:jc w:val="center"/>
              <w:rPr>
                <w:sz w:val="20"/>
              </w:rPr>
            </w:pPr>
            <w:r>
              <w:rPr>
                <w:sz w:val="20"/>
              </w:rPr>
              <w:t>12</w:t>
            </w:r>
          </w:p>
        </w:tc>
        <w:tc>
          <w:tcPr>
            <w:tcW w:w="456" w:type="dxa"/>
            <w:tcBorders>
              <w:top w:val="single" w:sz="8" w:space="0" w:color="000000"/>
              <w:left w:val="nil"/>
              <w:bottom w:val="single" w:sz="8" w:space="0" w:color="000000"/>
              <w:right w:val="nil"/>
            </w:tcBorders>
          </w:tcPr>
          <w:p>
            <w:pPr>
              <w:pStyle w:val="TableParagraph"/>
              <w:ind w:left="90" w:right="126"/>
              <w:jc w:val="center"/>
              <w:rPr>
                <w:sz w:val="20"/>
              </w:rPr>
            </w:pPr>
            <w:r>
              <w:rPr>
                <w:sz w:val="20"/>
              </w:rPr>
              <w:t>11</w:t>
            </w:r>
          </w:p>
        </w:tc>
        <w:tc>
          <w:tcPr>
            <w:tcW w:w="454" w:type="dxa"/>
            <w:tcBorders>
              <w:top w:val="single" w:sz="8" w:space="0" w:color="000000"/>
              <w:left w:val="nil"/>
              <w:bottom w:val="single" w:sz="8" w:space="0" w:color="000000"/>
              <w:right w:val="nil"/>
            </w:tcBorders>
          </w:tcPr>
          <w:p>
            <w:pPr>
              <w:pStyle w:val="TableParagraph"/>
              <w:ind w:left="105"/>
              <w:rPr>
                <w:sz w:val="20"/>
              </w:rPr>
            </w:pPr>
            <w:r>
              <w:rPr>
                <w:sz w:val="20"/>
              </w:rPr>
              <w:t>14</w:t>
            </w:r>
          </w:p>
        </w:tc>
        <w:tc>
          <w:tcPr>
            <w:tcW w:w="454" w:type="dxa"/>
            <w:tcBorders>
              <w:top w:val="single" w:sz="8" w:space="0" w:color="000000"/>
              <w:left w:val="nil"/>
              <w:bottom w:val="single" w:sz="8" w:space="0" w:color="000000"/>
              <w:right w:val="nil"/>
            </w:tcBorders>
          </w:tcPr>
          <w:p>
            <w:pPr>
              <w:pStyle w:val="TableParagraph"/>
              <w:ind w:left="71" w:right="106"/>
              <w:jc w:val="center"/>
              <w:rPr>
                <w:sz w:val="20"/>
              </w:rPr>
            </w:pPr>
            <w:r>
              <w:rPr>
                <w:sz w:val="20"/>
              </w:rPr>
              <w:t>21</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ind w:left="108"/>
              <w:rPr>
                <w:sz w:val="20"/>
              </w:rPr>
            </w:pPr>
            <w:r>
              <w:rPr>
                <w:sz w:val="20"/>
              </w:rPr>
              <w:t>15</w:t>
            </w:r>
          </w:p>
        </w:tc>
        <w:tc>
          <w:tcPr>
            <w:tcW w:w="454" w:type="dxa"/>
            <w:tcBorders>
              <w:top w:val="single" w:sz="8" w:space="0" w:color="000000"/>
              <w:left w:val="nil"/>
              <w:bottom w:val="single" w:sz="8" w:space="0" w:color="000000"/>
              <w:right w:val="nil"/>
            </w:tcBorders>
          </w:tcPr>
          <w:p>
            <w:pPr>
              <w:pStyle w:val="TableParagraph"/>
              <w:ind w:left="72" w:right="106"/>
              <w:jc w:val="center"/>
              <w:rPr>
                <w:sz w:val="20"/>
              </w:rPr>
            </w:pPr>
            <w:r>
              <w:rPr>
                <w:sz w:val="20"/>
              </w:rPr>
              <w:t>13</w:t>
            </w:r>
          </w:p>
        </w:tc>
        <w:tc>
          <w:tcPr>
            <w:tcW w:w="457" w:type="dxa"/>
            <w:tcBorders>
              <w:top w:val="single" w:sz="8" w:space="0" w:color="000000"/>
              <w:left w:val="nil"/>
              <w:bottom w:val="single" w:sz="8" w:space="0" w:color="000000"/>
              <w:right w:val="nil"/>
            </w:tcBorders>
          </w:tcPr>
          <w:p>
            <w:pPr>
              <w:pStyle w:val="TableParagraph"/>
              <w:ind w:left="107"/>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ind w:left="107"/>
              <w:rPr>
                <w:sz w:val="20"/>
              </w:rPr>
            </w:pPr>
            <w:r>
              <w:rPr>
                <w:sz w:val="20"/>
              </w:rPr>
              <w:t>23</w:t>
            </w:r>
          </w:p>
        </w:tc>
        <w:tc>
          <w:tcPr>
            <w:tcW w:w="622" w:type="dxa"/>
            <w:tcBorders>
              <w:top w:val="single" w:sz="8" w:space="0" w:color="000000"/>
              <w:left w:val="nil"/>
              <w:bottom w:val="single" w:sz="8" w:space="0" w:color="000000"/>
              <w:right w:val="nil"/>
            </w:tcBorders>
          </w:tcPr>
          <w:p>
            <w:pPr>
              <w:pStyle w:val="TableParagraph"/>
              <w:ind w:left="107"/>
              <w:rPr>
                <w:sz w:val="20"/>
              </w:rPr>
            </w:pPr>
            <w:r>
              <w:rPr>
                <w:sz w:val="20"/>
              </w:rPr>
              <w:t>275</w:t>
            </w:r>
          </w:p>
        </w:tc>
      </w:tr>
      <w:tr>
        <w:trPr>
          <w:trHeight w:val="547" w:hRule="exact"/>
        </w:trPr>
        <w:tc>
          <w:tcPr>
            <w:tcW w:w="130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Axixá</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469 de 29/05/15</w:t>
            </w:r>
          </w:p>
        </w:tc>
        <w:tc>
          <w:tcPr>
            <w:tcW w:w="566"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4</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right="54"/>
              <w:jc w:val="center"/>
              <w:rPr>
                <w:sz w:val="20"/>
              </w:rPr>
            </w:pPr>
            <w:r>
              <w:rPr>
                <w:w w:val="99"/>
                <w:sz w:val="20"/>
              </w:rPr>
              <w:t>-</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w:t>
            </w:r>
          </w:p>
        </w:tc>
        <w:tc>
          <w:tcPr>
            <w:tcW w:w="569"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ind w:left="108"/>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14</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12</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9</w:t>
            </w:r>
          </w:p>
        </w:tc>
        <w:tc>
          <w:tcPr>
            <w:tcW w:w="456" w:type="dxa"/>
            <w:tcBorders>
              <w:top w:val="single" w:sz="8" w:space="0" w:color="000000"/>
              <w:left w:val="nil"/>
              <w:bottom w:val="single" w:sz="8" w:space="0" w:color="000000"/>
              <w:right w:val="nil"/>
            </w:tcBorders>
            <w:shd w:val="clear" w:color="auto" w:fill="F9DECA"/>
          </w:tcPr>
          <w:p>
            <w:pPr>
              <w:pStyle w:val="TableParagraph"/>
              <w:ind w:right="138"/>
              <w:jc w:val="center"/>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12</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11</w:t>
            </w:r>
          </w:p>
        </w:tc>
        <w:tc>
          <w:tcPr>
            <w:tcW w:w="456" w:type="dxa"/>
            <w:tcBorders>
              <w:top w:val="single" w:sz="8" w:space="0" w:color="000000"/>
              <w:left w:val="nil"/>
              <w:bottom w:val="single" w:sz="8" w:space="0" w:color="000000"/>
              <w:right w:val="nil"/>
            </w:tcBorders>
            <w:shd w:val="clear" w:color="auto" w:fill="F9DECA"/>
          </w:tcPr>
          <w:p>
            <w:pPr>
              <w:pStyle w:val="TableParagraph"/>
              <w:ind w:left="90" w:right="126"/>
              <w:jc w:val="center"/>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right="137"/>
              <w:jc w:val="center"/>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2</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6</w:t>
            </w:r>
          </w:p>
        </w:tc>
        <w:tc>
          <w:tcPr>
            <w:tcW w:w="457"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12</w:t>
            </w:r>
          </w:p>
        </w:tc>
        <w:tc>
          <w:tcPr>
            <w:tcW w:w="622"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153</w:t>
            </w:r>
          </w:p>
        </w:tc>
      </w:tr>
      <w:tr>
        <w:trPr>
          <w:trHeight w:val="550" w:hRule="exact"/>
        </w:trPr>
        <w:tc>
          <w:tcPr>
            <w:tcW w:w="1304" w:type="dxa"/>
            <w:tcBorders>
              <w:top w:val="single" w:sz="8" w:space="0" w:color="000000"/>
              <w:left w:val="nil"/>
              <w:bottom w:val="single" w:sz="8" w:space="0" w:color="000000"/>
              <w:right w:val="nil"/>
            </w:tcBorders>
          </w:tcPr>
          <w:p>
            <w:pPr>
              <w:pStyle w:val="TableParagraph"/>
              <w:spacing w:before="130"/>
              <w:ind w:left="108"/>
              <w:rPr>
                <w:sz w:val="20"/>
              </w:rPr>
            </w:pPr>
            <w:r>
              <w:rPr>
                <w:sz w:val="20"/>
              </w:rPr>
              <w:t>Buriti</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002 de 23/06/15</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sz w:val="20"/>
              </w:rPr>
              <w:t>13</w:t>
            </w:r>
          </w:p>
        </w:tc>
        <w:tc>
          <w:tcPr>
            <w:tcW w:w="566" w:type="dxa"/>
            <w:tcBorders>
              <w:top w:val="single" w:sz="8" w:space="0" w:color="000000"/>
              <w:left w:val="nil"/>
              <w:bottom w:val="single" w:sz="8" w:space="0" w:color="000000"/>
              <w:right w:val="nil"/>
            </w:tcBorders>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left="21"/>
              <w:jc w:val="center"/>
              <w:rPr>
                <w:sz w:val="20"/>
              </w:rPr>
            </w:pPr>
            <w:r>
              <w:rPr>
                <w:w w:val="99"/>
                <w:sz w:val="20"/>
              </w:rPr>
              <w:t>X</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w:t>
            </w:r>
          </w:p>
        </w:tc>
        <w:tc>
          <w:tcPr>
            <w:tcW w:w="569"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15</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14</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14</w:t>
            </w:r>
          </w:p>
        </w:tc>
        <w:tc>
          <w:tcPr>
            <w:tcW w:w="456" w:type="dxa"/>
            <w:tcBorders>
              <w:top w:val="single" w:sz="8" w:space="0" w:color="000000"/>
              <w:left w:val="nil"/>
              <w:bottom w:val="single" w:sz="8" w:space="0" w:color="000000"/>
              <w:right w:val="nil"/>
            </w:tcBorders>
          </w:tcPr>
          <w:p>
            <w:pPr>
              <w:pStyle w:val="TableParagraph"/>
              <w:spacing w:before="130"/>
              <w:ind w:left="90" w:right="126"/>
              <w:jc w:val="center"/>
              <w:rPr>
                <w:sz w:val="20"/>
              </w:rPr>
            </w:pPr>
            <w:r>
              <w:rPr>
                <w:sz w:val="20"/>
              </w:rPr>
              <w:t>18</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36</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11</w:t>
            </w:r>
          </w:p>
        </w:tc>
        <w:tc>
          <w:tcPr>
            <w:tcW w:w="456" w:type="dxa"/>
            <w:tcBorders>
              <w:top w:val="single" w:sz="8" w:space="0" w:color="000000"/>
              <w:left w:val="nil"/>
              <w:bottom w:val="single" w:sz="8" w:space="0" w:color="000000"/>
              <w:right w:val="nil"/>
            </w:tcBorders>
          </w:tcPr>
          <w:p>
            <w:pPr>
              <w:pStyle w:val="TableParagraph"/>
              <w:spacing w:before="130"/>
              <w:ind w:left="90" w:right="126"/>
              <w:jc w:val="center"/>
              <w:rPr>
                <w:sz w:val="20"/>
              </w:rPr>
            </w:pPr>
            <w:r>
              <w:rPr>
                <w:sz w:val="20"/>
              </w:rPr>
              <w:t>10</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15</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3</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14</w:t>
            </w:r>
          </w:p>
        </w:tc>
        <w:tc>
          <w:tcPr>
            <w:tcW w:w="457"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9</w:t>
            </w:r>
          </w:p>
        </w:tc>
        <w:tc>
          <w:tcPr>
            <w:tcW w:w="622" w:type="dxa"/>
            <w:tcBorders>
              <w:top w:val="single" w:sz="8" w:space="0" w:color="000000"/>
              <w:left w:val="nil"/>
              <w:bottom w:val="single" w:sz="8" w:space="0" w:color="000000"/>
              <w:right w:val="nil"/>
            </w:tcBorders>
          </w:tcPr>
          <w:p>
            <w:pPr>
              <w:pStyle w:val="TableParagraph"/>
              <w:spacing w:before="130"/>
              <w:ind w:left="107"/>
              <w:rPr>
                <w:sz w:val="20"/>
              </w:rPr>
            </w:pPr>
            <w:r>
              <w:rPr>
                <w:sz w:val="20"/>
              </w:rPr>
              <w:t>225</w:t>
            </w:r>
          </w:p>
        </w:tc>
      </w:tr>
      <w:tr>
        <w:trPr>
          <w:trHeight w:val="550" w:hRule="exact"/>
        </w:trPr>
        <w:tc>
          <w:tcPr>
            <w:tcW w:w="130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Cachoeirinha</w:t>
            </w:r>
          </w:p>
        </w:tc>
        <w:tc>
          <w:tcPr>
            <w:tcW w:w="1078" w:type="dxa"/>
            <w:tcBorders>
              <w:top w:val="single" w:sz="8" w:space="0" w:color="000000"/>
              <w:left w:val="nil"/>
              <w:bottom w:val="single" w:sz="8" w:space="0" w:color="000000"/>
              <w:right w:val="nil"/>
            </w:tcBorders>
            <w:shd w:val="clear" w:color="auto" w:fill="F9DECA"/>
          </w:tcPr>
          <w:p>
            <w:pPr>
              <w:pStyle w:val="TableParagraph"/>
              <w:spacing w:line="278" w:lineRule="auto" w:before="0"/>
              <w:ind w:left="107" w:right="239"/>
              <w:rPr>
                <w:sz w:val="20"/>
              </w:rPr>
            </w:pPr>
            <w:r>
              <w:rPr>
                <w:sz w:val="20"/>
              </w:rPr>
              <w:t>265 de 15/06/15</w:t>
            </w:r>
          </w:p>
        </w:tc>
        <w:tc>
          <w:tcPr>
            <w:tcW w:w="566"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13</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left="21"/>
              <w:jc w:val="center"/>
              <w:rPr>
                <w:sz w:val="20"/>
              </w:rPr>
            </w:pPr>
            <w:r>
              <w:rPr>
                <w:w w:val="99"/>
                <w:sz w:val="20"/>
              </w:rPr>
              <w:t>X</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X</w:t>
            </w:r>
          </w:p>
        </w:tc>
        <w:tc>
          <w:tcPr>
            <w:tcW w:w="569"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ind w:left="108"/>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17</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18</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11</w:t>
            </w:r>
          </w:p>
        </w:tc>
        <w:tc>
          <w:tcPr>
            <w:tcW w:w="456" w:type="dxa"/>
            <w:tcBorders>
              <w:top w:val="single" w:sz="8" w:space="0" w:color="000000"/>
              <w:left w:val="nil"/>
              <w:bottom w:val="single" w:sz="8" w:space="0" w:color="000000"/>
              <w:right w:val="nil"/>
            </w:tcBorders>
            <w:shd w:val="clear" w:color="auto" w:fill="F9DECA"/>
          </w:tcPr>
          <w:p>
            <w:pPr>
              <w:pStyle w:val="TableParagraph"/>
              <w:ind w:left="90" w:right="126"/>
              <w:jc w:val="center"/>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22</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12</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11</w:t>
            </w:r>
          </w:p>
        </w:tc>
        <w:tc>
          <w:tcPr>
            <w:tcW w:w="456" w:type="dxa"/>
            <w:tcBorders>
              <w:top w:val="single" w:sz="8" w:space="0" w:color="000000"/>
              <w:left w:val="nil"/>
              <w:bottom w:val="single" w:sz="8" w:space="0" w:color="000000"/>
              <w:right w:val="nil"/>
            </w:tcBorders>
            <w:shd w:val="clear" w:color="auto" w:fill="F9DECA"/>
          </w:tcPr>
          <w:p>
            <w:pPr>
              <w:pStyle w:val="TableParagraph"/>
              <w:ind w:right="138"/>
              <w:jc w:val="center"/>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sz w:val="20"/>
              </w:rPr>
              <w:t>13</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7</w:t>
            </w:r>
          </w:p>
        </w:tc>
        <w:tc>
          <w:tcPr>
            <w:tcW w:w="457"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13</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10</w:t>
            </w:r>
          </w:p>
        </w:tc>
        <w:tc>
          <w:tcPr>
            <w:tcW w:w="622"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209</w:t>
            </w:r>
          </w:p>
        </w:tc>
      </w:tr>
      <w:tr>
        <w:trPr>
          <w:trHeight w:val="550" w:hRule="exact"/>
        </w:trPr>
        <w:tc>
          <w:tcPr>
            <w:tcW w:w="1304" w:type="dxa"/>
            <w:tcBorders>
              <w:top w:val="single" w:sz="8" w:space="0" w:color="000000"/>
              <w:left w:val="nil"/>
              <w:bottom w:val="single" w:sz="8" w:space="0" w:color="000000"/>
              <w:right w:val="nil"/>
            </w:tcBorders>
          </w:tcPr>
          <w:p>
            <w:pPr>
              <w:pStyle w:val="TableParagraph"/>
              <w:spacing w:before="128"/>
              <w:ind w:left="108"/>
              <w:rPr>
                <w:sz w:val="20"/>
              </w:rPr>
            </w:pPr>
            <w:r>
              <w:rPr>
                <w:sz w:val="20"/>
              </w:rPr>
              <w:t>Esperantina</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207 de 16/06/15</w:t>
            </w:r>
          </w:p>
        </w:tc>
        <w:tc>
          <w:tcPr>
            <w:tcW w:w="566" w:type="dxa"/>
            <w:tcBorders>
              <w:top w:val="single" w:sz="8" w:space="0" w:color="000000"/>
              <w:left w:val="nil"/>
              <w:bottom w:val="single" w:sz="8" w:space="0" w:color="000000"/>
              <w:right w:val="nil"/>
            </w:tcBorders>
          </w:tcPr>
          <w:p>
            <w:pPr>
              <w:pStyle w:val="TableParagraph"/>
              <w:spacing w:before="128"/>
              <w:ind w:left="107"/>
              <w:rPr>
                <w:sz w:val="20"/>
              </w:rPr>
            </w:pPr>
            <w:r>
              <w:rPr>
                <w:sz w:val="20"/>
              </w:rPr>
              <w:t>13</w:t>
            </w:r>
          </w:p>
        </w:tc>
        <w:tc>
          <w:tcPr>
            <w:tcW w:w="566" w:type="dxa"/>
            <w:tcBorders>
              <w:top w:val="single" w:sz="8" w:space="0" w:color="000000"/>
              <w:left w:val="nil"/>
              <w:bottom w:val="single" w:sz="8" w:space="0" w:color="000000"/>
              <w:right w:val="nil"/>
            </w:tcBorders>
          </w:tcPr>
          <w:p>
            <w:pPr>
              <w:pStyle w:val="TableParagraph"/>
              <w:spacing w:before="128"/>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28"/>
              <w:ind w:right="54"/>
              <w:jc w:val="center"/>
              <w:rPr>
                <w:sz w:val="20"/>
              </w:rPr>
            </w:pPr>
            <w:r>
              <w:rPr>
                <w:w w:val="99"/>
                <w:sz w:val="20"/>
              </w:rPr>
              <w:t>-</w:t>
            </w:r>
          </w:p>
        </w:tc>
        <w:tc>
          <w:tcPr>
            <w:tcW w:w="566" w:type="dxa"/>
            <w:tcBorders>
              <w:top w:val="single" w:sz="8" w:space="0" w:color="000000"/>
              <w:left w:val="nil"/>
              <w:bottom w:val="single" w:sz="8" w:space="0" w:color="000000"/>
              <w:right w:val="nil"/>
            </w:tcBorders>
          </w:tcPr>
          <w:p>
            <w:pPr>
              <w:pStyle w:val="TableParagraph"/>
              <w:spacing w:before="128"/>
              <w:ind w:left="107"/>
              <w:rPr>
                <w:sz w:val="20"/>
              </w:rPr>
            </w:pPr>
            <w:r>
              <w:rPr>
                <w:w w:val="99"/>
                <w:sz w:val="20"/>
              </w:rPr>
              <w:t>-</w:t>
            </w:r>
          </w:p>
        </w:tc>
        <w:tc>
          <w:tcPr>
            <w:tcW w:w="569" w:type="dxa"/>
            <w:tcBorders>
              <w:top w:val="single" w:sz="8" w:space="0" w:color="000000"/>
              <w:left w:val="nil"/>
              <w:bottom w:val="single" w:sz="8" w:space="0" w:color="000000"/>
              <w:right w:val="nil"/>
            </w:tcBorders>
          </w:tcPr>
          <w:p>
            <w:pPr>
              <w:pStyle w:val="TableParagraph"/>
              <w:spacing w:before="128"/>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28"/>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spacing w:before="128"/>
              <w:ind w:left="71" w:right="106"/>
              <w:jc w:val="center"/>
              <w:rPr>
                <w:sz w:val="20"/>
              </w:rPr>
            </w:pPr>
            <w:r>
              <w:rPr>
                <w:sz w:val="20"/>
              </w:rPr>
              <w:t>17</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sz w:val="20"/>
              </w:rPr>
              <w:t>13</w:t>
            </w:r>
          </w:p>
        </w:tc>
        <w:tc>
          <w:tcPr>
            <w:tcW w:w="454" w:type="dxa"/>
            <w:tcBorders>
              <w:top w:val="single" w:sz="8" w:space="0" w:color="000000"/>
              <w:left w:val="nil"/>
              <w:bottom w:val="single" w:sz="8" w:space="0" w:color="000000"/>
              <w:right w:val="nil"/>
            </w:tcBorders>
          </w:tcPr>
          <w:p>
            <w:pPr>
              <w:pStyle w:val="TableParagraph"/>
              <w:spacing w:before="128"/>
              <w:ind w:left="107"/>
              <w:rPr>
                <w:sz w:val="20"/>
              </w:rPr>
            </w:pPr>
            <w:r>
              <w:rPr>
                <w:sz w:val="20"/>
              </w:rPr>
              <w:t>14</w:t>
            </w:r>
          </w:p>
        </w:tc>
        <w:tc>
          <w:tcPr>
            <w:tcW w:w="456" w:type="dxa"/>
            <w:tcBorders>
              <w:top w:val="single" w:sz="8" w:space="0" w:color="000000"/>
              <w:left w:val="nil"/>
              <w:bottom w:val="single" w:sz="8" w:space="0" w:color="000000"/>
              <w:right w:val="nil"/>
            </w:tcBorders>
          </w:tcPr>
          <w:p>
            <w:pPr>
              <w:pStyle w:val="TableParagraph"/>
              <w:spacing w:before="128"/>
              <w:ind w:left="90" w:right="126"/>
              <w:jc w:val="center"/>
              <w:rPr>
                <w:sz w:val="20"/>
              </w:rPr>
            </w:pPr>
            <w:r>
              <w:rPr>
                <w:sz w:val="20"/>
              </w:rPr>
              <w:t>19</w:t>
            </w:r>
          </w:p>
        </w:tc>
        <w:tc>
          <w:tcPr>
            <w:tcW w:w="454" w:type="dxa"/>
            <w:tcBorders>
              <w:top w:val="single" w:sz="8" w:space="0" w:color="000000"/>
              <w:left w:val="nil"/>
              <w:bottom w:val="single" w:sz="8" w:space="0" w:color="000000"/>
              <w:right w:val="nil"/>
            </w:tcBorders>
          </w:tcPr>
          <w:p>
            <w:pPr>
              <w:pStyle w:val="TableParagraph"/>
              <w:spacing w:before="128"/>
              <w:ind w:left="105"/>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28"/>
              <w:ind w:right="136"/>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28"/>
              <w:ind w:left="72" w:right="106"/>
              <w:jc w:val="center"/>
              <w:rPr>
                <w:sz w:val="20"/>
              </w:rPr>
            </w:pPr>
            <w:r>
              <w:rPr>
                <w:sz w:val="20"/>
              </w:rPr>
              <w:t>31</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28"/>
              <w:ind w:left="72" w:right="106"/>
              <w:jc w:val="center"/>
              <w:rPr>
                <w:sz w:val="20"/>
              </w:rPr>
            </w:pPr>
            <w:r>
              <w:rPr>
                <w:sz w:val="20"/>
              </w:rPr>
              <w:t>11</w:t>
            </w:r>
          </w:p>
        </w:tc>
        <w:tc>
          <w:tcPr>
            <w:tcW w:w="456" w:type="dxa"/>
            <w:tcBorders>
              <w:top w:val="single" w:sz="8" w:space="0" w:color="000000"/>
              <w:left w:val="nil"/>
              <w:bottom w:val="single" w:sz="8" w:space="0" w:color="000000"/>
              <w:right w:val="nil"/>
            </w:tcBorders>
          </w:tcPr>
          <w:p>
            <w:pPr>
              <w:pStyle w:val="TableParagraph"/>
              <w:spacing w:before="128"/>
              <w:ind w:left="90" w:right="126"/>
              <w:jc w:val="center"/>
              <w:rPr>
                <w:sz w:val="20"/>
              </w:rPr>
            </w:pPr>
            <w:r>
              <w:rPr>
                <w:sz w:val="20"/>
              </w:rPr>
              <w:t>11</w:t>
            </w:r>
          </w:p>
        </w:tc>
        <w:tc>
          <w:tcPr>
            <w:tcW w:w="454" w:type="dxa"/>
            <w:tcBorders>
              <w:top w:val="single" w:sz="8" w:space="0" w:color="000000"/>
              <w:left w:val="nil"/>
              <w:bottom w:val="single" w:sz="8" w:space="0" w:color="000000"/>
              <w:right w:val="nil"/>
            </w:tcBorders>
          </w:tcPr>
          <w:p>
            <w:pPr>
              <w:pStyle w:val="TableParagraph"/>
              <w:spacing w:before="128"/>
              <w:ind w:left="105"/>
              <w:rPr>
                <w:sz w:val="20"/>
              </w:rPr>
            </w:pPr>
            <w:r>
              <w:rPr>
                <w:sz w:val="20"/>
              </w:rPr>
              <w:t>10</w:t>
            </w:r>
          </w:p>
        </w:tc>
        <w:tc>
          <w:tcPr>
            <w:tcW w:w="454" w:type="dxa"/>
            <w:tcBorders>
              <w:top w:val="single" w:sz="8" w:space="0" w:color="000000"/>
              <w:left w:val="nil"/>
              <w:bottom w:val="single" w:sz="8" w:space="0" w:color="000000"/>
              <w:right w:val="nil"/>
            </w:tcBorders>
          </w:tcPr>
          <w:p>
            <w:pPr>
              <w:pStyle w:val="TableParagraph"/>
              <w:spacing w:before="128"/>
              <w:ind w:right="137"/>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sz w:val="20"/>
              </w:rPr>
              <w:t>11</w:t>
            </w:r>
          </w:p>
        </w:tc>
        <w:tc>
          <w:tcPr>
            <w:tcW w:w="454" w:type="dxa"/>
            <w:tcBorders>
              <w:top w:val="single" w:sz="8" w:space="0" w:color="000000"/>
              <w:left w:val="nil"/>
              <w:bottom w:val="single" w:sz="8" w:space="0" w:color="000000"/>
              <w:right w:val="nil"/>
            </w:tcBorders>
          </w:tcPr>
          <w:p>
            <w:pPr>
              <w:pStyle w:val="TableParagraph"/>
              <w:spacing w:before="128"/>
              <w:ind w:left="72" w:right="106"/>
              <w:jc w:val="center"/>
              <w:rPr>
                <w:sz w:val="20"/>
              </w:rPr>
            </w:pPr>
            <w:r>
              <w:rPr>
                <w:sz w:val="20"/>
              </w:rPr>
              <w:t>10</w:t>
            </w:r>
          </w:p>
        </w:tc>
        <w:tc>
          <w:tcPr>
            <w:tcW w:w="457" w:type="dxa"/>
            <w:tcBorders>
              <w:top w:val="single" w:sz="8" w:space="0" w:color="000000"/>
              <w:left w:val="nil"/>
              <w:bottom w:val="single" w:sz="8" w:space="0" w:color="000000"/>
              <w:right w:val="nil"/>
            </w:tcBorders>
          </w:tcPr>
          <w:p>
            <w:pPr>
              <w:pStyle w:val="TableParagraph"/>
              <w:spacing w:before="128"/>
              <w:ind w:left="107"/>
              <w:rPr>
                <w:sz w:val="20"/>
              </w:rPr>
            </w:pPr>
            <w:r>
              <w:rPr>
                <w:sz w:val="20"/>
              </w:rPr>
              <w:t>10</w:t>
            </w:r>
          </w:p>
        </w:tc>
        <w:tc>
          <w:tcPr>
            <w:tcW w:w="454" w:type="dxa"/>
            <w:tcBorders>
              <w:top w:val="single" w:sz="8" w:space="0" w:color="000000"/>
              <w:left w:val="nil"/>
              <w:bottom w:val="single" w:sz="8" w:space="0" w:color="000000"/>
              <w:right w:val="nil"/>
            </w:tcBorders>
          </w:tcPr>
          <w:p>
            <w:pPr>
              <w:pStyle w:val="TableParagraph"/>
              <w:spacing w:before="128"/>
              <w:ind w:left="105"/>
              <w:rPr>
                <w:sz w:val="20"/>
              </w:rPr>
            </w:pPr>
            <w:r>
              <w:rPr>
                <w:sz w:val="20"/>
              </w:rPr>
              <w:t>10</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28"/>
              <w:ind w:left="107"/>
              <w:rPr>
                <w:sz w:val="20"/>
              </w:rPr>
            </w:pPr>
            <w:r>
              <w:rPr>
                <w:sz w:val="20"/>
              </w:rPr>
              <w:t>10</w:t>
            </w:r>
          </w:p>
        </w:tc>
        <w:tc>
          <w:tcPr>
            <w:tcW w:w="622" w:type="dxa"/>
            <w:tcBorders>
              <w:top w:val="single" w:sz="8" w:space="0" w:color="000000"/>
              <w:left w:val="nil"/>
              <w:bottom w:val="single" w:sz="8" w:space="0" w:color="000000"/>
              <w:right w:val="nil"/>
            </w:tcBorders>
          </w:tcPr>
          <w:p>
            <w:pPr>
              <w:pStyle w:val="TableParagraph"/>
              <w:spacing w:before="128"/>
              <w:ind w:left="107"/>
              <w:rPr>
                <w:sz w:val="20"/>
              </w:rPr>
            </w:pPr>
            <w:r>
              <w:rPr>
                <w:sz w:val="20"/>
              </w:rPr>
              <w:t>234</w:t>
            </w:r>
          </w:p>
        </w:tc>
      </w:tr>
      <w:tr>
        <w:trPr>
          <w:trHeight w:val="554" w:hRule="exact"/>
        </w:trPr>
        <w:tc>
          <w:tcPr>
            <w:tcW w:w="130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Luzinópolis</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232 de 23/06/15</w:t>
            </w:r>
          </w:p>
        </w:tc>
        <w:tc>
          <w:tcPr>
            <w:tcW w:w="566"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12</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right="54"/>
              <w:jc w:val="center"/>
              <w:rPr>
                <w:sz w:val="20"/>
              </w:rPr>
            </w:pPr>
            <w:r>
              <w:rPr>
                <w:w w:val="99"/>
                <w:sz w:val="20"/>
              </w:rPr>
              <w:t>-</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w:t>
            </w:r>
          </w:p>
        </w:tc>
        <w:tc>
          <w:tcPr>
            <w:tcW w:w="569"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ind w:left="108"/>
              <w:rPr>
                <w:sz w:val="20"/>
              </w:rPr>
            </w:pPr>
            <w:r>
              <w:rPr>
                <w:w w:val="99"/>
                <w:sz w:val="20"/>
              </w:rPr>
              <w:t>-</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17</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13</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11</w:t>
            </w:r>
          </w:p>
        </w:tc>
        <w:tc>
          <w:tcPr>
            <w:tcW w:w="456" w:type="dxa"/>
            <w:tcBorders>
              <w:top w:val="single" w:sz="8" w:space="0" w:color="000000"/>
              <w:left w:val="nil"/>
              <w:bottom w:val="single" w:sz="8" w:space="0" w:color="000000"/>
              <w:right w:val="nil"/>
            </w:tcBorders>
            <w:shd w:val="clear" w:color="auto" w:fill="F9DECA"/>
          </w:tcPr>
          <w:p>
            <w:pPr>
              <w:pStyle w:val="TableParagraph"/>
              <w:ind w:left="90" w:right="126"/>
              <w:jc w:val="center"/>
              <w:rPr>
                <w:sz w:val="20"/>
              </w:rPr>
            </w:pPr>
            <w:r>
              <w:rPr>
                <w:sz w:val="20"/>
              </w:rPr>
              <w:t>15</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34</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10</w:t>
            </w:r>
          </w:p>
        </w:tc>
        <w:tc>
          <w:tcPr>
            <w:tcW w:w="456" w:type="dxa"/>
            <w:tcBorders>
              <w:top w:val="single" w:sz="8" w:space="0" w:color="000000"/>
              <w:left w:val="nil"/>
              <w:bottom w:val="single" w:sz="8" w:space="0" w:color="000000"/>
              <w:right w:val="nil"/>
            </w:tcBorders>
            <w:shd w:val="clear" w:color="auto" w:fill="F9DECA"/>
          </w:tcPr>
          <w:p>
            <w:pPr>
              <w:pStyle w:val="TableParagraph"/>
              <w:ind w:left="90" w:right="126"/>
              <w:jc w:val="center"/>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sz w:val="20"/>
              </w:rPr>
              <w:t>13</w:t>
            </w:r>
          </w:p>
        </w:tc>
        <w:tc>
          <w:tcPr>
            <w:tcW w:w="454" w:type="dxa"/>
            <w:tcBorders>
              <w:top w:val="single" w:sz="8" w:space="0" w:color="000000"/>
              <w:left w:val="nil"/>
              <w:bottom w:val="single" w:sz="8" w:space="0" w:color="000000"/>
              <w:right w:val="nil"/>
            </w:tcBorders>
            <w:shd w:val="clear" w:color="auto" w:fill="F9DECA"/>
          </w:tcPr>
          <w:p>
            <w:pPr>
              <w:pStyle w:val="TableParagraph"/>
              <w:ind w:right="137"/>
              <w:jc w:val="center"/>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11</w:t>
            </w:r>
          </w:p>
        </w:tc>
        <w:tc>
          <w:tcPr>
            <w:tcW w:w="457"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11</w:t>
            </w:r>
          </w:p>
        </w:tc>
        <w:tc>
          <w:tcPr>
            <w:tcW w:w="622"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219</w:t>
            </w:r>
          </w:p>
        </w:tc>
      </w:tr>
    </w:tbl>
    <w:p>
      <w:pPr>
        <w:spacing w:after="0"/>
        <w:rPr>
          <w:sz w:val="20"/>
        </w:rPr>
        <w:sectPr>
          <w:pgSz w:w="16840" w:h="11910" w:orient="landscape"/>
          <w:pgMar w:header="749" w:footer="0" w:top="960" w:bottom="280" w:left="880" w:right="740"/>
        </w:sectPr>
      </w:pPr>
    </w:p>
    <w:p>
      <w:pPr>
        <w:pStyle w:val="BodyText"/>
        <w:rPr>
          <w:sz w:val="20"/>
        </w:rPr>
      </w:pPr>
      <w:r>
        <w:rPr/>
        <w:drawing>
          <wp:anchor distT="0" distB="0" distL="0" distR="0" allowOverlap="1" layoutInCell="1" locked="0" behindDoc="0" simplePos="0" relativeHeight="3328">
            <wp:simplePos x="0" y="0"/>
            <wp:positionH relativeFrom="page">
              <wp:posOffset>2860801</wp:posOffset>
            </wp:positionH>
            <wp:positionV relativeFrom="page">
              <wp:posOffset>1821434</wp:posOffset>
            </wp:positionV>
            <wp:extent cx="213663" cy="333375"/>
            <wp:effectExtent l="0" t="0" r="0" b="0"/>
            <wp:wrapNone/>
            <wp:docPr id="119" name="image20.png" descr=""/>
            <wp:cNvGraphicFramePr>
              <a:graphicFrameLocks noChangeAspect="1"/>
            </wp:cNvGraphicFramePr>
            <a:graphic>
              <a:graphicData uri="http://schemas.openxmlformats.org/drawingml/2006/picture">
                <pic:pic>
                  <pic:nvPicPr>
                    <pic:cNvPr id="120" name="image20.png"/>
                    <pic:cNvPicPr/>
                  </pic:nvPicPr>
                  <pic:blipFill>
                    <a:blip r:embed="rId70" cstate="print"/>
                    <a:stretch>
                      <a:fillRect/>
                    </a:stretch>
                  </pic:blipFill>
                  <pic:spPr>
                    <a:xfrm>
                      <a:off x="0" y="0"/>
                      <a:ext cx="213663" cy="333375"/>
                    </a:xfrm>
                    <a:prstGeom prst="rect">
                      <a:avLst/>
                    </a:prstGeom>
                  </pic:spPr>
                </pic:pic>
              </a:graphicData>
            </a:graphic>
          </wp:anchor>
        </w:drawing>
      </w:r>
      <w:r>
        <w:rPr/>
        <w:drawing>
          <wp:anchor distT="0" distB="0" distL="0" distR="0" allowOverlap="1" layoutInCell="1" locked="0" behindDoc="0" simplePos="0" relativeHeight="3352">
            <wp:simplePos x="0" y="0"/>
            <wp:positionH relativeFrom="page">
              <wp:posOffset>3795395</wp:posOffset>
            </wp:positionH>
            <wp:positionV relativeFrom="page">
              <wp:posOffset>1821434</wp:posOffset>
            </wp:positionV>
            <wp:extent cx="180325" cy="333375"/>
            <wp:effectExtent l="0" t="0" r="0" b="0"/>
            <wp:wrapNone/>
            <wp:docPr id="121" name="image21.png" descr=""/>
            <wp:cNvGraphicFramePr>
              <a:graphicFrameLocks noChangeAspect="1"/>
            </wp:cNvGraphicFramePr>
            <a:graphic>
              <a:graphicData uri="http://schemas.openxmlformats.org/drawingml/2006/picture">
                <pic:pic>
                  <pic:nvPicPr>
                    <pic:cNvPr id="122" name="image21.png"/>
                    <pic:cNvPicPr/>
                  </pic:nvPicPr>
                  <pic:blipFill>
                    <a:blip r:embed="rId71" cstate="print"/>
                    <a:stretch>
                      <a:fillRect/>
                    </a:stretch>
                  </pic:blipFill>
                  <pic:spPr>
                    <a:xfrm>
                      <a:off x="0" y="0"/>
                      <a:ext cx="180325" cy="333375"/>
                    </a:xfrm>
                    <a:prstGeom prst="rect">
                      <a:avLst/>
                    </a:prstGeom>
                  </pic:spPr>
                </pic:pic>
              </a:graphicData>
            </a:graphic>
          </wp:anchor>
        </w:drawing>
      </w:r>
      <w:r>
        <w:rPr/>
        <w:drawing>
          <wp:anchor distT="0" distB="0" distL="0" distR="0" allowOverlap="1" layoutInCell="1" locked="0" behindDoc="0" simplePos="0" relativeHeight="3376">
            <wp:simplePos x="0" y="0"/>
            <wp:positionH relativeFrom="page">
              <wp:posOffset>2860801</wp:posOffset>
            </wp:positionH>
            <wp:positionV relativeFrom="page">
              <wp:posOffset>2518283</wp:posOffset>
            </wp:positionV>
            <wp:extent cx="215734" cy="338137"/>
            <wp:effectExtent l="0" t="0" r="0" b="0"/>
            <wp:wrapNone/>
            <wp:docPr id="123" name="image53.png" descr=""/>
            <wp:cNvGraphicFramePr>
              <a:graphicFrameLocks noChangeAspect="1"/>
            </wp:cNvGraphicFramePr>
            <a:graphic>
              <a:graphicData uri="http://schemas.openxmlformats.org/drawingml/2006/picture">
                <pic:pic>
                  <pic:nvPicPr>
                    <pic:cNvPr id="124" name="image53.png"/>
                    <pic:cNvPicPr/>
                  </pic:nvPicPr>
                  <pic:blipFill>
                    <a:blip r:embed="rId105" cstate="print"/>
                    <a:stretch>
                      <a:fillRect/>
                    </a:stretch>
                  </pic:blipFill>
                  <pic:spPr>
                    <a:xfrm>
                      <a:off x="0" y="0"/>
                      <a:ext cx="215734" cy="338137"/>
                    </a:xfrm>
                    <a:prstGeom prst="rect">
                      <a:avLst/>
                    </a:prstGeom>
                  </pic:spPr>
                </pic:pic>
              </a:graphicData>
            </a:graphic>
          </wp:anchor>
        </w:drawing>
      </w:r>
      <w:r>
        <w:rPr/>
        <w:drawing>
          <wp:anchor distT="0" distB="0" distL="0" distR="0" allowOverlap="1" layoutInCell="1" locked="0" behindDoc="0" simplePos="0" relativeHeight="3400">
            <wp:simplePos x="0" y="0"/>
            <wp:positionH relativeFrom="page">
              <wp:posOffset>3795395</wp:posOffset>
            </wp:positionH>
            <wp:positionV relativeFrom="page">
              <wp:posOffset>2518283</wp:posOffset>
            </wp:positionV>
            <wp:extent cx="182074" cy="338137"/>
            <wp:effectExtent l="0" t="0" r="0" b="0"/>
            <wp:wrapNone/>
            <wp:docPr id="125" name="image23.png" descr=""/>
            <wp:cNvGraphicFramePr>
              <a:graphicFrameLocks noChangeAspect="1"/>
            </wp:cNvGraphicFramePr>
            <a:graphic>
              <a:graphicData uri="http://schemas.openxmlformats.org/drawingml/2006/picture">
                <pic:pic>
                  <pic:nvPicPr>
                    <pic:cNvPr id="126" name="image23.png"/>
                    <pic:cNvPicPr/>
                  </pic:nvPicPr>
                  <pic:blipFill>
                    <a:blip r:embed="rId73" cstate="print"/>
                    <a:stretch>
                      <a:fillRect/>
                    </a:stretch>
                  </pic:blipFill>
                  <pic:spPr>
                    <a:xfrm>
                      <a:off x="0" y="0"/>
                      <a:ext cx="182074" cy="338137"/>
                    </a:xfrm>
                    <a:prstGeom prst="rect">
                      <a:avLst/>
                    </a:prstGeom>
                  </pic:spPr>
                </pic:pic>
              </a:graphicData>
            </a:graphic>
          </wp:anchor>
        </w:drawing>
      </w:r>
      <w:r>
        <w:rPr/>
        <w:drawing>
          <wp:anchor distT="0" distB="0" distL="0" distR="0" allowOverlap="1" layoutInCell="1" locked="0" behindDoc="0" simplePos="0" relativeHeight="3424">
            <wp:simplePos x="0" y="0"/>
            <wp:positionH relativeFrom="page">
              <wp:posOffset>2860801</wp:posOffset>
            </wp:positionH>
            <wp:positionV relativeFrom="page">
              <wp:posOffset>3383915</wp:posOffset>
            </wp:positionV>
            <wp:extent cx="215734" cy="338137"/>
            <wp:effectExtent l="0" t="0" r="0" b="0"/>
            <wp:wrapNone/>
            <wp:docPr id="127" name="image32.png" descr=""/>
            <wp:cNvGraphicFramePr>
              <a:graphicFrameLocks noChangeAspect="1"/>
            </wp:cNvGraphicFramePr>
            <a:graphic>
              <a:graphicData uri="http://schemas.openxmlformats.org/drawingml/2006/picture">
                <pic:pic>
                  <pic:nvPicPr>
                    <pic:cNvPr id="128" name="image32.png"/>
                    <pic:cNvPicPr/>
                  </pic:nvPicPr>
                  <pic:blipFill>
                    <a:blip r:embed="rId83" cstate="print"/>
                    <a:stretch>
                      <a:fillRect/>
                    </a:stretch>
                  </pic:blipFill>
                  <pic:spPr>
                    <a:xfrm>
                      <a:off x="0" y="0"/>
                      <a:ext cx="215734" cy="338137"/>
                    </a:xfrm>
                    <a:prstGeom prst="rect">
                      <a:avLst/>
                    </a:prstGeom>
                  </pic:spPr>
                </pic:pic>
              </a:graphicData>
            </a:graphic>
          </wp:anchor>
        </w:drawing>
      </w:r>
      <w:r>
        <w:rPr/>
        <w:drawing>
          <wp:anchor distT="0" distB="0" distL="0" distR="0" allowOverlap="1" layoutInCell="1" locked="0" behindDoc="0" simplePos="0" relativeHeight="3448">
            <wp:simplePos x="0" y="0"/>
            <wp:positionH relativeFrom="page">
              <wp:posOffset>3795395</wp:posOffset>
            </wp:positionH>
            <wp:positionV relativeFrom="page">
              <wp:posOffset>3383915</wp:posOffset>
            </wp:positionV>
            <wp:extent cx="182074" cy="338137"/>
            <wp:effectExtent l="0" t="0" r="0" b="0"/>
            <wp:wrapNone/>
            <wp:docPr id="129" name="image33.png" descr=""/>
            <wp:cNvGraphicFramePr>
              <a:graphicFrameLocks noChangeAspect="1"/>
            </wp:cNvGraphicFramePr>
            <a:graphic>
              <a:graphicData uri="http://schemas.openxmlformats.org/drawingml/2006/picture">
                <pic:pic>
                  <pic:nvPicPr>
                    <pic:cNvPr id="130" name="image33.png"/>
                    <pic:cNvPicPr/>
                  </pic:nvPicPr>
                  <pic:blipFill>
                    <a:blip r:embed="rId84" cstate="print"/>
                    <a:stretch>
                      <a:fillRect/>
                    </a:stretch>
                  </pic:blipFill>
                  <pic:spPr>
                    <a:xfrm>
                      <a:off x="0" y="0"/>
                      <a:ext cx="182074" cy="338137"/>
                    </a:xfrm>
                    <a:prstGeom prst="rect">
                      <a:avLst/>
                    </a:prstGeom>
                  </pic:spPr>
                </pic:pic>
              </a:graphicData>
            </a:graphic>
          </wp:anchor>
        </w:drawing>
      </w:r>
      <w:r>
        <w:rPr/>
        <w:drawing>
          <wp:anchor distT="0" distB="0" distL="0" distR="0" allowOverlap="1" layoutInCell="1" locked="0" behindDoc="0" simplePos="0" relativeHeight="3472">
            <wp:simplePos x="0" y="0"/>
            <wp:positionH relativeFrom="page">
              <wp:posOffset>2860801</wp:posOffset>
            </wp:positionH>
            <wp:positionV relativeFrom="page">
              <wp:posOffset>4082160</wp:posOffset>
            </wp:positionV>
            <wp:extent cx="213663" cy="500062"/>
            <wp:effectExtent l="0" t="0" r="0" b="0"/>
            <wp:wrapNone/>
            <wp:docPr id="131" name="image54.png" descr=""/>
            <wp:cNvGraphicFramePr>
              <a:graphicFrameLocks noChangeAspect="1"/>
            </wp:cNvGraphicFramePr>
            <a:graphic>
              <a:graphicData uri="http://schemas.openxmlformats.org/drawingml/2006/picture">
                <pic:pic>
                  <pic:nvPicPr>
                    <pic:cNvPr id="132" name="image54.png"/>
                    <pic:cNvPicPr/>
                  </pic:nvPicPr>
                  <pic:blipFill>
                    <a:blip r:embed="rId106" cstate="print"/>
                    <a:stretch>
                      <a:fillRect/>
                    </a:stretch>
                  </pic:blipFill>
                  <pic:spPr>
                    <a:xfrm>
                      <a:off x="0" y="0"/>
                      <a:ext cx="213663" cy="500062"/>
                    </a:xfrm>
                    <a:prstGeom prst="rect">
                      <a:avLst/>
                    </a:prstGeom>
                  </pic:spPr>
                </pic:pic>
              </a:graphicData>
            </a:graphic>
          </wp:anchor>
        </w:drawing>
      </w:r>
      <w:r>
        <w:rPr/>
        <w:drawing>
          <wp:anchor distT="0" distB="0" distL="0" distR="0" allowOverlap="1" layoutInCell="1" locked="0" behindDoc="0" simplePos="0" relativeHeight="3496">
            <wp:simplePos x="0" y="0"/>
            <wp:positionH relativeFrom="page">
              <wp:posOffset>3795395</wp:posOffset>
            </wp:positionH>
            <wp:positionV relativeFrom="page">
              <wp:posOffset>4082160</wp:posOffset>
            </wp:positionV>
            <wp:extent cx="180325" cy="500062"/>
            <wp:effectExtent l="0" t="0" r="0" b="0"/>
            <wp:wrapNone/>
            <wp:docPr id="133" name="image55.png" descr=""/>
            <wp:cNvGraphicFramePr>
              <a:graphicFrameLocks noChangeAspect="1"/>
            </wp:cNvGraphicFramePr>
            <a:graphic>
              <a:graphicData uri="http://schemas.openxmlformats.org/drawingml/2006/picture">
                <pic:pic>
                  <pic:nvPicPr>
                    <pic:cNvPr id="134" name="image55.png"/>
                    <pic:cNvPicPr/>
                  </pic:nvPicPr>
                  <pic:blipFill>
                    <a:blip r:embed="rId107" cstate="print"/>
                    <a:stretch>
                      <a:fillRect/>
                    </a:stretch>
                  </pic:blipFill>
                  <pic:spPr>
                    <a:xfrm>
                      <a:off x="0" y="0"/>
                      <a:ext cx="180325" cy="500062"/>
                    </a:xfrm>
                    <a:prstGeom prst="rect">
                      <a:avLst/>
                    </a:prstGeom>
                  </pic:spPr>
                </pic:pic>
              </a:graphicData>
            </a:graphic>
          </wp:anchor>
        </w:drawing>
      </w:r>
      <w:r>
        <w:rPr/>
        <w:drawing>
          <wp:anchor distT="0" distB="0" distL="0" distR="0" allowOverlap="1" layoutInCell="1" locked="0" behindDoc="0" simplePos="0" relativeHeight="3520">
            <wp:simplePos x="0" y="0"/>
            <wp:positionH relativeFrom="page">
              <wp:posOffset>2860801</wp:posOffset>
            </wp:positionH>
            <wp:positionV relativeFrom="page">
              <wp:posOffset>4946269</wp:posOffset>
            </wp:positionV>
            <wp:extent cx="215734" cy="338137"/>
            <wp:effectExtent l="0" t="0" r="0" b="0"/>
            <wp:wrapNone/>
            <wp:docPr id="135" name="image51.png" descr=""/>
            <wp:cNvGraphicFramePr>
              <a:graphicFrameLocks noChangeAspect="1"/>
            </wp:cNvGraphicFramePr>
            <a:graphic>
              <a:graphicData uri="http://schemas.openxmlformats.org/drawingml/2006/picture">
                <pic:pic>
                  <pic:nvPicPr>
                    <pic:cNvPr id="136" name="image51.png"/>
                    <pic:cNvPicPr/>
                  </pic:nvPicPr>
                  <pic:blipFill>
                    <a:blip r:embed="rId103" cstate="print"/>
                    <a:stretch>
                      <a:fillRect/>
                    </a:stretch>
                  </pic:blipFill>
                  <pic:spPr>
                    <a:xfrm>
                      <a:off x="0" y="0"/>
                      <a:ext cx="215734" cy="338137"/>
                    </a:xfrm>
                    <a:prstGeom prst="rect">
                      <a:avLst/>
                    </a:prstGeom>
                  </pic:spPr>
                </pic:pic>
              </a:graphicData>
            </a:graphic>
          </wp:anchor>
        </w:drawing>
      </w:r>
      <w:r>
        <w:rPr/>
        <w:drawing>
          <wp:anchor distT="0" distB="0" distL="0" distR="0" allowOverlap="1" layoutInCell="1" locked="0" behindDoc="0" simplePos="0" relativeHeight="3544">
            <wp:simplePos x="0" y="0"/>
            <wp:positionH relativeFrom="page">
              <wp:posOffset>3795395</wp:posOffset>
            </wp:positionH>
            <wp:positionV relativeFrom="page">
              <wp:posOffset>4946269</wp:posOffset>
            </wp:positionV>
            <wp:extent cx="182074" cy="338137"/>
            <wp:effectExtent l="0" t="0" r="0" b="0"/>
            <wp:wrapNone/>
            <wp:docPr id="137" name="image52.png" descr=""/>
            <wp:cNvGraphicFramePr>
              <a:graphicFrameLocks noChangeAspect="1"/>
            </wp:cNvGraphicFramePr>
            <a:graphic>
              <a:graphicData uri="http://schemas.openxmlformats.org/drawingml/2006/picture">
                <pic:pic>
                  <pic:nvPicPr>
                    <pic:cNvPr id="138" name="image52.png"/>
                    <pic:cNvPicPr/>
                  </pic:nvPicPr>
                  <pic:blipFill>
                    <a:blip r:embed="rId104" cstate="print"/>
                    <a:stretch>
                      <a:fillRect/>
                    </a:stretch>
                  </pic:blipFill>
                  <pic:spPr>
                    <a:xfrm>
                      <a:off x="0" y="0"/>
                      <a:ext cx="182074" cy="338137"/>
                    </a:xfrm>
                    <a:prstGeom prst="rect">
                      <a:avLst/>
                    </a:prstGeom>
                  </pic:spPr>
                </pic:pic>
              </a:graphicData>
            </a:graphic>
          </wp:anchor>
        </w:drawing>
      </w:r>
      <w:r>
        <w:rPr/>
        <w:drawing>
          <wp:anchor distT="0" distB="0" distL="0" distR="0" allowOverlap="1" layoutInCell="1" locked="0" behindDoc="0" simplePos="0" relativeHeight="3568">
            <wp:simplePos x="0" y="0"/>
            <wp:positionH relativeFrom="page">
              <wp:posOffset>2860801</wp:posOffset>
            </wp:positionH>
            <wp:positionV relativeFrom="page">
              <wp:posOffset>5644642</wp:posOffset>
            </wp:positionV>
            <wp:extent cx="213663" cy="333375"/>
            <wp:effectExtent l="0" t="0" r="0" b="0"/>
            <wp:wrapNone/>
            <wp:docPr id="139" name="image20.png" descr=""/>
            <wp:cNvGraphicFramePr>
              <a:graphicFrameLocks noChangeAspect="1"/>
            </wp:cNvGraphicFramePr>
            <a:graphic>
              <a:graphicData uri="http://schemas.openxmlformats.org/drawingml/2006/picture">
                <pic:pic>
                  <pic:nvPicPr>
                    <pic:cNvPr id="140" name="image20.png"/>
                    <pic:cNvPicPr/>
                  </pic:nvPicPr>
                  <pic:blipFill>
                    <a:blip r:embed="rId70" cstate="print"/>
                    <a:stretch>
                      <a:fillRect/>
                    </a:stretch>
                  </pic:blipFill>
                  <pic:spPr>
                    <a:xfrm>
                      <a:off x="0" y="0"/>
                      <a:ext cx="213663" cy="333375"/>
                    </a:xfrm>
                    <a:prstGeom prst="rect">
                      <a:avLst/>
                    </a:prstGeom>
                  </pic:spPr>
                </pic:pic>
              </a:graphicData>
            </a:graphic>
          </wp:anchor>
        </w:drawing>
      </w:r>
      <w:r>
        <w:rPr/>
        <w:drawing>
          <wp:anchor distT="0" distB="0" distL="0" distR="0" allowOverlap="1" layoutInCell="1" locked="0" behindDoc="0" simplePos="0" relativeHeight="3592">
            <wp:simplePos x="0" y="0"/>
            <wp:positionH relativeFrom="page">
              <wp:posOffset>3795395</wp:posOffset>
            </wp:positionH>
            <wp:positionV relativeFrom="page">
              <wp:posOffset>5644642</wp:posOffset>
            </wp:positionV>
            <wp:extent cx="180325" cy="333375"/>
            <wp:effectExtent l="0" t="0" r="0" b="0"/>
            <wp:wrapNone/>
            <wp:docPr id="141" name="image21.png" descr=""/>
            <wp:cNvGraphicFramePr>
              <a:graphicFrameLocks noChangeAspect="1"/>
            </wp:cNvGraphicFramePr>
            <a:graphic>
              <a:graphicData uri="http://schemas.openxmlformats.org/drawingml/2006/picture">
                <pic:pic>
                  <pic:nvPicPr>
                    <pic:cNvPr id="142" name="image21.png"/>
                    <pic:cNvPicPr/>
                  </pic:nvPicPr>
                  <pic:blipFill>
                    <a:blip r:embed="rId71" cstate="print"/>
                    <a:stretch>
                      <a:fillRect/>
                    </a:stretch>
                  </pic:blipFill>
                  <pic:spPr>
                    <a:xfrm>
                      <a:off x="0" y="0"/>
                      <a:ext cx="180325" cy="333375"/>
                    </a:xfrm>
                    <a:prstGeom prst="rect">
                      <a:avLst/>
                    </a:prstGeom>
                  </pic:spPr>
                </pic:pic>
              </a:graphicData>
            </a:graphic>
          </wp:anchor>
        </w:drawing>
      </w:r>
    </w:p>
    <w:p>
      <w:pPr>
        <w:pStyle w:val="BodyText"/>
        <w:rPr>
          <w:sz w:val="20"/>
        </w:rPr>
      </w:pPr>
    </w:p>
    <w:p>
      <w:pPr>
        <w:pStyle w:val="BodyText"/>
        <w:spacing w:before="8"/>
        <w:rPr>
          <w:sz w:val="22"/>
        </w:rPr>
      </w:pPr>
    </w:p>
    <w:tbl>
      <w:tblPr>
        <w:tblW w:w="0" w:type="auto"/>
        <w:jc w:val="left"/>
        <w:tblInd w:w="101"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304"/>
        <w:gridCol w:w="1078"/>
        <w:gridCol w:w="566"/>
        <w:gridCol w:w="566"/>
        <w:gridCol w:w="338"/>
        <w:gridCol w:w="566"/>
        <w:gridCol w:w="569"/>
        <w:gridCol w:w="283"/>
        <w:gridCol w:w="454"/>
        <w:gridCol w:w="454"/>
        <w:gridCol w:w="454"/>
        <w:gridCol w:w="456"/>
        <w:gridCol w:w="454"/>
        <w:gridCol w:w="454"/>
        <w:gridCol w:w="454"/>
        <w:gridCol w:w="454"/>
        <w:gridCol w:w="454"/>
        <w:gridCol w:w="456"/>
        <w:gridCol w:w="454"/>
        <w:gridCol w:w="454"/>
        <w:gridCol w:w="454"/>
        <w:gridCol w:w="454"/>
        <w:gridCol w:w="454"/>
        <w:gridCol w:w="457"/>
        <w:gridCol w:w="454"/>
        <w:gridCol w:w="454"/>
        <w:gridCol w:w="454"/>
        <w:gridCol w:w="454"/>
        <w:gridCol w:w="622"/>
      </w:tblGrid>
      <w:tr>
        <w:trPr>
          <w:trHeight w:val="1133" w:hRule="exact"/>
        </w:trPr>
        <w:tc>
          <w:tcPr>
            <w:tcW w:w="1304" w:type="dxa"/>
            <w:tcBorders>
              <w:left w:val="single" w:sz="8" w:space="0" w:color="000000"/>
              <w:bottom w:val="single" w:sz="18" w:space="0" w:color="000000"/>
              <w:right w:val="single" w:sz="8" w:space="0" w:color="000000"/>
            </w:tcBorders>
          </w:tcPr>
          <w:p>
            <w:pPr>
              <w:pStyle w:val="TableParagraph"/>
              <w:spacing w:before="0"/>
              <w:rPr>
                <w:sz w:val="22"/>
              </w:rPr>
            </w:pPr>
          </w:p>
          <w:p>
            <w:pPr>
              <w:pStyle w:val="TableParagraph"/>
              <w:spacing w:before="155"/>
              <w:ind w:left="201"/>
              <w:rPr>
                <w:b/>
                <w:sz w:val="20"/>
              </w:rPr>
            </w:pPr>
            <w:r>
              <w:rPr>
                <w:b/>
                <w:sz w:val="20"/>
              </w:rPr>
              <w:t>Município</w:t>
            </w:r>
          </w:p>
        </w:tc>
        <w:tc>
          <w:tcPr>
            <w:tcW w:w="1078" w:type="dxa"/>
            <w:tcBorders>
              <w:left w:val="single" w:sz="8" w:space="0" w:color="000000"/>
              <w:bottom w:val="single" w:sz="18" w:space="0" w:color="000000"/>
              <w:right w:val="single" w:sz="8" w:space="0" w:color="000000"/>
            </w:tcBorders>
            <w:textDirection w:val="btLr"/>
          </w:tcPr>
          <w:p>
            <w:pPr>
              <w:pStyle w:val="TableParagraph"/>
              <w:spacing w:before="4"/>
              <w:rPr>
                <w:sz w:val="22"/>
              </w:rPr>
            </w:pPr>
          </w:p>
          <w:p>
            <w:pPr>
              <w:pStyle w:val="TableParagraph"/>
              <w:spacing w:line="283" w:lineRule="auto" w:before="0"/>
              <w:ind w:left="112" w:right="32"/>
              <w:rPr>
                <w:b/>
                <w:sz w:val="20"/>
              </w:rPr>
            </w:pPr>
            <w:r>
              <w:rPr>
                <w:b/>
                <w:spacing w:val="-1"/>
                <w:w w:val="99"/>
                <w:sz w:val="20"/>
              </w:rPr>
              <w:t>L</w:t>
            </w:r>
            <w:r>
              <w:rPr>
                <w:b/>
                <w:w w:val="99"/>
                <w:sz w:val="20"/>
              </w:rPr>
              <w:t>ei</w:t>
            </w:r>
            <w:r>
              <w:rPr>
                <w:b/>
                <w:sz w:val="20"/>
              </w:rPr>
              <w:t> </w:t>
            </w:r>
            <w:r>
              <w:rPr>
                <w:b/>
                <w:w w:val="99"/>
                <w:sz w:val="20"/>
              </w:rPr>
              <w:t>do </w:t>
            </w:r>
            <w:r>
              <w:rPr>
                <w:b/>
                <w:w w:val="99"/>
                <w:sz w:val="20"/>
              </w:rPr>
              <w:t>P</w:t>
            </w:r>
            <w:r>
              <w:rPr>
                <w:b/>
                <w:spacing w:val="-1"/>
                <w:w w:val="99"/>
                <w:sz w:val="20"/>
              </w:rPr>
              <w:t>M</w:t>
            </w:r>
            <w:r>
              <w:rPr>
                <w:b/>
                <w:w w:val="99"/>
                <w:sz w:val="20"/>
              </w:rPr>
              <w:t>E</w:t>
            </w:r>
          </w:p>
        </w:tc>
        <w:tc>
          <w:tcPr>
            <w:tcW w:w="566" w:type="dxa"/>
            <w:tcBorders>
              <w:left w:val="single" w:sz="8" w:space="0" w:color="000000"/>
              <w:bottom w:val="single" w:sz="18" w:space="0" w:color="000000"/>
              <w:right w:val="single" w:sz="8" w:space="0" w:color="000000"/>
            </w:tcBorders>
            <w:textDirection w:val="btLr"/>
          </w:tcPr>
          <w:p>
            <w:pPr>
              <w:pStyle w:val="TableParagraph"/>
              <w:spacing w:line="283" w:lineRule="auto" w:before="3"/>
              <w:ind w:left="112" w:right="32"/>
              <w:rPr>
                <w:b/>
                <w:sz w:val="20"/>
              </w:rPr>
            </w:pPr>
            <w:r>
              <w:rPr>
                <w:b/>
                <w:w w:val="99"/>
                <w:sz w:val="20"/>
              </w:rPr>
              <w:t>Nº</w:t>
            </w:r>
            <w:r>
              <w:rPr>
                <w:b/>
                <w:spacing w:val="-1"/>
                <w:sz w:val="20"/>
              </w:rPr>
              <w:t> </w:t>
            </w:r>
            <w:r>
              <w:rPr>
                <w:b/>
                <w:w w:val="99"/>
                <w:sz w:val="20"/>
              </w:rPr>
              <w:t>de Ar</w:t>
            </w:r>
            <w:r>
              <w:rPr>
                <w:b/>
                <w:spacing w:val="1"/>
                <w:w w:val="99"/>
                <w:sz w:val="20"/>
              </w:rPr>
              <w:t>t</w:t>
            </w:r>
            <w:r>
              <w:rPr>
                <w:b/>
                <w:w w:val="99"/>
                <w:sz w:val="20"/>
              </w:rPr>
              <w:t>ig</w:t>
            </w:r>
            <w:r>
              <w:rPr>
                <w:b/>
                <w:spacing w:val="1"/>
                <w:w w:val="99"/>
                <w:sz w:val="20"/>
              </w:rPr>
              <w:t>o</w:t>
            </w:r>
            <w:r>
              <w:rPr>
                <w:b/>
                <w:w w:val="99"/>
                <w:sz w:val="20"/>
              </w:rPr>
              <w:t>s</w:t>
            </w:r>
          </w:p>
        </w:tc>
        <w:tc>
          <w:tcPr>
            <w:tcW w:w="566" w:type="dxa"/>
            <w:tcBorders>
              <w:left w:val="single" w:sz="8" w:space="0" w:color="000000"/>
              <w:bottom w:val="single" w:sz="18" w:space="0" w:color="000000"/>
              <w:right w:val="single" w:sz="8" w:space="0" w:color="000000"/>
            </w:tcBorders>
            <w:textDirection w:val="btLr"/>
          </w:tcPr>
          <w:p>
            <w:pPr>
              <w:pStyle w:val="TableParagraph"/>
              <w:spacing w:line="283" w:lineRule="auto" w:before="3"/>
              <w:ind w:left="112" w:right="32"/>
              <w:rPr>
                <w:b/>
                <w:sz w:val="20"/>
              </w:rPr>
            </w:pPr>
            <w:r>
              <w:rPr>
                <w:b/>
                <w:w w:val="99"/>
                <w:sz w:val="20"/>
              </w:rPr>
              <w:t>Nº</w:t>
            </w:r>
            <w:r>
              <w:rPr>
                <w:b/>
                <w:spacing w:val="-1"/>
                <w:sz w:val="20"/>
              </w:rPr>
              <w:t> </w:t>
            </w:r>
            <w:r>
              <w:rPr>
                <w:b/>
                <w:w w:val="99"/>
                <w:sz w:val="20"/>
              </w:rPr>
              <w:t>de </w:t>
            </w:r>
            <w:r>
              <w:rPr>
                <w:b/>
                <w:spacing w:val="-1"/>
                <w:w w:val="99"/>
                <w:sz w:val="20"/>
              </w:rPr>
              <w:t>M</w:t>
            </w:r>
            <w:r>
              <w:rPr>
                <w:b/>
                <w:w w:val="99"/>
                <w:sz w:val="20"/>
              </w:rPr>
              <w:t>e</w:t>
            </w:r>
            <w:r>
              <w:rPr>
                <w:b/>
                <w:spacing w:val="1"/>
                <w:w w:val="99"/>
                <w:sz w:val="20"/>
              </w:rPr>
              <w:t>ta</w:t>
            </w:r>
            <w:r>
              <w:rPr>
                <w:b/>
                <w:w w:val="99"/>
                <w:sz w:val="20"/>
              </w:rPr>
              <w:t>s</w:t>
            </w:r>
          </w:p>
        </w:tc>
        <w:tc>
          <w:tcPr>
            <w:tcW w:w="338" w:type="dxa"/>
            <w:tcBorders>
              <w:left w:val="single" w:sz="8" w:space="0" w:color="000000"/>
              <w:bottom w:val="single" w:sz="18" w:space="0" w:color="000000"/>
              <w:right w:val="single" w:sz="8" w:space="0" w:color="000000"/>
            </w:tcBorders>
            <w:textDirection w:val="btLr"/>
          </w:tcPr>
          <w:p>
            <w:pPr>
              <w:pStyle w:val="TableParagraph"/>
              <w:spacing w:before="24"/>
              <w:ind w:left="-1"/>
              <w:rPr>
                <w:b/>
                <w:sz w:val="20"/>
              </w:rPr>
            </w:pPr>
            <w:r>
              <w:rPr>
                <w:b/>
                <w:w w:val="99"/>
                <w:sz w:val="20"/>
              </w:rPr>
              <w:t>C</w:t>
            </w:r>
            <w:r>
              <w:rPr>
                <w:b/>
                <w:spacing w:val="1"/>
                <w:w w:val="99"/>
                <w:sz w:val="20"/>
              </w:rPr>
              <w:t>o</w:t>
            </w:r>
            <w:r>
              <w:rPr>
                <w:b/>
                <w:w w:val="99"/>
                <w:sz w:val="20"/>
              </w:rPr>
              <w:t>mi</w:t>
            </w:r>
            <w:r>
              <w:rPr>
                <w:b/>
                <w:spacing w:val="-2"/>
                <w:w w:val="99"/>
                <w:sz w:val="20"/>
              </w:rPr>
              <w:t>s</w:t>
            </w:r>
            <w:r>
              <w:rPr>
                <w:b/>
                <w:spacing w:val="-1"/>
                <w:w w:val="99"/>
                <w:sz w:val="20"/>
              </w:rPr>
              <w:t>s</w:t>
            </w:r>
            <w:r>
              <w:rPr>
                <w:b/>
                <w:spacing w:val="1"/>
                <w:w w:val="99"/>
                <w:sz w:val="20"/>
              </w:rPr>
              <w:t>ã</w:t>
            </w:r>
            <w:r>
              <w:rPr>
                <w:b/>
                <w:w w:val="99"/>
                <w:sz w:val="20"/>
              </w:rPr>
              <w:t>o</w:t>
            </w:r>
          </w:p>
        </w:tc>
        <w:tc>
          <w:tcPr>
            <w:tcW w:w="566" w:type="dxa"/>
            <w:tcBorders>
              <w:left w:val="single" w:sz="8" w:space="0" w:color="000000"/>
              <w:bottom w:val="single" w:sz="18" w:space="0" w:color="000000"/>
              <w:right w:val="single" w:sz="8" w:space="0" w:color="000000"/>
            </w:tcBorders>
            <w:textDirection w:val="btLr"/>
          </w:tcPr>
          <w:p>
            <w:pPr>
              <w:pStyle w:val="TableParagraph"/>
              <w:spacing w:line="283" w:lineRule="auto" w:before="3"/>
              <w:ind w:left="-1" w:right="32"/>
              <w:rPr>
                <w:b/>
                <w:sz w:val="20"/>
              </w:rPr>
            </w:pPr>
            <w:r>
              <w:rPr>
                <w:b/>
                <w:spacing w:val="-1"/>
                <w:w w:val="99"/>
                <w:sz w:val="20"/>
              </w:rPr>
              <w:t>E</w:t>
            </w:r>
            <w:r>
              <w:rPr>
                <w:b/>
                <w:w w:val="99"/>
                <w:sz w:val="20"/>
              </w:rPr>
              <w:t>q</w:t>
            </w:r>
            <w:r>
              <w:rPr>
                <w:b/>
                <w:spacing w:val="-1"/>
                <w:w w:val="99"/>
                <w:sz w:val="20"/>
              </w:rPr>
              <w:t>u</w:t>
            </w:r>
            <w:r>
              <w:rPr>
                <w:b/>
                <w:spacing w:val="2"/>
                <w:w w:val="99"/>
                <w:sz w:val="20"/>
              </w:rPr>
              <w:t>i</w:t>
            </w:r>
            <w:r>
              <w:rPr>
                <w:b/>
                <w:w w:val="99"/>
                <w:sz w:val="20"/>
              </w:rPr>
              <w:t>pe </w:t>
            </w:r>
            <w:r>
              <w:rPr>
                <w:b/>
                <w:spacing w:val="-1"/>
                <w:w w:val="99"/>
                <w:sz w:val="20"/>
              </w:rPr>
              <w:t>T</w:t>
            </w:r>
            <w:r>
              <w:rPr>
                <w:b/>
                <w:w w:val="99"/>
                <w:sz w:val="20"/>
              </w:rPr>
              <w:t>écnica</w:t>
            </w:r>
          </w:p>
        </w:tc>
        <w:tc>
          <w:tcPr>
            <w:tcW w:w="569" w:type="dxa"/>
            <w:tcBorders>
              <w:left w:val="single" w:sz="8" w:space="0" w:color="000000"/>
              <w:bottom w:val="single" w:sz="18" w:space="0" w:color="000000"/>
              <w:right w:val="single" w:sz="8" w:space="0" w:color="000000"/>
            </w:tcBorders>
            <w:textDirection w:val="btLr"/>
          </w:tcPr>
          <w:p>
            <w:pPr>
              <w:pStyle w:val="TableParagraph"/>
              <w:spacing w:line="283" w:lineRule="auto" w:before="3"/>
              <w:ind w:left="-1"/>
              <w:rPr>
                <w:b/>
                <w:sz w:val="20"/>
              </w:rPr>
            </w:pPr>
            <w:r>
              <w:rPr>
                <w:b/>
                <w:w w:val="99"/>
                <w:sz w:val="20"/>
              </w:rPr>
              <w:t>H</w:t>
            </w:r>
            <w:r>
              <w:rPr>
                <w:b/>
                <w:w w:val="99"/>
                <w:sz w:val="20"/>
              </w:rPr>
              <w:t>i</w:t>
            </w:r>
            <w:r>
              <w:rPr>
                <w:b/>
                <w:spacing w:val="-1"/>
                <w:w w:val="99"/>
                <w:sz w:val="20"/>
              </w:rPr>
              <w:t>s</w:t>
            </w:r>
            <w:r>
              <w:rPr>
                <w:b/>
                <w:w w:val="99"/>
                <w:sz w:val="20"/>
              </w:rPr>
              <w:t>t</w:t>
            </w:r>
            <w:r>
              <w:rPr>
                <w:b/>
                <w:spacing w:val="1"/>
                <w:w w:val="99"/>
                <w:sz w:val="20"/>
              </w:rPr>
              <w:t>ó</w:t>
            </w:r>
            <w:r>
              <w:rPr>
                <w:b/>
                <w:w w:val="99"/>
                <w:sz w:val="20"/>
              </w:rPr>
              <w:t>rico</w:t>
            </w:r>
            <w:r>
              <w:rPr>
                <w:b/>
                <w:spacing w:val="1"/>
                <w:sz w:val="20"/>
              </w:rPr>
              <w:t> </w:t>
            </w:r>
            <w:r>
              <w:rPr>
                <w:b/>
                <w:w w:val="99"/>
                <w:sz w:val="20"/>
              </w:rPr>
              <w:t>do </w:t>
            </w:r>
            <w:r>
              <w:rPr>
                <w:b/>
                <w:spacing w:val="-1"/>
                <w:w w:val="99"/>
                <w:sz w:val="20"/>
              </w:rPr>
              <w:t>M</w:t>
            </w:r>
            <w:r>
              <w:rPr>
                <w:b/>
                <w:w w:val="99"/>
                <w:sz w:val="20"/>
              </w:rPr>
              <w:t>u</w:t>
            </w:r>
            <w:r>
              <w:rPr>
                <w:b/>
                <w:spacing w:val="1"/>
                <w:w w:val="99"/>
                <w:sz w:val="20"/>
              </w:rPr>
              <w:t>n</w:t>
            </w:r>
            <w:r>
              <w:rPr>
                <w:b/>
                <w:w w:val="99"/>
                <w:sz w:val="20"/>
              </w:rPr>
              <w:t>icípio</w:t>
            </w:r>
          </w:p>
        </w:tc>
        <w:tc>
          <w:tcPr>
            <w:tcW w:w="283" w:type="dxa"/>
            <w:tcBorders>
              <w:left w:val="single" w:sz="8" w:space="0" w:color="000000"/>
              <w:bottom w:val="single" w:sz="18" w:space="0" w:color="000000"/>
              <w:right w:val="single" w:sz="8" w:space="0" w:color="000000"/>
            </w:tcBorders>
            <w:textDirection w:val="btLr"/>
          </w:tcPr>
          <w:p>
            <w:pPr>
              <w:pStyle w:val="TableParagraph"/>
              <w:spacing w:line="226" w:lineRule="exact" w:before="0"/>
              <w:ind w:left="-1"/>
              <w:rPr>
                <w:b/>
                <w:sz w:val="20"/>
              </w:rPr>
            </w:pPr>
            <w:r>
              <w:rPr>
                <w:b/>
                <w:w w:val="99"/>
                <w:sz w:val="20"/>
              </w:rPr>
              <w:t>Di</w:t>
            </w:r>
            <w:r>
              <w:rPr>
                <w:b/>
                <w:spacing w:val="1"/>
                <w:w w:val="99"/>
                <w:sz w:val="20"/>
              </w:rPr>
              <w:t>a</w:t>
            </w:r>
            <w:r>
              <w:rPr>
                <w:b/>
                <w:spacing w:val="1"/>
                <w:w w:val="99"/>
                <w:sz w:val="20"/>
              </w:rPr>
              <w:t>g</w:t>
            </w:r>
            <w:r>
              <w:rPr>
                <w:b/>
                <w:w w:val="99"/>
                <w:sz w:val="20"/>
              </w:rPr>
              <w:t>nó</w:t>
            </w:r>
            <w:r>
              <w:rPr>
                <w:b/>
                <w:spacing w:val="-1"/>
                <w:w w:val="99"/>
                <w:sz w:val="20"/>
              </w:rPr>
              <w:t>s</w:t>
            </w:r>
            <w:r>
              <w:rPr>
                <w:b/>
                <w:w w:val="99"/>
                <w:sz w:val="20"/>
              </w:rPr>
              <w:t>tico</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1</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2</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3</w:t>
            </w:r>
          </w:p>
        </w:tc>
        <w:tc>
          <w:tcPr>
            <w:tcW w:w="456"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4</w:t>
            </w:r>
          </w:p>
        </w:tc>
        <w:tc>
          <w:tcPr>
            <w:tcW w:w="454" w:type="dxa"/>
            <w:tcBorders>
              <w:left w:val="single" w:sz="8" w:space="0" w:color="000000"/>
              <w:bottom w:val="single" w:sz="18" w:space="0" w:color="000000"/>
              <w:right w:val="single" w:sz="8" w:space="0" w:color="000000"/>
            </w:tcBorders>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5</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6</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7</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8</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9</w:t>
            </w:r>
          </w:p>
        </w:tc>
        <w:tc>
          <w:tcPr>
            <w:tcW w:w="456"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0</w:t>
            </w:r>
          </w:p>
        </w:tc>
        <w:tc>
          <w:tcPr>
            <w:tcW w:w="454" w:type="dxa"/>
            <w:tcBorders>
              <w:left w:val="single" w:sz="8" w:space="0" w:color="000000"/>
              <w:bottom w:val="single" w:sz="18" w:space="0" w:color="000000"/>
              <w:right w:val="single" w:sz="8" w:space="0" w:color="000000"/>
            </w:tcBorders>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1</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2</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3</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4</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5</w:t>
            </w:r>
          </w:p>
        </w:tc>
        <w:tc>
          <w:tcPr>
            <w:tcW w:w="457"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6</w:t>
            </w:r>
          </w:p>
        </w:tc>
        <w:tc>
          <w:tcPr>
            <w:tcW w:w="454" w:type="dxa"/>
            <w:tcBorders>
              <w:left w:val="single" w:sz="8" w:space="0" w:color="000000"/>
              <w:bottom w:val="single" w:sz="18" w:space="0" w:color="000000"/>
              <w:right w:val="single" w:sz="8" w:space="0" w:color="000000"/>
            </w:tcBorders>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7</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8</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9</w:t>
            </w:r>
          </w:p>
        </w:tc>
        <w:tc>
          <w:tcPr>
            <w:tcW w:w="454" w:type="dxa"/>
            <w:tcBorders>
              <w:left w:val="single" w:sz="8" w:space="0" w:color="000000"/>
              <w:bottom w:val="single" w:sz="18" w:space="0" w:color="000000"/>
              <w:right w:val="single" w:sz="8" w:space="0" w:color="000000"/>
            </w:tcBorders>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2</w:t>
            </w:r>
            <w:r>
              <w:rPr>
                <w:b/>
                <w:w w:val="99"/>
                <w:sz w:val="20"/>
              </w:rPr>
              <w:t>0</w:t>
            </w:r>
          </w:p>
        </w:tc>
        <w:tc>
          <w:tcPr>
            <w:tcW w:w="622" w:type="dxa"/>
            <w:tcBorders>
              <w:left w:val="single" w:sz="8" w:space="0" w:color="000000"/>
              <w:bottom w:val="single" w:sz="18" w:space="0" w:color="000000"/>
              <w:right w:val="single" w:sz="8" w:space="0" w:color="000000"/>
            </w:tcBorders>
            <w:textDirection w:val="btLr"/>
          </w:tcPr>
          <w:p>
            <w:pPr>
              <w:pStyle w:val="TableParagraph"/>
              <w:spacing w:line="283" w:lineRule="auto" w:before="29"/>
              <w:ind w:left="-1" w:right="32"/>
              <w:rPr>
                <w:b/>
                <w:sz w:val="20"/>
              </w:rPr>
            </w:pPr>
            <w:r>
              <w:rPr>
                <w:b/>
                <w:spacing w:val="-1"/>
                <w:w w:val="99"/>
                <w:sz w:val="20"/>
              </w:rPr>
              <w:t>T</w:t>
            </w:r>
            <w:r>
              <w:rPr>
                <w:b/>
                <w:spacing w:val="1"/>
                <w:w w:val="99"/>
                <w:sz w:val="20"/>
              </w:rPr>
              <w:t>o</w:t>
            </w:r>
            <w:r>
              <w:rPr>
                <w:b/>
                <w:w w:val="99"/>
                <w:sz w:val="20"/>
              </w:rPr>
              <w:t>t</w:t>
            </w:r>
            <w:r>
              <w:rPr>
                <w:b/>
                <w:spacing w:val="1"/>
                <w:w w:val="99"/>
                <w:sz w:val="20"/>
              </w:rPr>
              <w:t>a</w:t>
            </w:r>
            <w:r>
              <w:rPr>
                <w:b/>
                <w:w w:val="99"/>
                <w:sz w:val="20"/>
              </w:rPr>
              <w:t>l</w:t>
            </w:r>
            <w:r>
              <w:rPr>
                <w:b/>
                <w:spacing w:val="-1"/>
                <w:sz w:val="20"/>
              </w:rPr>
              <w:t> </w:t>
            </w:r>
            <w:r>
              <w:rPr>
                <w:b/>
                <w:w w:val="99"/>
                <w:sz w:val="20"/>
              </w:rPr>
              <w:t>de </w:t>
            </w:r>
            <w:r>
              <w:rPr>
                <w:b/>
                <w:spacing w:val="-1"/>
                <w:w w:val="99"/>
                <w:sz w:val="20"/>
              </w:rPr>
              <w:t>E</w:t>
            </w:r>
            <w:r>
              <w:rPr>
                <w:b/>
                <w:spacing w:val="-1"/>
                <w:w w:val="99"/>
                <w:sz w:val="20"/>
              </w:rPr>
              <w:t>s</w:t>
            </w:r>
            <w:r>
              <w:rPr>
                <w:b/>
                <w:w w:val="99"/>
                <w:sz w:val="20"/>
              </w:rPr>
              <w:t>tr</w:t>
            </w:r>
            <w:r>
              <w:rPr>
                <w:b/>
                <w:spacing w:val="1"/>
                <w:w w:val="99"/>
                <w:sz w:val="20"/>
              </w:rPr>
              <w:t>a</w:t>
            </w:r>
            <w:r>
              <w:rPr>
                <w:b/>
                <w:w w:val="99"/>
                <w:sz w:val="20"/>
              </w:rPr>
              <w:t>té</w:t>
            </w:r>
            <w:r>
              <w:rPr>
                <w:b/>
                <w:spacing w:val="1"/>
                <w:w w:val="99"/>
                <w:sz w:val="20"/>
              </w:rPr>
              <w:t>g</w:t>
            </w:r>
            <w:r>
              <w:rPr>
                <w:b/>
                <w:w w:val="99"/>
                <w:sz w:val="20"/>
              </w:rPr>
              <w:t>ia</w:t>
            </w:r>
            <w:r>
              <w:rPr>
                <w:b/>
                <w:w w:val="99"/>
                <w:sz w:val="20"/>
              </w:rPr>
              <w:t>s</w:t>
            </w:r>
          </w:p>
        </w:tc>
      </w:tr>
      <w:tr>
        <w:trPr>
          <w:trHeight w:val="560" w:hRule="exact"/>
        </w:trPr>
        <w:tc>
          <w:tcPr>
            <w:tcW w:w="1304" w:type="dxa"/>
            <w:tcBorders>
              <w:left w:val="nil"/>
              <w:bottom w:val="single" w:sz="8" w:space="0" w:color="000000"/>
              <w:right w:val="nil"/>
            </w:tcBorders>
            <w:shd w:val="clear" w:color="auto" w:fill="F9DECA"/>
          </w:tcPr>
          <w:p>
            <w:pPr>
              <w:pStyle w:val="TableParagraph"/>
              <w:spacing w:before="129"/>
              <w:ind w:left="107"/>
              <w:rPr>
                <w:sz w:val="20"/>
              </w:rPr>
            </w:pPr>
            <w:r>
              <w:rPr>
                <w:sz w:val="20"/>
              </w:rPr>
              <w:t>Maurilândia</w:t>
            </w:r>
          </w:p>
        </w:tc>
        <w:tc>
          <w:tcPr>
            <w:tcW w:w="1078" w:type="dxa"/>
            <w:tcBorders>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312 de 12/06/15</w:t>
            </w:r>
          </w:p>
        </w:tc>
        <w:tc>
          <w:tcPr>
            <w:tcW w:w="566" w:type="dxa"/>
            <w:tcBorders>
              <w:left w:val="nil"/>
              <w:bottom w:val="single" w:sz="8" w:space="0" w:color="000000"/>
              <w:right w:val="nil"/>
            </w:tcBorders>
            <w:shd w:val="clear" w:color="auto" w:fill="F9DECA"/>
          </w:tcPr>
          <w:p>
            <w:pPr>
              <w:pStyle w:val="TableParagraph"/>
              <w:spacing w:before="129"/>
              <w:ind w:left="107"/>
              <w:rPr>
                <w:sz w:val="20"/>
              </w:rPr>
            </w:pPr>
            <w:r>
              <w:rPr>
                <w:sz w:val="20"/>
              </w:rPr>
              <w:t>10</w:t>
            </w:r>
          </w:p>
        </w:tc>
        <w:tc>
          <w:tcPr>
            <w:tcW w:w="566" w:type="dxa"/>
            <w:tcBorders>
              <w:left w:val="nil"/>
              <w:bottom w:val="single" w:sz="8" w:space="0" w:color="000000"/>
              <w:right w:val="nil"/>
            </w:tcBorders>
            <w:shd w:val="clear" w:color="auto" w:fill="F9DECA"/>
          </w:tcPr>
          <w:p>
            <w:pPr>
              <w:pStyle w:val="TableParagraph"/>
              <w:spacing w:before="129"/>
              <w:ind w:left="108"/>
              <w:rPr>
                <w:sz w:val="20"/>
              </w:rPr>
            </w:pPr>
            <w:r>
              <w:rPr>
                <w:sz w:val="20"/>
              </w:rPr>
              <w:t>20</w:t>
            </w:r>
          </w:p>
        </w:tc>
        <w:tc>
          <w:tcPr>
            <w:tcW w:w="338" w:type="dxa"/>
            <w:tcBorders>
              <w:top w:val="single" w:sz="18" w:space="0" w:color="000000"/>
              <w:left w:val="nil"/>
              <w:bottom w:val="single" w:sz="8" w:space="0" w:color="000000"/>
              <w:right w:val="nil"/>
            </w:tcBorders>
          </w:tcPr>
          <w:p>
            <w:pPr>
              <w:pStyle w:val="TableParagraph"/>
              <w:ind w:right="54"/>
              <w:jc w:val="center"/>
              <w:rPr>
                <w:sz w:val="20"/>
              </w:rPr>
            </w:pPr>
            <w:r>
              <w:rPr>
                <w:w w:val="99"/>
                <w:sz w:val="20"/>
              </w:rPr>
              <w:t>-</w:t>
            </w:r>
          </w:p>
        </w:tc>
        <w:tc>
          <w:tcPr>
            <w:tcW w:w="566" w:type="dxa"/>
            <w:tcBorders>
              <w:left w:val="nil"/>
              <w:bottom w:val="single" w:sz="8" w:space="0" w:color="000000"/>
              <w:right w:val="nil"/>
            </w:tcBorders>
            <w:shd w:val="clear" w:color="auto" w:fill="F9DECA"/>
          </w:tcPr>
          <w:p>
            <w:pPr>
              <w:pStyle w:val="TableParagraph"/>
              <w:spacing w:before="129"/>
              <w:ind w:left="107"/>
              <w:rPr>
                <w:sz w:val="20"/>
              </w:rPr>
            </w:pPr>
            <w:r>
              <w:rPr>
                <w:w w:val="99"/>
                <w:sz w:val="20"/>
              </w:rPr>
              <w:t>-</w:t>
            </w:r>
          </w:p>
        </w:tc>
        <w:tc>
          <w:tcPr>
            <w:tcW w:w="569" w:type="dxa"/>
            <w:tcBorders>
              <w:left w:val="nil"/>
              <w:bottom w:val="single" w:sz="8" w:space="0" w:color="000000"/>
              <w:right w:val="nil"/>
            </w:tcBorders>
            <w:shd w:val="clear" w:color="auto" w:fill="F9DECA"/>
          </w:tcPr>
          <w:p>
            <w:pPr>
              <w:pStyle w:val="TableParagraph"/>
              <w:spacing w:before="129"/>
              <w:ind w:left="108"/>
              <w:rPr>
                <w:sz w:val="20"/>
              </w:rPr>
            </w:pPr>
            <w:r>
              <w:rPr>
                <w:w w:val="99"/>
                <w:sz w:val="20"/>
              </w:rPr>
              <w:t>X</w:t>
            </w:r>
          </w:p>
        </w:tc>
        <w:tc>
          <w:tcPr>
            <w:tcW w:w="283" w:type="dxa"/>
            <w:tcBorders>
              <w:top w:val="single" w:sz="18" w:space="0" w:color="000000"/>
              <w:left w:val="nil"/>
              <w:bottom w:val="single" w:sz="8" w:space="0" w:color="000000"/>
              <w:right w:val="nil"/>
            </w:tcBorders>
          </w:tcPr>
          <w:p>
            <w:pPr>
              <w:pStyle w:val="TableParagraph"/>
              <w:ind w:left="105"/>
              <w:rPr>
                <w:sz w:val="20"/>
              </w:rPr>
            </w:pPr>
            <w:r>
              <w:rPr>
                <w:w w:val="99"/>
                <w:sz w:val="20"/>
              </w:rPr>
              <w:t>X</w:t>
            </w:r>
          </w:p>
        </w:tc>
        <w:tc>
          <w:tcPr>
            <w:tcW w:w="454" w:type="dxa"/>
            <w:tcBorders>
              <w:left w:val="nil"/>
              <w:bottom w:val="single" w:sz="8" w:space="0" w:color="000000"/>
              <w:right w:val="nil"/>
            </w:tcBorders>
            <w:shd w:val="clear" w:color="auto" w:fill="F9DECA"/>
          </w:tcPr>
          <w:p>
            <w:pPr>
              <w:pStyle w:val="TableParagraph"/>
              <w:spacing w:before="129"/>
              <w:ind w:left="71" w:right="106"/>
              <w:jc w:val="center"/>
              <w:rPr>
                <w:sz w:val="20"/>
              </w:rPr>
            </w:pPr>
            <w:r>
              <w:rPr>
                <w:sz w:val="20"/>
              </w:rPr>
              <w:t>20</w:t>
            </w:r>
          </w:p>
        </w:tc>
        <w:tc>
          <w:tcPr>
            <w:tcW w:w="454" w:type="dxa"/>
            <w:tcBorders>
              <w:left w:val="nil"/>
              <w:bottom w:val="single" w:sz="8" w:space="0" w:color="000000"/>
              <w:right w:val="nil"/>
            </w:tcBorders>
            <w:shd w:val="clear" w:color="auto" w:fill="F9DECA"/>
          </w:tcPr>
          <w:p>
            <w:pPr>
              <w:pStyle w:val="TableParagraph"/>
              <w:spacing w:before="129"/>
              <w:ind w:left="108"/>
              <w:rPr>
                <w:sz w:val="20"/>
              </w:rPr>
            </w:pPr>
            <w:r>
              <w:rPr>
                <w:w w:val="99"/>
                <w:sz w:val="20"/>
              </w:rPr>
              <w:t>7</w:t>
            </w:r>
          </w:p>
        </w:tc>
        <w:tc>
          <w:tcPr>
            <w:tcW w:w="454" w:type="dxa"/>
            <w:tcBorders>
              <w:left w:val="nil"/>
              <w:bottom w:val="single" w:sz="8" w:space="0" w:color="000000"/>
              <w:right w:val="nil"/>
            </w:tcBorders>
            <w:shd w:val="clear" w:color="auto" w:fill="F9DECA"/>
          </w:tcPr>
          <w:p>
            <w:pPr>
              <w:pStyle w:val="TableParagraph"/>
              <w:spacing w:before="129"/>
              <w:ind w:left="107"/>
              <w:rPr>
                <w:sz w:val="20"/>
              </w:rPr>
            </w:pPr>
            <w:r>
              <w:rPr>
                <w:sz w:val="20"/>
              </w:rPr>
              <w:t>12</w:t>
            </w:r>
          </w:p>
        </w:tc>
        <w:tc>
          <w:tcPr>
            <w:tcW w:w="456" w:type="dxa"/>
            <w:tcBorders>
              <w:left w:val="nil"/>
              <w:bottom w:val="single" w:sz="8" w:space="0" w:color="000000"/>
              <w:right w:val="nil"/>
            </w:tcBorders>
            <w:shd w:val="clear" w:color="auto" w:fill="F9DECA"/>
          </w:tcPr>
          <w:p>
            <w:pPr>
              <w:pStyle w:val="TableParagraph"/>
              <w:spacing w:before="129"/>
              <w:ind w:left="90" w:right="126"/>
              <w:jc w:val="center"/>
              <w:rPr>
                <w:sz w:val="20"/>
              </w:rPr>
            </w:pPr>
            <w:r>
              <w:rPr>
                <w:sz w:val="20"/>
              </w:rPr>
              <w:t>13</w:t>
            </w:r>
          </w:p>
        </w:tc>
        <w:tc>
          <w:tcPr>
            <w:tcW w:w="454" w:type="dxa"/>
            <w:tcBorders>
              <w:left w:val="nil"/>
              <w:bottom w:val="single" w:sz="8" w:space="0" w:color="000000"/>
              <w:right w:val="nil"/>
            </w:tcBorders>
            <w:shd w:val="clear" w:color="auto" w:fill="F9DECA"/>
          </w:tcPr>
          <w:p>
            <w:pPr>
              <w:pStyle w:val="TableParagraph"/>
              <w:spacing w:before="129"/>
              <w:ind w:left="105"/>
              <w:rPr>
                <w:sz w:val="20"/>
              </w:rPr>
            </w:pPr>
            <w:r>
              <w:rPr>
                <w:w w:val="99"/>
                <w:sz w:val="20"/>
              </w:rPr>
              <w:t>4</w:t>
            </w:r>
          </w:p>
        </w:tc>
        <w:tc>
          <w:tcPr>
            <w:tcW w:w="454" w:type="dxa"/>
            <w:tcBorders>
              <w:left w:val="nil"/>
              <w:bottom w:val="single" w:sz="8" w:space="0" w:color="000000"/>
              <w:right w:val="nil"/>
            </w:tcBorders>
            <w:shd w:val="clear" w:color="auto" w:fill="F9DECA"/>
          </w:tcPr>
          <w:p>
            <w:pPr>
              <w:pStyle w:val="TableParagraph"/>
              <w:spacing w:before="129"/>
              <w:ind w:right="136"/>
              <w:jc w:val="center"/>
              <w:rPr>
                <w:sz w:val="20"/>
              </w:rPr>
            </w:pPr>
            <w:r>
              <w:rPr>
                <w:w w:val="99"/>
                <w:sz w:val="20"/>
              </w:rPr>
              <w:t>7</w:t>
            </w:r>
          </w:p>
        </w:tc>
        <w:tc>
          <w:tcPr>
            <w:tcW w:w="454" w:type="dxa"/>
            <w:tcBorders>
              <w:left w:val="nil"/>
              <w:bottom w:val="single" w:sz="8" w:space="0" w:color="000000"/>
              <w:right w:val="nil"/>
            </w:tcBorders>
            <w:shd w:val="clear" w:color="auto" w:fill="F9DECA"/>
          </w:tcPr>
          <w:p>
            <w:pPr>
              <w:pStyle w:val="TableParagraph"/>
              <w:spacing w:before="129"/>
              <w:ind w:left="72" w:right="106"/>
              <w:jc w:val="center"/>
              <w:rPr>
                <w:sz w:val="20"/>
              </w:rPr>
            </w:pPr>
            <w:r>
              <w:rPr>
                <w:sz w:val="20"/>
              </w:rPr>
              <w:t>16</w:t>
            </w:r>
          </w:p>
        </w:tc>
        <w:tc>
          <w:tcPr>
            <w:tcW w:w="454" w:type="dxa"/>
            <w:tcBorders>
              <w:left w:val="nil"/>
              <w:bottom w:val="single" w:sz="8" w:space="0" w:color="000000"/>
              <w:right w:val="nil"/>
            </w:tcBorders>
            <w:shd w:val="clear" w:color="auto" w:fill="F9DECA"/>
          </w:tcPr>
          <w:p>
            <w:pPr>
              <w:pStyle w:val="TableParagraph"/>
              <w:spacing w:before="129"/>
              <w:ind w:left="108"/>
              <w:rPr>
                <w:sz w:val="20"/>
              </w:rPr>
            </w:pPr>
            <w:r>
              <w:rPr>
                <w:w w:val="99"/>
                <w:sz w:val="20"/>
              </w:rPr>
              <w:t>5</w:t>
            </w:r>
          </w:p>
        </w:tc>
        <w:tc>
          <w:tcPr>
            <w:tcW w:w="454" w:type="dxa"/>
            <w:tcBorders>
              <w:left w:val="nil"/>
              <w:bottom w:val="single" w:sz="8" w:space="0" w:color="000000"/>
              <w:right w:val="nil"/>
            </w:tcBorders>
            <w:shd w:val="clear" w:color="auto" w:fill="F9DECA"/>
          </w:tcPr>
          <w:p>
            <w:pPr>
              <w:pStyle w:val="TableParagraph"/>
              <w:spacing w:before="129"/>
              <w:ind w:left="72" w:right="106"/>
              <w:jc w:val="center"/>
              <w:rPr>
                <w:sz w:val="20"/>
              </w:rPr>
            </w:pPr>
            <w:r>
              <w:rPr>
                <w:sz w:val="20"/>
              </w:rPr>
              <w:t>14</w:t>
            </w:r>
          </w:p>
        </w:tc>
        <w:tc>
          <w:tcPr>
            <w:tcW w:w="456" w:type="dxa"/>
            <w:tcBorders>
              <w:left w:val="nil"/>
              <w:bottom w:val="single" w:sz="8" w:space="0" w:color="000000"/>
              <w:right w:val="nil"/>
            </w:tcBorders>
            <w:shd w:val="clear" w:color="auto" w:fill="F9DECA"/>
          </w:tcPr>
          <w:p>
            <w:pPr>
              <w:pStyle w:val="TableParagraph"/>
              <w:spacing w:before="129"/>
              <w:ind w:right="138"/>
              <w:jc w:val="center"/>
              <w:rPr>
                <w:sz w:val="20"/>
              </w:rPr>
            </w:pPr>
            <w:r>
              <w:rPr>
                <w:w w:val="99"/>
                <w:sz w:val="20"/>
              </w:rPr>
              <w:t>6</w:t>
            </w:r>
          </w:p>
        </w:tc>
        <w:tc>
          <w:tcPr>
            <w:tcW w:w="454" w:type="dxa"/>
            <w:tcBorders>
              <w:left w:val="nil"/>
              <w:bottom w:val="single" w:sz="8" w:space="0" w:color="000000"/>
              <w:right w:val="nil"/>
            </w:tcBorders>
            <w:shd w:val="clear" w:color="auto" w:fill="F9DECA"/>
          </w:tcPr>
          <w:p>
            <w:pPr>
              <w:pStyle w:val="TableParagraph"/>
              <w:spacing w:before="129"/>
              <w:ind w:left="105"/>
              <w:rPr>
                <w:sz w:val="20"/>
              </w:rPr>
            </w:pPr>
            <w:r>
              <w:rPr>
                <w:w w:val="99"/>
                <w:sz w:val="20"/>
              </w:rPr>
              <w:t>4</w:t>
            </w:r>
          </w:p>
        </w:tc>
        <w:tc>
          <w:tcPr>
            <w:tcW w:w="454" w:type="dxa"/>
            <w:tcBorders>
              <w:left w:val="nil"/>
              <w:bottom w:val="single" w:sz="8" w:space="0" w:color="000000"/>
              <w:right w:val="nil"/>
            </w:tcBorders>
            <w:shd w:val="clear" w:color="auto" w:fill="F9DECA"/>
          </w:tcPr>
          <w:p>
            <w:pPr>
              <w:pStyle w:val="TableParagraph"/>
              <w:spacing w:before="129"/>
              <w:ind w:right="137"/>
              <w:jc w:val="center"/>
              <w:rPr>
                <w:sz w:val="20"/>
              </w:rPr>
            </w:pPr>
            <w:r>
              <w:rPr>
                <w:w w:val="99"/>
                <w:sz w:val="20"/>
              </w:rPr>
              <w:t>2</w:t>
            </w:r>
          </w:p>
        </w:tc>
        <w:tc>
          <w:tcPr>
            <w:tcW w:w="454" w:type="dxa"/>
            <w:tcBorders>
              <w:left w:val="nil"/>
              <w:bottom w:val="single" w:sz="8" w:space="0" w:color="000000"/>
              <w:right w:val="nil"/>
            </w:tcBorders>
            <w:shd w:val="clear" w:color="auto" w:fill="F9DECA"/>
          </w:tcPr>
          <w:p>
            <w:pPr>
              <w:pStyle w:val="TableParagraph"/>
              <w:spacing w:before="129"/>
              <w:ind w:left="108"/>
              <w:rPr>
                <w:sz w:val="20"/>
              </w:rPr>
            </w:pPr>
            <w:r>
              <w:rPr>
                <w:w w:val="99"/>
                <w:sz w:val="20"/>
              </w:rPr>
              <w:t>4</w:t>
            </w:r>
          </w:p>
        </w:tc>
        <w:tc>
          <w:tcPr>
            <w:tcW w:w="454" w:type="dxa"/>
            <w:tcBorders>
              <w:left w:val="nil"/>
              <w:bottom w:val="single" w:sz="8" w:space="0" w:color="000000"/>
              <w:right w:val="nil"/>
            </w:tcBorders>
            <w:shd w:val="clear" w:color="auto" w:fill="F9DECA"/>
          </w:tcPr>
          <w:p>
            <w:pPr>
              <w:pStyle w:val="TableParagraph"/>
              <w:spacing w:before="129"/>
              <w:ind w:left="108"/>
              <w:rPr>
                <w:sz w:val="20"/>
              </w:rPr>
            </w:pPr>
            <w:r>
              <w:rPr>
                <w:w w:val="99"/>
                <w:sz w:val="20"/>
              </w:rPr>
              <w:t>6</w:t>
            </w:r>
          </w:p>
        </w:tc>
        <w:tc>
          <w:tcPr>
            <w:tcW w:w="454" w:type="dxa"/>
            <w:tcBorders>
              <w:left w:val="nil"/>
              <w:bottom w:val="single" w:sz="8" w:space="0" w:color="000000"/>
              <w:right w:val="nil"/>
            </w:tcBorders>
            <w:shd w:val="clear" w:color="auto" w:fill="F9DECA"/>
          </w:tcPr>
          <w:p>
            <w:pPr>
              <w:pStyle w:val="TableParagraph"/>
              <w:spacing w:before="129"/>
              <w:ind w:right="136"/>
              <w:jc w:val="center"/>
              <w:rPr>
                <w:sz w:val="20"/>
              </w:rPr>
            </w:pPr>
            <w:r>
              <w:rPr>
                <w:w w:val="99"/>
                <w:sz w:val="20"/>
              </w:rPr>
              <w:t>8</w:t>
            </w:r>
          </w:p>
        </w:tc>
        <w:tc>
          <w:tcPr>
            <w:tcW w:w="457" w:type="dxa"/>
            <w:tcBorders>
              <w:left w:val="nil"/>
              <w:bottom w:val="single" w:sz="8" w:space="0" w:color="000000"/>
              <w:right w:val="nil"/>
            </w:tcBorders>
            <w:shd w:val="clear" w:color="auto" w:fill="F9DECA"/>
          </w:tcPr>
          <w:p>
            <w:pPr>
              <w:pStyle w:val="TableParagraph"/>
              <w:spacing w:before="129"/>
              <w:ind w:left="107"/>
              <w:rPr>
                <w:sz w:val="20"/>
              </w:rPr>
            </w:pPr>
            <w:r>
              <w:rPr>
                <w:sz w:val="20"/>
              </w:rPr>
              <w:t>11</w:t>
            </w:r>
          </w:p>
        </w:tc>
        <w:tc>
          <w:tcPr>
            <w:tcW w:w="454" w:type="dxa"/>
            <w:tcBorders>
              <w:left w:val="nil"/>
              <w:bottom w:val="single" w:sz="8" w:space="0" w:color="000000"/>
              <w:right w:val="nil"/>
            </w:tcBorders>
            <w:shd w:val="clear" w:color="auto" w:fill="F9DECA"/>
          </w:tcPr>
          <w:p>
            <w:pPr>
              <w:pStyle w:val="TableParagraph"/>
              <w:spacing w:before="129"/>
              <w:ind w:left="105"/>
              <w:rPr>
                <w:sz w:val="20"/>
              </w:rPr>
            </w:pPr>
            <w:r>
              <w:rPr>
                <w:w w:val="99"/>
                <w:sz w:val="20"/>
              </w:rPr>
              <w:t>7</w:t>
            </w:r>
          </w:p>
        </w:tc>
        <w:tc>
          <w:tcPr>
            <w:tcW w:w="454" w:type="dxa"/>
            <w:tcBorders>
              <w:left w:val="nil"/>
              <w:bottom w:val="single" w:sz="8" w:space="0" w:color="000000"/>
              <w:right w:val="nil"/>
            </w:tcBorders>
            <w:shd w:val="clear" w:color="auto" w:fill="F9DECA"/>
          </w:tcPr>
          <w:p>
            <w:pPr>
              <w:pStyle w:val="TableParagraph"/>
              <w:spacing w:before="129"/>
              <w:ind w:right="137"/>
              <w:jc w:val="center"/>
              <w:rPr>
                <w:sz w:val="20"/>
              </w:rPr>
            </w:pPr>
            <w:r>
              <w:rPr>
                <w:w w:val="99"/>
                <w:sz w:val="20"/>
              </w:rPr>
              <w:t>7</w:t>
            </w:r>
          </w:p>
        </w:tc>
        <w:tc>
          <w:tcPr>
            <w:tcW w:w="454" w:type="dxa"/>
            <w:tcBorders>
              <w:left w:val="nil"/>
              <w:bottom w:val="single" w:sz="8" w:space="0" w:color="000000"/>
              <w:right w:val="nil"/>
            </w:tcBorders>
            <w:shd w:val="clear" w:color="auto" w:fill="F9DECA"/>
          </w:tcPr>
          <w:p>
            <w:pPr>
              <w:pStyle w:val="TableParagraph"/>
              <w:spacing w:before="129"/>
              <w:ind w:left="108"/>
              <w:rPr>
                <w:sz w:val="20"/>
              </w:rPr>
            </w:pPr>
            <w:r>
              <w:rPr>
                <w:w w:val="99"/>
                <w:sz w:val="20"/>
              </w:rPr>
              <w:t>8</w:t>
            </w:r>
          </w:p>
        </w:tc>
        <w:tc>
          <w:tcPr>
            <w:tcW w:w="454" w:type="dxa"/>
            <w:tcBorders>
              <w:left w:val="nil"/>
              <w:bottom w:val="single" w:sz="8" w:space="0" w:color="000000"/>
              <w:right w:val="nil"/>
            </w:tcBorders>
            <w:shd w:val="clear" w:color="auto" w:fill="F9DECA"/>
          </w:tcPr>
          <w:p>
            <w:pPr>
              <w:pStyle w:val="TableParagraph"/>
              <w:spacing w:before="129"/>
              <w:ind w:left="107"/>
              <w:rPr>
                <w:sz w:val="20"/>
              </w:rPr>
            </w:pPr>
            <w:r>
              <w:rPr>
                <w:sz w:val="20"/>
              </w:rPr>
              <w:t>12</w:t>
            </w:r>
          </w:p>
        </w:tc>
        <w:tc>
          <w:tcPr>
            <w:tcW w:w="622" w:type="dxa"/>
            <w:tcBorders>
              <w:left w:val="nil"/>
              <w:bottom w:val="single" w:sz="8" w:space="0" w:color="000000"/>
              <w:right w:val="nil"/>
            </w:tcBorders>
            <w:shd w:val="clear" w:color="auto" w:fill="F9DECA"/>
          </w:tcPr>
          <w:p>
            <w:pPr>
              <w:pStyle w:val="TableParagraph"/>
              <w:spacing w:before="129"/>
              <w:ind w:left="107"/>
              <w:rPr>
                <w:sz w:val="20"/>
              </w:rPr>
            </w:pPr>
            <w:r>
              <w:rPr>
                <w:sz w:val="20"/>
              </w:rPr>
              <w:t>173</w:t>
            </w:r>
          </w:p>
        </w:tc>
      </w:tr>
      <w:tr>
        <w:trPr>
          <w:trHeight w:val="550" w:hRule="exact"/>
        </w:trPr>
        <w:tc>
          <w:tcPr>
            <w:tcW w:w="1304" w:type="dxa"/>
            <w:tcBorders>
              <w:top w:val="single" w:sz="8" w:space="0" w:color="000000"/>
              <w:left w:val="nil"/>
              <w:bottom w:val="single" w:sz="8" w:space="0" w:color="000000"/>
              <w:right w:val="nil"/>
            </w:tcBorders>
          </w:tcPr>
          <w:p>
            <w:pPr>
              <w:pStyle w:val="TableParagraph"/>
              <w:spacing w:before="130"/>
              <w:ind w:left="108"/>
              <w:rPr>
                <w:sz w:val="20"/>
              </w:rPr>
            </w:pPr>
            <w:r>
              <w:rPr>
                <w:sz w:val="20"/>
              </w:rPr>
              <w:t>Praia Norte</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172 de 24/06/15</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sz w:val="20"/>
              </w:rPr>
              <w:t>13</w:t>
            </w:r>
          </w:p>
        </w:tc>
        <w:tc>
          <w:tcPr>
            <w:tcW w:w="566" w:type="dxa"/>
            <w:tcBorders>
              <w:top w:val="single" w:sz="8" w:space="0" w:color="000000"/>
              <w:left w:val="nil"/>
              <w:bottom w:val="single" w:sz="8" w:space="0" w:color="000000"/>
              <w:right w:val="nil"/>
            </w:tcBorders>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right="54"/>
              <w:jc w:val="center"/>
              <w:rPr>
                <w:sz w:val="20"/>
              </w:rPr>
            </w:pPr>
            <w:r>
              <w:rPr>
                <w:w w:val="99"/>
                <w:sz w:val="20"/>
              </w:rPr>
              <w:t>-</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X</w:t>
            </w:r>
          </w:p>
        </w:tc>
        <w:tc>
          <w:tcPr>
            <w:tcW w:w="569"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16</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12</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13</w:t>
            </w:r>
          </w:p>
        </w:tc>
        <w:tc>
          <w:tcPr>
            <w:tcW w:w="456" w:type="dxa"/>
            <w:tcBorders>
              <w:top w:val="single" w:sz="8" w:space="0" w:color="000000"/>
              <w:left w:val="nil"/>
              <w:bottom w:val="single" w:sz="8" w:space="0" w:color="000000"/>
              <w:right w:val="nil"/>
            </w:tcBorders>
          </w:tcPr>
          <w:p>
            <w:pPr>
              <w:pStyle w:val="TableParagraph"/>
              <w:spacing w:before="130"/>
              <w:ind w:left="90" w:right="126"/>
              <w:jc w:val="center"/>
              <w:rPr>
                <w:sz w:val="20"/>
              </w:rPr>
            </w:pPr>
            <w:r>
              <w:rPr>
                <w:sz w:val="20"/>
              </w:rPr>
              <w:t>15</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29</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10</w:t>
            </w:r>
          </w:p>
        </w:tc>
        <w:tc>
          <w:tcPr>
            <w:tcW w:w="456" w:type="dxa"/>
            <w:tcBorders>
              <w:top w:val="single" w:sz="8" w:space="0" w:color="000000"/>
              <w:left w:val="nil"/>
              <w:bottom w:val="single" w:sz="8" w:space="0" w:color="000000"/>
              <w:right w:val="nil"/>
            </w:tcBorders>
          </w:tcPr>
          <w:p>
            <w:pPr>
              <w:pStyle w:val="TableParagraph"/>
              <w:spacing w:before="130"/>
              <w:ind w:right="138"/>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11</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12</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11</w:t>
            </w:r>
          </w:p>
        </w:tc>
        <w:tc>
          <w:tcPr>
            <w:tcW w:w="457"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right="137"/>
              <w:jc w:val="center"/>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9</w:t>
            </w:r>
          </w:p>
        </w:tc>
        <w:tc>
          <w:tcPr>
            <w:tcW w:w="622" w:type="dxa"/>
            <w:tcBorders>
              <w:top w:val="single" w:sz="8" w:space="0" w:color="000000"/>
              <w:left w:val="nil"/>
              <w:bottom w:val="single" w:sz="8" w:space="0" w:color="000000"/>
              <w:right w:val="nil"/>
            </w:tcBorders>
          </w:tcPr>
          <w:p>
            <w:pPr>
              <w:pStyle w:val="TableParagraph"/>
              <w:spacing w:before="130"/>
              <w:ind w:left="107"/>
              <w:rPr>
                <w:sz w:val="20"/>
              </w:rPr>
            </w:pPr>
            <w:r>
              <w:rPr>
                <w:sz w:val="20"/>
              </w:rPr>
              <w:t>199</w:t>
            </w:r>
          </w:p>
        </w:tc>
      </w:tr>
      <w:tr>
        <w:trPr>
          <w:trHeight w:val="550" w:hRule="exact"/>
        </w:trPr>
        <w:tc>
          <w:tcPr>
            <w:tcW w:w="1304"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Sampaio</w:t>
            </w:r>
          </w:p>
        </w:tc>
        <w:tc>
          <w:tcPr>
            <w:tcW w:w="1078" w:type="dxa"/>
            <w:tcBorders>
              <w:top w:val="single" w:sz="8" w:space="0" w:color="000000"/>
              <w:left w:val="nil"/>
              <w:bottom w:val="single" w:sz="8" w:space="0" w:color="000000"/>
              <w:right w:val="nil"/>
            </w:tcBorders>
            <w:shd w:val="clear" w:color="auto" w:fill="F9DECA"/>
          </w:tcPr>
          <w:p>
            <w:pPr>
              <w:pStyle w:val="TableParagraph"/>
              <w:spacing w:line="278" w:lineRule="auto" w:before="0"/>
              <w:ind w:left="107" w:right="239"/>
              <w:rPr>
                <w:sz w:val="20"/>
              </w:rPr>
            </w:pPr>
            <w:r>
              <w:rPr>
                <w:sz w:val="20"/>
              </w:rPr>
              <w:t>076 de 15/06/15</w:t>
            </w:r>
          </w:p>
        </w:tc>
        <w:tc>
          <w:tcPr>
            <w:tcW w:w="566"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15</w:t>
            </w:r>
          </w:p>
        </w:tc>
        <w:tc>
          <w:tcPr>
            <w:tcW w:w="566"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right="54"/>
              <w:jc w:val="center"/>
              <w:rPr>
                <w:sz w:val="20"/>
              </w:rPr>
            </w:pPr>
            <w:r>
              <w:rPr>
                <w:w w:val="99"/>
                <w:sz w:val="20"/>
              </w:rPr>
              <w:t>-</w:t>
            </w:r>
          </w:p>
        </w:tc>
        <w:tc>
          <w:tcPr>
            <w:tcW w:w="566"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w:t>
            </w:r>
          </w:p>
        </w:tc>
        <w:tc>
          <w:tcPr>
            <w:tcW w:w="569"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71" w:right="106"/>
              <w:jc w:val="center"/>
              <w:rPr>
                <w:sz w:val="20"/>
              </w:rPr>
            </w:pPr>
            <w:r>
              <w:rPr>
                <w:sz w:val="20"/>
              </w:rPr>
              <w:t>17</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sz w:val="20"/>
              </w:rPr>
              <w:t>13</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14</w:t>
            </w:r>
          </w:p>
        </w:tc>
        <w:tc>
          <w:tcPr>
            <w:tcW w:w="456" w:type="dxa"/>
            <w:tcBorders>
              <w:top w:val="single" w:sz="8" w:space="0" w:color="000000"/>
              <w:left w:val="nil"/>
              <w:bottom w:val="single" w:sz="8" w:space="0" w:color="000000"/>
              <w:right w:val="nil"/>
            </w:tcBorders>
            <w:shd w:val="clear" w:color="auto" w:fill="F9DECA"/>
          </w:tcPr>
          <w:p>
            <w:pPr>
              <w:pStyle w:val="TableParagraph"/>
              <w:spacing w:before="130"/>
              <w:ind w:left="90" w:right="126"/>
              <w:jc w:val="center"/>
              <w:rPr>
                <w:sz w:val="20"/>
              </w:rPr>
            </w:pPr>
            <w:r>
              <w:rPr>
                <w:sz w:val="20"/>
              </w:rPr>
              <w:t>18</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5"/>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6"/>
              <w:jc w:val="center"/>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72" w:right="106"/>
              <w:jc w:val="center"/>
              <w:rPr>
                <w:sz w:val="20"/>
              </w:rPr>
            </w:pPr>
            <w:r>
              <w:rPr>
                <w:sz w:val="20"/>
              </w:rPr>
              <w:t>34</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72" w:right="106"/>
              <w:jc w:val="center"/>
              <w:rPr>
                <w:sz w:val="20"/>
              </w:rPr>
            </w:pPr>
            <w:r>
              <w:rPr>
                <w:sz w:val="20"/>
              </w:rPr>
              <w:t>11</w:t>
            </w:r>
          </w:p>
        </w:tc>
        <w:tc>
          <w:tcPr>
            <w:tcW w:w="456" w:type="dxa"/>
            <w:tcBorders>
              <w:top w:val="single" w:sz="8" w:space="0" w:color="000000"/>
              <w:left w:val="nil"/>
              <w:bottom w:val="single" w:sz="8" w:space="0" w:color="000000"/>
              <w:right w:val="nil"/>
            </w:tcBorders>
            <w:shd w:val="clear" w:color="auto" w:fill="F9DECA"/>
          </w:tcPr>
          <w:p>
            <w:pPr>
              <w:pStyle w:val="TableParagraph"/>
              <w:spacing w:before="130"/>
              <w:ind w:left="90" w:right="126"/>
              <w:jc w:val="center"/>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5"/>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71" w:right="106"/>
              <w:jc w:val="center"/>
              <w:rPr>
                <w:sz w:val="20"/>
              </w:rPr>
            </w:pPr>
            <w:r>
              <w:rPr>
                <w:sz w:val="20"/>
              </w:rPr>
              <w:t>12</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72" w:right="106"/>
              <w:jc w:val="center"/>
              <w:rPr>
                <w:sz w:val="20"/>
              </w:rPr>
            </w:pPr>
            <w:r>
              <w:rPr>
                <w:sz w:val="20"/>
              </w:rPr>
              <w:t>12</w:t>
            </w:r>
          </w:p>
        </w:tc>
        <w:tc>
          <w:tcPr>
            <w:tcW w:w="457"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5"/>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7"/>
              <w:jc w:val="center"/>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17</w:t>
            </w:r>
          </w:p>
        </w:tc>
        <w:tc>
          <w:tcPr>
            <w:tcW w:w="622"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221</w:t>
            </w:r>
          </w:p>
        </w:tc>
      </w:tr>
      <w:tr>
        <w:trPr>
          <w:trHeight w:val="814" w:hRule="exact"/>
        </w:trPr>
        <w:tc>
          <w:tcPr>
            <w:tcW w:w="1304" w:type="dxa"/>
            <w:tcBorders>
              <w:top w:val="single" w:sz="8" w:space="0" w:color="000000"/>
              <w:left w:val="nil"/>
              <w:bottom w:val="single" w:sz="8" w:space="0" w:color="000000"/>
              <w:right w:val="nil"/>
            </w:tcBorders>
          </w:tcPr>
          <w:p>
            <w:pPr>
              <w:pStyle w:val="TableParagraph"/>
              <w:spacing w:line="276" w:lineRule="auto" w:before="0"/>
              <w:ind w:left="108" w:right="126"/>
              <w:rPr>
                <w:sz w:val="20"/>
              </w:rPr>
            </w:pPr>
            <w:r>
              <w:rPr>
                <w:sz w:val="20"/>
              </w:rPr>
              <w:t>Santa Terezinha do Tocantins</w:t>
            </w:r>
          </w:p>
        </w:tc>
        <w:tc>
          <w:tcPr>
            <w:tcW w:w="1078" w:type="dxa"/>
            <w:tcBorders>
              <w:top w:val="single" w:sz="8" w:space="0" w:color="000000"/>
              <w:left w:val="nil"/>
              <w:bottom w:val="single" w:sz="8" w:space="0" w:color="000000"/>
              <w:right w:val="nil"/>
            </w:tcBorders>
          </w:tcPr>
          <w:p>
            <w:pPr>
              <w:pStyle w:val="TableParagraph"/>
              <w:spacing w:line="276" w:lineRule="auto"/>
              <w:ind w:left="107" w:right="239"/>
              <w:rPr>
                <w:sz w:val="20"/>
              </w:rPr>
            </w:pPr>
            <w:r>
              <w:rPr>
                <w:sz w:val="20"/>
              </w:rPr>
              <w:t>250 de 19/06/15</w:t>
            </w:r>
          </w:p>
        </w:tc>
        <w:tc>
          <w:tcPr>
            <w:tcW w:w="566"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107"/>
              <w:rPr>
                <w:sz w:val="20"/>
              </w:rPr>
            </w:pPr>
            <w:r>
              <w:rPr>
                <w:sz w:val="20"/>
              </w:rPr>
              <w:t>13</w:t>
            </w:r>
          </w:p>
        </w:tc>
        <w:tc>
          <w:tcPr>
            <w:tcW w:w="566"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21"/>
              <w:jc w:val="center"/>
              <w:rPr>
                <w:sz w:val="20"/>
              </w:rPr>
            </w:pPr>
            <w:r>
              <w:rPr>
                <w:w w:val="99"/>
                <w:sz w:val="20"/>
              </w:rPr>
              <w:t>X</w:t>
            </w:r>
          </w:p>
        </w:tc>
        <w:tc>
          <w:tcPr>
            <w:tcW w:w="566"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107"/>
              <w:rPr>
                <w:sz w:val="20"/>
              </w:rPr>
            </w:pPr>
            <w:r>
              <w:rPr>
                <w:w w:val="99"/>
                <w:sz w:val="20"/>
              </w:rPr>
              <w:t>X</w:t>
            </w:r>
          </w:p>
        </w:tc>
        <w:tc>
          <w:tcPr>
            <w:tcW w:w="569"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71" w:right="106"/>
              <w:jc w:val="center"/>
              <w:rPr>
                <w:sz w:val="20"/>
              </w:rPr>
            </w:pPr>
            <w:r>
              <w:rPr>
                <w:sz w:val="20"/>
              </w:rPr>
              <w:t>19</w:t>
            </w:r>
          </w:p>
        </w:tc>
        <w:tc>
          <w:tcPr>
            <w:tcW w:w="454"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108"/>
              <w:rPr>
                <w:sz w:val="20"/>
              </w:rPr>
            </w:pPr>
            <w:r>
              <w:rPr>
                <w:sz w:val="20"/>
              </w:rPr>
              <w:t>18</w:t>
            </w:r>
          </w:p>
        </w:tc>
        <w:tc>
          <w:tcPr>
            <w:tcW w:w="454"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107"/>
              <w:rPr>
                <w:sz w:val="20"/>
              </w:rPr>
            </w:pPr>
            <w:r>
              <w:rPr>
                <w:sz w:val="20"/>
              </w:rPr>
              <w:t>20</w:t>
            </w:r>
          </w:p>
        </w:tc>
        <w:tc>
          <w:tcPr>
            <w:tcW w:w="456"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90" w:right="126"/>
              <w:jc w:val="center"/>
              <w:rPr>
                <w:sz w:val="20"/>
              </w:rPr>
            </w:pPr>
            <w:r>
              <w:rPr>
                <w:sz w:val="20"/>
              </w:rPr>
              <w:t>17</w:t>
            </w:r>
          </w:p>
        </w:tc>
        <w:tc>
          <w:tcPr>
            <w:tcW w:w="454"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105"/>
              <w:rPr>
                <w:sz w:val="20"/>
              </w:rPr>
            </w:pPr>
            <w:r>
              <w:rPr>
                <w:sz w:val="20"/>
              </w:rPr>
              <w:t>10</w:t>
            </w:r>
          </w:p>
        </w:tc>
        <w:tc>
          <w:tcPr>
            <w:tcW w:w="454"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right="136"/>
              <w:jc w:val="center"/>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72" w:right="106"/>
              <w:jc w:val="center"/>
              <w:rPr>
                <w:sz w:val="20"/>
              </w:rPr>
            </w:pPr>
            <w:r>
              <w:rPr>
                <w:sz w:val="20"/>
              </w:rPr>
              <w:t>26</w:t>
            </w:r>
          </w:p>
        </w:tc>
        <w:tc>
          <w:tcPr>
            <w:tcW w:w="454"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108"/>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72" w:right="106"/>
              <w:jc w:val="center"/>
              <w:rPr>
                <w:sz w:val="20"/>
              </w:rPr>
            </w:pPr>
            <w:r>
              <w:rPr>
                <w:sz w:val="20"/>
              </w:rPr>
              <w:t>11</w:t>
            </w:r>
          </w:p>
        </w:tc>
        <w:tc>
          <w:tcPr>
            <w:tcW w:w="456"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90" w:right="126"/>
              <w:jc w:val="center"/>
              <w:rPr>
                <w:sz w:val="20"/>
              </w:rPr>
            </w:pPr>
            <w:r>
              <w:rPr>
                <w:sz w:val="20"/>
              </w:rPr>
              <w:t>10</w:t>
            </w:r>
          </w:p>
        </w:tc>
        <w:tc>
          <w:tcPr>
            <w:tcW w:w="454"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105"/>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right="137"/>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108"/>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108"/>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right="136"/>
              <w:jc w:val="center"/>
              <w:rPr>
                <w:sz w:val="20"/>
              </w:rPr>
            </w:pPr>
            <w:r>
              <w:rPr>
                <w:w w:val="99"/>
                <w:sz w:val="20"/>
              </w:rPr>
              <w:t>8</w:t>
            </w:r>
          </w:p>
        </w:tc>
        <w:tc>
          <w:tcPr>
            <w:tcW w:w="457"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107"/>
              <w:rPr>
                <w:sz w:val="20"/>
              </w:rPr>
            </w:pPr>
            <w:r>
              <w:rPr>
                <w:w w:val="99"/>
                <w:sz w:val="20"/>
              </w:rPr>
              <w:t>2</w:t>
            </w:r>
          </w:p>
        </w:tc>
        <w:tc>
          <w:tcPr>
            <w:tcW w:w="454"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105"/>
              <w:rPr>
                <w:sz w:val="20"/>
              </w:rPr>
            </w:pPr>
            <w:r>
              <w:rPr>
                <w:sz w:val="20"/>
              </w:rPr>
              <w:t>10</w:t>
            </w:r>
          </w:p>
        </w:tc>
        <w:tc>
          <w:tcPr>
            <w:tcW w:w="454"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right="137"/>
              <w:jc w:val="center"/>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108"/>
              <w:rPr>
                <w:sz w:val="20"/>
              </w:rPr>
            </w:pPr>
            <w:r>
              <w:rPr>
                <w:sz w:val="20"/>
              </w:rPr>
              <w:t>14</w:t>
            </w:r>
          </w:p>
        </w:tc>
        <w:tc>
          <w:tcPr>
            <w:tcW w:w="454"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107"/>
              <w:rPr>
                <w:sz w:val="20"/>
              </w:rPr>
            </w:pPr>
            <w:r>
              <w:rPr>
                <w:sz w:val="20"/>
              </w:rPr>
              <w:t>16</w:t>
            </w:r>
          </w:p>
        </w:tc>
        <w:tc>
          <w:tcPr>
            <w:tcW w:w="622" w:type="dxa"/>
            <w:tcBorders>
              <w:top w:val="single" w:sz="8" w:space="0" w:color="000000"/>
              <w:left w:val="nil"/>
              <w:bottom w:val="single" w:sz="8" w:space="0" w:color="000000"/>
              <w:right w:val="nil"/>
            </w:tcBorders>
          </w:tcPr>
          <w:p>
            <w:pPr>
              <w:pStyle w:val="TableParagraph"/>
              <w:spacing w:before="6"/>
              <w:rPr>
                <w:sz w:val="22"/>
              </w:rPr>
            </w:pPr>
          </w:p>
          <w:p>
            <w:pPr>
              <w:pStyle w:val="TableParagraph"/>
              <w:spacing w:before="0"/>
              <w:ind w:left="107"/>
              <w:rPr>
                <w:sz w:val="20"/>
              </w:rPr>
            </w:pPr>
            <w:r>
              <w:rPr>
                <w:sz w:val="20"/>
              </w:rPr>
              <w:t>227</w:t>
            </w:r>
          </w:p>
        </w:tc>
      </w:tr>
      <w:tr>
        <w:trPr>
          <w:trHeight w:val="550" w:hRule="exact"/>
        </w:trPr>
        <w:tc>
          <w:tcPr>
            <w:tcW w:w="1304" w:type="dxa"/>
            <w:tcBorders>
              <w:top w:val="single" w:sz="8" w:space="0" w:color="000000"/>
              <w:left w:val="nil"/>
              <w:bottom w:val="single" w:sz="8" w:space="0" w:color="7E7E7E"/>
              <w:right w:val="nil"/>
            </w:tcBorders>
            <w:shd w:val="clear" w:color="auto" w:fill="F9DECA"/>
          </w:tcPr>
          <w:p>
            <w:pPr>
              <w:pStyle w:val="TableParagraph"/>
              <w:spacing w:line="276" w:lineRule="auto" w:before="0"/>
              <w:ind w:left="107" w:right="99"/>
              <w:rPr>
                <w:sz w:val="20"/>
              </w:rPr>
            </w:pPr>
            <w:r>
              <w:rPr>
                <w:sz w:val="20"/>
              </w:rPr>
              <w:t>São Bento do Tocantins</w:t>
            </w:r>
          </w:p>
        </w:tc>
        <w:tc>
          <w:tcPr>
            <w:tcW w:w="1078" w:type="dxa"/>
            <w:tcBorders>
              <w:top w:val="single" w:sz="8" w:space="0" w:color="000000"/>
              <w:left w:val="nil"/>
              <w:bottom w:val="single" w:sz="8" w:space="0" w:color="7E7E7E"/>
              <w:right w:val="nil"/>
            </w:tcBorders>
            <w:shd w:val="clear" w:color="auto" w:fill="F9DECA"/>
          </w:tcPr>
          <w:p>
            <w:pPr>
              <w:pStyle w:val="TableParagraph"/>
              <w:spacing w:line="276" w:lineRule="auto" w:before="0"/>
              <w:ind w:left="107" w:right="239"/>
              <w:rPr>
                <w:sz w:val="20"/>
              </w:rPr>
            </w:pPr>
            <w:r>
              <w:rPr>
                <w:sz w:val="20"/>
              </w:rPr>
              <w:t>245 de 22/06/15</w:t>
            </w:r>
          </w:p>
        </w:tc>
        <w:tc>
          <w:tcPr>
            <w:tcW w:w="566" w:type="dxa"/>
            <w:tcBorders>
              <w:top w:val="single" w:sz="8" w:space="0" w:color="000000"/>
              <w:left w:val="nil"/>
              <w:bottom w:val="single" w:sz="8" w:space="0" w:color="7E7E7E"/>
              <w:right w:val="nil"/>
            </w:tcBorders>
            <w:shd w:val="clear" w:color="auto" w:fill="F9DECA"/>
          </w:tcPr>
          <w:p>
            <w:pPr>
              <w:pStyle w:val="TableParagraph"/>
              <w:ind w:left="107"/>
              <w:rPr>
                <w:sz w:val="20"/>
              </w:rPr>
            </w:pPr>
            <w:r>
              <w:rPr>
                <w:sz w:val="20"/>
              </w:rPr>
              <w:t>13</w:t>
            </w:r>
          </w:p>
        </w:tc>
        <w:tc>
          <w:tcPr>
            <w:tcW w:w="566" w:type="dxa"/>
            <w:tcBorders>
              <w:top w:val="single" w:sz="8" w:space="0" w:color="000000"/>
              <w:left w:val="nil"/>
              <w:bottom w:val="single" w:sz="8" w:space="0" w:color="7E7E7E"/>
              <w:right w:val="nil"/>
            </w:tcBorders>
            <w:shd w:val="clear" w:color="auto" w:fill="F9DECA"/>
          </w:tcPr>
          <w:p>
            <w:pPr>
              <w:pStyle w:val="TableParagraph"/>
              <w:ind w:left="108"/>
              <w:rPr>
                <w:sz w:val="20"/>
              </w:rPr>
            </w:pPr>
            <w:r>
              <w:rPr>
                <w:sz w:val="20"/>
              </w:rPr>
              <w:t>20</w:t>
            </w:r>
          </w:p>
        </w:tc>
        <w:tc>
          <w:tcPr>
            <w:tcW w:w="338" w:type="dxa"/>
            <w:tcBorders>
              <w:top w:val="single" w:sz="8" w:space="0" w:color="000000"/>
              <w:left w:val="nil"/>
              <w:bottom w:val="single" w:sz="8" w:space="0" w:color="7E7E7E"/>
              <w:right w:val="nil"/>
            </w:tcBorders>
          </w:tcPr>
          <w:p>
            <w:pPr>
              <w:pStyle w:val="TableParagraph"/>
              <w:ind w:left="21"/>
              <w:jc w:val="center"/>
              <w:rPr>
                <w:sz w:val="20"/>
              </w:rPr>
            </w:pPr>
            <w:r>
              <w:rPr>
                <w:w w:val="99"/>
                <w:sz w:val="20"/>
              </w:rPr>
              <w:t>X</w:t>
            </w:r>
          </w:p>
        </w:tc>
        <w:tc>
          <w:tcPr>
            <w:tcW w:w="566" w:type="dxa"/>
            <w:tcBorders>
              <w:top w:val="single" w:sz="8" w:space="0" w:color="000000"/>
              <w:left w:val="nil"/>
              <w:bottom w:val="single" w:sz="8" w:space="0" w:color="7E7E7E"/>
              <w:right w:val="nil"/>
            </w:tcBorders>
            <w:shd w:val="clear" w:color="auto" w:fill="F9DECA"/>
          </w:tcPr>
          <w:p>
            <w:pPr>
              <w:pStyle w:val="TableParagraph"/>
              <w:ind w:left="108"/>
              <w:rPr>
                <w:sz w:val="20"/>
              </w:rPr>
            </w:pPr>
            <w:r>
              <w:rPr>
                <w:w w:val="99"/>
                <w:sz w:val="20"/>
              </w:rPr>
              <w:t>-</w:t>
            </w:r>
          </w:p>
        </w:tc>
        <w:tc>
          <w:tcPr>
            <w:tcW w:w="569" w:type="dxa"/>
            <w:tcBorders>
              <w:top w:val="single" w:sz="8" w:space="0" w:color="000000"/>
              <w:left w:val="nil"/>
              <w:bottom w:val="single" w:sz="8" w:space="0" w:color="7E7E7E"/>
              <w:right w:val="nil"/>
            </w:tcBorders>
            <w:shd w:val="clear" w:color="auto" w:fill="F9DECA"/>
          </w:tcPr>
          <w:p>
            <w:pPr>
              <w:pStyle w:val="TableParagraph"/>
              <w:ind w:left="108"/>
              <w:rPr>
                <w:sz w:val="20"/>
              </w:rPr>
            </w:pPr>
            <w:r>
              <w:rPr>
                <w:w w:val="99"/>
                <w:sz w:val="20"/>
              </w:rPr>
              <w:t>-</w:t>
            </w:r>
          </w:p>
        </w:tc>
        <w:tc>
          <w:tcPr>
            <w:tcW w:w="283" w:type="dxa"/>
            <w:tcBorders>
              <w:top w:val="single" w:sz="8" w:space="0" w:color="000000"/>
              <w:left w:val="nil"/>
              <w:bottom w:val="single" w:sz="8" w:space="0" w:color="7E7E7E"/>
              <w:right w:val="nil"/>
            </w:tcBorders>
          </w:tcPr>
          <w:p>
            <w:pPr>
              <w:pStyle w:val="TableParagraph"/>
              <w:ind w:left="108"/>
              <w:rPr>
                <w:sz w:val="20"/>
              </w:rPr>
            </w:pPr>
            <w:r>
              <w:rPr>
                <w:w w:val="99"/>
                <w:sz w:val="20"/>
              </w:rPr>
              <w:t>-</w:t>
            </w:r>
          </w:p>
        </w:tc>
        <w:tc>
          <w:tcPr>
            <w:tcW w:w="454" w:type="dxa"/>
            <w:tcBorders>
              <w:top w:val="single" w:sz="8" w:space="0" w:color="000000"/>
              <w:left w:val="nil"/>
              <w:bottom w:val="single" w:sz="8" w:space="0" w:color="7E7E7E"/>
              <w:right w:val="nil"/>
            </w:tcBorders>
            <w:shd w:val="clear" w:color="auto" w:fill="F9DECA"/>
          </w:tcPr>
          <w:p>
            <w:pPr>
              <w:pStyle w:val="TableParagraph"/>
              <w:ind w:left="71" w:right="106"/>
              <w:jc w:val="center"/>
              <w:rPr>
                <w:sz w:val="20"/>
              </w:rPr>
            </w:pPr>
            <w:r>
              <w:rPr>
                <w:sz w:val="20"/>
              </w:rPr>
              <w:t>17</w:t>
            </w:r>
          </w:p>
        </w:tc>
        <w:tc>
          <w:tcPr>
            <w:tcW w:w="454" w:type="dxa"/>
            <w:tcBorders>
              <w:top w:val="single" w:sz="8" w:space="0" w:color="000000"/>
              <w:left w:val="nil"/>
              <w:bottom w:val="single" w:sz="8" w:space="0" w:color="7E7E7E"/>
              <w:right w:val="nil"/>
            </w:tcBorders>
            <w:shd w:val="clear" w:color="auto" w:fill="F9DECA"/>
          </w:tcPr>
          <w:p>
            <w:pPr>
              <w:pStyle w:val="TableParagraph"/>
              <w:ind w:left="108"/>
              <w:rPr>
                <w:sz w:val="20"/>
              </w:rPr>
            </w:pPr>
            <w:r>
              <w:rPr>
                <w:sz w:val="20"/>
              </w:rPr>
              <w:t>16</w:t>
            </w:r>
          </w:p>
        </w:tc>
        <w:tc>
          <w:tcPr>
            <w:tcW w:w="454" w:type="dxa"/>
            <w:tcBorders>
              <w:top w:val="single" w:sz="8" w:space="0" w:color="000000"/>
              <w:left w:val="nil"/>
              <w:bottom w:val="single" w:sz="8" w:space="0" w:color="7E7E7E"/>
              <w:right w:val="nil"/>
            </w:tcBorders>
            <w:shd w:val="clear" w:color="auto" w:fill="F9DECA"/>
          </w:tcPr>
          <w:p>
            <w:pPr>
              <w:pStyle w:val="TableParagraph"/>
              <w:ind w:left="107"/>
              <w:rPr>
                <w:sz w:val="20"/>
              </w:rPr>
            </w:pPr>
            <w:r>
              <w:rPr>
                <w:sz w:val="20"/>
              </w:rPr>
              <w:t>14</w:t>
            </w:r>
          </w:p>
        </w:tc>
        <w:tc>
          <w:tcPr>
            <w:tcW w:w="456" w:type="dxa"/>
            <w:tcBorders>
              <w:top w:val="single" w:sz="8" w:space="0" w:color="000000"/>
              <w:left w:val="nil"/>
              <w:bottom w:val="single" w:sz="8" w:space="0" w:color="7E7E7E"/>
              <w:right w:val="nil"/>
            </w:tcBorders>
            <w:shd w:val="clear" w:color="auto" w:fill="F9DECA"/>
          </w:tcPr>
          <w:p>
            <w:pPr>
              <w:pStyle w:val="TableParagraph"/>
              <w:ind w:left="90" w:right="126"/>
              <w:jc w:val="center"/>
              <w:rPr>
                <w:sz w:val="20"/>
              </w:rPr>
            </w:pPr>
            <w:r>
              <w:rPr>
                <w:sz w:val="20"/>
              </w:rPr>
              <w:t>19</w:t>
            </w:r>
          </w:p>
        </w:tc>
        <w:tc>
          <w:tcPr>
            <w:tcW w:w="454" w:type="dxa"/>
            <w:tcBorders>
              <w:top w:val="single" w:sz="8" w:space="0" w:color="000000"/>
              <w:left w:val="nil"/>
              <w:bottom w:val="single" w:sz="8" w:space="0" w:color="7E7E7E"/>
              <w:right w:val="nil"/>
            </w:tcBorders>
            <w:shd w:val="clear" w:color="auto" w:fill="F9DECA"/>
          </w:tcPr>
          <w:p>
            <w:pPr>
              <w:pStyle w:val="TableParagraph"/>
              <w:ind w:left="105"/>
              <w:rPr>
                <w:sz w:val="20"/>
              </w:rPr>
            </w:pPr>
            <w:r>
              <w:rPr>
                <w:w w:val="99"/>
                <w:sz w:val="20"/>
              </w:rPr>
              <w:t>7</w:t>
            </w:r>
          </w:p>
        </w:tc>
        <w:tc>
          <w:tcPr>
            <w:tcW w:w="454" w:type="dxa"/>
            <w:tcBorders>
              <w:top w:val="single" w:sz="8" w:space="0" w:color="000000"/>
              <w:left w:val="nil"/>
              <w:bottom w:val="single" w:sz="8" w:space="0" w:color="7E7E7E"/>
              <w:right w:val="nil"/>
            </w:tcBorders>
            <w:shd w:val="clear" w:color="auto" w:fill="F9DECA"/>
          </w:tcPr>
          <w:p>
            <w:pPr>
              <w:pStyle w:val="TableParagraph"/>
              <w:ind w:left="72" w:right="106"/>
              <w:jc w:val="center"/>
              <w:rPr>
                <w:sz w:val="20"/>
              </w:rPr>
            </w:pPr>
            <w:r>
              <w:rPr>
                <w:sz w:val="20"/>
              </w:rPr>
              <w:t>11</w:t>
            </w:r>
          </w:p>
        </w:tc>
        <w:tc>
          <w:tcPr>
            <w:tcW w:w="454" w:type="dxa"/>
            <w:tcBorders>
              <w:top w:val="single" w:sz="8" w:space="0" w:color="000000"/>
              <w:left w:val="nil"/>
              <w:bottom w:val="single" w:sz="8" w:space="0" w:color="7E7E7E"/>
              <w:right w:val="nil"/>
            </w:tcBorders>
            <w:shd w:val="clear" w:color="auto" w:fill="F9DECA"/>
          </w:tcPr>
          <w:p>
            <w:pPr>
              <w:pStyle w:val="TableParagraph"/>
              <w:ind w:left="72" w:right="106"/>
              <w:jc w:val="center"/>
              <w:rPr>
                <w:sz w:val="20"/>
              </w:rPr>
            </w:pPr>
            <w:r>
              <w:rPr>
                <w:sz w:val="20"/>
              </w:rPr>
              <w:t>35</w:t>
            </w:r>
          </w:p>
        </w:tc>
        <w:tc>
          <w:tcPr>
            <w:tcW w:w="454" w:type="dxa"/>
            <w:tcBorders>
              <w:top w:val="single" w:sz="8" w:space="0" w:color="000000"/>
              <w:left w:val="nil"/>
              <w:bottom w:val="single" w:sz="8" w:space="0" w:color="7E7E7E"/>
              <w:right w:val="nil"/>
            </w:tcBorders>
            <w:shd w:val="clear" w:color="auto" w:fill="F9DECA"/>
          </w:tcPr>
          <w:p>
            <w:pPr>
              <w:pStyle w:val="TableParagraph"/>
              <w:ind w:left="108"/>
              <w:rPr>
                <w:sz w:val="20"/>
              </w:rPr>
            </w:pPr>
            <w:r>
              <w:rPr>
                <w:w w:val="99"/>
                <w:sz w:val="20"/>
              </w:rPr>
              <w:t>6</w:t>
            </w:r>
          </w:p>
        </w:tc>
        <w:tc>
          <w:tcPr>
            <w:tcW w:w="454" w:type="dxa"/>
            <w:tcBorders>
              <w:top w:val="single" w:sz="8" w:space="0" w:color="000000"/>
              <w:left w:val="nil"/>
              <w:bottom w:val="single" w:sz="8" w:space="0" w:color="7E7E7E"/>
              <w:right w:val="nil"/>
            </w:tcBorders>
            <w:shd w:val="clear" w:color="auto" w:fill="F9DECA"/>
          </w:tcPr>
          <w:p>
            <w:pPr>
              <w:pStyle w:val="TableParagraph"/>
              <w:ind w:left="72" w:right="106"/>
              <w:jc w:val="center"/>
              <w:rPr>
                <w:sz w:val="20"/>
              </w:rPr>
            </w:pPr>
            <w:r>
              <w:rPr>
                <w:sz w:val="20"/>
              </w:rPr>
              <w:t>12</w:t>
            </w:r>
          </w:p>
        </w:tc>
        <w:tc>
          <w:tcPr>
            <w:tcW w:w="456" w:type="dxa"/>
            <w:tcBorders>
              <w:top w:val="single" w:sz="8" w:space="0" w:color="000000"/>
              <w:left w:val="nil"/>
              <w:bottom w:val="single" w:sz="8" w:space="0" w:color="7E7E7E"/>
              <w:right w:val="nil"/>
            </w:tcBorders>
            <w:shd w:val="clear" w:color="auto" w:fill="F9DECA"/>
          </w:tcPr>
          <w:p>
            <w:pPr>
              <w:pStyle w:val="TableParagraph"/>
              <w:ind w:left="90" w:right="126"/>
              <w:jc w:val="center"/>
              <w:rPr>
                <w:sz w:val="20"/>
              </w:rPr>
            </w:pPr>
            <w:r>
              <w:rPr>
                <w:sz w:val="20"/>
              </w:rPr>
              <w:t>11</w:t>
            </w:r>
          </w:p>
        </w:tc>
        <w:tc>
          <w:tcPr>
            <w:tcW w:w="454" w:type="dxa"/>
            <w:tcBorders>
              <w:top w:val="single" w:sz="8" w:space="0" w:color="000000"/>
              <w:left w:val="nil"/>
              <w:bottom w:val="single" w:sz="8" w:space="0" w:color="7E7E7E"/>
              <w:right w:val="nil"/>
            </w:tcBorders>
            <w:shd w:val="clear" w:color="auto" w:fill="F9DECA"/>
          </w:tcPr>
          <w:p>
            <w:pPr>
              <w:pStyle w:val="TableParagraph"/>
              <w:ind w:left="105"/>
              <w:rPr>
                <w:sz w:val="20"/>
              </w:rPr>
            </w:pPr>
            <w:r>
              <w:rPr>
                <w:w w:val="99"/>
                <w:sz w:val="20"/>
              </w:rPr>
              <w:t>9</w:t>
            </w:r>
          </w:p>
        </w:tc>
        <w:tc>
          <w:tcPr>
            <w:tcW w:w="454" w:type="dxa"/>
            <w:tcBorders>
              <w:top w:val="single" w:sz="8" w:space="0" w:color="000000"/>
              <w:left w:val="nil"/>
              <w:bottom w:val="single" w:sz="8" w:space="0" w:color="7E7E7E"/>
              <w:right w:val="nil"/>
            </w:tcBorders>
            <w:shd w:val="clear" w:color="auto" w:fill="F9DECA"/>
          </w:tcPr>
          <w:p>
            <w:pPr>
              <w:pStyle w:val="TableParagraph"/>
              <w:ind w:left="71" w:right="106"/>
              <w:jc w:val="center"/>
              <w:rPr>
                <w:sz w:val="20"/>
              </w:rPr>
            </w:pPr>
            <w:r>
              <w:rPr>
                <w:sz w:val="20"/>
              </w:rPr>
              <w:t>10</w:t>
            </w:r>
          </w:p>
        </w:tc>
        <w:tc>
          <w:tcPr>
            <w:tcW w:w="454" w:type="dxa"/>
            <w:tcBorders>
              <w:top w:val="single" w:sz="8" w:space="0" w:color="000000"/>
              <w:left w:val="nil"/>
              <w:bottom w:val="single" w:sz="8" w:space="0" w:color="7E7E7E"/>
              <w:right w:val="nil"/>
            </w:tcBorders>
            <w:shd w:val="clear" w:color="auto" w:fill="F9DECA"/>
          </w:tcPr>
          <w:p>
            <w:pPr>
              <w:pStyle w:val="TableParagraph"/>
              <w:ind w:left="108"/>
              <w:rPr>
                <w:sz w:val="20"/>
              </w:rPr>
            </w:pPr>
            <w:r>
              <w:rPr>
                <w:w w:val="99"/>
                <w:sz w:val="20"/>
              </w:rPr>
              <w:t>4</w:t>
            </w:r>
          </w:p>
        </w:tc>
        <w:tc>
          <w:tcPr>
            <w:tcW w:w="454" w:type="dxa"/>
            <w:tcBorders>
              <w:top w:val="single" w:sz="8" w:space="0" w:color="000000"/>
              <w:left w:val="nil"/>
              <w:bottom w:val="single" w:sz="8" w:space="0" w:color="7E7E7E"/>
              <w:right w:val="nil"/>
            </w:tcBorders>
            <w:shd w:val="clear" w:color="auto" w:fill="F9DECA"/>
          </w:tcPr>
          <w:p>
            <w:pPr>
              <w:pStyle w:val="TableParagraph"/>
              <w:ind w:left="108"/>
              <w:rPr>
                <w:sz w:val="20"/>
              </w:rPr>
            </w:pPr>
            <w:r>
              <w:rPr>
                <w:w w:val="99"/>
                <w:sz w:val="20"/>
              </w:rPr>
              <w:t>7</w:t>
            </w:r>
          </w:p>
        </w:tc>
        <w:tc>
          <w:tcPr>
            <w:tcW w:w="454" w:type="dxa"/>
            <w:tcBorders>
              <w:top w:val="single" w:sz="8" w:space="0" w:color="000000"/>
              <w:left w:val="nil"/>
              <w:bottom w:val="single" w:sz="8" w:space="0" w:color="7E7E7E"/>
              <w:right w:val="nil"/>
            </w:tcBorders>
            <w:shd w:val="clear" w:color="auto" w:fill="F9DECA"/>
          </w:tcPr>
          <w:p>
            <w:pPr>
              <w:pStyle w:val="TableParagraph"/>
              <w:ind w:left="72" w:right="106"/>
              <w:jc w:val="center"/>
              <w:rPr>
                <w:sz w:val="20"/>
              </w:rPr>
            </w:pPr>
            <w:r>
              <w:rPr>
                <w:sz w:val="20"/>
              </w:rPr>
              <w:t>11</w:t>
            </w:r>
          </w:p>
        </w:tc>
        <w:tc>
          <w:tcPr>
            <w:tcW w:w="457" w:type="dxa"/>
            <w:tcBorders>
              <w:top w:val="single" w:sz="8" w:space="0" w:color="000000"/>
              <w:left w:val="nil"/>
              <w:bottom w:val="single" w:sz="8" w:space="0" w:color="7E7E7E"/>
              <w:right w:val="nil"/>
            </w:tcBorders>
            <w:shd w:val="clear" w:color="auto" w:fill="F9DECA"/>
          </w:tcPr>
          <w:p>
            <w:pPr>
              <w:pStyle w:val="TableParagraph"/>
              <w:ind w:left="107"/>
              <w:rPr>
                <w:sz w:val="20"/>
              </w:rPr>
            </w:pPr>
            <w:r>
              <w:rPr>
                <w:w w:val="99"/>
                <w:sz w:val="20"/>
              </w:rPr>
              <w:t>6</w:t>
            </w:r>
          </w:p>
        </w:tc>
        <w:tc>
          <w:tcPr>
            <w:tcW w:w="454" w:type="dxa"/>
            <w:tcBorders>
              <w:top w:val="single" w:sz="8" w:space="0" w:color="000000"/>
              <w:left w:val="nil"/>
              <w:bottom w:val="single" w:sz="8" w:space="0" w:color="7E7E7E"/>
              <w:right w:val="nil"/>
            </w:tcBorders>
            <w:shd w:val="clear" w:color="auto" w:fill="F9DECA"/>
          </w:tcPr>
          <w:p>
            <w:pPr>
              <w:pStyle w:val="TableParagraph"/>
              <w:ind w:left="105"/>
              <w:rPr>
                <w:sz w:val="20"/>
              </w:rPr>
            </w:pPr>
            <w:r>
              <w:rPr>
                <w:w w:val="99"/>
                <w:sz w:val="20"/>
              </w:rPr>
              <w:t>6</w:t>
            </w:r>
          </w:p>
        </w:tc>
        <w:tc>
          <w:tcPr>
            <w:tcW w:w="454" w:type="dxa"/>
            <w:tcBorders>
              <w:top w:val="single" w:sz="8" w:space="0" w:color="000000"/>
              <w:left w:val="nil"/>
              <w:bottom w:val="single" w:sz="8" w:space="0" w:color="7E7E7E"/>
              <w:right w:val="nil"/>
            </w:tcBorders>
            <w:shd w:val="clear" w:color="auto" w:fill="F9DECA"/>
          </w:tcPr>
          <w:p>
            <w:pPr>
              <w:pStyle w:val="TableParagraph"/>
              <w:ind w:right="137"/>
              <w:jc w:val="center"/>
              <w:rPr>
                <w:sz w:val="20"/>
              </w:rPr>
            </w:pPr>
            <w:r>
              <w:rPr>
                <w:w w:val="99"/>
                <w:sz w:val="20"/>
              </w:rPr>
              <w:t>6</w:t>
            </w:r>
          </w:p>
        </w:tc>
        <w:tc>
          <w:tcPr>
            <w:tcW w:w="454" w:type="dxa"/>
            <w:tcBorders>
              <w:top w:val="single" w:sz="8" w:space="0" w:color="000000"/>
              <w:left w:val="nil"/>
              <w:bottom w:val="single" w:sz="8" w:space="0" w:color="7E7E7E"/>
              <w:right w:val="nil"/>
            </w:tcBorders>
            <w:shd w:val="clear" w:color="auto" w:fill="F9DECA"/>
          </w:tcPr>
          <w:p>
            <w:pPr>
              <w:pStyle w:val="TableParagraph"/>
              <w:ind w:left="108"/>
              <w:rPr>
                <w:sz w:val="20"/>
              </w:rPr>
            </w:pPr>
            <w:r>
              <w:rPr>
                <w:w w:val="99"/>
                <w:sz w:val="20"/>
              </w:rPr>
              <w:t>7</w:t>
            </w:r>
          </w:p>
        </w:tc>
        <w:tc>
          <w:tcPr>
            <w:tcW w:w="454" w:type="dxa"/>
            <w:tcBorders>
              <w:top w:val="single" w:sz="8" w:space="0" w:color="000000"/>
              <w:left w:val="nil"/>
              <w:bottom w:val="single" w:sz="8" w:space="0" w:color="7E7E7E"/>
              <w:right w:val="nil"/>
            </w:tcBorders>
            <w:shd w:val="clear" w:color="auto" w:fill="F9DECA"/>
          </w:tcPr>
          <w:p>
            <w:pPr>
              <w:pStyle w:val="TableParagraph"/>
              <w:ind w:left="107"/>
              <w:rPr>
                <w:sz w:val="20"/>
              </w:rPr>
            </w:pPr>
            <w:r>
              <w:rPr>
                <w:sz w:val="20"/>
              </w:rPr>
              <w:t>11</w:t>
            </w:r>
          </w:p>
        </w:tc>
        <w:tc>
          <w:tcPr>
            <w:tcW w:w="622" w:type="dxa"/>
            <w:tcBorders>
              <w:top w:val="single" w:sz="8" w:space="0" w:color="000000"/>
              <w:left w:val="nil"/>
              <w:bottom w:val="single" w:sz="8" w:space="0" w:color="7E7E7E"/>
              <w:right w:val="nil"/>
            </w:tcBorders>
            <w:shd w:val="clear" w:color="auto" w:fill="F9DECA"/>
          </w:tcPr>
          <w:p>
            <w:pPr>
              <w:pStyle w:val="TableParagraph"/>
              <w:ind w:left="107"/>
              <w:rPr>
                <w:sz w:val="20"/>
              </w:rPr>
            </w:pPr>
            <w:r>
              <w:rPr>
                <w:sz w:val="20"/>
              </w:rPr>
              <w:t>225</w:t>
            </w:r>
          </w:p>
        </w:tc>
      </w:tr>
      <w:tr>
        <w:trPr>
          <w:trHeight w:val="549" w:hRule="exact"/>
        </w:trPr>
        <w:tc>
          <w:tcPr>
            <w:tcW w:w="1304" w:type="dxa"/>
            <w:tcBorders>
              <w:top w:val="single" w:sz="8" w:space="0" w:color="7E7E7E"/>
              <w:left w:val="nil"/>
              <w:bottom w:val="single" w:sz="8" w:space="0" w:color="000000"/>
              <w:right w:val="nil"/>
            </w:tcBorders>
          </w:tcPr>
          <w:p>
            <w:pPr>
              <w:pStyle w:val="TableParagraph"/>
              <w:spacing w:line="276" w:lineRule="auto" w:before="0"/>
              <w:ind w:left="108" w:right="137"/>
              <w:rPr>
                <w:sz w:val="20"/>
              </w:rPr>
            </w:pPr>
            <w:r>
              <w:rPr>
                <w:sz w:val="20"/>
              </w:rPr>
              <w:t>São Miguel do Tocantins</w:t>
            </w:r>
          </w:p>
        </w:tc>
        <w:tc>
          <w:tcPr>
            <w:tcW w:w="1078" w:type="dxa"/>
            <w:tcBorders>
              <w:top w:val="single" w:sz="8" w:space="0" w:color="7E7E7E"/>
              <w:left w:val="nil"/>
              <w:bottom w:val="single" w:sz="8" w:space="0" w:color="000000"/>
              <w:right w:val="nil"/>
            </w:tcBorders>
          </w:tcPr>
          <w:p>
            <w:pPr>
              <w:pStyle w:val="TableParagraph"/>
              <w:spacing w:line="276" w:lineRule="auto" w:before="0"/>
              <w:ind w:left="107" w:right="239"/>
              <w:rPr>
                <w:sz w:val="20"/>
              </w:rPr>
            </w:pPr>
            <w:r>
              <w:rPr>
                <w:sz w:val="20"/>
              </w:rPr>
              <w:t>101 de 23/06/15</w:t>
            </w:r>
          </w:p>
        </w:tc>
        <w:tc>
          <w:tcPr>
            <w:tcW w:w="566" w:type="dxa"/>
            <w:tcBorders>
              <w:top w:val="single" w:sz="8" w:space="0" w:color="7E7E7E"/>
              <w:left w:val="nil"/>
              <w:bottom w:val="single" w:sz="8" w:space="0" w:color="000000"/>
              <w:right w:val="nil"/>
            </w:tcBorders>
          </w:tcPr>
          <w:p>
            <w:pPr>
              <w:pStyle w:val="TableParagraph"/>
              <w:ind w:left="107"/>
              <w:rPr>
                <w:sz w:val="20"/>
              </w:rPr>
            </w:pPr>
            <w:r>
              <w:rPr>
                <w:sz w:val="20"/>
              </w:rPr>
              <w:t>13</w:t>
            </w:r>
          </w:p>
        </w:tc>
        <w:tc>
          <w:tcPr>
            <w:tcW w:w="566" w:type="dxa"/>
            <w:tcBorders>
              <w:top w:val="single" w:sz="8" w:space="0" w:color="7E7E7E"/>
              <w:left w:val="nil"/>
              <w:bottom w:val="single" w:sz="8" w:space="0" w:color="000000"/>
              <w:right w:val="nil"/>
            </w:tcBorders>
          </w:tcPr>
          <w:p>
            <w:pPr>
              <w:pStyle w:val="TableParagraph"/>
              <w:ind w:left="108"/>
              <w:rPr>
                <w:sz w:val="20"/>
              </w:rPr>
            </w:pPr>
            <w:r>
              <w:rPr>
                <w:sz w:val="20"/>
              </w:rPr>
              <w:t>20</w:t>
            </w:r>
          </w:p>
        </w:tc>
        <w:tc>
          <w:tcPr>
            <w:tcW w:w="338" w:type="dxa"/>
            <w:tcBorders>
              <w:top w:val="single" w:sz="8" w:space="0" w:color="7E7E7E"/>
              <w:left w:val="nil"/>
              <w:bottom w:val="single" w:sz="8" w:space="0" w:color="000000"/>
              <w:right w:val="nil"/>
            </w:tcBorders>
          </w:tcPr>
          <w:p>
            <w:pPr>
              <w:pStyle w:val="TableParagraph"/>
              <w:ind w:right="54"/>
              <w:jc w:val="center"/>
              <w:rPr>
                <w:sz w:val="20"/>
              </w:rPr>
            </w:pPr>
            <w:r>
              <w:rPr>
                <w:w w:val="99"/>
                <w:sz w:val="20"/>
              </w:rPr>
              <w:t>-</w:t>
            </w:r>
          </w:p>
        </w:tc>
        <w:tc>
          <w:tcPr>
            <w:tcW w:w="566" w:type="dxa"/>
            <w:tcBorders>
              <w:top w:val="single" w:sz="8" w:space="0" w:color="7E7E7E"/>
              <w:left w:val="nil"/>
              <w:bottom w:val="single" w:sz="8" w:space="0" w:color="000000"/>
              <w:right w:val="nil"/>
            </w:tcBorders>
          </w:tcPr>
          <w:p>
            <w:pPr>
              <w:pStyle w:val="TableParagraph"/>
              <w:ind w:left="107"/>
              <w:rPr>
                <w:sz w:val="20"/>
              </w:rPr>
            </w:pPr>
            <w:r>
              <w:rPr>
                <w:w w:val="99"/>
                <w:sz w:val="20"/>
              </w:rPr>
              <w:t>-</w:t>
            </w:r>
          </w:p>
        </w:tc>
        <w:tc>
          <w:tcPr>
            <w:tcW w:w="569" w:type="dxa"/>
            <w:tcBorders>
              <w:top w:val="single" w:sz="8" w:space="0" w:color="7E7E7E"/>
              <w:left w:val="nil"/>
              <w:bottom w:val="single" w:sz="8" w:space="0" w:color="000000"/>
              <w:right w:val="nil"/>
            </w:tcBorders>
          </w:tcPr>
          <w:p>
            <w:pPr>
              <w:pStyle w:val="TableParagraph"/>
              <w:ind w:left="108"/>
              <w:rPr>
                <w:sz w:val="20"/>
              </w:rPr>
            </w:pPr>
            <w:r>
              <w:rPr>
                <w:w w:val="99"/>
                <w:sz w:val="20"/>
              </w:rPr>
              <w:t>-</w:t>
            </w:r>
          </w:p>
        </w:tc>
        <w:tc>
          <w:tcPr>
            <w:tcW w:w="283" w:type="dxa"/>
            <w:tcBorders>
              <w:top w:val="single" w:sz="8" w:space="0" w:color="7E7E7E"/>
              <w:left w:val="nil"/>
              <w:bottom w:val="single" w:sz="8" w:space="0" w:color="000000"/>
              <w:right w:val="nil"/>
            </w:tcBorders>
          </w:tcPr>
          <w:p>
            <w:pPr>
              <w:pStyle w:val="TableParagraph"/>
              <w:ind w:left="105"/>
              <w:rPr>
                <w:sz w:val="20"/>
              </w:rPr>
            </w:pPr>
            <w:r>
              <w:rPr>
                <w:w w:val="99"/>
                <w:sz w:val="20"/>
              </w:rPr>
              <w:t>-</w:t>
            </w:r>
          </w:p>
        </w:tc>
        <w:tc>
          <w:tcPr>
            <w:tcW w:w="454" w:type="dxa"/>
            <w:tcBorders>
              <w:top w:val="single" w:sz="8" w:space="0" w:color="7E7E7E"/>
              <w:left w:val="nil"/>
              <w:bottom w:val="single" w:sz="8" w:space="0" w:color="000000"/>
              <w:right w:val="nil"/>
            </w:tcBorders>
          </w:tcPr>
          <w:p>
            <w:pPr>
              <w:pStyle w:val="TableParagraph"/>
              <w:ind w:left="71" w:right="106"/>
              <w:jc w:val="center"/>
              <w:rPr>
                <w:sz w:val="20"/>
              </w:rPr>
            </w:pPr>
            <w:r>
              <w:rPr>
                <w:sz w:val="20"/>
              </w:rPr>
              <w:t>17</w:t>
            </w:r>
          </w:p>
        </w:tc>
        <w:tc>
          <w:tcPr>
            <w:tcW w:w="454" w:type="dxa"/>
            <w:tcBorders>
              <w:top w:val="single" w:sz="8" w:space="0" w:color="7E7E7E"/>
              <w:left w:val="nil"/>
              <w:bottom w:val="single" w:sz="8" w:space="0" w:color="000000"/>
              <w:right w:val="nil"/>
            </w:tcBorders>
          </w:tcPr>
          <w:p>
            <w:pPr>
              <w:pStyle w:val="TableParagraph"/>
              <w:ind w:left="108"/>
              <w:rPr>
                <w:sz w:val="20"/>
              </w:rPr>
            </w:pPr>
            <w:r>
              <w:rPr>
                <w:w w:val="99"/>
                <w:sz w:val="20"/>
              </w:rPr>
              <w:t>9</w:t>
            </w:r>
          </w:p>
        </w:tc>
        <w:tc>
          <w:tcPr>
            <w:tcW w:w="454" w:type="dxa"/>
            <w:tcBorders>
              <w:top w:val="single" w:sz="8" w:space="0" w:color="7E7E7E"/>
              <w:left w:val="nil"/>
              <w:bottom w:val="single" w:sz="8" w:space="0" w:color="000000"/>
              <w:right w:val="nil"/>
            </w:tcBorders>
          </w:tcPr>
          <w:p>
            <w:pPr>
              <w:pStyle w:val="TableParagraph"/>
              <w:ind w:left="107"/>
              <w:rPr>
                <w:sz w:val="20"/>
              </w:rPr>
            </w:pPr>
            <w:r>
              <w:rPr>
                <w:sz w:val="20"/>
              </w:rPr>
              <w:t>13</w:t>
            </w:r>
          </w:p>
        </w:tc>
        <w:tc>
          <w:tcPr>
            <w:tcW w:w="456" w:type="dxa"/>
            <w:tcBorders>
              <w:top w:val="single" w:sz="8" w:space="0" w:color="7E7E7E"/>
              <w:left w:val="nil"/>
              <w:bottom w:val="single" w:sz="8" w:space="0" w:color="000000"/>
              <w:right w:val="nil"/>
            </w:tcBorders>
          </w:tcPr>
          <w:p>
            <w:pPr>
              <w:pStyle w:val="TableParagraph"/>
              <w:ind w:left="90" w:right="126"/>
              <w:jc w:val="center"/>
              <w:rPr>
                <w:sz w:val="20"/>
              </w:rPr>
            </w:pPr>
            <w:r>
              <w:rPr>
                <w:sz w:val="20"/>
              </w:rPr>
              <w:t>20</w:t>
            </w:r>
          </w:p>
        </w:tc>
        <w:tc>
          <w:tcPr>
            <w:tcW w:w="454" w:type="dxa"/>
            <w:tcBorders>
              <w:top w:val="single" w:sz="8" w:space="0" w:color="7E7E7E"/>
              <w:left w:val="nil"/>
              <w:bottom w:val="single" w:sz="8" w:space="0" w:color="000000"/>
              <w:right w:val="nil"/>
            </w:tcBorders>
          </w:tcPr>
          <w:p>
            <w:pPr>
              <w:pStyle w:val="TableParagraph"/>
              <w:ind w:left="105"/>
              <w:rPr>
                <w:sz w:val="20"/>
              </w:rPr>
            </w:pPr>
            <w:r>
              <w:rPr>
                <w:w w:val="99"/>
                <w:sz w:val="20"/>
              </w:rPr>
              <w:t>8</w:t>
            </w:r>
          </w:p>
        </w:tc>
        <w:tc>
          <w:tcPr>
            <w:tcW w:w="454" w:type="dxa"/>
            <w:tcBorders>
              <w:top w:val="single" w:sz="8" w:space="0" w:color="7E7E7E"/>
              <w:left w:val="nil"/>
              <w:bottom w:val="single" w:sz="8" w:space="0" w:color="000000"/>
              <w:right w:val="nil"/>
            </w:tcBorders>
          </w:tcPr>
          <w:p>
            <w:pPr>
              <w:pStyle w:val="TableParagraph"/>
              <w:ind w:right="136"/>
              <w:jc w:val="center"/>
              <w:rPr>
                <w:sz w:val="20"/>
              </w:rPr>
            </w:pPr>
            <w:r>
              <w:rPr>
                <w:w w:val="99"/>
                <w:sz w:val="20"/>
              </w:rPr>
              <w:t>7</w:t>
            </w:r>
          </w:p>
        </w:tc>
        <w:tc>
          <w:tcPr>
            <w:tcW w:w="454" w:type="dxa"/>
            <w:tcBorders>
              <w:top w:val="single" w:sz="8" w:space="0" w:color="7E7E7E"/>
              <w:left w:val="nil"/>
              <w:bottom w:val="single" w:sz="8" w:space="0" w:color="000000"/>
              <w:right w:val="nil"/>
            </w:tcBorders>
          </w:tcPr>
          <w:p>
            <w:pPr>
              <w:pStyle w:val="TableParagraph"/>
              <w:ind w:left="72" w:right="106"/>
              <w:jc w:val="center"/>
              <w:rPr>
                <w:sz w:val="20"/>
              </w:rPr>
            </w:pPr>
            <w:r>
              <w:rPr>
                <w:sz w:val="20"/>
              </w:rPr>
              <w:t>31</w:t>
            </w:r>
          </w:p>
        </w:tc>
        <w:tc>
          <w:tcPr>
            <w:tcW w:w="454" w:type="dxa"/>
            <w:tcBorders>
              <w:top w:val="single" w:sz="8" w:space="0" w:color="7E7E7E"/>
              <w:left w:val="nil"/>
              <w:bottom w:val="single" w:sz="8" w:space="0" w:color="000000"/>
              <w:right w:val="nil"/>
            </w:tcBorders>
          </w:tcPr>
          <w:p>
            <w:pPr>
              <w:pStyle w:val="TableParagraph"/>
              <w:ind w:left="108"/>
              <w:rPr>
                <w:sz w:val="20"/>
              </w:rPr>
            </w:pPr>
            <w:r>
              <w:rPr>
                <w:w w:val="99"/>
                <w:sz w:val="20"/>
              </w:rPr>
              <w:t>6</w:t>
            </w:r>
          </w:p>
        </w:tc>
        <w:tc>
          <w:tcPr>
            <w:tcW w:w="454" w:type="dxa"/>
            <w:tcBorders>
              <w:top w:val="single" w:sz="8" w:space="0" w:color="7E7E7E"/>
              <w:left w:val="nil"/>
              <w:bottom w:val="single" w:sz="8" w:space="0" w:color="000000"/>
              <w:right w:val="nil"/>
            </w:tcBorders>
          </w:tcPr>
          <w:p>
            <w:pPr>
              <w:pStyle w:val="TableParagraph"/>
              <w:ind w:right="136"/>
              <w:jc w:val="center"/>
              <w:rPr>
                <w:sz w:val="20"/>
              </w:rPr>
            </w:pPr>
            <w:r>
              <w:rPr>
                <w:w w:val="99"/>
                <w:sz w:val="20"/>
              </w:rPr>
              <w:t>9</w:t>
            </w:r>
          </w:p>
        </w:tc>
        <w:tc>
          <w:tcPr>
            <w:tcW w:w="456" w:type="dxa"/>
            <w:tcBorders>
              <w:top w:val="single" w:sz="8" w:space="0" w:color="7E7E7E"/>
              <w:left w:val="nil"/>
              <w:bottom w:val="single" w:sz="8" w:space="0" w:color="000000"/>
              <w:right w:val="nil"/>
            </w:tcBorders>
          </w:tcPr>
          <w:p>
            <w:pPr>
              <w:pStyle w:val="TableParagraph"/>
              <w:ind w:right="138"/>
              <w:jc w:val="center"/>
              <w:rPr>
                <w:sz w:val="20"/>
              </w:rPr>
            </w:pPr>
            <w:r>
              <w:rPr>
                <w:w w:val="99"/>
                <w:sz w:val="20"/>
              </w:rPr>
              <w:t>8</w:t>
            </w:r>
          </w:p>
        </w:tc>
        <w:tc>
          <w:tcPr>
            <w:tcW w:w="454" w:type="dxa"/>
            <w:tcBorders>
              <w:top w:val="single" w:sz="8" w:space="0" w:color="7E7E7E"/>
              <w:left w:val="nil"/>
              <w:bottom w:val="single" w:sz="8" w:space="0" w:color="000000"/>
              <w:right w:val="nil"/>
            </w:tcBorders>
          </w:tcPr>
          <w:p>
            <w:pPr>
              <w:pStyle w:val="TableParagraph"/>
              <w:ind w:left="105"/>
              <w:rPr>
                <w:sz w:val="20"/>
              </w:rPr>
            </w:pPr>
            <w:r>
              <w:rPr>
                <w:w w:val="99"/>
                <w:sz w:val="20"/>
              </w:rPr>
              <w:t>4</w:t>
            </w:r>
          </w:p>
        </w:tc>
        <w:tc>
          <w:tcPr>
            <w:tcW w:w="454" w:type="dxa"/>
            <w:tcBorders>
              <w:top w:val="single" w:sz="8" w:space="0" w:color="7E7E7E"/>
              <w:left w:val="nil"/>
              <w:bottom w:val="single" w:sz="8" w:space="0" w:color="000000"/>
              <w:right w:val="nil"/>
            </w:tcBorders>
          </w:tcPr>
          <w:p>
            <w:pPr>
              <w:pStyle w:val="TableParagraph"/>
              <w:ind w:right="137"/>
              <w:jc w:val="center"/>
              <w:rPr>
                <w:sz w:val="20"/>
              </w:rPr>
            </w:pPr>
            <w:r>
              <w:rPr>
                <w:w w:val="99"/>
                <w:sz w:val="20"/>
              </w:rPr>
              <w:t>7</w:t>
            </w:r>
          </w:p>
        </w:tc>
        <w:tc>
          <w:tcPr>
            <w:tcW w:w="454" w:type="dxa"/>
            <w:tcBorders>
              <w:top w:val="single" w:sz="8" w:space="0" w:color="7E7E7E"/>
              <w:left w:val="nil"/>
              <w:bottom w:val="single" w:sz="8" w:space="0" w:color="000000"/>
              <w:right w:val="nil"/>
            </w:tcBorders>
          </w:tcPr>
          <w:p>
            <w:pPr>
              <w:pStyle w:val="TableParagraph"/>
              <w:ind w:left="108"/>
              <w:rPr>
                <w:sz w:val="20"/>
              </w:rPr>
            </w:pPr>
            <w:r>
              <w:rPr>
                <w:w w:val="99"/>
                <w:sz w:val="20"/>
              </w:rPr>
              <w:t>8</w:t>
            </w:r>
          </w:p>
        </w:tc>
        <w:tc>
          <w:tcPr>
            <w:tcW w:w="454" w:type="dxa"/>
            <w:tcBorders>
              <w:top w:val="single" w:sz="8" w:space="0" w:color="7E7E7E"/>
              <w:left w:val="nil"/>
              <w:bottom w:val="single" w:sz="8" w:space="0" w:color="000000"/>
              <w:right w:val="nil"/>
            </w:tcBorders>
          </w:tcPr>
          <w:p>
            <w:pPr>
              <w:pStyle w:val="TableParagraph"/>
              <w:ind w:left="108"/>
              <w:rPr>
                <w:sz w:val="20"/>
              </w:rPr>
            </w:pPr>
            <w:r>
              <w:rPr>
                <w:w w:val="99"/>
                <w:sz w:val="20"/>
              </w:rPr>
              <w:t>6</w:t>
            </w:r>
          </w:p>
        </w:tc>
        <w:tc>
          <w:tcPr>
            <w:tcW w:w="454" w:type="dxa"/>
            <w:tcBorders>
              <w:top w:val="single" w:sz="8" w:space="0" w:color="7E7E7E"/>
              <w:left w:val="nil"/>
              <w:bottom w:val="single" w:sz="8" w:space="0" w:color="000000"/>
              <w:right w:val="nil"/>
            </w:tcBorders>
          </w:tcPr>
          <w:p>
            <w:pPr>
              <w:pStyle w:val="TableParagraph"/>
              <w:ind w:left="72" w:right="106"/>
              <w:jc w:val="center"/>
              <w:rPr>
                <w:sz w:val="20"/>
              </w:rPr>
            </w:pPr>
            <w:r>
              <w:rPr>
                <w:sz w:val="20"/>
              </w:rPr>
              <w:t>13</w:t>
            </w:r>
          </w:p>
        </w:tc>
        <w:tc>
          <w:tcPr>
            <w:tcW w:w="457" w:type="dxa"/>
            <w:tcBorders>
              <w:top w:val="single" w:sz="8" w:space="0" w:color="7E7E7E"/>
              <w:left w:val="nil"/>
              <w:bottom w:val="single" w:sz="8" w:space="0" w:color="000000"/>
              <w:right w:val="nil"/>
            </w:tcBorders>
          </w:tcPr>
          <w:p>
            <w:pPr>
              <w:pStyle w:val="TableParagraph"/>
              <w:ind w:left="107"/>
              <w:rPr>
                <w:sz w:val="20"/>
              </w:rPr>
            </w:pPr>
            <w:r>
              <w:rPr>
                <w:w w:val="99"/>
                <w:sz w:val="20"/>
              </w:rPr>
              <w:t>5</w:t>
            </w:r>
          </w:p>
        </w:tc>
        <w:tc>
          <w:tcPr>
            <w:tcW w:w="454" w:type="dxa"/>
            <w:tcBorders>
              <w:top w:val="single" w:sz="8" w:space="0" w:color="7E7E7E"/>
              <w:left w:val="nil"/>
              <w:bottom w:val="single" w:sz="8" w:space="0" w:color="000000"/>
              <w:right w:val="nil"/>
            </w:tcBorders>
          </w:tcPr>
          <w:p>
            <w:pPr>
              <w:pStyle w:val="TableParagraph"/>
              <w:ind w:left="105"/>
              <w:rPr>
                <w:sz w:val="20"/>
              </w:rPr>
            </w:pPr>
            <w:r>
              <w:rPr>
                <w:w w:val="99"/>
                <w:sz w:val="20"/>
              </w:rPr>
              <w:t>4</w:t>
            </w:r>
          </w:p>
        </w:tc>
        <w:tc>
          <w:tcPr>
            <w:tcW w:w="454" w:type="dxa"/>
            <w:tcBorders>
              <w:top w:val="single" w:sz="8" w:space="0" w:color="7E7E7E"/>
              <w:left w:val="nil"/>
              <w:bottom w:val="single" w:sz="8" w:space="0" w:color="000000"/>
              <w:right w:val="nil"/>
            </w:tcBorders>
          </w:tcPr>
          <w:p>
            <w:pPr>
              <w:pStyle w:val="TableParagraph"/>
              <w:ind w:right="137"/>
              <w:jc w:val="center"/>
              <w:rPr>
                <w:sz w:val="20"/>
              </w:rPr>
            </w:pPr>
            <w:r>
              <w:rPr>
                <w:w w:val="99"/>
                <w:sz w:val="20"/>
              </w:rPr>
              <w:t>8</w:t>
            </w:r>
          </w:p>
        </w:tc>
        <w:tc>
          <w:tcPr>
            <w:tcW w:w="454" w:type="dxa"/>
            <w:tcBorders>
              <w:top w:val="single" w:sz="8" w:space="0" w:color="7E7E7E"/>
              <w:left w:val="nil"/>
              <w:bottom w:val="single" w:sz="8" w:space="0" w:color="000000"/>
              <w:right w:val="nil"/>
            </w:tcBorders>
          </w:tcPr>
          <w:p>
            <w:pPr>
              <w:pStyle w:val="TableParagraph"/>
              <w:ind w:left="108"/>
              <w:rPr>
                <w:sz w:val="20"/>
              </w:rPr>
            </w:pPr>
            <w:r>
              <w:rPr>
                <w:w w:val="99"/>
                <w:sz w:val="20"/>
              </w:rPr>
              <w:t>8</w:t>
            </w:r>
          </w:p>
        </w:tc>
        <w:tc>
          <w:tcPr>
            <w:tcW w:w="454" w:type="dxa"/>
            <w:tcBorders>
              <w:top w:val="single" w:sz="8" w:space="0" w:color="7E7E7E"/>
              <w:left w:val="nil"/>
              <w:bottom w:val="single" w:sz="8" w:space="0" w:color="000000"/>
              <w:right w:val="nil"/>
            </w:tcBorders>
          </w:tcPr>
          <w:p>
            <w:pPr>
              <w:pStyle w:val="TableParagraph"/>
              <w:ind w:left="107"/>
              <w:rPr>
                <w:sz w:val="20"/>
              </w:rPr>
            </w:pPr>
            <w:r>
              <w:rPr>
                <w:sz w:val="20"/>
              </w:rPr>
              <w:t>10</w:t>
            </w:r>
          </w:p>
        </w:tc>
        <w:tc>
          <w:tcPr>
            <w:tcW w:w="622" w:type="dxa"/>
            <w:tcBorders>
              <w:top w:val="single" w:sz="8" w:space="0" w:color="7E7E7E"/>
              <w:left w:val="nil"/>
              <w:bottom w:val="single" w:sz="8" w:space="0" w:color="000000"/>
              <w:right w:val="nil"/>
            </w:tcBorders>
          </w:tcPr>
          <w:p>
            <w:pPr>
              <w:pStyle w:val="TableParagraph"/>
              <w:ind w:left="107"/>
              <w:rPr>
                <w:sz w:val="20"/>
              </w:rPr>
            </w:pPr>
            <w:r>
              <w:rPr>
                <w:sz w:val="20"/>
              </w:rPr>
              <w:t>201</w:t>
            </w:r>
          </w:p>
        </w:tc>
      </w:tr>
      <w:tr>
        <w:trPr>
          <w:trHeight w:val="812" w:hRule="exact"/>
        </w:trPr>
        <w:tc>
          <w:tcPr>
            <w:tcW w:w="1304"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160"/>
              <w:rPr>
                <w:sz w:val="20"/>
              </w:rPr>
            </w:pPr>
            <w:r>
              <w:rPr>
                <w:sz w:val="20"/>
              </w:rPr>
              <w:t>São Sebastião do Tocantins</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129"/>
              <w:ind w:left="107" w:right="239"/>
              <w:rPr>
                <w:sz w:val="20"/>
              </w:rPr>
            </w:pPr>
            <w:r>
              <w:rPr>
                <w:sz w:val="20"/>
              </w:rPr>
              <w:t>152 de 19/06/15</w:t>
            </w:r>
          </w:p>
        </w:tc>
        <w:tc>
          <w:tcPr>
            <w:tcW w:w="566"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107"/>
              <w:rPr>
                <w:sz w:val="20"/>
              </w:rPr>
            </w:pPr>
            <w:r>
              <w:rPr>
                <w:sz w:val="20"/>
              </w:rPr>
              <w:t>13</w:t>
            </w:r>
          </w:p>
        </w:tc>
        <w:tc>
          <w:tcPr>
            <w:tcW w:w="566"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7"/>
              <w:rPr>
                <w:sz w:val="22"/>
              </w:rPr>
            </w:pPr>
          </w:p>
          <w:p>
            <w:pPr>
              <w:pStyle w:val="TableParagraph"/>
              <w:spacing w:before="1"/>
              <w:ind w:left="21"/>
              <w:jc w:val="center"/>
              <w:rPr>
                <w:sz w:val="20"/>
              </w:rPr>
            </w:pPr>
            <w:r>
              <w:rPr>
                <w:w w:val="99"/>
                <w:sz w:val="20"/>
              </w:rPr>
              <w:t>X</w:t>
            </w:r>
          </w:p>
        </w:tc>
        <w:tc>
          <w:tcPr>
            <w:tcW w:w="566"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108"/>
              <w:rPr>
                <w:sz w:val="20"/>
              </w:rPr>
            </w:pPr>
            <w:r>
              <w:rPr>
                <w:w w:val="99"/>
                <w:sz w:val="20"/>
              </w:rPr>
              <w:t>X</w:t>
            </w:r>
          </w:p>
        </w:tc>
        <w:tc>
          <w:tcPr>
            <w:tcW w:w="569"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7"/>
              <w:rPr>
                <w:sz w:val="22"/>
              </w:rPr>
            </w:pPr>
          </w:p>
          <w:p>
            <w:pPr>
              <w:pStyle w:val="TableParagraph"/>
              <w:spacing w:before="1"/>
              <w:ind w:left="108"/>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71" w:right="106"/>
              <w:jc w:val="center"/>
              <w:rPr>
                <w:sz w:val="20"/>
              </w:rPr>
            </w:pPr>
            <w:r>
              <w:rPr>
                <w:sz w:val="20"/>
              </w:rPr>
              <w:t>18</w:t>
            </w:r>
          </w:p>
        </w:tc>
        <w:tc>
          <w:tcPr>
            <w:tcW w:w="454"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108"/>
              <w:rPr>
                <w:sz w:val="20"/>
              </w:rPr>
            </w:pPr>
            <w:r>
              <w:rPr>
                <w:sz w:val="20"/>
              </w:rPr>
              <w:t>18</w:t>
            </w:r>
          </w:p>
        </w:tc>
        <w:tc>
          <w:tcPr>
            <w:tcW w:w="454"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107"/>
              <w:rPr>
                <w:sz w:val="20"/>
              </w:rPr>
            </w:pPr>
            <w:r>
              <w:rPr>
                <w:w w:val="99"/>
                <w:sz w:val="20"/>
              </w:rPr>
              <w:t>9</w:t>
            </w:r>
          </w:p>
        </w:tc>
        <w:tc>
          <w:tcPr>
            <w:tcW w:w="456"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90" w:right="126"/>
              <w:jc w:val="center"/>
              <w:rPr>
                <w:sz w:val="20"/>
              </w:rPr>
            </w:pPr>
            <w:r>
              <w:rPr>
                <w:sz w:val="20"/>
              </w:rPr>
              <w:t>21</w:t>
            </w:r>
          </w:p>
        </w:tc>
        <w:tc>
          <w:tcPr>
            <w:tcW w:w="454"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105"/>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72" w:right="106"/>
              <w:jc w:val="center"/>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72" w:right="106"/>
              <w:jc w:val="center"/>
              <w:rPr>
                <w:sz w:val="20"/>
              </w:rPr>
            </w:pPr>
            <w:r>
              <w:rPr>
                <w:sz w:val="20"/>
              </w:rPr>
              <w:t>36</w:t>
            </w:r>
          </w:p>
        </w:tc>
        <w:tc>
          <w:tcPr>
            <w:tcW w:w="454"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108"/>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72" w:right="106"/>
              <w:jc w:val="center"/>
              <w:rPr>
                <w:sz w:val="20"/>
              </w:rPr>
            </w:pPr>
            <w:r>
              <w:rPr>
                <w:sz w:val="20"/>
              </w:rPr>
              <w:t>13</w:t>
            </w:r>
          </w:p>
        </w:tc>
        <w:tc>
          <w:tcPr>
            <w:tcW w:w="456"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right="138"/>
              <w:jc w:val="center"/>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105"/>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right="137"/>
              <w:jc w:val="center"/>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108"/>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right="136"/>
              <w:jc w:val="center"/>
              <w:rPr>
                <w:sz w:val="20"/>
              </w:rPr>
            </w:pPr>
            <w:r>
              <w:rPr>
                <w:w w:val="99"/>
                <w:sz w:val="20"/>
              </w:rPr>
              <w:t>9</w:t>
            </w:r>
          </w:p>
        </w:tc>
        <w:tc>
          <w:tcPr>
            <w:tcW w:w="457"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107"/>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105"/>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right="137"/>
              <w:jc w:val="center"/>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108"/>
              <w:rPr>
                <w:sz w:val="20"/>
              </w:rPr>
            </w:pPr>
            <w:r>
              <w:rPr>
                <w:sz w:val="20"/>
              </w:rPr>
              <w:t>12</w:t>
            </w:r>
          </w:p>
        </w:tc>
        <w:tc>
          <w:tcPr>
            <w:tcW w:w="454"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107"/>
              <w:rPr>
                <w:sz w:val="20"/>
              </w:rPr>
            </w:pPr>
            <w:r>
              <w:rPr>
                <w:w w:val="99"/>
                <w:sz w:val="20"/>
              </w:rPr>
              <w:t>8</w:t>
            </w:r>
          </w:p>
        </w:tc>
        <w:tc>
          <w:tcPr>
            <w:tcW w:w="622" w:type="dxa"/>
            <w:tcBorders>
              <w:top w:val="single" w:sz="8" w:space="0" w:color="000000"/>
              <w:left w:val="nil"/>
              <w:bottom w:val="single" w:sz="8" w:space="0" w:color="000000"/>
              <w:right w:val="nil"/>
            </w:tcBorders>
            <w:shd w:val="clear" w:color="auto" w:fill="F9DECA"/>
          </w:tcPr>
          <w:p>
            <w:pPr>
              <w:pStyle w:val="TableParagraph"/>
              <w:spacing w:before="7"/>
              <w:rPr>
                <w:sz w:val="22"/>
              </w:rPr>
            </w:pPr>
          </w:p>
          <w:p>
            <w:pPr>
              <w:pStyle w:val="TableParagraph"/>
              <w:spacing w:before="1"/>
              <w:ind w:left="107"/>
              <w:rPr>
                <w:sz w:val="20"/>
              </w:rPr>
            </w:pPr>
            <w:r>
              <w:rPr>
                <w:sz w:val="20"/>
              </w:rPr>
              <w:t>215</w:t>
            </w:r>
          </w:p>
        </w:tc>
      </w:tr>
      <w:tr>
        <w:trPr>
          <w:trHeight w:val="550" w:hRule="exact"/>
        </w:trPr>
        <w:tc>
          <w:tcPr>
            <w:tcW w:w="1304" w:type="dxa"/>
            <w:tcBorders>
              <w:top w:val="single" w:sz="8" w:space="0" w:color="000000"/>
              <w:left w:val="nil"/>
              <w:bottom w:val="single" w:sz="8" w:space="0" w:color="000000"/>
              <w:right w:val="nil"/>
            </w:tcBorders>
          </w:tcPr>
          <w:p>
            <w:pPr>
              <w:pStyle w:val="TableParagraph"/>
              <w:spacing w:line="276" w:lineRule="auto" w:before="0"/>
              <w:ind w:left="108" w:right="104"/>
              <w:rPr>
                <w:sz w:val="20"/>
              </w:rPr>
            </w:pPr>
            <w:r>
              <w:rPr>
                <w:sz w:val="20"/>
              </w:rPr>
              <w:t>Aparecida do Rio Negro</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261 de 24/06/15</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sz w:val="20"/>
              </w:rPr>
              <w:t>13</w:t>
            </w:r>
          </w:p>
        </w:tc>
        <w:tc>
          <w:tcPr>
            <w:tcW w:w="566" w:type="dxa"/>
            <w:tcBorders>
              <w:top w:val="single" w:sz="8" w:space="0" w:color="000000"/>
              <w:left w:val="nil"/>
              <w:bottom w:val="single" w:sz="8" w:space="0" w:color="000000"/>
              <w:right w:val="nil"/>
            </w:tcBorders>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right="54"/>
              <w:jc w:val="center"/>
              <w:rPr>
                <w:sz w:val="20"/>
              </w:rPr>
            </w:pPr>
            <w:r>
              <w:rPr>
                <w:w w:val="99"/>
                <w:sz w:val="20"/>
              </w:rPr>
              <w:t>-</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w:t>
            </w:r>
          </w:p>
        </w:tc>
        <w:tc>
          <w:tcPr>
            <w:tcW w:w="569"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spacing w:before="130"/>
              <w:ind w:right="137"/>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13</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6</w:t>
            </w:r>
          </w:p>
        </w:tc>
        <w:tc>
          <w:tcPr>
            <w:tcW w:w="456" w:type="dxa"/>
            <w:tcBorders>
              <w:top w:val="single" w:sz="8" w:space="0" w:color="000000"/>
              <w:left w:val="nil"/>
              <w:bottom w:val="single" w:sz="8" w:space="0" w:color="000000"/>
              <w:right w:val="nil"/>
            </w:tcBorders>
          </w:tcPr>
          <w:p>
            <w:pPr>
              <w:pStyle w:val="TableParagraph"/>
              <w:spacing w:before="130"/>
              <w:ind w:right="138"/>
              <w:jc w:val="center"/>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5</w:t>
            </w:r>
          </w:p>
        </w:tc>
        <w:tc>
          <w:tcPr>
            <w:tcW w:w="456" w:type="dxa"/>
            <w:tcBorders>
              <w:top w:val="single" w:sz="8" w:space="0" w:color="000000"/>
              <w:left w:val="nil"/>
              <w:bottom w:val="single" w:sz="8" w:space="0" w:color="000000"/>
              <w:right w:val="nil"/>
            </w:tcBorders>
          </w:tcPr>
          <w:p>
            <w:pPr>
              <w:pStyle w:val="TableParagraph"/>
              <w:spacing w:before="130"/>
              <w:ind w:right="138"/>
              <w:jc w:val="center"/>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30"/>
              <w:ind w:right="137"/>
              <w:jc w:val="center"/>
              <w:rPr>
                <w:sz w:val="20"/>
              </w:rPr>
            </w:pPr>
            <w:r>
              <w:rPr>
                <w:w w:val="99"/>
                <w:sz w:val="20"/>
              </w:rPr>
              <w:t>2</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2</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5</w:t>
            </w:r>
          </w:p>
        </w:tc>
        <w:tc>
          <w:tcPr>
            <w:tcW w:w="457"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3</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38</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15</w:t>
            </w:r>
          </w:p>
        </w:tc>
        <w:tc>
          <w:tcPr>
            <w:tcW w:w="622" w:type="dxa"/>
            <w:tcBorders>
              <w:top w:val="single" w:sz="8" w:space="0" w:color="000000"/>
              <w:left w:val="nil"/>
              <w:bottom w:val="single" w:sz="8" w:space="0" w:color="000000"/>
              <w:right w:val="nil"/>
            </w:tcBorders>
          </w:tcPr>
          <w:p>
            <w:pPr>
              <w:pStyle w:val="TableParagraph"/>
              <w:spacing w:before="130"/>
              <w:ind w:left="107"/>
              <w:rPr>
                <w:sz w:val="20"/>
              </w:rPr>
            </w:pPr>
            <w:r>
              <w:rPr>
                <w:sz w:val="20"/>
              </w:rPr>
              <w:t>159</w:t>
            </w:r>
          </w:p>
        </w:tc>
      </w:tr>
      <w:tr>
        <w:trPr>
          <w:trHeight w:val="550" w:hRule="exact"/>
        </w:trPr>
        <w:tc>
          <w:tcPr>
            <w:tcW w:w="1304"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8"/>
              <w:rPr>
                <w:sz w:val="20"/>
              </w:rPr>
            </w:pPr>
            <w:r>
              <w:rPr>
                <w:sz w:val="20"/>
              </w:rPr>
              <w:t>Brejinho de Nazaré</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1094 de 24/06/15</w:t>
            </w:r>
          </w:p>
        </w:tc>
        <w:tc>
          <w:tcPr>
            <w:tcW w:w="566"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12</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right="54"/>
              <w:jc w:val="center"/>
              <w:rPr>
                <w:sz w:val="20"/>
              </w:rPr>
            </w:pPr>
            <w:r>
              <w:rPr>
                <w:w w:val="99"/>
                <w:sz w:val="20"/>
              </w:rPr>
              <w:t>-</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w:t>
            </w:r>
          </w:p>
        </w:tc>
        <w:tc>
          <w:tcPr>
            <w:tcW w:w="569"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ind w:left="108"/>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14</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17</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7</w:t>
            </w:r>
          </w:p>
        </w:tc>
        <w:tc>
          <w:tcPr>
            <w:tcW w:w="456" w:type="dxa"/>
            <w:tcBorders>
              <w:top w:val="single" w:sz="8" w:space="0" w:color="000000"/>
              <w:left w:val="nil"/>
              <w:bottom w:val="single" w:sz="8" w:space="0" w:color="000000"/>
              <w:right w:val="nil"/>
            </w:tcBorders>
            <w:shd w:val="clear" w:color="auto" w:fill="F9DECA"/>
          </w:tcPr>
          <w:p>
            <w:pPr>
              <w:pStyle w:val="TableParagraph"/>
              <w:ind w:left="90" w:right="126"/>
              <w:jc w:val="center"/>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sz w:val="20"/>
              </w:rPr>
              <w:t>19</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13</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29</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6</w:t>
            </w:r>
          </w:p>
        </w:tc>
        <w:tc>
          <w:tcPr>
            <w:tcW w:w="456" w:type="dxa"/>
            <w:tcBorders>
              <w:top w:val="single" w:sz="8" w:space="0" w:color="000000"/>
              <w:left w:val="nil"/>
              <w:bottom w:val="single" w:sz="8" w:space="0" w:color="000000"/>
              <w:right w:val="nil"/>
            </w:tcBorders>
            <w:shd w:val="clear" w:color="auto" w:fill="F9DECA"/>
          </w:tcPr>
          <w:p>
            <w:pPr>
              <w:pStyle w:val="TableParagraph"/>
              <w:ind w:right="138"/>
              <w:jc w:val="center"/>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ind w:right="137"/>
              <w:jc w:val="center"/>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1</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2</w:t>
            </w:r>
          </w:p>
        </w:tc>
        <w:tc>
          <w:tcPr>
            <w:tcW w:w="457"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right="137"/>
              <w:jc w:val="center"/>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13</w:t>
            </w:r>
          </w:p>
        </w:tc>
        <w:tc>
          <w:tcPr>
            <w:tcW w:w="622"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174</w:t>
            </w:r>
          </w:p>
        </w:tc>
      </w:tr>
      <w:tr>
        <w:trPr>
          <w:trHeight w:val="549" w:hRule="exact"/>
        </w:trPr>
        <w:tc>
          <w:tcPr>
            <w:tcW w:w="1304" w:type="dxa"/>
            <w:tcBorders>
              <w:top w:val="single" w:sz="8" w:space="0" w:color="000000"/>
              <w:left w:val="nil"/>
              <w:bottom w:val="single" w:sz="8" w:space="0" w:color="000000"/>
              <w:right w:val="nil"/>
            </w:tcBorders>
          </w:tcPr>
          <w:p>
            <w:pPr>
              <w:pStyle w:val="TableParagraph"/>
              <w:spacing w:line="276" w:lineRule="auto" w:before="0"/>
              <w:ind w:left="108" w:right="237"/>
              <w:rPr>
                <w:sz w:val="20"/>
              </w:rPr>
            </w:pPr>
            <w:r>
              <w:rPr>
                <w:sz w:val="20"/>
              </w:rPr>
              <w:t>Chapada da Natividade</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217 de 19/06/15</w:t>
            </w:r>
          </w:p>
        </w:tc>
        <w:tc>
          <w:tcPr>
            <w:tcW w:w="566" w:type="dxa"/>
            <w:tcBorders>
              <w:top w:val="single" w:sz="8" w:space="0" w:color="000000"/>
              <w:left w:val="nil"/>
              <w:bottom w:val="single" w:sz="8" w:space="0" w:color="000000"/>
              <w:right w:val="nil"/>
            </w:tcBorders>
          </w:tcPr>
          <w:p>
            <w:pPr>
              <w:pStyle w:val="TableParagraph"/>
              <w:ind w:left="107"/>
              <w:rPr>
                <w:sz w:val="20"/>
              </w:rPr>
            </w:pPr>
            <w:r>
              <w:rPr>
                <w:sz w:val="20"/>
              </w:rPr>
              <w:t>13</w:t>
            </w:r>
          </w:p>
        </w:tc>
        <w:tc>
          <w:tcPr>
            <w:tcW w:w="566" w:type="dxa"/>
            <w:tcBorders>
              <w:top w:val="single" w:sz="8" w:space="0" w:color="000000"/>
              <w:left w:val="nil"/>
              <w:bottom w:val="single" w:sz="8" w:space="0" w:color="000000"/>
              <w:right w:val="nil"/>
            </w:tcBorders>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left="21"/>
              <w:jc w:val="center"/>
              <w:rPr>
                <w:sz w:val="20"/>
              </w:rPr>
            </w:pPr>
            <w:r>
              <w:rPr>
                <w:w w:val="99"/>
                <w:sz w:val="20"/>
              </w:rPr>
              <w:t>X</w:t>
            </w:r>
          </w:p>
        </w:tc>
        <w:tc>
          <w:tcPr>
            <w:tcW w:w="566" w:type="dxa"/>
            <w:tcBorders>
              <w:top w:val="single" w:sz="8" w:space="0" w:color="000000"/>
              <w:left w:val="nil"/>
              <w:bottom w:val="single" w:sz="8" w:space="0" w:color="000000"/>
              <w:right w:val="nil"/>
            </w:tcBorders>
          </w:tcPr>
          <w:p>
            <w:pPr>
              <w:pStyle w:val="TableParagraph"/>
              <w:ind w:left="107"/>
              <w:rPr>
                <w:sz w:val="20"/>
              </w:rPr>
            </w:pPr>
            <w:r>
              <w:rPr>
                <w:w w:val="99"/>
                <w:sz w:val="20"/>
              </w:rPr>
              <w:t>X</w:t>
            </w:r>
          </w:p>
        </w:tc>
        <w:tc>
          <w:tcPr>
            <w:tcW w:w="569" w:type="dxa"/>
            <w:tcBorders>
              <w:top w:val="single" w:sz="8" w:space="0" w:color="000000"/>
              <w:left w:val="nil"/>
              <w:bottom w:val="single" w:sz="8" w:space="0" w:color="000000"/>
              <w:right w:val="nil"/>
            </w:tcBorders>
          </w:tcPr>
          <w:p>
            <w:pPr>
              <w:pStyle w:val="TableParagraph"/>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ind w:left="71" w:right="106"/>
              <w:jc w:val="center"/>
              <w:rPr>
                <w:sz w:val="20"/>
              </w:rPr>
            </w:pPr>
            <w:r>
              <w:rPr>
                <w:sz w:val="20"/>
              </w:rPr>
              <w:t>24</w:t>
            </w:r>
          </w:p>
        </w:tc>
        <w:tc>
          <w:tcPr>
            <w:tcW w:w="454" w:type="dxa"/>
            <w:tcBorders>
              <w:top w:val="single" w:sz="8" w:space="0" w:color="000000"/>
              <w:left w:val="nil"/>
              <w:bottom w:val="single" w:sz="8" w:space="0" w:color="000000"/>
              <w:right w:val="nil"/>
            </w:tcBorders>
          </w:tcPr>
          <w:p>
            <w:pPr>
              <w:pStyle w:val="TableParagraph"/>
              <w:ind w:left="108"/>
              <w:rPr>
                <w:sz w:val="20"/>
              </w:rPr>
            </w:pPr>
            <w:r>
              <w:rPr>
                <w:sz w:val="20"/>
              </w:rPr>
              <w:t>23</w:t>
            </w:r>
          </w:p>
        </w:tc>
        <w:tc>
          <w:tcPr>
            <w:tcW w:w="454" w:type="dxa"/>
            <w:tcBorders>
              <w:top w:val="single" w:sz="8" w:space="0" w:color="000000"/>
              <w:left w:val="nil"/>
              <w:bottom w:val="single" w:sz="8" w:space="0" w:color="000000"/>
              <w:right w:val="nil"/>
            </w:tcBorders>
          </w:tcPr>
          <w:p>
            <w:pPr>
              <w:pStyle w:val="TableParagraph"/>
              <w:ind w:left="107"/>
              <w:rPr>
                <w:sz w:val="20"/>
              </w:rPr>
            </w:pPr>
            <w:r>
              <w:rPr>
                <w:sz w:val="20"/>
              </w:rPr>
              <w:t>16</w:t>
            </w:r>
          </w:p>
        </w:tc>
        <w:tc>
          <w:tcPr>
            <w:tcW w:w="456" w:type="dxa"/>
            <w:tcBorders>
              <w:top w:val="single" w:sz="8" w:space="0" w:color="000000"/>
              <w:left w:val="nil"/>
              <w:bottom w:val="single" w:sz="8" w:space="0" w:color="000000"/>
              <w:right w:val="nil"/>
            </w:tcBorders>
          </w:tcPr>
          <w:p>
            <w:pPr>
              <w:pStyle w:val="TableParagraph"/>
              <w:ind w:left="90" w:right="126"/>
              <w:jc w:val="center"/>
              <w:rPr>
                <w:sz w:val="20"/>
              </w:rPr>
            </w:pPr>
            <w:r>
              <w:rPr>
                <w:sz w:val="20"/>
              </w:rPr>
              <w:t>16</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ind w:left="72" w:right="106"/>
              <w:jc w:val="center"/>
              <w:rPr>
                <w:sz w:val="20"/>
              </w:rPr>
            </w:pPr>
            <w:r>
              <w:rPr>
                <w:sz w:val="20"/>
              </w:rPr>
              <w:t>35</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9</w:t>
            </w:r>
          </w:p>
        </w:tc>
        <w:tc>
          <w:tcPr>
            <w:tcW w:w="456" w:type="dxa"/>
            <w:tcBorders>
              <w:top w:val="single" w:sz="8" w:space="0" w:color="000000"/>
              <w:left w:val="nil"/>
              <w:bottom w:val="single" w:sz="8" w:space="0" w:color="000000"/>
              <w:right w:val="nil"/>
            </w:tcBorders>
          </w:tcPr>
          <w:p>
            <w:pPr>
              <w:pStyle w:val="TableParagraph"/>
              <w:ind w:left="90" w:right="126"/>
              <w:jc w:val="center"/>
              <w:rPr>
                <w:sz w:val="20"/>
              </w:rPr>
            </w:pPr>
            <w:r>
              <w:rPr>
                <w:sz w:val="20"/>
              </w:rPr>
              <w:t>11</w:t>
            </w:r>
          </w:p>
        </w:tc>
        <w:tc>
          <w:tcPr>
            <w:tcW w:w="454" w:type="dxa"/>
            <w:tcBorders>
              <w:top w:val="single" w:sz="8" w:space="0" w:color="000000"/>
              <w:left w:val="nil"/>
              <w:bottom w:val="single" w:sz="8" w:space="0" w:color="000000"/>
              <w:right w:val="nil"/>
            </w:tcBorders>
          </w:tcPr>
          <w:p>
            <w:pPr>
              <w:pStyle w:val="TableParagraph"/>
              <w:ind w:left="105"/>
              <w:rPr>
                <w:sz w:val="20"/>
              </w:rPr>
            </w:pPr>
            <w:r>
              <w:rPr>
                <w:sz w:val="20"/>
              </w:rPr>
              <w:t>15</w:t>
            </w:r>
          </w:p>
        </w:tc>
        <w:tc>
          <w:tcPr>
            <w:tcW w:w="454" w:type="dxa"/>
            <w:tcBorders>
              <w:top w:val="single" w:sz="8" w:space="0" w:color="000000"/>
              <w:left w:val="nil"/>
              <w:bottom w:val="single" w:sz="8" w:space="0" w:color="000000"/>
              <w:right w:val="nil"/>
            </w:tcBorders>
          </w:tcPr>
          <w:p>
            <w:pPr>
              <w:pStyle w:val="TableParagraph"/>
              <w:ind w:right="137"/>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8</w:t>
            </w:r>
          </w:p>
        </w:tc>
        <w:tc>
          <w:tcPr>
            <w:tcW w:w="457" w:type="dxa"/>
            <w:tcBorders>
              <w:top w:val="single" w:sz="8" w:space="0" w:color="000000"/>
              <w:left w:val="nil"/>
              <w:bottom w:val="single" w:sz="8" w:space="0" w:color="000000"/>
              <w:right w:val="nil"/>
            </w:tcBorders>
          </w:tcPr>
          <w:p>
            <w:pPr>
              <w:pStyle w:val="TableParagraph"/>
              <w:ind w:left="107"/>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ind w:right="137"/>
              <w:jc w:val="center"/>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left="108"/>
              <w:rPr>
                <w:sz w:val="20"/>
              </w:rPr>
            </w:pPr>
            <w:r>
              <w:rPr>
                <w:sz w:val="20"/>
              </w:rPr>
              <w:t>11</w:t>
            </w:r>
          </w:p>
        </w:tc>
        <w:tc>
          <w:tcPr>
            <w:tcW w:w="454" w:type="dxa"/>
            <w:tcBorders>
              <w:top w:val="single" w:sz="8" w:space="0" w:color="000000"/>
              <w:left w:val="nil"/>
              <w:bottom w:val="single" w:sz="8" w:space="0" w:color="000000"/>
              <w:right w:val="nil"/>
            </w:tcBorders>
          </w:tcPr>
          <w:p>
            <w:pPr>
              <w:pStyle w:val="TableParagraph"/>
              <w:ind w:left="107"/>
              <w:rPr>
                <w:sz w:val="20"/>
              </w:rPr>
            </w:pPr>
            <w:r>
              <w:rPr>
                <w:sz w:val="20"/>
              </w:rPr>
              <w:t>13</w:t>
            </w:r>
          </w:p>
        </w:tc>
        <w:tc>
          <w:tcPr>
            <w:tcW w:w="622" w:type="dxa"/>
            <w:tcBorders>
              <w:top w:val="single" w:sz="8" w:space="0" w:color="000000"/>
              <w:left w:val="nil"/>
              <w:bottom w:val="single" w:sz="8" w:space="0" w:color="000000"/>
              <w:right w:val="nil"/>
            </w:tcBorders>
          </w:tcPr>
          <w:p>
            <w:pPr>
              <w:pStyle w:val="TableParagraph"/>
              <w:ind w:left="107"/>
              <w:rPr>
                <w:sz w:val="20"/>
              </w:rPr>
            </w:pPr>
            <w:r>
              <w:rPr>
                <w:sz w:val="20"/>
              </w:rPr>
              <w:t>242</w:t>
            </w:r>
          </w:p>
        </w:tc>
      </w:tr>
      <w:tr>
        <w:trPr>
          <w:trHeight w:val="549" w:hRule="exact"/>
        </w:trPr>
        <w:tc>
          <w:tcPr>
            <w:tcW w:w="130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Fátima</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399 de 16/06/15</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13</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29"/>
              <w:ind w:left="21"/>
              <w:jc w:val="center"/>
              <w:rPr>
                <w:sz w:val="20"/>
              </w:rPr>
            </w:pPr>
            <w:r>
              <w:rPr>
                <w:w w:val="99"/>
                <w:sz w:val="20"/>
              </w:rPr>
              <w:t>X</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X</w:t>
            </w:r>
          </w:p>
        </w:tc>
        <w:tc>
          <w:tcPr>
            <w:tcW w:w="569"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29"/>
              <w:ind w:left="108"/>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1" w:right="106"/>
              <w:jc w:val="center"/>
              <w:rPr>
                <w:sz w:val="20"/>
              </w:rPr>
            </w:pPr>
            <w:r>
              <w:rPr>
                <w:sz w:val="20"/>
              </w:rPr>
              <w:t>16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w w:val="99"/>
                <w:sz w:val="20"/>
              </w:rPr>
              <w:t>8</w:t>
            </w:r>
          </w:p>
        </w:tc>
        <w:tc>
          <w:tcPr>
            <w:tcW w:w="456" w:type="dxa"/>
            <w:tcBorders>
              <w:top w:val="single" w:sz="8" w:space="0" w:color="000000"/>
              <w:left w:val="nil"/>
              <w:bottom w:val="single" w:sz="8" w:space="0" w:color="000000"/>
              <w:right w:val="nil"/>
            </w:tcBorders>
            <w:shd w:val="clear" w:color="auto" w:fill="F9DECA"/>
          </w:tcPr>
          <w:p>
            <w:pPr>
              <w:pStyle w:val="TableParagraph"/>
              <w:spacing w:before="129"/>
              <w:ind w:right="138"/>
              <w:jc w:val="center"/>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2" w:right="106"/>
              <w:jc w:val="center"/>
              <w:rPr>
                <w:sz w:val="20"/>
              </w:rPr>
            </w:pPr>
            <w:r>
              <w:rPr>
                <w:sz w:val="20"/>
              </w:rPr>
              <w:t>30</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6"/>
              <w:jc w:val="center"/>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6"/>
              <w:jc w:val="center"/>
              <w:rPr>
                <w:sz w:val="20"/>
              </w:rPr>
            </w:pPr>
            <w:r>
              <w:rPr>
                <w:w w:val="99"/>
                <w:sz w:val="20"/>
              </w:rPr>
              <w:t>8</w:t>
            </w:r>
          </w:p>
        </w:tc>
        <w:tc>
          <w:tcPr>
            <w:tcW w:w="456" w:type="dxa"/>
            <w:tcBorders>
              <w:top w:val="single" w:sz="8" w:space="0" w:color="000000"/>
              <w:left w:val="nil"/>
              <w:bottom w:val="single" w:sz="8" w:space="0" w:color="000000"/>
              <w:right w:val="nil"/>
            </w:tcBorders>
            <w:shd w:val="clear" w:color="auto" w:fill="F9DECA"/>
          </w:tcPr>
          <w:p>
            <w:pPr>
              <w:pStyle w:val="TableParagraph"/>
              <w:spacing w:before="129"/>
              <w:ind w:left="90" w:right="126"/>
              <w:jc w:val="center"/>
              <w:rPr>
                <w:sz w:val="20"/>
              </w:rPr>
            </w:pPr>
            <w:r>
              <w:rPr>
                <w:sz w:val="20"/>
              </w:rPr>
              <w:t>14</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1" w:right="106"/>
              <w:jc w:val="center"/>
              <w:rPr>
                <w:sz w:val="20"/>
              </w:rPr>
            </w:pPr>
            <w:r>
              <w:rPr>
                <w:sz w:val="20"/>
              </w:rPr>
              <w:t>20</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6"/>
              <w:jc w:val="center"/>
              <w:rPr>
                <w:sz w:val="20"/>
              </w:rPr>
            </w:pPr>
            <w:r>
              <w:rPr>
                <w:w w:val="99"/>
                <w:sz w:val="20"/>
              </w:rPr>
              <w:t>7</w:t>
            </w:r>
          </w:p>
        </w:tc>
        <w:tc>
          <w:tcPr>
            <w:tcW w:w="457"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1" w:right="106"/>
              <w:jc w:val="center"/>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13</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11</w:t>
            </w:r>
          </w:p>
        </w:tc>
        <w:tc>
          <w:tcPr>
            <w:tcW w:w="622"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210</w:t>
            </w:r>
          </w:p>
        </w:tc>
      </w:tr>
      <w:tr>
        <w:trPr>
          <w:trHeight w:val="550" w:hRule="exact"/>
        </w:trPr>
        <w:tc>
          <w:tcPr>
            <w:tcW w:w="1304" w:type="dxa"/>
            <w:tcBorders>
              <w:top w:val="single" w:sz="8" w:space="0" w:color="000000"/>
              <w:left w:val="nil"/>
              <w:bottom w:val="single" w:sz="8" w:space="0" w:color="000000"/>
              <w:right w:val="nil"/>
            </w:tcBorders>
          </w:tcPr>
          <w:p>
            <w:pPr>
              <w:pStyle w:val="TableParagraph"/>
              <w:spacing w:before="130"/>
              <w:ind w:left="108"/>
              <w:rPr>
                <w:sz w:val="20"/>
              </w:rPr>
            </w:pPr>
            <w:r>
              <w:rPr>
                <w:sz w:val="20"/>
              </w:rPr>
              <w:t>Ipueiras</w:t>
            </w:r>
          </w:p>
        </w:tc>
        <w:tc>
          <w:tcPr>
            <w:tcW w:w="1078" w:type="dxa"/>
            <w:tcBorders>
              <w:top w:val="single" w:sz="8" w:space="0" w:color="000000"/>
              <w:left w:val="nil"/>
              <w:bottom w:val="single" w:sz="8" w:space="0" w:color="000000"/>
              <w:right w:val="nil"/>
            </w:tcBorders>
          </w:tcPr>
          <w:p>
            <w:pPr>
              <w:pStyle w:val="TableParagraph"/>
              <w:spacing w:line="278" w:lineRule="auto" w:before="0"/>
              <w:ind w:left="107" w:right="239"/>
              <w:rPr>
                <w:sz w:val="20"/>
              </w:rPr>
            </w:pPr>
            <w:r>
              <w:rPr>
                <w:sz w:val="20"/>
              </w:rPr>
              <w:t>200 de 24/06/15</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sz w:val="20"/>
              </w:rPr>
              <w:t>13</w:t>
            </w:r>
          </w:p>
        </w:tc>
        <w:tc>
          <w:tcPr>
            <w:tcW w:w="566" w:type="dxa"/>
            <w:tcBorders>
              <w:top w:val="single" w:sz="8" w:space="0" w:color="000000"/>
              <w:left w:val="nil"/>
              <w:bottom w:val="single" w:sz="8" w:space="0" w:color="000000"/>
              <w:right w:val="nil"/>
            </w:tcBorders>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right="54"/>
              <w:jc w:val="center"/>
              <w:rPr>
                <w:sz w:val="20"/>
              </w:rPr>
            </w:pPr>
            <w:r>
              <w:rPr>
                <w:w w:val="99"/>
                <w:sz w:val="20"/>
              </w:rPr>
              <w:t>-</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w:t>
            </w:r>
          </w:p>
        </w:tc>
        <w:tc>
          <w:tcPr>
            <w:tcW w:w="569"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38</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32</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17</w:t>
            </w:r>
          </w:p>
        </w:tc>
        <w:tc>
          <w:tcPr>
            <w:tcW w:w="456" w:type="dxa"/>
            <w:tcBorders>
              <w:top w:val="single" w:sz="8" w:space="0" w:color="000000"/>
              <w:left w:val="nil"/>
              <w:bottom w:val="single" w:sz="8" w:space="0" w:color="000000"/>
              <w:right w:val="nil"/>
            </w:tcBorders>
          </w:tcPr>
          <w:p>
            <w:pPr>
              <w:pStyle w:val="TableParagraph"/>
              <w:spacing w:before="130"/>
              <w:ind w:right="138"/>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17</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5</w:t>
            </w:r>
          </w:p>
        </w:tc>
        <w:tc>
          <w:tcPr>
            <w:tcW w:w="456" w:type="dxa"/>
            <w:tcBorders>
              <w:top w:val="single" w:sz="8" w:space="0" w:color="000000"/>
              <w:left w:val="nil"/>
              <w:bottom w:val="single" w:sz="8" w:space="0" w:color="000000"/>
              <w:right w:val="nil"/>
            </w:tcBorders>
          </w:tcPr>
          <w:p>
            <w:pPr>
              <w:pStyle w:val="TableParagraph"/>
              <w:spacing w:before="130"/>
              <w:ind w:right="138"/>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right="137"/>
              <w:jc w:val="center"/>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11</w:t>
            </w:r>
          </w:p>
        </w:tc>
        <w:tc>
          <w:tcPr>
            <w:tcW w:w="457"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10</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16</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12</w:t>
            </w:r>
          </w:p>
        </w:tc>
        <w:tc>
          <w:tcPr>
            <w:tcW w:w="622" w:type="dxa"/>
            <w:tcBorders>
              <w:top w:val="single" w:sz="8" w:space="0" w:color="000000"/>
              <w:left w:val="nil"/>
              <w:bottom w:val="single" w:sz="8" w:space="0" w:color="000000"/>
              <w:right w:val="nil"/>
            </w:tcBorders>
          </w:tcPr>
          <w:p>
            <w:pPr>
              <w:pStyle w:val="TableParagraph"/>
              <w:spacing w:before="130"/>
              <w:ind w:left="107"/>
              <w:rPr>
                <w:sz w:val="20"/>
              </w:rPr>
            </w:pPr>
            <w:r>
              <w:rPr>
                <w:sz w:val="20"/>
              </w:rPr>
              <w:t>225</w:t>
            </w:r>
          </w:p>
        </w:tc>
      </w:tr>
    </w:tbl>
    <w:p>
      <w:pPr>
        <w:spacing w:after="0"/>
        <w:rPr>
          <w:sz w:val="20"/>
        </w:rPr>
        <w:sectPr>
          <w:pgSz w:w="16840" w:h="11910" w:orient="landscape"/>
          <w:pgMar w:header="749" w:footer="0" w:top="960" w:bottom="280" w:left="880" w:right="740"/>
        </w:sectPr>
      </w:pPr>
    </w:p>
    <w:p>
      <w:pPr>
        <w:pStyle w:val="BodyText"/>
        <w:rPr>
          <w:sz w:val="20"/>
        </w:rPr>
      </w:pPr>
      <w:r>
        <w:rPr/>
        <w:drawing>
          <wp:anchor distT="0" distB="0" distL="0" distR="0" allowOverlap="1" layoutInCell="1" locked="0" behindDoc="0" simplePos="0" relativeHeight="3616">
            <wp:simplePos x="0" y="0"/>
            <wp:positionH relativeFrom="page">
              <wp:posOffset>2860801</wp:posOffset>
            </wp:positionH>
            <wp:positionV relativeFrom="page">
              <wp:posOffset>2170430</wp:posOffset>
            </wp:positionV>
            <wp:extent cx="216469" cy="338137"/>
            <wp:effectExtent l="0" t="0" r="0" b="0"/>
            <wp:wrapNone/>
            <wp:docPr id="143" name="image28.png" descr=""/>
            <wp:cNvGraphicFramePr>
              <a:graphicFrameLocks noChangeAspect="1"/>
            </wp:cNvGraphicFramePr>
            <a:graphic>
              <a:graphicData uri="http://schemas.openxmlformats.org/drawingml/2006/picture">
                <pic:pic>
                  <pic:nvPicPr>
                    <pic:cNvPr id="144" name="image28.png"/>
                    <pic:cNvPicPr/>
                  </pic:nvPicPr>
                  <pic:blipFill>
                    <a:blip r:embed="rId79" cstate="print"/>
                    <a:stretch>
                      <a:fillRect/>
                    </a:stretch>
                  </pic:blipFill>
                  <pic:spPr>
                    <a:xfrm>
                      <a:off x="0" y="0"/>
                      <a:ext cx="216469" cy="338137"/>
                    </a:xfrm>
                    <a:prstGeom prst="rect">
                      <a:avLst/>
                    </a:prstGeom>
                  </pic:spPr>
                </pic:pic>
              </a:graphicData>
            </a:graphic>
          </wp:anchor>
        </w:drawing>
      </w:r>
      <w:r>
        <w:rPr/>
        <w:drawing>
          <wp:anchor distT="0" distB="0" distL="0" distR="0" allowOverlap="1" layoutInCell="1" locked="0" behindDoc="0" simplePos="0" relativeHeight="3640">
            <wp:simplePos x="0" y="0"/>
            <wp:positionH relativeFrom="page">
              <wp:posOffset>3795395</wp:posOffset>
            </wp:positionH>
            <wp:positionV relativeFrom="page">
              <wp:posOffset>2170430</wp:posOffset>
            </wp:positionV>
            <wp:extent cx="182694" cy="338137"/>
            <wp:effectExtent l="0" t="0" r="0" b="0"/>
            <wp:wrapNone/>
            <wp:docPr id="145" name="image29.png" descr=""/>
            <wp:cNvGraphicFramePr>
              <a:graphicFrameLocks noChangeAspect="1"/>
            </wp:cNvGraphicFramePr>
            <a:graphic>
              <a:graphicData uri="http://schemas.openxmlformats.org/drawingml/2006/picture">
                <pic:pic>
                  <pic:nvPicPr>
                    <pic:cNvPr id="146" name="image29.png"/>
                    <pic:cNvPicPr/>
                  </pic:nvPicPr>
                  <pic:blipFill>
                    <a:blip r:embed="rId80" cstate="print"/>
                    <a:stretch>
                      <a:fillRect/>
                    </a:stretch>
                  </pic:blipFill>
                  <pic:spPr>
                    <a:xfrm>
                      <a:off x="0" y="0"/>
                      <a:ext cx="182694" cy="338137"/>
                    </a:xfrm>
                    <a:prstGeom prst="rect">
                      <a:avLst/>
                    </a:prstGeom>
                  </pic:spPr>
                </pic:pic>
              </a:graphicData>
            </a:graphic>
          </wp:anchor>
        </w:drawing>
      </w:r>
      <w:r>
        <w:rPr/>
        <w:drawing>
          <wp:anchor distT="0" distB="0" distL="0" distR="0" allowOverlap="1" layoutInCell="1" locked="0" behindDoc="0" simplePos="0" relativeHeight="3664">
            <wp:simplePos x="0" y="0"/>
            <wp:positionH relativeFrom="page">
              <wp:posOffset>2860801</wp:posOffset>
            </wp:positionH>
            <wp:positionV relativeFrom="page">
              <wp:posOffset>2867279</wp:posOffset>
            </wp:positionV>
            <wp:extent cx="216950" cy="340042"/>
            <wp:effectExtent l="0" t="0" r="0" b="0"/>
            <wp:wrapNone/>
            <wp:docPr id="147" name="image30.png" descr=""/>
            <wp:cNvGraphicFramePr>
              <a:graphicFrameLocks noChangeAspect="1"/>
            </wp:cNvGraphicFramePr>
            <a:graphic>
              <a:graphicData uri="http://schemas.openxmlformats.org/drawingml/2006/picture">
                <pic:pic>
                  <pic:nvPicPr>
                    <pic:cNvPr id="148" name="image30.png"/>
                    <pic:cNvPicPr/>
                  </pic:nvPicPr>
                  <pic:blipFill>
                    <a:blip r:embed="rId81" cstate="print"/>
                    <a:stretch>
                      <a:fillRect/>
                    </a:stretch>
                  </pic:blipFill>
                  <pic:spPr>
                    <a:xfrm>
                      <a:off x="0" y="0"/>
                      <a:ext cx="216950" cy="340042"/>
                    </a:xfrm>
                    <a:prstGeom prst="rect">
                      <a:avLst/>
                    </a:prstGeom>
                  </pic:spPr>
                </pic:pic>
              </a:graphicData>
            </a:graphic>
          </wp:anchor>
        </w:drawing>
      </w:r>
      <w:r>
        <w:rPr/>
        <w:drawing>
          <wp:anchor distT="0" distB="0" distL="0" distR="0" allowOverlap="1" layoutInCell="1" locked="0" behindDoc="0" simplePos="0" relativeHeight="3688">
            <wp:simplePos x="0" y="0"/>
            <wp:positionH relativeFrom="page">
              <wp:posOffset>3795395</wp:posOffset>
            </wp:positionH>
            <wp:positionV relativeFrom="page">
              <wp:posOffset>2867279</wp:posOffset>
            </wp:positionV>
            <wp:extent cx="183099" cy="340042"/>
            <wp:effectExtent l="0" t="0" r="0" b="0"/>
            <wp:wrapNone/>
            <wp:docPr id="149" name="image31.png" descr=""/>
            <wp:cNvGraphicFramePr>
              <a:graphicFrameLocks noChangeAspect="1"/>
            </wp:cNvGraphicFramePr>
            <a:graphic>
              <a:graphicData uri="http://schemas.openxmlformats.org/drawingml/2006/picture">
                <pic:pic>
                  <pic:nvPicPr>
                    <pic:cNvPr id="150" name="image31.png"/>
                    <pic:cNvPicPr/>
                  </pic:nvPicPr>
                  <pic:blipFill>
                    <a:blip r:embed="rId82" cstate="print"/>
                    <a:stretch>
                      <a:fillRect/>
                    </a:stretch>
                  </pic:blipFill>
                  <pic:spPr>
                    <a:xfrm>
                      <a:off x="0" y="0"/>
                      <a:ext cx="183099" cy="340042"/>
                    </a:xfrm>
                    <a:prstGeom prst="rect">
                      <a:avLst/>
                    </a:prstGeom>
                  </pic:spPr>
                </pic:pic>
              </a:graphicData>
            </a:graphic>
          </wp:anchor>
        </w:drawing>
      </w:r>
      <w:r>
        <w:rPr/>
        <w:drawing>
          <wp:anchor distT="0" distB="0" distL="0" distR="0" allowOverlap="1" layoutInCell="1" locked="0" behindDoc="0" simplePos="0" relativeHeight="3712">
            <wp:simplePos x="0" y="0"/>
            <wp:positionH relativeFrom="page">
              <wp:posOffset>2860801</wp:posOffset>
            </wp:positionH>
            <wp:positionV relativeFrom="page">
              <wp:posOffset>3589654</wp:posOffset>
            </wp:positionV>
            <wp:extent cx="216715" cy="338137"/>
            <wp:effectExtent l="0" t="0" r="0" b="0"/>
            <wp:wrapNone/>
            <wp:docPr id="151" name="image56.png" descr=""/>
            <wp:cNvGraphicFramePr>
              <a:graphicFrameLocks noChangeAspect="1"/>
            </wp:cNvGraphicFramePr>
            <a:graphic>
              <a:graphicData uri="http://schemas.openxmlformats.org/drawingml/2006/picture">
                <pic:pic>
                  <pic:nvPicPr>
                    <pic:cNvPr id="152" name="image56.png"/>
                    <pic:cNvPicPr/>
                  </pic:nvPicPr>
                  <pic:blipFill>
                    <a:blip r:embed="rId108" cstate="print"/>
                    <a:stretch>
                      <a:fillRect/>
                    </a:stretch>
                  </pic:blipFill>
                  <pic:spPr>
                    <a:xfrm>
                      <a:off x="0" y="0"/>
                      <a:ext cx="216715" cy="338137"/>
                    </a:xfrm>
                    <a:prstGeom prst="rect">
                      <a:avLst/>
                    </a:prstGeom>
                  </pic:spPr>
                </pic:pic>
              </a:graphicData>
            </a:graphic>
          </wp:anchor>
        </w:drawing>
      </w:r>
      <w:r>
        <w:rPr/>
        <w:drawing>
          <wp:anchor distT="0" distB="0" distL="0" distR="0" allowOverlap="1" layoutInCell="1" locked="0" behindDoc="0" simplePos="0" relativeHeight="3736">
            <wp:simplePos x="0" y="0"/>
            <wp:positionH relativeFrom="page">
              <wp:posOffset>3795395</wp:posOffset>
            </wp:positionH>
            <wp:positionV relativeFrom="page">
              <wp:posOffset>3589654</wp:posOffset>
            </wp:positionV>
            <wp:extent cx="182901" cy="338137"/>
            <wp:effectExtent l="0" t="0" r="0" b="0"/>
            <wp:wrapNone/>
            <wp:docPr id="153" name="image41.png" descr=""/>
            <wp:cNvGraphicFramePr>
              <a:graphicFrameLocks noChangeAspect="1"/>
            </wp:cNvGraphicFramePr>
            <a:graphic>
              <a:graphicData uri="http://schemas.openxmlformats.org/drawingml/2006/picture">
                <pic:pic>
                  <pic:nvPicPr>
                    <pic:cNvPr id="154" name="image41.png"/>
                    <pic:cNvPicPr/>
                  </pic:nvPicPr>
                  <pic:blipFill>
                    <a:blip r:embed="rId93" cstate="print"/>
                    <a:stretch>
                      <a:fillRect/>
                    </a:stretch>
                  </pic:blipFill>
                  <pic:spPr>
                    <a:xfrm>
                      <a:off x="0" y="0"/>
                      <a:ext cx="182901" cy="338137"/>
                    </a:xfrm>
                    <a:prstGeom prst="rect">
                      <a:avLst/>
                    </a:prstGeom>
                  </pic:spPr>
                </pic:pic>
              </a:graphicData>
            </a:graphic>
          </wp:anchor>
        </w:drawing>
      </w:r>
      <w:r>
        <w:rPr/>
        <w:drawing>
          <wp:anchor distT="0" distB="0" distL="0" distR="0" allowOverlap="1" layoutInCell="1" locked="0" behindDoc="0" simplePos="0" relativeHeight="3760">
            <wp:simplePos x="0" y="0"/>
            <wp:positionH relativeFrom="page">
              <wp:posOffset>2860801</wp:posOffset>
            </wp:positionH>
            <wp:positionV relativeFrom="page">
              <wp:posOffset>4286377</wp:posOffset>
            </wp:positionV>
            <wp:extent cx="213663" cy="333375"/>
            <wp:effectExtent l="0" t="0" r="0" b="0"/>
            <wp:wrapNone/>
            <wp:docPr id="155" name="image20.png" descr=""/>
            <wp:cNvGraphicFramePr>
              <a:graphicFrameLocks noChangeAspect="1"/>
            </wp:cNvGraphicFramePr>
            <a:graphic>
              <a:graphicData uri="http://schemas.openxmlformats.org/drawingml/2006/picture">
                <pic:pic>
                  <pic:nvPicPr>
                    <pic:cNvPr id="156" name="image20.png"/>
                    <pic:cNvPicPr/>
                  </pic:nvPicPr>
                  <pic:blipFill>
                    <a:blip r:embed="rId70" cstate="print"/>
                    <a:stretch>
                      <a:fillRect/>
                    </a:stretch>
                  </pic:blipFill>
                  <pic:spPr>
                    <a:xfrm>
                      <a:off x="0" y="0"/>
                      <a:ext cx="213663" cy="333375"/>
                    </a:xfrm>
                    <a:prstGeom prst="rect">
                      <a:avLst/>
                    </a:prstGeom>
                  </pic:spPr>
                </pic:pic>
              </a:graphicData>
            </a:graphic>
          </wp:anchor>
        </w:drawing>
      </w:r>
      <w:r>
        <w:rPr/>
        <w:drawing>
          <wp:anchor distT="0" distB="0" distL="0" distR="0" allowOverlap="1" layoutInCell="1" locked="0" behindDoc="0" simplePos="0" relativeHeight="3784">
            <wp:simplePos x="0" y="0"/>
            <wp:positionH relativeFrom="page">
              <wp:posOffset>3795395</wp:posOffset>
            </wp:positionH>
            <wp:positionV relativeFrom="page">
              <wp:posOffset>4286377</wp:posOffset>
            </wp:positionV>
            <wp:extent cx="180325" cy="333375"/>
            <wp:effectExtent l="0" t="0" r="0" b="0"/>
            <wp:wrapNone/>
            <wp:docPr id="157" name="image21.png" descr=""/>
            <wp:cNvGraphicFramePr>
              <a:graphicFrameLocks noChangeAspect="1"/>
            </wp:cNvGraphicFramePr>
            <a:graphic>
              <a:graphicData uri="http://schemas.openxmlformats.org/drawingml/2006/picture">
                <pic:pic>
                  <pic:nvPicPr>
                    <pic:cNvPr id="158" name="image21.png"/>
                    <pic:cNvPicPr/>
                  </pic:nvPicPr>
                  <pic:blipFill>
                    <a:blip r:embed="rId71" cstate="print"/>
                    <a:stretch>
                      <a:fillRect/>
                    </a:stretch>
                  </pic:blipFill>
                  <pic:spPr>
                    <a:xfrm>
                      <a:off x="0" y="0"/>
                      <a:ext cx="180325" cy="333375"/>
                    </a:xfrm>
                    <a:prstGeom prst="rect">
                      <a:avLst/>
                    </a:prstGeom>
                  </pic:spPr>
                </pic:pic>
              </a:graphicData>
            </a:graphic>
          </wp:anchor>
        </w:drawing>
      </w:r>
      <w:r>
        <w:rPr/>
        <w:drawing>
          <wp:anchor distT="0" distB="0" distL="0" distR="0" allowOverlap="1" layoutInCell="1" locked="0" behindDoc="0" simplePos="0" relativeHeight="3808">
            <wp:simplePos x="0" y="0"/>
            <wp:positionH relativeFrom="page">
              <wp:posOffset>2860801</wp:posOffset>
            </wp:positionH>
            <wp:positionV relativeFrom="page">
              <wp:posOffset>4982845</wp:posOffset>
            </wp:positionV>
            <wp:extent cx="216950" cy="340042"/>
            <wp:effectExtent l="0" t="0" r="0" b="0"/>
            <wp:wrapNone/>
            <wp:docPr id="159" name="image57.png" descr=""/>
            <wp:cNvGraphicFramePr>
              <a:graphicFrameLocks noChangeAspect="1"/>
            </wp:cNvGraphicFramePr>
            <a:graphic>
              <a:graphicData uri="http://schemas.openxmlformats.org/drawingml/2006/picture">
                <pic:pic>
                  <pic:nvPicPr>
                    <pic:cNvPr id="160" name="image57.png"/>
                    <pic:cNvPicPr/>
                  </pic:nvPicPr>
                  <pic:blipFill>
                    <a:blip r:embed="rId109" cstate="print"/>
                    <a:stretch>
                      <a:fillRect/>
                    </a:stretch>
                  </pic:blipFill>
                  <pic:spPr>
                    <a:xfrm>
                      <a:off x="0" y="0"/>
                      <a:ext cx="216950" cy="340042"/>
                    </a:xfrm>
                    <a:prstGeom prst="rect">
                      <a:avLst/>
                    </a:prstGeom>
                  </pic:spPr>
                </pic:pic>
              </a:graphicData>
            </a:graphic>
          </wp:anchor>
        </w:drawing>
      </w:r>
      <w:r>
        <w:rPr/>
        <w:drawing>
          <wp:anchor distT="0" distB="0" distL="0" distR="0" allowOverlap="1" layoutInCell="1" locked="0" behindDoc="0" simplePos="0" relativeHeight="3832">
            <wp:simplePos x="0" y="0"/>
            <wp:positionH relativeFrom="page">
              <wp:posOffset>3795395</wp:posOffset>
            </wp:positionH>
            <wp:positionV relativeFrom="page">
              <wp:posOffset>4982845</wp:posOffset>
            </wp:positionV>
            <wp:extent cx="183099" cy="340042"/>
            <wp:effectExtent l="0" t="0" r="0" b="0"/>
            <wp:wrapNone/>
            <wp:docPr id="161" name="image58.png" descr=""/>
            <wp:cNvGraphicFramePr>
              <a:graphicFrameLocks noChangeAspect="1"/>
            </wp:cNvGraphicFramePr>
            <a:graphic>
              <a:graphicData uri="http://schemas.openxmlformats.org/drawingml/2006/picture">
                <pic:pic>
                  <pic:nvPicPr>
                    <pic:cNvPr id="162" name="image58.png"/>
                    <pic:cNvPicPr/>
                  </pic:nvPicPr>
                  <pic:blipFill>
                    <a:blip r:embed="rId110" cstate="print"/>
                    <a:stretch>
                      <a:fillRect/>
                    </a:stretch>
                  </pic:blipFill>
                  <pic:spPr>
                    <a:xfrm>
                      <a:off x="0" y="0"/>
                      <a:ext cx="183099" cy="340042"/>
                    </a:xfrm>
                    <a:prstGeom prst="rect">
                      <a:avLst/>
                    </a:prstGeom>
                  </pic:spPr>
                </pic:pic>
              </a:graphicData>
            </a:graphic>
          </wp:anchor>
        </w:drawing>
      </w:r>
      <w:r>
        <w:rPr/>
        <w:drawing>
          <wp:anchor distT="0" distB="0" distL="0" distR="0" allowOverlap="1" layoutInCell="1" locked="0" behindDoc="0" simplePos="0" relativeHeight="3856">
            <wp:simplePos x="0" y="0"/>
            <wp:positionH relativeFrom="page">
              <wp:posOffset>2860801</wp:posOffset>
            </wp:positionH>
            <wp:positionV relativeFrom="page">
              <wp:posOffset>5681217</wp:posOffset>
            </wp:positionV>
            <wp:extent cx="215390" cy="323850"/>
            <wp:effectExtent l="0" t="0" r="0" b="0"/>
            <wp:wrapNone/>
            <wp:docPr id="163" name="image59.png" descr=""/>
            <wp:cNvGraphicFramePr>
              <a:graphicFrameLocks noChangeAspect="1"/>
            </wp:cNvGraphicFramePr>
            <a:graphic>
              <a:graphicData uri="http://schemas.openxmlformats.org/drawingml/2006/picture">
                <pic:pic>
                  <pic:nvPicPr>
                    <pic:cNvPr id="164" name="image59.png"/>
                    <pic:cNvPicPr/>
                  </pic:nvPicPr>
                  <pic:blipFill>
                    <a:blip r:embed="rId111" cstate="print"/>
                    <a:stretch>
                      <a:fillRect/>
                    </a:stretch>
                  </pic:blipFill>
                  <pic:spPr>
                    <a:xfrm>
                      <a:off x="0" y="0"/>
                      <a:ext cx="215390" cy="323850"/>
                    </a:xfrm>
                    <a:prstGeom prst="rect">
                      <a:avLst/>
                    </a:prstGeom>
                  </pic:spPr>
                </pic:pic>
              </a:graphicData>
            </a:graphic>
          </wp:anchor>
        </w:drawing>
      </w:r>
      <w:r>
        <w:rPr/>
        <w:drawing>
          <wp:anchor distT="0" distB="0" distL="0" distR="0" allowOverlap="1" layoutInCell="1" locked="0" behindDoc="0" simplePos="0" relativeHeight="3880">
            <wp:simplePos x="0" y="0"/>
            <wp:positionH relativeFrom="page">
              <wp:posOffset>3795395</wp:posOffset>
            </wp:positionH>
            <wp:positionV relativeFrom="page">
              <wp:posOffset>5681217</wp:posOffset>
            </wp:positionV>
            <wp:extent cx="181783" cy="323850"/>
            <wp:effectExtent l="0" t="0" r="0" b="0"/>
            <wp:wrapNone/>
            <wp:docPr id="165" name="image60.png" descr=""/>
            <wp:cNvGraphicFramePr>
              <a:graphicFrameLocks noChangeAspect="1"/>
            </wp:cNvGraphicFramePr>
            <a:graphic>
              <a:graphicData uri="http://schemas.openxmlformats.org/drawingml/2006/picture">
                <pic:pic>
                  <pic:nvPicPr>
                    <pic:cNvPr id="166" name="image60.png"/>
                    <pic:cNvPicPr/>
                  </pic:nvPicPr>
                  <pic:blipFill>
                    <a:blip r:embed="rId112" cstate="print"/>
                    <a:stretch>
                      <a:fillRect/>
                    </a:stretch>
                  </pic:blipFill>
                  <pic:spPr>
                    <a:xfrm>
                      <a:off x="0" y="0"/>
                      <a:ext cx="181783" cy="323850"/>
                    </a:xfrm>
                    <a:prstGeom prst="rect">
                      <a:avLst/>
                    </a:prstGeom>
                  </pic:spPr>
                </pic:pic>
              </a:graphicData>
            </a:graphic>
          </wp:anchor>
        </w:drawing>
      </w:r>
    </w:p>
    <w:p>
      <w:pPr>
        <w:pStyle w:val="BodyText"/>
        <w:rPr>
          <w:sz w:val="20"/>
        </w:rPr>
      </w:pPr>
    </w:p>
    <w:p>
      <w:pPr>
        <w:pStyle w:val="BodyText"/>
        <w:spacing w:before="8"/>
        <w:rPr>
          <w:sz w:val="22"/>
        </w:rPr>
      </w:pPr>
    </w:p>
    <w:tbl>
      <w:tblPr>
        <w:tblW w:w="0" w:type="auto"/>
        <w:jc w:val="left"/>
        <w:tblInd w:w="101"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304"/>
        <w:gridCol w:w="1078"/>
        <w:gridCol w:w="566"/>
        <w:gridCol w:w="566"/>
        <w:gridCol w:w="338"/>
        <w:gridCol w:w="566"/>
        <w:gridCol w:w="569"/>
        <w:gridCol w:w="283"/>
        <w:gridCol w:w="454"/>
        <w:gridCol w:w="454"/>
        <w:gridCol w:w="454"/>
        <w:gridCol w:w="456"/>
        <w:gridCol w:w="454"/>
        <w:gridCol w:w="454"/>
        <w:gridCol w:w="454"/>
        <w:gridCol w:w="454"/>
        <w:gridCol w:w="454"/>
        <w:gridCol w:w="456"/>
        <w:gridCol w:w="454"/>
        <w:gridCol w:w="454"/>
        <w:gridCol w:w="454"/>
        <w:gridCol w:w="454"/>
        <w:gridCol w:w="454"/>
        <w:gridCol w:w="457"/>
        <w:gridCol w:w="454"/>
        <w:gridCol w:w="454"/>
        <w:gridCol w:w="454"/>
        <w:gridCol w:w="454"/>
        <w:gridCol w:w="622"/>
      </w:tblGrid>
      <w:tr>
        <w:trPr>
          <w:trHeight w:val="1132" w:hRule="exact"/>
        </w:trPr>
        <w:tc>
          <w:tcPr>
            <w:tcW w:w="1304" w:type="dxa"/>
            <w:tcBorders>
              <w:left w:val="single" w:sz="8" w:space="0" w:color="000000"/>
              <w:right w:val="single" w:sz="8" w:space="0" w:color="000000"/>
            </w:tcBorders>
            <w:shd w:val="clear" w:color="auto" w:fill="F9DECA"/>
          </w:tcPr>
          <w:p>
            <w:pPr>
              <w:pStyle w:val="TableParagraph"/>
              <w:spacing w:before="0"/>
              <w:rPr>
                <w:sz w:val="22"/>
              </w:rPr>
            </w:pPr>
          </w:p>
          <w:p>
            <w:pPr>
              <w:pStyle w:val="TableParagraph"/>
              <w:spacing w:before="155"/>
              <w:ind w:left="201"/>
              <w:rPr>
                <w:b/>
                <w:sz w:val="20"/>
              </w:rPr>
            </w:pPr>
            <w:r>
              <w:rPr>
                <w:b/>
                <w:sz w:val="20"/>
              </w:rPr>
              <w:t>Município</w:t>
            </w:r>
          </w:p>
        </w:tc>
        <w:tc>
          <w:tcPr>
            <w:tcW w:w="1078" w:type="dxa"/>
            <w:tcBorders>
              <w:left w:val="single" w:sz="8" w:space="0" w:color="000000"/>
              <w:right w:val="single" w:sz="8" w:space="0" w:color="000000"/>
            </w:tcBorders>
            <w:shd w:val="clear" w:color="auto" w:fill="F9DECA"/>
            <w:textDirection w:val="btLr"/>
          </w:tcPr>
          <w:p>
            <w:pPr>
              <w:pStyle w:val="TableParagraph"/>
              <w:spacing w:before="4"/>
              <w:rPr>
                <w:sz w:val="22"/>
              </w:rPr>
            </w:pPr>
          </w:p>
          <w:p>
            <w:pPr>
              <w:pStyle w:val="TableParagraph"/>
              <w:spacing w:line="283" w:lineRule="auto" w:before="0"/>
              <w:ind w:left="112" w:right="30"/>
              <w:rPr>
                <w:b/>
                <w:sz w:val="20"/>
              </w:rPr>
            </w:pPr>
            <w:r>
              <w:rPr>
                <w:b/>
                <w:spacing w:val="-1"/>
                <w:w w:val="99"/>
                <w:sz w:val="20"/>
              </w:rPr>
              <w:t>L</w:t>
            </w:r>
            <w:r>
              <w:rPr>
                <w:b/>
                <w:w w:val="99"/>
                <w:sz w:val="20"/>
              </w:rPr>
              <w:t>ei</w:t>
            </w:r>
            <w:r>
              <w:rPr>
                <w:b/>
                <w:sz w:val="20"/>
              </w:rPr>
              <w:t> </w:t>
            </w:r>
            <w:r>
              <w:rPr>
                <w:b/>
                <w:w w:val="99"/>
                <w:sz w:val="20"/>
              </w:rPr>
              <w:t>do </w:t>
            </w:r>
            <w:r>
              <w:rPr>
                <w:b/>
                <w:w w:val="99"/>
                <w:sz w:val="20"/>
              </w:rPr>
              <w:t>P</w:t>
            </w:r>
            <w:r>
              <w:rPr>
                <w:b/>
                <w:spacing w:val="-1"/>
                <w:w w:val="99"/>
                <w:sz w:val="20"/>
              </w:rPr>
              <w:t>M</w:t>
            </w:r>
            <w:r>
              <w:rPr>
                <w:b/>
                <w:w w:val="99"/>
                <w:sz w:val="20"/>
              </w:rPr>
              <w:t>E</w:t>
            </w:r>
          </w:p>
        </w:tc>
        <w:tc>
          <w:tcPr>
            <w:tcW w:w="566" w:type="dxa"/>
            <w:tcBorders>
              <w:left w:val="single" w:sz="8" w:space="0" w:color="000000"/>
              <w:right w:val="single" w:sz="8" w:space="0" w:color="000000"/>
            </w:tcBorders>
            <w:shd w:val="clear" w:color="auto" w:fill="F9DECA"/>
            <w:textDirection w:val="btLr"/>
          </w:tcPr>
          <w:p>
            <w:pPr>
              <w:pStyle w:val="TableParagraph"/>
              <w:spacing w:line="283" w:lineRule="auto" w:before="3"/>
              <w:ind w:left="112" w:right="30"/>
              <w:rPr>
                <w:b/>
                <w:sz w:val="20"/>
              </w:rPr>
            </w:pPr>
            <w:r>
              <w:rPr>
                <w:b/>
                <w:w w:val="99"/>
                <w:sz w:val="20"/>
              </w:rPr>
              <w:t>Nº</w:t>
            </w:r>
            <w:r>
              <w:rPr>
                <w:b/>
                <w:spacing w:val="-1"/>
                <w:sz w:val="20"/>
              </w:rPr>
              <w:t> </w:t>
            </w:r>
            <w:r>
              <w:rPr>
                <w:b/>
                <w:w w:val="99"/>
                <w:sz w:val="20"/>
              </w:rPr>
              <w:t>de Ar</w:t>
            </w:r>
            <w:r>
              <w:rPr>
                <w:b/>
                <w:spacing w:val="1"/>
                <w:w w:val="99"/>
                <w:sz w:val="20"/>
              </w:rPr>
              <w:t>t</w:t>
            </w:r>
            <w:r>
              <w:rPr>
                <w:b/>
                <w:w w:val="99"/>
                <w:sz w:val="20"/>
              </w:rPr>
              <w:t>ig</w:t>
            </w:r>
            <w:r>
              <w:rPr>
                <w:b/>
                <w:spacing w:val="1"/>
                <w:w w:val="99"/>
                <w:sz w:val="20"/>
              </w:rPr>
              <w:t>o</w:t>
            </w:r>
            <w:r>
              <w:rPr>
                <w:b/>
                <w:w w:val="99"/>
                <w:sz w:val="20"/>
              </w:rPr>
              <w:t>s</w:t>
            </w:r>
          </w:p>
        </w:tc>
        <w:tc>
          <w:tcPr>
            <w:tcW w:w="566" w:type="dxa"/>
            <w:tcBorders>
              <w:left w:val="single" w:sz="8" w:space="0" w:color="000000"/>
              <w:right w:val="single" w:sz="8" w:space="0" w:color="000000"/>
            </w:tcBorders>
            <w:shd w:val="clear" w:color="auto" w:fill="F9DECA"/>
            <w:textDirection w:val="btLr"/>
          </w:tcPr>
          <w:p>
            <w:pPr>
              <w:pStyle w:val="TableParagraph"/>
              <w:spacing w:line="283" w:lineRule="auto" w:before="3"/>
              <w:ind w:left="112" w:right="30"/>
              <w:rPr>
                <w:b/>
                <w:sz w:val="20"/>
              </w:rPr>
            </w:pPr>
            <w:r>
              <w:rPr>
                <w:b/>
                <w:w w:val="99"/>
                <w:sz w:val="20"/>
              </w:rPr>
              <w:t>Nº</w:t>
            </w:r>
            <w:r>
              <w:rPr>
                <w:b/>
                <w:spacing w:val="-1"/>
                <w:sz w:val="20"/>
              </w:rPr>
              <w:t> </w:t>
            </w:r>
            <w:r>
              <w:rPr>
                <w:b/>
                <w:w w:val="99"/>
                <w:sz w:val="20"/>
              </w:rPr>
              <w:t>de </w:t>
            </w:r>
            <w:r>
              <w:rPr>
                <w:b/>
                <w:spacing w:val="-1"/>
                <w:w w:val="99"/>
                <w:sz w:val="20"/>
              </w:rPr>
              <w:t>M</w:t>
            </w:r>
            <w:r>
              <w:rPr>
                <w:b/>
                <w:w w:val="99"/>
                <w:sz w:val="20"/>
              </w:rPr>
              <w:t>e</w:t>
            </w:r>
            <w:r>
              <w:rPr>
                <w:b/>
                <w:spacing w:val="1"/>
                <w:w w:val="99"/>
                <w:sz w:val="20"/>
              </w:rPr>
              <w:t>ta</w:t>
            </w:r>
            <w:r>
              <w:rPr>
                <w:b/>
                <w:w w:val="99"/>
                <w:sz w:val="20"/>
              </w:rPr>
              <w:t>s</w:t>
            </w:r>
          </w:p>
        </w:tc>
        <w:tc>
          <w:tcPr>
            <w:tcW w:w="338" w:type="dxa"/>
            <w:tcBorders>
              <w:left w:val="single" w:sz="8" w:space="0" w:color="000000"/>
              <w:right w:val="single" w:sz="8" w:space="0" w:color="000000"/>
            </w:tcBorders>
            <w:shd w:val="clear" w:color="auto" w:fill="F9DECA"/>
            <w:textDirection w:val="btLr"/>
          </w:tcPr>
          <w:p>
            <w:pPr>
              <w:pStyle w:val="TableParagraph"/>
              <w:spacing w:before="24"/>
              <w:ind w:left="-1"/>
              <w:rPr>
                <w:b/>
                <w:sz w:val="20"/>
              </w:rPr>
            </w:pPr>
            <w:r>
              <w:rPr>
                <w:b/>
                <w:w w:val="99"/>
                <w:sz w:val="20"/>
              </w:rPr>
              <w:t>C</w:t>
            </w:r>
            <w:r>
              <w:rPr>
                <w:b/>
                <w:spacing w:val="1"/>
                <w:w w:val="99"/>
                <w:sz w:val="20"/>
              </w:rPr>
              <w:t>o</w:t>
            </w:r>
            <w:r>
              <w:rPr>
                <w:b/>
                <w:w w:val="99"/>
                <w:sz w:val="20"/>
              </w:rPr>
              <w:t>mi</w:t>
            </w:r>
            <w:r>
              <w:rPr>
                <w:b/>
                <w:spacing w:val="-2"/>
                <w:w w:val="99"/>
                <w:sz w:val="20"/>
              </w:rPr>
              <w:t>s</w:t>
            </w:r>
            <w:r>
              <w:rPr>
                <w:b/>
                <w:spacing w:val="-1"/>
                <w:w w:val="99"/>
                <w:sz w:val="20"/>
              </w:rPr>
              <w:t>s</w:t>
            </w:r>
            <w:r>
              <w:rPr>
                <w:b/>
                <w:spacing w:val="1"/>
                <w:w w:val="99"/>
                <w:sz w:val="20"/>
              </w:rPr>
              <w:t>ã</w:t>
            </w:r>
            <w:r>
              <w:rPr>
                <w:b/>
                <w:w w:val="99"/>
                <w:sz w:val="20"/>
              </w:rPr>
              <w:t>o</w:t>
            </w:r>
          </w:p>
        </w:tc>
        <w:tc>
          <w:tcPr>
            <w:tcW w:w="566" w:type="dxa"/>
            <w:tcBorders>
              <w:left w:val="single" w:sz="8" w:space="0" w:color="000000"/>
              <w:right w:val="single" w:sz="8" w:space="0" w:color="000000"/>
            </w:tcBorders>
            <w:shd w:val="clear" w:color="auto" w:fill="F9DECA"/>
            <w:textDirection w:val="btLr"/>
          </w:tcPr>
          <w:p>
            <w:pPr>
              <w:pStyle w:val="TableParagraph"/>
              <w:spacing w:line="283" w:lineRule="auto" w:before="3"/>
              <w:ind w:left="-1" w:right="30"/>
              <w:rPr>
                <w:b/>
                <w:sz w:val="20"/>
              </w:rPr>
            </w:pPr>
            <w:r>
              <w:rPr>
                <w:b/>
                <w:spacing w:val="-1"/>
                <w:w w:val="99"/>
                <w:sz w:val="20"/>
              </w:rPr>
              <w:t>E</w:t>
            </w:r>
            <w:r>
              <w:rPr>
                <w:b/>
                <w:w w:val="99"/>
                <w:sz w:val="20"/>
              </w:rPr>
              <w:t>q</w:t>
            </w:r>
            <w:r>
              <w:rPr>
                <w:b/>
                <w:spacing w:val="-1"/>
                <w:w w:val="99"/>
                <w:sz w:val="20"/>
              </w:rPr>
              <w:t>u</w:t>
            </w:r>
            <w:r>
              <w:rPr>
                <w:b/>
                <w:spacing w:val="2"/>
                <w:w w:val="99"/>
                <w:sz w:val="20"/>
              </w:rPr>
              <w:t>i</w:t>
            </w:r>
            <w:r>
              <w:rPr>
                <w:b/>
                <w:w w:val="99"/>
                <w:sz w:val="20"/>
              </w:rPr>
              <w:t>pe </w:t>
            </w:r>
            <w:r>
              <w:rPr>
                <w:b/>
                <w:spacing w:val="-1"/>
                <w:w w:val="99"/>
                <w:sz w:val="20"/>
              </w:rPr>
              <w:t>T</w:t>
            </w:r>
            <w:r>
              <w:rPr>
                <w:b/>
                <w:w w:val="99"/>
                <w:sz w:val="20"/>
              </w:rPr>
              <w:t>écnica</w:t>
            </w:r>
          </w:p>
        </w:tc>
        <w:tc>
          <w:tcPr>
            <w:tcW w:w="569" w:type="dxa"/>
            <w:tcBorders>
              <w:left w:val="single" w:sz="8" w:space="0" w:color="000000"/>
              <w:right w:val="single" w:sz="8" w:space="0" w:color="000000"/>
            </w:tcBorders>
            <w:shd w:val="clear" w:color="auto" w:fill="F9DECA"/>
            <w:textDirection w:val="btLr"/>
          </w:tcPr>
          <w:p>
            <w:pPr>
              <w:pStyle w:val="TableParagraph"/>
              <w:spacing w:line="283" w:lineRule="auto" w:before="3"/>
              <w:ind w:left="-1"/>
              <w:rPr>
                <w:b/>
                <w:sz w:val="20"/>
              </w:rPr>
            </w:pPr>
            <w:r>
              <w:rPr>
                <w:b/>
                <w:w w:val="99"/>
                <w:sz w:val="20"/>
              </w:rPr>
              <w:t>H</w:t>
            </w:r>
            <w:r>
              <w:rPr>
                <w:b/>
                <w:w w:val="99"/>
                <w:sz w:val="20"/>
              </w:rPr>
              <w:t>i</w:t>
            </w:r>
            <w:r>
              <w:rPr>
                <w:b/>
                <w:spacing w:val="-1"/>
                <w:w w:val="99"/>
                <w:sz w:val="20"/>
              </w:rPr>
              <w:t>s</w:t>
            </w:r>
            <w:r>
              <w:rPr>
                <w:b/>
                <w:w w:val="99"/>
                <w:sz w:val="20"/>
              </w:rPr>
              <w:t>t</w:t>
            </w:r>
            <w:r>
              <w:rPr>
                <w:b/>
                <w:spacing w:val="1"/>
                <w:w w:val="99"/>
                <w:sz w:val="20"/>
              </w:rPr>
              <w:t>ó</w:t>
            </w:r>
            <w:r>
              <w:rPr>
                <w:b/>
                <w:w w:val="99"/>
                <w:sz w:val="20"/>
              </w:rPr>
              <w:t>rico</w:t>
            </w:r>
            <w:r>
              <w:rPr>
                <w:b/>
                <w:spacing w:val="1"/>
                <w:sz w:val="20"/>
              </w:rPr>
              <w:t> </w:t>
            </w:r>
            <w:r>
              <w:rPr>
                <w:b/>
                <w:w w:val="99"/>
                <w:sz w:val="20"/>
              </w:rPr>
              <w:t>do </w:t>
            </w:r>
            <w:r>
              <w:rPr>
                <w:b/>
                <w:spacing w:val="-1"/>
                <w:w w:val="99"/>
                <w:sz w:val="20"/>
              </w:rPr>
              <w:t>M</w:t>
            </w:r>
            <w:r>
              <w:rPr>
                <w:b/>
                <w:w w:val="99"/>
                <w:sz w:val="20"/>
              </w:rPr>
              <w:t>u</w:t>
            </w:r>
            <w:r>
              <w:rPr>
                <w:b/>
                <w:spacing w:val="1"/>
                <w:w w:val="99"/>
                <w:sz w:val="20"/>
              </w:rPr>
              <w:t>n</w:t>
            </w:r>
            <w:r>
              <w:rPr>
                <w:b/>
                <w:w w:val="99"/>
                <w:sz w:val="20"/>
              </w:rPr>
              <w:t>icípio</w:t>
            </w:r>
          </w:p>
        </w:tc>
        <w:tc>
          <w:tcPr>
            <w:tcW w:w="283" w:type="dxa"/>
            <w:tcBorders>
              <w:left w:val="single" w:sz="8" w:space="0" w:color="000000"/>
              <w:right w:val="single" w:sz="8" w:space="0" w:color="000000"/>
            </w:tcBorders>
            <w:shd w:val="clear" w:color="auto" w:fill="F9DECA"/>
            <w:textDirection w:val="btLr"/>
          </w:tcPr>
          <w:p>
            <w:pPr>
              <w:pStyle w:val="TableParagraph"/>
              <w:spacing w:line="226" w:lineRule="exact" w:before="0"/>
              <w:ind w:left="-1"/>
              <w:rPr>
                <w:b/>
                <w:sz w:val="20"/>
              </w:rPr>
            </w:pPr>
            <w:r>
              <w:rPr>
                <w:b/>
                <w:w w:val="99"/>
                <w:sz w:val="20"/>
              </w:rPr>
              <w:t>Di</w:t>
            </w:r>
            <w:r>
              <w:rPr>
                <w:b/>
                <w:spacing w:val="1"/>
                <w:w w:val="99"/>
                <w:sz w:val="20"/>
              </w:rPr>
              <w:t>a</w:t>
            </w:r>
            <w:r>
              <w:rPr>
                <w:b/>
                <w:spacing w:val="1"/>
                <w:w w:val="99"/>
                <w:sz w:val="20"/>
              </w:rPr>
              <w:t>g</w:t>
            </w:r>
            <w:r>
              <w:rPr>
                <w:b/>
                <w:w w:val="99"/>
                <w:sz w:val="20"/>
              </w:rPr>
              <w:t>nó</w:t>
            </w:r>
            <w:r>
              <w:rPr>
                <w:b/>
                <w:spacing w:val="-1"/>
                <w:w w:val="99"/>
                <w:sz w:val="20"/>
              </w:rPr>
              <w:t>s</w:t>
            </w:r>
            <w:r>
              <w:rPr>
                <w:b/>
                <w:w w:val="99"/>
                <w:sz w:val="20"/>
              </w:rPr>
              <w:t>tico</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1</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2</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3</w:t>
            </w:r>
          </w:p>
        </w:tc>
        <w:tc>
          <w:tcPr>
            <w:tcW w:w="456"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4</w:t>
            </w:r>
          </w:p>
        </w:tc>
        <w:tc>
          <w:tcPr>
            <w:tcW w:w="454" w:type="dxa"/>
            <w:tcBorders>
              <w:left w:val="single" w:sz="8" w:space="0" w:color="000000"/>
              <w:right w:val="single" w:sz="8" w:space="0" w:color="000000"/>
            </w:tcBorders>
            <w:shd w:val="clear" w:color="auto" w:fill="F9DECA"/>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5</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6</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7</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8</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9</w:t>
            </w:r>
          </w:p>
        </w:tc>
        <w:tc>
          <w:tcPr>
            <w:tcW w:w="456"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0</w:t>
            </w:r>
          </w:p>
        </w:tc>
        <w:tc>
          <w:tcPr>
            <w:tcW w:w="454" w:type="dxa"/>
            <w:tcBorders>
              <w:left w:val="single" w:sz="8" w:space="0" w:color="000000"/>
              <w:right w:val="single" w:sz="8" w:space="0" w:color="000000"/>
            </w:tcBorders>
            <w:shd w:val="clear" w:color="auto" w:fill="F9DECA"/>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1</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2</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3</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4</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5</w:t>
            </w:r>
          </w:p>
        </w:tc>
        <w:tc>
          <w:tcPr>
            <w:tcW w:w="457"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6</w:t>
            </w:r>
          </w:p>
        </w:tc>
        <w:tc>
          <w:tcPr>
            <w:tcW w:w="454" w:type="dxa"/>
            <w:tcBorders>
              <w:left w:val="single" w:sz="8" w:space="0" w:color="000000"/>
              <w:right w:val="single" w:sz="8" w:space="0" w:color="000000"/>
            </w:tcBorders>
            <w:shd w:val="clear" w:color="auto" w:fill="F9DECA"/>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7</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8</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9</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2</w:t>
            </w:r>
            <w:r>
              <w:rPr>
                <w:b/>
                <w:w w:val="99"/>
                <w:sz w:val="20"/>
              </w:rPr>
              <w:t>0</w:t>
            </w:r>
          </w:p>
        </w:tc>
        <w:tc>
          <w:tcPr>
            <w:tcW w:w="622" w:type="dxa"/>
            <w:tcBorders>
              <w:left w:val="single" w:sz="8" w:space="0" w:color="000000"/>
              <w:right w:val="single" w:sz="8" w:space="0" w:color="000000"/>
            </w:tcBorders>
            <w:shd w:val="clear" w:color="auto" w:fill="F9DECA"/>
            <w:textDirection w:val="btLr"/>
          </w:tcPr>
          <w:p>
            <w:pPr>
              <w:pStyle w:val="TableParagraph"/>
              <w:spacing w:line="283" w:lineRule="auto" w:before="29"/>
              <w:ind w:left="-1" w:right="30"/>
              <w:rPr>
                <w:b/>
                <w:sz w:val="20"/>
              </w:rPr>
            </w:pPr>
            <w:r>
              <w:rPr>
                <w:b/>
                <w:spacing w:val="-1"/>
                <w:w w:val="99"/>
                <w:sz w:val="20"/>
              </w:rPr>
              <w:t>T</w:t>
            </w:r>
            <w:r>
              <w:rPr>
                <w:b/>
                <w:spacing w:val="1"/>
                <w:w w:val="99"/>
                <w:sz w:val="20"/>
              </w:rPr>
              <w:t>o</w:t>
            </w:r>
            <w:r>
              <w:rPr>
                <w:b/>
                <w:w w:val="99"/>
                <w:sz w:val="20"/>
              </w:rPr>
              <w:t>t</w:t>
            </w:r>
            <w:r>
              <w:rPr>
                <w:b/>
                <w:spacing w:val="1"/>
                <w:w w:val="99"/>
                <w:sz w:val="20"/>
              </w:rPr>
              <w:t>a</w:t>
            </w:r>
            <w:r>
              <w:rPr>
                <w:b/>
                <w:w w:val="99"/>
                <w:sz w:val="20"/>
              </w:rPr>
              <w:t>l</w:t>
            </w:r>
            <w:r>
              <w:rPr>
                <w:b/>
                <w:spacing w:val="-1"/>
                <w:sz w:val="20"/>
              </w:rPr>
              <w:t> </w:t>
            </w:r>
            <w:r>
              <w:rPr>
                <w:b/>
                <w:w w:val="99"/>
                <w:sz w:val="20"/>
              </w:rPr>
              <w:t>de </w:t>
            </w:r>
            <w:r>
              <w:rPr>
                <w:b/>
                <w:spacing w:val="-1"/>
                <w:w w:val="99"/>
                <w:sz w:val="20"/>
              </w:rPr>
              <w:t>E</w:t>
            </w:r>
            <w:r>
              <w:rPr>
                <w:b/>
                <w:spacing w:val="-1"/>
                <w:w w:val="99"/>
                <w:sz w:val="20"/>
              </w:rPr>
              <w:t>s</w:t>
            </w:r>
            <w:r>
              <w:rPr>
                <w:b/>
                <w:w w:val="99"/>
                <w:sz w:val="20"/>
              </w:rPr>
              <w:t>tr</w:t>
            </w:r>
            <w:r>
              <w:rPr>
                <w:b/>
                <w:spacing w:val="1"/>
                <w:w w:val="99"/>
                <w:sz w:val="20"/>
              </w:rPr>
              <w:t>a</w:t>
            </w:r>
            <w:r>
              <w:rPr>
                <w:b/>
                <w:w w:val="99"/>
                <w:sz w:val="20"/>
              </w:rPr>
              <w:t>té</w:t>
            </w:r>
            <w:r>
              <w:rPr>
                <w:b/>
                <w:spacing w:val="1"/>
                <w:w w:val="99"/>
                <w:sz w:val="20"/>
              </w:rPr>
              <w:t>g</w:t>
            </w:r>
            <w:r>
              <w:rPr>
                <w:b/>
                <w:w w:val="99"/>
                <w:sz w:val="20"/>
              </w:rPr>
              <w:t>ia</w:t>
            </w:r>
            <w:r>
              <w:rPr>
                <w:b/>
                <w:w w:val="99"/>
                <w:sz w:val="20"/>
              </w:rPr>
              <w:t>s</w:t>
            </w:r>
          </w:p>
        </w:tc>
      </w:tr>
      <w:tr>
        <w:trPr>
          <w:trHeight w:val="563" w:hRule="exact"/>
        </w:trPr>
        <w:tc>
          <w:tcPr>
            <w:tcW w:w="1304" w:type="dxa"/>
            <w:tcBorders>
              <w:left w:val="nil"/>
              <w:bottom w:val="single" w:sz="8" w:space="0" w:color="000000"/>
              <w:right w:val="nil"/>
            </w:tcBorders>
          </w:tcPr>
          <w:p>
            <w:pPr>
              <w:pStyle w:val="TableParagraph"/>
              <w:spacing w:line="276" w:lineRule="auto" w:before="0"/>
              <w:ind w:left="108"/>
              <w:rPr>
                <w:sz w:val="20"/>
              </w:rPr>
            </w:pPr>
            <w:r>
              <w:rPr>
                <w:sz w:val="20"/>
              </w:rPr>
              <w:t>Lagoa do </w:t>
            </w:r>
            <w:r>
              <w:rPr>
                <w:w w:val="95"/>
                <w:sz w:val="20"/>
              </w:rPr>
              <w:t>Tocantins</w:t>
            </w:r>
          </w:p>
        </w:tc>
        <w:tc>
          <w:tcPr>
            <w:tcW w:w="1078" w:type="dxa"/>
            <w:tcBorders>
              <w:left w:val="nil"/>
              <w:bottom w:val="single" w:sz="8" w:space="0" w:color="000000"/>
              <w:right w:val="nil"/>
            </w:tcBorders>
          </w:tcPr>
          <w:p>
            <w:pPr>
              <w:pStyle w:val="TableParagraph"/>
              <w:spacing w:line="276" w:lineRule="auto" w:before="0"/>
              <w:ind w:left="107" w:right="295"/>
              <w:rPr>
                <w:sz w:val="20"/>
              </w:rPr>
            </w:pPr>
            <w:r>
              <w:rPr>
                <w:sz w:val="20"/>
              </w:rPr>
              <w:t>PL 03/2015</w:t>
            </w:r>
          </w:p>
        </w:tc>
        <w:tc>
          <w:tcPr>
            <w:tcW w:w="566" w:type="dxa"/>
            <w:tcBorders>
              <w:left w:val="nil"/>
              <w:bottom w:val="single" w:sz="8" w:space="0" w:color="000000"/>
              <w:right w:val="nil"/>
            </w:tcBorders>
          </w:tcPr>
          <w:p>
            <w:pPr>
              <w:pStyle w:val="TableParagraph"/>
              <w:spacing w:before="130"/>
              <w:ind w:left="107"/>
              <w:rPr>
                <w:sz w:val="20"/>
              </w:rPr>
            </w:pPr>
            <w:r>
              <w:rPr>
                <w:sz w:val="20"/>
              </w:rPr>
              <w:t>14</w:t>
            </w:r>
          </w:p>
        </w:tc>
        <w:tc>
          <w:tcPr>
            <w:tcW w:w="566" w:type="dxa"/>
            <w:tcBorders>
              <w:left w:val="nil"/>
              <w:bottom w:val="single" w:sz="8" w:space="0" w:color="000000"/>
              <w:right w:val="nil"/>
            </w:tcBorders>
          </w:tcPr>
          <w:p>
            <w:pPr>
              <w:pStyle w:val="TableParagraph"/>
              <w:spacing w:before="130"/>
              <w:ind w:left="108"/>
              <w:rPr>
                <w:sz w:val="20"/>
              </w:rPr>
            </w:pPr>
            <w:r>
              <w:rPr>
                <w:sz w:val="20"/>
              </w:rPr>
              <w:t>20</w:t>
            </w:r>
          </w:p>
        </w:tc>
        <w:tc>
          <w:tcPr>
            <w:tcW w:w="338" w:type="dxa"/>
            <w:tcBorders>
              <w:left w:val="nil"/>
              <w:bottom w:val="single" w:sz="8" w:space="0" w:color="000000"/>
              <w:right w:val="nil"/>
            </w:tcBorders>
          </w:tcPr>
          <w:p>
            <w:pPr>
              <w:pStyle w:val="TableParagraph"/>
              <w:spacing w:before="130"/>
              <w:ind w:left="21"/>
              <w:jc w:val="center"/>
              <w:rPr>
                <w:sz w:val="20"/>
              </w:rPr>
            </w:pPr>
            <w:r>
              <w:rPr>
                <w:w w:val="99"/>
                <w:sz w:val="20"/>
              </w:rPr>
              <w:t>X</w:t>
            </w:r>
          </w:p>
        </w:tc>
        <w:tc>
          <w:tcPr>
            <w:tcW w:w="566" w:type="dxa"/>
            <w:tcBorders>
              <w:left w:val="nil"/>
              <w:bottom w:val="single" w:sz="8" w:space="0" w:color="000000"/>
              <w:right w:val="nil"/>
            </w:tcBorders>
          </w:tcPr>
          <w:p>
            <w:pPr>
              <w:pStyle w:val="TableParagraph"/>
              <w:spacing w:before="130"/>
              <w:ind w:left="107"/>
              <w:rPr>
                <w:sz w:val="20"/>
              </w:rPr>
            </w:pPr>
            <w:r>
              <w:rPr>
                <w:w w:val="99"/>
                <w:sz w:val="20"/>
              </w:rPr>
              <w:t>X</w:t>
            </w:r>
          </w:p>
        </w:tc>
        <w:tc>
          <w:tcPr>
            <w:tcW w:w="569" w:type="dxa"/>
            <w:tcBorders>
              <w:left w:val="nil"/>
              <w:bottom w:val="single" w:sz="8" w:space="0" w:color="000000"/>
              <w:right w:val="nil"/>
            </w:tcBorders>
          </w:tcPr>
          <w:p>
            <w:pPr>
              <w:pStyle w:val="TableParagraph"/>
              <w:spacing w:before="130"/>
              <w:ind w:left="108"/>
              <w:rPr>
                <w:sz w:val="20"/>
              </w:rPr>
            </w:pPr>
            <w:r>
              <w:rPr>
                <w:w w:val="99"/>
                <w:sz w:val="20"/>
              </w:rPr>
              <w:t>X</w:t>
            </w:r>
          </w:p>
        </w:tc>
        <w:tc>
          <w:tcPr>
            <w:tcW w:w="283" w:type="dxa"/>
            <w:tcBorders>
              <w:left w:val="nil"/>
              <w:bottom w:val="single" w:sz="8" w:space="0" w:color="000000"/>
              <w:right w:val="nil"/>
            </w:tcBorders>
          </w:tcPr>
          <w:p>
            <w:pPr>
              <w:pStyle w:val="TableParagraph"/>
              <w:spacing w:before="130"/>
              <w:ind w:left="105"/>
              <w:rPr>
                <w:sz w:val="20"/>
              </w:rPr>
            </w:pPr>
            <w:r>
              <w:rPr>
                <w:w w:val="99"/>
                <w:sz w:val="20"/>
              </w:rPr>
              <w:t>X</w:t>
            </w:r>
          </w:p>
        </w:tc>
        <w:tc>
          <w:tcPr>
            <w:tcW w:w="454" w:type="dxa"/>
            <w:tcBorders>
              <w:left w:val="nil"/>
              <w:bottom w:val="single" w:sz="8" w:space="0" w:color="000000"/>
              <w:right w:val="nil"/>
            </w:tcBorders>
          </w:tcPr>
          <w:p>
            <w:pPr>
              <w:pStyle w:val="TableParagraph"/>
              <w:spacing w:before="130"/>
              <w:ind w:left="71" w:right="106"/>
              <w:jc w:val="center"/>
              <w:rPr>
                <w:sz w:val="20"/>
              </w:rPr>
            </w:pPr>
            <w:r>
              <w:rPr>
                <w:sz w:val="20"/>
              </w:rPr>
              <w:t>15</w:t>
            </w:r>
          </w:p>
        </w:tc>
        <w:tc>
          <w:tcPr>
            <w:tcW w:w="454" w:type="dxa"/>
            <w:tcBorders>
              <w:left w:val="nil"/>
              <w:bottom w:val="single" w:sz="8" w:space="0" w:color="000000"/>
              <w:right w:val="nil"/>
            </w:tcBorders>
          </w:tcPr>
          <w:p>
            <w:pPr>
              <w:pStyle w:val="TableParagraph"/>
              <w:spacing w:before="130"/>
              <w:ind w:left="108"/>
              <w:rPr>
                <w:sz w:val="20"/>
              </w:rPr>
            </w:pPr>
            <w:r>
              <w:rPr>
                <w:sz w:val="20"/>
              </w:rPr>
              <w:t>13</w:t>
            </w:r>
          </w:p>
        </w:tc>
        <w:tc>
          <w:tcPr>
            <w:tcW w:w="454" w:type="dxa"/>
            <w:tcBorders>
              <w:left w:val="nil"/>
              <w:bottom w:val="single" w:sz="8" w:space="0" w:color="000000"/>
              <w:right w:val="nil"/>
            </w:tcBorders>
          </w:tcPr>
          <w:p>
            <w:pPr>
              <w:pStyle w:val="TableParagraph"/>
              <w:spacing w:before="130"/>
              <w:ind w:left="107"/>
              <w:rPr>
                <w:sz w:val="20"/>
              </w:rPr>
            </w:pPr>
            <w:r>
              <w:rPr>
                <w:w w:val="99"/>
                <w:sz w:val="20"/>
              </w:rPr>
              <w:t>5</w:t>
            </w:r>
          </w:p>
        </w:tc>
        <w:tc>
          <w:tcPr>
            <w:tcW w:w="456" w:type="dxa"/>
            <w:tcBorders>
              <w:left w:val="nil"/>
              <w:bottom w:val="single" w:sz="8" w:space="0" w:color="000000"/>
              <w:right w:val="nil"/>
            </w:tcBorders>
          </w:tcPr>
          <w:p>
            <w:pPr>
              <w:pStyle w:val="TableParagraph"/>
              <w:spacing w:before="130"/>
              <w:ind w:right="138"/>
              <w:jc w:val="center"/>
              <w:rPr>
                <w:sz w:val="20"/>
              </w:rPr>
            </w:pPr>
            <w:r>
              <w:rPr>
                <w:w w:val="99"/>
                <w:sz w:val="20"/>
              </w:rPr>
              <w:t>7</w:t>
            </w:r>
          </w:p>
        </w:tc>
        <w:tc>
          <w:tcPr>
            <w:tcW w:w="454" w:type="dxa"/>
            <w:tcBorders>
              <w:left w:val="nil"/>
              <w:bottom w:val="single" w:sz="8" w:space="0" w:color="000000"/>
              <w:right w:val="nil"/>
            </w:tcBorders>
          </w:tcPr>
          <w:p>
            <w:pPr>
              <w:pStyle w:val="TableParagraph"/>
              <w:spacing w:before="130"/>
              <w:ind w:left="105"/>
              <w:rPr>
                <w:sz w:val="20"/>
              </w:rPr>
            </w:pPr>
            <w:r>
              <w:rPr>
                <w:sz w:val="20"/>
              </w:rPr>
              <w:t>14</w:t>
            </w:r>
          </w:p>
        </w:tc>
        <w:tc>
          <w:tcPr>
            <w:tcW w:w="454" w:type="dxa"/>
            <w:tcBorders>
              <w:left w:val="nil"/>
              <w:bottom w:val="single" w:sz="8" w:space="0" w:color="000000"/>
              <w:right w:val="nil"/>
            </w:tcBorders>
          </w:tcPr>
          <w:p>
            <w:pPr>
              <w:pStyle w:val="TableParagraph"/>
              <w:spacing w:before="130"/>
              <w:ind w:right="136"/>
              <w:jc w:val="center"/>
              <w:rPr>
                <w:sz w:val="20"/>
              </w:rPr>
            </w:pPr>
            <w:r>
              <w:rPr>
                <w:w w:val="99"/>
                <w:sz w:val="20"/>
              </w:rPr>
              <w:t>6</w:t>
            </w:r>
          </w:p>
        </w:tc>
        <w:tc>
          <w:tcPr>
            <w:tcW w:w="454" w:type="dxa"/>
            <w:tcBorders>
              <w:left w:val="nil"/>
              <w:bottom w:val="single" w:sz="8" w:space="0" w:color="000000"/>
              <w:right w:val="nil"/>
            </w:tcBorders>
          </w:tcPr>
          <w:p>
            <w:pPr>
              <w:pStyle w:val="TableParagraph"/>
              <w:spacing w:before="130"/>
              <w:ind w:left="72" w:right="106"/>
              <w:jc w:val="center"/>
              <w:rPr>
                <w:sz w:val="20"/>
              </w:rPr>
            </w:pPr>
            <w:r>
              <w:rPr>
                <w:sz w:val="20"/>
              </w:rPr>
              <w:t>29</w:t>
            </w:r>
          </w:p>
        </w:tc>
        <w:tc>
          <w:tcPr>
            <w:tcW w:w="454" w:type="dxa"/>
            <w:tcBorders>
              <w:left w:val="nil"/>
              <w:bottom w:val="single" w:sz="8" w:space="0" w:color="000000"/>
              <w:right w:val="nil"/>
            </w:tcBorders>
          </w:tcPr>
          <w:p>
            <w:pPr>
              <w:pStyle w:val="TableParagraph"/>
              <w:spacing w:before="130"/>
              <w:ind w:left="108"/>
              <w:rPr>
                <w:sz w:val="20"/>
              </w:rPr>
            </w:pPr>
            <w:r>
              <w:rPr>
                <w:w w:val="99"/>
                <w:sz w:val="20"/>
              </w:rPr>
              <w:t>6</w:t>
            </w:r>
          </w:p>
        </w:tc>
        <w:tc>
          <w:tcPr>
            <w:tcW w:w="454" w:type="dxa"/>
            <w:tcBorders>
              <w:left w:val="nil"/>
              <w:bottom w:val="single" w:sz="8" w:space="0" w:color="000000"/>
              <w:right w:val="nil"/>
            </w:tcBorders>
          </w:tcPr>
          <w:p>
            <w:pPr>
              <w:pStyle w:val="TableParagraph"/>
              <w:spacing w:before="130"/>
              <w:ind w:left="72" w:right="106"/>
              <w:jc w:val="center"/>
              <w:rPr>
                <w:sz w:val="20"/>
              </w:rPr>
            </w:pPr>
            <w:r>
              <w:rPr>
                <w:sz w:val="20"/>
              </w:rPr>
              <w:t>10</w:t>
            </w:r>
          </w:p>
        </w:tc>
        <w:tc>
          <w:tcPr>
            <w:tcW w:w="456" w:type="dxa"/>
            <w:tcBorders>
              <w:left w:val="nil"/>
              <w:bottom w:val="single" w:sz="8" w:space="0" w:color="000000"/>
              <w:right w:val="nil"/>
            </w:tcBorders>
          </w:tcPr>
          <w:p>
            <w:pPr>
              <w:pStyle w:val="TableParagraph"/>
              <w:spacing w:before="130"/>
              <w:ind w:left="90" w:right="126"/>
              <w:jc w:val="center"/>
              <w:rPr>
                <w:sz w:val="20"/>
              </w:rPr>
            </w:pPr>
            <w:r>
              <w:rPr>
                <w:sz w:val="20"/>
              </w:rPr>
              <w:t>10</w:t>
            </w:r>
          </w:p>
        </w:tc>
        <w:tc>
          <w:tcPr>
            <w:tcW w:w="454" w:type="dxa"/>
            <w:tcBorders>
              <w:left w:val="nil"/>
              <w:bottom w:val="single" w:sz="8" w:space="0" w:color="000000"/>
              <w:right w:val="nil"/>
            </w:tcBorders>
          </w:tcPr>
          <w:p>
            <w:pPr>
              <w:pStyle w:val="TableParagraph"/>
              <w:spacing w:before="130"/>
              <w:ind w:left="105"/>
              <w:rPr>
                <w:sz w:val="20"/>
              </w:rPr>
            </w:pPr>
            <w:r>
              <w:rPr>
                <w:w w:val="99"/>
                <w:sz w:val="20"/>
              </w:rPr>
              <w:t>6</w:t>
            </w:r>
          </w:p>
        </w:tc>
        <w:tc>
          <w:tcPr>
            <w:tcW w:w="454" w:type="dxa"/>
            <w:tcBorders>
              <w:left w:val="nil"/>
              <w:bottom w:val="single" w:sz="8" w:space="0" w:color="000000"/>
              <w:right w:val="nil"/>
            </w:tcBorders>
          </w:tcPr>
          <w:p>
            <w:pPr>
              <w:pStyle w:val="TableParagraph"/>
              <w:spacing w:before="130"/>
              <w:ind w:left="71" w:right="106"/>
              <w:jc w:val="center"/>
              <w:rPr>
                <w:sz w:val="20"/>
              </w:rPr>
            </w:pPr>
            <w:r>
              <w:rPr>
                <w:sz w:val="20"/>
              </w:rPr>
              <w:t>10</w:t>
            </w:r>
          </w:p>
        </w:tc>
        <w:tc>
          <w:tcPr>
            <w:tcW w:w="454" w:type="dxa"/>
            <w:tcBorders>
              <w:left w:val="nil"/>
              <w:bottom w:val="single" w:sz="8" w:space="0" w:color="000000"/>
              <w:right w:val="nil"/>
            </w:tcBorders>
          </w:tcPr>
          <w:p>
            <w:pPr>
              <w:pStyle w:val="TableParagraph"/>
              <w:spacing w:before="130"/>
              <w:ind w:left="108"/>
              <w:rPr>
                <w:sz w:val="20"/>
              </w:rPr>
            </w:pPr>
            <w:r>
              <w:rPr>
                <w:w w:val="99"/>
                <w:sz w:val="20"/>
              </w:rPr>
              <w:t>2</w:t>
            </w:r>
          </w:p>
        </w:tc>
        <w:tc>
          <w:tcPr>
            <w:tcW w:w="454" w:type="dxa"/>
            <w:tcBorders>
              <w:left w:val="nil"/>
              <w:bottom w:val="single" w:sz="8" w:space="0" w:color="000000"/>
              <w:right w:val="nil"/>
            </w:tcBorders>
          </w:tcPr>
          <w:p>
            <w:pPr>
              <w:pStyle w:val="TableParagraph"/>
              <w:spacing w:before="130"/>
              <w:ind w:left="108"/>
              <w:rPr>
                <w:sz w:val="20"/>
              </w:rPr>
            </w:pPr>
            <w:r>
              <w:rPr>
                <w:w w:val="99"/>
                <w:sz w:val="20"/>
              </w:rPr>
              <w:t>7</w:t>
            </w:r>
          </w:p>
        </w:tc>
        <w:tc>
          <w:tcPr>
            <w:tcW w:w="454" w:type="dxa"/>
            <w:tcBorders>
              <w:left w:val="nil"/>
              <w:bottom w:val="single" w:sz="8" w:space="0" w:color="000000"/>
              <w:right w:val="nil"/>
            </w:tcBorders>
          </w:tcPr>
          <w:p>
            <w:pPr>
              <w:pStyle w:val="TableParagraph"/>
              <w:spacing w:before="130"/>
              <w:ind w:right="136"/>
              <w:jc w:val="center"/>
              <w:rPr>
                <w:sz w:val="20"/>
              </w:rPr>
            </w:pPr>
            <w:r>
              <w:rPr>
                <w:w w:val="99"/>
                <w:sz w:val="20"/>
              </w:rPr>
              <w:t>7</w:t>
            </w:r>
          </w:p>
        </w:tc>
        <w:tc>
          <w:tcPr>
            <w:tcW w:w="457" w:type="dxa"/>
            <w:tcBorders>
              <w:left w:val="nil"/>
              <w:bottom w:val="single" w:sz="8" w:space="0" w:color="000000"/>
              <w:right w:val="nil"/>
            </w:tcBorders>
          </w:tcPr>
          <w:p>
            <w:pPr>
              <w:pStyle w:val="TableParagraph"/>
              <w:spacing w:before="130"/>
              <w:ind w:left="107"/>
              <w:rPr>
                <w:sz w:val="20"/>
              </w:rPr>
            </w:pPr>
            <w:r>
              <w:rPr>
                <w:w w:val="99"/>
                <w:sz w:val="20"/>
              </w:rPr>
              <w:t>9</w:t>
            </w:r>
          </w:p>
        </w:tc>
        <w:tc>
          <w:tcPr>
            <w:tcW w:w="454" w:type="dxa"/>
            <w:tcBorders>
              <w:left w:val="nil"/>
              <w:bottom w:val="single" w:sz="8" w:space="0" w:color="000000"/>
              <w:right w:val="nil"/>
            </w:tcBorders>
          </w:tcPr>
          <w:p>
            <w:pPr>
              <w:pStyle w:val="TableParagraph"/>
              <w:spacing w:before="130"/>
              <w:ind w:left="105"/>
              <w:rPr>
                <w:sz w:val="20"/>
              </w:rPr>
            </w:pPr>
            <w:r>
              <w:rPr>
                <w:w w:val="99"/>
                <w:sz w:val="20"/>
              </w:rPr>
              <w:t>7</w:t>
            </w:r>
          </w:p>
        </w:tc>
        <w:tc>
          <w:tcPr>
            <w:tcW w:w="454" w:type="dxa"/>
            <w:tcBorders>
              <w:left w:val="nil"/>
              <w:bottom w:val="single" w:sz="8" w:space="0" w:color="000000"/>
              <w:right w:val="nil"/>
            </w:tcBorders>
          </w:tcPr>
          <w:p>
            <w:pPr>
              <w:pStyle w:val="TableParagraph"/>
              <w:spacing w:before="130"/>
              <w:ind w:right="137"/>
              <w:jc w:val="center"/>
              <w:rPr>
                <w:sz w:val="20"/>
              </w:rPr>
            </w:pPr>
            <w:r>
              <w:rPr>
                <w:w w:val="99"/>
                <w:sz w:val="20"/>
              </w:rPr>
              <w:t>8</w:t>
            </w:r>
          </w:p>
        </w:tc>
        <w:tc>
          <w:tcPr>
            <w:tcW w:w="454" w:type="dxa"/>
            <w:tcBorders>
              <w:left w:val="nil"/>
              <w:bottom w:val="single" w:sz="8" w:space="0" w:color="000000"/>
              <w:right w:val="nil"/>
            </w:tcBorders>
          </w:tcPr>
          <w:p>
            <w:pPr>
              <w:pStyle w:val="TableParagraph"/>
              <w:spacing w:before="130"/>
              <w:ind w:left="108"/>
              <w:rPr>
                <w:sz w:val="20"/>
              </w:rPr>
            </w:pPr>
            <w:r>
              <w:rPr>
                <w:w w:val="99"/>
                <w:sz w:val="20"/>
              </w:rPr>
              <w:t>8</w:t>
            </w:r>
          </w:p>
        </w:tc>
        <w:tc>
          <w:tcPr>
            <w:tcW w:w="454" w:type="dxa"/>
            <w:tcBorders>
              <w:left w:val="nil"/>
              <w:bottom w:val="single" w:sz="8" w:space="0" w:color="000000"/>
              <w:right w:val="nil"/>
            </w:tcBorders>
          </w:tcPr>
          <w:p>
            <w:pPr>
              <w:pStyle w:val="TableParagraph"/>
              <w:spacing w:before="130"/>
              <w:ind w:left="107"/>
              <w:rPr>
                <w:sz w:val="20"/>
              </w:rPr>
            </w:pPr>
            <w:r>
              <w:rPr>
                <w:w w:val="99"/>
                <w:sz w:val="20"/>
              </w:rPr>
              <w:t>8</w:t>
            </w:r>
          </w:p>
        </w:tc>
        <w:tc>
          <w:tcPr>
            <w:tcW w:w="622" w:type="dxa"/>
            <w:tcBorders>
              <w:left w:val="nil"/>
              <w:bottom w:val="single" w:sz="8" w:space="0" w:color="000000"/>
              <w:right w:val="nil"/>
            </w:tcBorders>
          </w:tcPr>
          <w:p>
            <w:pPr>
              <w:pStyle w:val="TableParagraph"/>
              <w:spacing w:before="130"/>
              <w:ind w:left="107"/>
              <w:rPr>
                <w:sz w:val="20"/>
              </w:rPr>
            </w:pPr>
            <w:r>
              <w:rPr>
                <w:sz w:val="20"/>
              </w:rPr>
              <w:t>187</w:t>
            </w:r>
          </w:p>
        </w:tc>
      </w:tr>
      <w:tr>
        <w:trPr>
          <w:trHeight w:val="549" w:hRule="exact"/>
        </w:trPr>
        <w:tc>
          <w:tcPr>
            <w:tcW w:w="130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Lajeado</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447 de 22/06/15</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13</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29"/>
              <w:ind w:right="54"/>
              <w:jc w:val="center"/>
              <w:rPr>
                <w:sz w:val="20"/>
              </w:rPr>
            </w:pPr>
            <w:r>
              <w:rPr>
                <w:w w:val="99"/>
                <w:sz w:val="20"/>
              </w:rPr>
              <w:t>-</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w:t>
            </w:r>
          </w:p>
        </w:tc>
        <w:tc>
          <w:tcPr>
            <w:tcW w:w="569"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spacing w:before="129"/>
              <w:ind w:left="108"/>
              <w:rPr>
                <w:sz w:val="20"/>
              </w:rPr>
            </w:pPr>
            <w:r>
              <w:rPr>
                <w:w w:val="99"/>
                <w:sz w:val="20"/>
              </w:rPr>
              <w:t>-</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1" w:right="106"/>
              <w:jc w:val="center"/>
              <w:rPr>
                <w:sz w:val="20"/>
              </w:rPr>
            </w:pPr>
            <w:r>
              <w:rPr>
                <w:sz w:val="20"/>
              </w:rPr>
              <w:t>16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12</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21</w:t>
            </w:r>
          </w:p>
        </w:tc>
        <w:tc>
          <w:tcPr>
            <w:tcW w:w="456" w:type="dxa"/>
            <w:tcBorders>
              <w:top w:val="single" w:sz="8" w:space="0" w:color="000000"/>
              <w:left w:val="nil"/>
              <w:bottom w:val="single" w:sz="8" w:space="0" w:color="000000"/>
              <w:right w:val="nil"/>
            </w:tcBorders>
            <w:shd w:val="clear" w:color="auto" w:fill="F9DECA"/>
          </w:tcPr>
          <w:p>
            <w:pPr>
              <w:pStyle w:val="TableParagraph"/>
              <w:spacing w:before="129"/>
              <w:ind w:left="90" w:right="126"/>
              <w:jc w:val="center"/>
              <w:rPr>
                <w:sz w:val="20"/>
              </w:rPr>
            </w:pPr>
            <w:r>
              <w:rPr>
                <w:sz w:val="20"/>
              </w:rPr>
              <w:t>18</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2" w:right="106"/>
              <w:jc w:val="center"/>
              <w:rPr>
                <w:sz w:val="20"/>
              </w:rPr>
            </w:pPr>
            <w:r>
              <w:rPr>
                <w:sz w:val="20"/>
              </w:rPr>
              <w:t>18</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6"/>
              <w:jc w:val="center"/>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2" w:right="106"/>
              <w:jc w:val="center"/>
              <w:rPr>
                <w:sz w:val="20"/>
              </w:rPr>
            </w:pPr>
            <w:r>
              <w:rPr>
                <w:sz w:val="20"/>
              </w:rPr>
              <w:t>11</w:t>
            </w:r>
          </w:p>
        </w:tc>
        <w:tc>
          <w:tcPr>
            <w:tcW w:w="456" w:type="dxa"/>
            <w:tcBorders>
              <w:top w:val="single" w:sz="8" w:space="0" w:color="000000"/>
              <w:left w:val="nil"/>
              <w:bottom w:val="single" w:sz="8" w:space="0" w:color="000000"/>
              <w:right w:val="nil"/>
            </w:tcBorders>
            <w:shd w:val="clear" w:color="auto" w:fill="F9DECA"/>
          </w:tcPr>
          <w:p>
            <w:pPr>
              <w:pStyle w:val="TableParagraph"/>
              <w:spacing w:before="129"/>
              <w:ind w:right="138"/>
              <w:jc w:val="center"/>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7"/>
              <w:jc w:val="center"/>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6"/>
              <w:jc w:val="center"/>
              <w:rPr>
                <w:sz w:val="20"/>
              </w:rPr>
            </w:pPr>
            <w:r>
              <w:rPr>
                <w:w w:val="99"/>
                <w:sz w:val="20"/>
              </w:rPr>
              <w:t>3</w:t>
            </w:r>
          </w:p>
        </w:tc>
        <w:tc>
          <w:tcPr>
            <w:tcW w:w="457"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1" w:right="106"/>
              <w:jc w:val="center"/>
              <w:rPr>
                <w:sz w:val="20"/>
              </w:rPr>
            </w:pPr>
            <w:r>
              <w:rPr>
                <w:sz w:val="20"/>
              </w:rPr>
              <w:t>12</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12</w:t>
            </w:r>
          </w:p>
        </w:tc>
        <w:tc>
          <w:tcPr>
            <w:tcW w:w="622"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221</w:t>
            </w:r>
          </w:p>
        </w:tc>
      </w:tr>
      <w:tr>
        <w:trPr>
          <w:trHeight w:val="550" w:hRule="exact"/>
        </w:trPr>
        <w:tc>
          <w:tcPr>
            <w:tcW w:w="1304" w:type="dxa"/>
            <w:tcBorders>
              <w:top w:val="single" w:sz="8" w:space="0" w:color="000000"/>
              <w:left w:val="nil"/>
              <w:bottom w:val="single" w:sz="8" w:space="0" w:color="000000"/>
              <w:right w:val="nil"/>
            </w:tcBorders>
          </w:tcPr>
          <w:p>
            <w:pPr>
              <w:pStyle w:val="TableParagraph"/>
              <w:spacing w:before="130"/>
              <w:ind w:left="108"/>
              <w:rPr>
                <w:sz w:val="20"/>
              </w:rPr>
            </w:pPr>
            <w:r>
              <w:rPr>
                <w:sz w:val="20"/>
              </w:rPr>
              <w:t>Mateiros</w:t>
            </w:r>
          </w:p>
        </w:tc>
        <w:tc>
          <w:tcPr>
            <w:tcW w:w="1078" w:type="dxa"/>
            <w:tcBorders>
              <w:top w:val="single" w:sz="8" w:space="0" w:color="000000"/>
              <w:left w:val="nil"/>
              <w:bottom w:val="single" w:sz="8" w:space="0" w:color="000000"/>
              <w:right w:val="nil"/>
            </w:tcBorders>
          </w:tcPr>
          <w:p>
            <w:pPr>
              <w:pStyle w:val="TableParagraph"/>
              <w:spacing w:line="278" w:lineRule="auto" w:before="0"/>
              <w:ind w:left="107" w:right="239"/>
              <w:rPr>
                <w:sz w:val="20"/>
              </w:rPr>
            </w:pPr>
            <w:r>
              <w:rPr>
                <w:sz w:val="20"/>
              </w:rPr>
              <w:t>129 de 08/06/15</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sz w:val="20"/>
              </w:rPr>
              <w:t>15</w:t>
            </w:r>
          </w:p>
        </w:tc>
        <w:tc>
          <w:tcPr>
            <w:tcW w:w="566" w:type="dxa"/>
            <w:tcBorders>
              <w:top w:val="single" w:sz="8" w:space="0" w:color="000000"/>
              <w:left w:val="nil"/>
              <w:bottom w:val="single" w:sz="8" w:space="0" w:color="000000"/>
              <w:right w:val="nil"/>
            </w:tcBorders>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left="21"/>
              <w:jc w:val="center"/>
              <w:rPr>
                <w:sz w:val="20"/>
              </w:rPr>
            </w:pPr>
            <w:r>
              <w:rPr>
                <w:w w:val="99"/>
                <w:sz w:val="20"/>
              </w:rPr>
              <w:t>X</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X</w:t>
            </w:r>
          </w:p>
        </w:tc>
        <w:tc>
          <w:tcPr>
            <w:tcW w:w="569"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12</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19</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20</w:t>
            </w:r>
          </w:p>
        </w:tc>
        <w:tc>
          <w:tcPr>
            <w:tcW w:w="456" w:type="dxa"/>
            <w:tcBorders>
              <w:top w:val="single" w:sz="8" w:space="0" w:color="000000"/>
              <w:left w:val="nil"/>
              <w:bottom w:val="single" w:sz="8" w:space="0" w:color="000000"/>
              <w:right w:val="nil"/>
            </w:tcBorders>
          </w:tcPr>
          <w:p>
            <w:pPr>
              <w:pStyle w:val="TableParagraph"/>
              <w:spacing w:before="130"/>
              <w:ind w:left="90" w:right="126"/>
              <w:jc w:val="center"/>
              <w:rPr>
                <w:sz w:val="20"/>
              </w:rPr>
            </w:pPr>
            <w:r>
              <w:rPr>
                <w:sz w:val="20"/>
              </w:rPr>
              <w:t>21</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14</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49</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16</w:t>
            </w:r>
          </w:p>
        </w:tc>
        <w:tc>
          <w:tcPr>
            <w:tcW w:w="456" w:type="dxa"/>
            <w:tcBorders>
              <w:top w:val="single" w:sz="8" w:space="0" w:color="000000"/>
              <w:left w:val="nil"/>
              <w:bottom w:val="single" w:sz="8" w:space="0" w:color="000000"/>
              <w:right w:val="nil"/>
            </w:tcBorders>
          </w:tcPr>
          <w:p>
            <w:pPr>
              <w:pStyle w:val="TableParagraph"/>
              <w:spacing w:before="130"/>
              <w:ind w:left="90" w:right="126"/>
              <w:jc w:val="center"/>
              <w:rPr>
                <w:sz w:val="20"/>
              </w:rPr>
            </w:pPr>
            <w:r>
              <w:rPr>
                <w:sz w:val="20"/>
              </w:rPr>
              <w:t>10</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sz w:val="20"/>
              </w:rPr>
              <w:t>14</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21</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19</w:t>
            </w:r>
          </w:p>
        </w:tc>
        <w:tc>
          <w:tcPr>
            <w:tcW w:w="457"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sz w:val="20"/>
              </w:rPr>
              <w:t>10</w:t>
            </w:r>
          </w:p>
        </w:tc>
        <w:tc>
          <w:tcPr>
            <w:tcW w:w="454" w:type="dxa"/>
            <w:tcBorders>
              <w:top w:val="single" w:sz="8" w:space="0" w:color="000000"/>
              <w:left w:val="nil"/>
              <w:bottom w:val="single" w:sz="8" w:space="0" w:color="000000"/>
              <w:right w:val="nil"/>
            </w:tcBorders>
          </w:tcPr>
          <w:p>
            <w:pPr>
              <w:pStyle w:val="TableParagraph"/>
              <w:spacing w:before="130"/>
              <w:ind w:right="137"/>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14</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11</w:t>
            </w:r>
          </w:p>
        </w:tc>
        <w:tc>
          <w:tcPr>
            <w:tcW w:w="622" w:type="dxa"/>
            <w:tcBorders>
              <w:top w:val="single" w:sz="8" w:space="0" w:color="000000"/>
              <w:left w:val="nil"/>
              <w:bottom w:val="single" w:sz="8" w:space="0" w:color="000000"/>
              <w:right w:val="nil"/>
            </w:tcBorders>
          </w:tcPr>
          <w:p>
            <w:pPr>
              <w:pStyle w:val="TableParagraph"/>
              <w:spacing w:before="130"/>
              <w:ind w:left="107"/>
              <w:rPr>
                <w:sz w:val="20"/>
              </w:rPr>
            </w:pPr>
            <w:r>
              <w:rPr>
                <w:sz w:val="20"/>
              </w:rPr>
              <w:t>289</w:t>
            </w:r>
          </w:p>
        </w:tc>
      </w:tr>
      <w:tr>
        <w:trPr>
          <w:trHeight w:val="550" w:hRule="exact"/>
        </w:trPr>
        <w:tc>
          <w:tcPr>
            <w:tcW w:w="1304"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404"/>
              <w:rPr>
                <w:sz w:val="20"/>
              </w:rPr>
            </w:pPr>
            <w:r>
              <w:rPr>
                <w:sz w:val="20"/>
              </w:rPr>
              <w:t>Monte do Carmo</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574 de 22/06/15</w:t>
            </w:r>
          </w:p>
        </w:tc>
        <w:tc>
          <w:tcPr>
            <w:tcW w:w="566"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13</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right="54"/>
              <w:jc w:val="center"/>
              <w:rPr>
                <w:sz w:val="20"/>
              </w:rPr>
            </w:pPr>
            <w:r>
              <w:rPr>
                <w:w w:val="99"/>
                <w:sz w:val="20"/>
              </w:rPr>
              <w:t>-</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X</w:t>
            </w:r>
          </w:p>
        </w:tc>
        <w:tc>
          <w:tcPr>
            <w:tcW w:w="569"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ind w:left="108"/>
              <w:rPr>
                <w:sz w:val="20"/>
              </w:rPr>
            </w:pPr>
            <w:r>
              <w:rPr>
                <w:w w:val="99"/>
                <w:sz w:val="20"/>
              </w:rPr>
              <w:t>-</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17</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14</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6</w:t>
            </w:r>
          </w:p>
        </w:tc>
        <w:tc>
          <w:tcPr>
            <w:tcW w:w="456" w:type="dxa"/>
            <w:tcBorders>
              <w:top w:val="single" w:sz="8" w:space="0" w:color="000000"/>
              <w:left w:val="nil"/>
              <w:bottom w:val="single" w:sz="8" w:space="0" w:color="000000"/>
              <w:right w:val="nil"/>
            </w:tcBorders>
            <w:shd w:val="clear" w:color="auto" w:fill="F9DECA"/>
          </w:tcPr>
          <w:p>
            <w:pPr>
              <w:pStyle w:val="TableParagraph"/>
              <w:ind w:right="138"/>
              <w:jc w:val="center"/>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20</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5</w:t>
            </w:r>
          </w:p>
        </w:tc>
        <w:tc>
          <w:tcPr>
            <w:tcW w:w="456" w:type="dxa"/>
            <w:tcBorders>
              <w:top w:val="single" w:sz="8" w:space="0" w:color="000000"/>
              <w:left w:val="nil"/>
              <w:bottom w:val="single" w:sz="8" w:space="0" w:color="000000"/>
              <w:right w:val="nil"/>
            </w:tcBorders>
            <w:shd w:val="clear" w:color="auto" w:fill="F9DECA"/>
          </w:tcPr>
          <w:p>
            <w:pPr>
              <w:pStyle w:val="TableParagraph"/>
              <w:ind w:left="90" w:right="126"/>
              <w:jc w:val="center"/>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right="137"/>
              <w:jc w:val="center"/>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6</w:t>
            </w:r>
          </w:p>
        </w:tc>
        <w:tc>
          <w:tcPr>
            <w:tcW w:w="457"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right="137"/>
              <w:jc w:val="center"/>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10</w:t>
            </w:r>
          </w:p>
        </w:tc>
        <w:tc>
          <w:tcPr>
            <w:tcW w:w="622"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151</w:t>
            </w:r>
          </w:p>
        </w:tc>
      </w:tr>
      <w:tr>
        <w:trPr>
          <w:trHeight w:val="587" w:hRule="exact"/>
        </w:trPr>
        <w:tc>
          <w:tcPr>
            <w:tcW w:w="1304" w:type="dxa"/>
            <w:tcBorders>
              <w:top w:val="single" w:sz="8" w:space="0" w:color="000000"/>
              <w:left w:val="nil"/>
              <w:bottom w:val="single" w:sz="8" w:space="0" w:color="000000"/>
              <w:right w:val="nil"/>
            </w:tcBorders>
          </w:tcPr>
          <w:p>
            <w:pPr>
              <w:pStyle w:val="TableParagraph"/>
              <w:spacing w:before="147"/>
              <w:ind w:left="108"/>
              <w:rPr>
                <w:sz w:val="20"/>
              </w:rPr>
            </w:pPr>
            <w:r>
              <w:rPr>
                <w:sz w:val="20"/>
              </w:rPr>
              <w:t>Novo acordo</w:t>
            </w:r>
          </w:p>
        </w:tc>
        <w:tc>
          <w:tcPr>
            <w:tcW w:w="1078" w:type="dxa"/>
            <w:tcBorders>
              <w:top w:val="single" w:sz="8" w:space="0" w:color="000000"/>
              <w:left w:val="nil"/>
              <w:bottom w:val="single" w:sz="8" w:space="0" w:color="000000"/>
              <w:right w:val="nil"/>
            </w:tcBorders>
          </w:tcPr>
          <w:p>
            <w:pPr>
              <w:pStyle w:val="TableParagraph"/>
              <w:spacing w:line="276" w:lineRule="auto" w:before="15"/>
              <w:ind w:left="107" w:right="239"/>
              <w:rPr>
                <w:sz w:val="20"/>
              </w:rPr>
            </w:pPr>
            <w:r>
              <w:rPr>
                <w:sz w:val="20"/>
              </w:rPr>
              <w:t>155 de 23/06/15</w:t>
            </w:r>
          </w:p>
        </w:tc>
        <w:tc>
          <w:tcPr>
            <w:tcW w:w="566" w:type="dxa"/>
            <w:tcBorders>
              <w:top w:val="single" w:sz="8" w:space="0" w:color="000000"/>
              <w:left w:val="nil"/>
              <w:bottom w:val="single" w:sz="8" w:space="0" w:color="000000"/>
              <w:right w:val="nil"/>
            </w:tcBorders>
          </w:tcPr>
          <w:p>
            <w:pPr>
              <w:pStyle w:val="TableParagraph"/>
              <w:spacing w:before="147"/>
              <w:ind w:left="107"/>
              <w:rPr>
                <w:sz w:val="20"/>
              </w:rPr>
            </w:pPr>
            <w:r>
              <w:rPr>
                <w:sz w:val="20"/>
              </w:rPr>
              <w:t>13</w:t>
            </w:r>
          </w:p>
        </w:tc>
        <w:tc>
          <w:tcPr>
            <w:tcW w:w="566" w:type="dxa"/>
            <w:tcBorders>
              <w:top w:val="single" w:sz="8" w:space="0" w:color="000000"/>
              <w:left w:val="nil"/>
              <w:bottom w:val="single" w:sz="8" w:space="0" w:color="000000"/>
              <w:right w:val="nil"/>
            </w:tcBorders>
          </w:tcPr>
          <w:p>
            <w:pPr>
              <w:pStyle w:val="TableParagraph"/>
              <w:spacing w:before="147"/>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47"/>
              <w:ind w:left="21"/>
              <w:jc w:val="center"/>
              <w:rPr>
                <w:sz w:val="20"/>
              </w:rPr>
            </w:pPr>
            <w:r>
              <w:rPr>
                <w:w w:val="99"/>
                <w:sz w:val="20"/>
              </w:rPr>
              <w:t>X</w:t>
            </w:r>
          </w:p>
        </w:tc>
        <w:tc>
          <w:tcPr>
            <w:tcW w:w="566" w:type="dxa"/>
            <w:tcBorders>
              <w:top w:val="single" w:sz="8" w:space="0" w:color="000000"/>
              <w:left w:val="nil"/>
              <w:bottom w:val="single" w:sz="8" w:space="0" w:color="000000"/>
              <w:right w:val="nil"/>
            </w:tcBorders>
          </w:tcPr>
          <w:p>
            <w:pPr>
              <w:pStyle w:val="TableParagraph"/>
              <w:spacing w:before="147"/>
              <w:ind w:left="107"/>
              <w:rPr>
                <w:sz w:val="20"/>
              </w:rPr>
            </w:pPr>
            <w:r>
              <w:rPr>
                <w:w w:val="99"/>
                <w:sz w:val="20"/>
              </w:rPr>
              <w:t>X</w:t>
            </w:r>
          </w:p>
        </w:tc>
        <w:tc>
          <w:tcPr>
            <w:tcW w:w="569" w:type="dxa"/>
            <w:tcBorders>
              <w:top w:val="single" w:sz="8" w:space="0" w:color="000000"/>
              <w:left w:val="nil"/>
              <w:bottom w:val="single" w:sz="8" w:space="0" w:color="000000"/>
              <w:right w:val="nil"/>
            </w:tcBorders>
          </w:tcPr>
          <w:p>
            <w:pPr>
              <w:pStyle w:val="TableParagraph"/>
              <w:spacing w:before="147"/>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47"/>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spacing w:before="147"/>
              <w:ind w:left="71" w:right="106"/>
              <w:jc w:val="center"/>
              <w:rPr>
                <w:sz w:val="20"/>
              </w:rPr>
            </w:pPr>
            <w:r>
              <w:rPr>
                <w:sz w:val="20"/>
              </w:rPr>
              <w:t>16</w:t>
            </w:r>
          </w:p>
        </w:tc>
        <w:tc>
          <w:tcPr>
            <w:tcW w:w="454" w:type="dxa"/>
            <w:tcBorders>
              <w:top w:val="single" w:sz="8" w:space="0" w:color="000000"/>
              <w:left w:val="nil"/>
              <w:bottom w:val="single" w:sz="8" w:space="0" w:color="000000"/>
              <w:right w:val="nil"/>
            </w:tcBorders>
          </w:tcPr>
          <w:p>
            <w:pPr>
              <w:pStyle w:val="TableParagraph"/>
              <w:spacing w:before="147"/>
              <w:ind w:left="108"/>
              <w:rPr>
                <w:sz w:val="20"/>
              </w:rPr>
            </w:pPr>
            <w:r>
              <w:rPr>
                <w:sz w:val="20"/>
              </w:rPr>
              <w:t>27</w:t>
            </w:r>
          </w:p>
        </w:tc>
        <w:tc>
          <w:tcPr>
            <w:tcW w:w="454" w:type="dxa"/>
            <w:tcBorders>
              <w:top w:val="single" w:sz="8" w:space="0" w:color="000000"/>
              <w:left w:val="nil"/>
              <w:bottom w:val="single" w:sz="8" w:space="0" w:color="000000"/>
              <w:right w:val="nil"/>
            </w:tcBorders>
          </w:tcPr>
          <w:p>
            <w:pPr>
              <w:pStyle w:val="TableParagraph"/>
              <w:spacing w:before="147"/>
              <w:ind w:left="107"/>
              <w:rPr>
                <w:sz w:val="20"/>
              </w:rPr>
            </w:pPr>
            <w:r>
              <w:rPr>
                <w:w w:val="99"/>
                <w:sz w:val="20"/>
              </w:rPr>
              <w:t>6</w:t>
            </w:r>
          </w:p>
        </w:tc>
        <w:tc>
          <w:tcPr>
            <w:tcW w:w="456" w:type="dxa"/>
            <w:tcBorders>
              <w:top w:val="single" w:sz="8" w:space="0" w:color="000000"/>
              <w:left w:val="nil"/>
              <w:bottom w:val="single" w:sz="8" w:space="0" w:color="000000"/>
              <w:right w:val="nil"/>
            </w:tcBorders>
          </w:tcPr>
          <w:p>
            <w:pPr>
              <w:pStyle w:val="TableParagraph"/>
              <w:spacing w:before="147"/>
              <w:ind w:right="138"/>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47"/>
              <w:ind w:left="105"/>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47"/>
              <w:ind w:right="136"/>
              <w:jc w:val="center"/>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47"/>
              <w:ind w:left="72" w:right="106"/>
              <w:jc w:val="center"/>
              <w:rPr>
                <w:sz w:val="20"/>
              </w:rPr>
            </w:pPr>
            <w:r>
              <w:rPr>
                <w:sz w:val="20"/>
              </w:rPr>
              <w:t>10</w:t>
            </w:r>
          </w:p>
        </w:tc>
        <w:tc>
          <w:tcPr>
            <w:tcW w:w="454" w:type="dxa"/>
            <w:tcBorders>
              <w:top w:val="single" w:sz="8" w:space="0" w:color="000000"/>
              <w:left w:val="nil"/>
              <w:bottom w:val="single" w:sz="8" w:space="0" w:color="000000"/>
              <w:right w:val="nil"/>
            </w:tcBorders>
          </w:tcPr>
          <w:p>
            <w:pPr>
              <w:pStyle w:val="TableParagraph"/>
              <w:spacing w:before="147"/>
              <w:ind w:left="108"/>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47"/>
              <w:ind w:right="136"/>
              <w:jc w:val="center"/>
              <w:rPr>
                <w:sz w:val="20"/>
              </w:rPr>
            </w:pPr>
            <w:r>
              <w:rPr>
                <w:w w:val="99"/>
                <w:sz w:val="20"/>
              </w:rPr>
              <w:t>8</w:t>
            </w:r>
          </w:p>
        </w:tc>
        <w:tc>
          <w:tcPr>
            <w:tcW w:w="456" w:type="dxa"/>
            <w:tcBorders>
              <w:top w:val="single" w:sz="8" w:space="0" w:color="000000"/>
              <w:left w:val="nil"/>
              <w:bottom w:val="single" w:sz="8" w:space="0" w:color="000000"/>
              <w:right w:val="nil"/>
            </w:tcBorders>
          </w:tcPr>
          <w:p>
            <w:pPr>
              <w:pStyle w:val="TableParagraph"/>
              <w:spacing w:before="147"/>
              <w:ind w:right="138"/>
              <w:jc w:val="center"/>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47"/>
              <w:ind w:left="105"/>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47"/>
              <w:ind w:right="137"/>
              <w:jc w:val="center"/>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47"/>
              <w:ind w:left="108"/>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47"/>
              <w:ind w:left="108"/>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47"/>
              <w:ind w:right="136"/>
              <w:jc w:val="center"/>
              <w:rPr>
                <w:sz w:val="20"/>
              </w:rPr>
            </w:pPr>
            <w:r>
              <w:rPr>
                <w:w w:val="99"/>
                <w:sz w:val="20"/>
              </w:rPr>
              <w:t>5</w:t>
            </w:r>
          </w:p>
        </w:tc>
        <w:tc>
          <w:tcPr>
            <w:tcW w:w="457" w:type="dxa"/>
            <w:tcBorders>
              <w:top w:val="single" w:sz="8" w:space="0" w:color="000000"/>
              <w:left w:val="nil"/>
              <w:bottom w:val="single" w:sz="8" w:space="0" w:color="000000"/>
              <w:right w:val="nil"/>
            </w:tcBorders>
          </w:tcPr>
          <w:p>
            <w:pPr>
              <w:pStyle w:val="TableParagraph"/>
              <w:spacing w:before="147"/>
              <w:ind w:left="107"/>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47"/>
              <w:ind w:left="105"/>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47"/>
              <w:ind w:right="137"/>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47"/>
              <w:ind w:left="108"/>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47"/>
              <w:ind w:left="107"/>
              <w:rPr>
                <w:sz w:val="20"/>
              </w:rPr>
            </w:pPr>
            <w:r>
              <w:rPr>
                <w:w w:val="99"/>
                <w:sz w:val="20"/>
              </w:rPr>
              <w:t>6</w:t>
            </w:r>
          </w:p>
        </w:tc>
        <w:tc>
          <w:tcPr>
            <w:tcW w:w="622" w:type="dxa"/>
            <w:tcBorders>
              <w:top w:val="single" w:sz="8" w:space="0" w:color="000000"/>
              <w:left w:val="nil"/>
              <w:bottom w:val="single" w:sz="8" w:space="0" w:color="000000"/>
              <w:right w:val="nil"/>
            </w:tcBorders>
          </w:tcPr>
          <w:p>
            <w:pPr>
              <w:pStyle w:val="TableParagraph"/>
              <w:spacing w:before="147"/>
              <w:ind w:left="107"/>
              <w:rPr>
                <w:sz w:val="20"/>
              </w:rPr>
            </w:pPr>
            <w:r>
              <w:rPr>
                <w:sz w:val="20"/>
              </w:rPr>
              <w:t>150</w:t>
            </w:r>
          </w:p>
        </w:tc>
      </w:tr>
      <w:tr>
        <w:trPr>
          <w:trHeight w:val="548" w:hRule="exact"/>
        </w:trPr>
        <w:tc>
          <w:tcPr>
            <w:tcW w:w="1304"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82"/>
              <w:rPr>
                <w:sz w:val="20"/>
              </w:rPr>
            </w:pPr>
            <w:r>
              <w:rPr>
                <w:sz w:val="20"/>
              </w:rPr>
              <w:t>Oliveira de Fátima</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260 de 17/06/15</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13</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29"/>
              <w:ind w:right="54"/>
              <w:jc w:val="center"/>
              <w:rPr>
                <w:sz w:val="20"/>
              </w:rPr>
            </w:pPr>
            <w:r>
              <w:rPr>
                <w:w w:val="99"/>
                <w:sz w:val="20"/>
              </w:rPr>
              <w:t>-</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w:t>
            </w:r>
          </w:p>
        </w:tc>
        <w:tc>
          <w:tcPr>
            <w:tcW w:w="569"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spacing w:before="129"/>
              <w:ind w:left="108"/>
              <w:rPr>
                <w:sz w:val="20"/>
              </w:rPr>
            </w:pPr>
            <w:r>
              <w:rPr>
                <w:w w:val="99"/>
                <w:sz w:val="20"/>
              </w:rPr>
              <w:t>-</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1" w:right="106"/>
              <w:jc w:val="center"/>
              <w:rPr>
                <w:sz w:val="20"/>
              </w:rPr>
            </w:pPr>
            <w:r>
              <w:rPr>
                <w:sz w:val="20"/>
              </w:rPr>
              <w:t>17</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w w:val="99"/>
                <w:sz w:val="20"/>
              </w:rPr>
              <w:t>6</w:t>
            </w:r>
          </w:p>
        </w:tc>
        <w:tc>
          <w:tcPr>
            <w:tcW w:w="456" w:type="dxa"/>
            <w:tcBorders>
              <w:top w:val="single" w:sz="8" w:space="0" w:color="000000"/>
              <w:left w:val="nil"/>
              <w:bottom w:val="single" w:sz="8" w:space="0" w:color="000000"/>
              <w:right w:val="nil"/>
            </w:tcBorders>
            <w:shd w:val="clear" w:color="auto" w:fill="F9DECA"/>
          </w:tcPr>
          <w:p>
            <w:pPr>
              <w:pStyle w:val="TableParagraph"/>
              <w:spacing w:before="129"/>
              <w:ind w:left="90" w:right="126"/>
              <w:jc w:val="center"/>
              <w:rPr>
                <w:sz w:val="20"/>
              </w:rPr>
            </w:pPr>
            <w:r>
              <w:rPr>
                <w:sz w:val="20"/>
              </w:rPr>
              <w:t>12</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2" w:right="106"/>
              <w:jc w:val="center"/>
              <w:rPr>
                <w:sz w:val="20"/>
              </w:rPr>
            </w:pPr>
            <w:r>
              <w:rPr>
                <w:sz w:val="20"/>
              </w:rPr>
              <w:t>26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6"/>
              <w:jc w:val="center"/>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2" w:right="106"/>
              <w:jc w:val="center"/>
              <w:rPr>
                <w:sz w:val="20"/>
              </w:rPr>
            </w:pPr>
            <w:r>
              <w:rPr>
                <w:sz w:val="20"/>
              </w:rPr>
              <w:t>10</w:t>
            </w:r>
          </w:p>
        </w:tc>
        <w:tc>
          <w:tcPr>
            <w:tcW w:w="456" w:type="dxa"/>
            <w:tcBorders>
              <w:top w:val="single" w:sz="8" w:space="0" w:color="000000"/>
              <w:left w:val="nil"/>
              <w:bottom w:val="single" w:sz="8" w:space="0" w:color="000000"/>
              <w:right w:val="nil"/>
            </w:tcBorders>
            <w:shd w:val="clear" w:color="auto" w:fill="F9DECA"/>
          </w:tcPr>
          <w:p>
            <w:pPr>
              <w:pStyle w:val="TableParagraph"/>
              <w:spacing w:before="129"/>
              <w:ind w:left="90" w:right="126"/>
              <w:jc w:val="center"/>
              <w:rPr>
                <w:sz w:val="20"/>
              </w:rPr>
            </w:pPr>
            <w:r>
              <w:rPr>
                <w:sz w:val="20"/>
              </w:rPr>
              <w:t>12</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1" w:right="106"/>
              <w:jc w:val="center"/>
              <w:rPr>
                <w:sz w:val="20"/>
              </w:rPr>
            </w:pPr>
            <w:r>
              <w:rPr>
                <w:sz w:val="20"/>
              </w:rPr>
              <w:t>13</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2" w:right="106"/>
              <w:jc w:val="center"/>
              <w:rPr>
                <w:sz w:val="20"/>
              </w:rPr>
            </w:pPr>
            <w:r>
              <w:rPr>
                <w:sz w:val="20"/>
              </w:rPr>
              <w:t>10</w:t>
            </w:r>
          </w:p>
        </w:tc>
        <w:tc>
          <w:tcPr>
            <w:tcW w:w="457"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w w:val="99"/>
                <w:sz w:val="20"/>
              </w:rPr>
              <w:t>3</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7"/>
              <w:jc w:val="center"/>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11</w:t>
            </w:r>
          </w:p>
        </w:tc>
        <w:tc>
          <w:tcPr>
            <w:tcW w:w="622"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193</w:t>
            </w:r>
          </w:p>
        </w:tc>
      </w:tr>
      <w:tr>
        <w:trPr>
          <w:trHeight w:val="550" w:hRule="exact"/>
        </w:trPr>
        <w:tc>
          <w:tcPr>
            <w:tcW w:w="1304" w:type="dxa"/>
            <w:tcBorders>
              <w:top w:val="single" w:sz="8" w:space="0" w:color="000000"/>
              <w:left w:val="nil"/>
              <w:bottom w:val="single" w:sz="8" w:space="0" w:color="000000"/>
              <w:right w:val="nil"/>
            </w:tcBorders>
          </w:tcPr>
          <w:p>
            <w:pPr>
              <w:pStyle w:val="TableParagraph"/>
              <w:spacing w:line="276" w:lineRule="auto" w:before="0"/>
              <w:ind w:left="108" w:right="145"/>
              <w:rPr>
                <w:sz w:val="20"/>
              </w:rPr>
            </w:pPr>
            <w:r>
              <w:rPr>
                <w:sz w:val="20"/>
              </w:rPr>
              <w:t>Ponte Alta do Tocantins</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011 de 08/06/15</w:t>
            </w:r>
          </w:p>
        </w:tc>
        <w:tc>
          <w:tcPr>
            <w:tcW w:w="566" w:type="dxa"/>
            <w:tcBorders>
              <w:top w:val="single" w:sz="8" w:space="0" w:color="000000"/>
              <w:left w:val="nil"/>
              <w:bottom w:val="single" w:sz="8" w:space="0" w:color="000000"/>
              <w:right w:val="nil"/>
            </w:tcBorders>
          </w:tcPr>
          <w:p>
            <w:pPr>
              <w:pStyle w:val="TableParagraph"/>
              <w:spacing w:before="128"/>
              <w:ind w:left="107"/>
              <w:rPr>
                <w:sz w:val="20"/>
              </w:rPr>
            </w:pPr>
            <w:r>
              <w:rPr>
                <w:sz w:val="20"/>
              </w:rPr>
              <w:t>13</w:t>
            </w:r>
          </w:p>
        </w:tc>
        <w:tc>
          <w:tcPr>
            <w:tcW w:w="566" w:type="dxa"/>
            <w:tcBorders>
              <w:top w:val="single" w:sz="8" w:space="0" w:color="000000"/>
              <w:left w:val="nil"/>
              <w:bottom w:val="single" w:sz="8" w:space="0" w:color="000000"/>
              <w:right w:val="nil"/>
            </w:tcBorders>
          </w:tcPr>
          <w:p>
            <w:pPr>
              <w:pStyle w:val="TableParagraph"/>
              <w:spacing w:before="128"/>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28"/>
              <w:ind w:left="21"/>
              <w:jc w:val="center"/>
              <w:rPr>
                <w:sz w:val="20"/>
              </w:rPr>
            </w:pPr>
            <w:r>
              <w:rPr>
                <w:w w:val="99"/>
                <w:sz w:val="20"/>
              </w:rPr>
              <w:t>X</w:t>
            </w:r>
          </w:p>
        </w:tc>
        <w:tc>
          <w:tcPr>
            <w:tcW w:w="566" w:type="dxa"/>
            <w:tcBorders>
              <w:top w:val="single" w:sz="8" w:space="0" w:color="000000"/>
              <w:left w:val="nil"/>
              <w:bottom w:val="single" w:sz="8" w:space="0" w:color="000000"/>
              <w:right w:val="nil"/>
            </w:tcBorders>
          </w:tcPr>
          <w:p>
            <w:pPr>
              <w:pStyle w:val="TableParagraph"/>
              <w:spacing w:before="128"/>
              <w:ind w:left="107"/>
              <w:rPr>
                <w:sz w:val="20"/>
              </w:rPr>
            </w:pPr>
            <w:r>
              <w:rPr>
                <w:w w:val="99"/>
                <w:sz w:val="20"/>
              </w:rPr>
              <w:t>X</w:t>
            </w:r>
          </w:p>
        </w:tc>
        <w:tc>
          <w:tcPr>
            <w:tcW w:w="569" w:type="dxa"/>
            <w:tcBorders>
              <w:top w:val="single" w:sz="8" w:space="0" w:color="000000"/>
              <w:left w:val="nil"/>
              <w:bottom w:val="single" w:sz="8" w:space="0" w:color="000000"/>
              <w:right w:val="nil"/>
            </w:tcBorders>
          </w:tcPr>
          <w:p>
            <w:pPr>
              <w:pStyle w:val="TableParagraph"/>
              <w:spacing w:before="128"/>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spacing w:before="128"/>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spacing w:before="128"/>
              <w:ind w:left="71" w:right="106"/>
              <w:jc w:val="center"/>
              <w:rPr>
                <w:sz w:val="20"/>
              </w:rPr>
            </w:pPr>
            <w:r>
              <w:rPr>
                <w:sz w:val="20"/>
              </w:rPr>
              <w:t>34</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sz w:val="20"/>
              </w:rPr>
              <w:t>18</w:t>
            </w:r>
          </w:p>
        </w:tc>
        <w:tc>
          <w:tcPr>
            <w:tcW w:w="454" w:type="dxa"/>
            <w:tcBorders>
              <w:top w:val="single" w:sz="8" w:space="0" w:color="000000"/>
              <w:left w:val="nil"/>
              <w:bottom w:val="single" w:sz="8" w:space="0" w:color="000000"/>
              <w:right w:val="nil"/>
            </w:tcBorders>
          </w:tcPr>
          <w:p>
            <w:pPr>
              <w:pStyle w:val="TableParagraph"/>
              <w:spacing w:before="128"/>
              <w:ind w:left="107"/>
              <w:rPr>
                <w:sz w:val="20"/>
              </w:rPr>
            </w:pPr>
            <w:r>
              <w:rPr>
                <w:sz w:val="20"/>
              </w:rPr>
              <w:t>29</w:t>
            </w:r>
          </w:p>
        </w:tc>
        <w:tc>
          <w:tcPr>
            <w:tcW w:w="456" w:type="dxa"/>
            <w:tcBorders>
              <w:top w:val="single" w:sz="8" w:space="0" w:color="000000"/>
              <w:left w:val="nil"/>
              <w:bottom w:val="single" w:sz="8" w:space="0" w:color="000000"/>
              <w:right w:val="nil"/>
            </w:tcBorders>
          </w:tcPr>
          <w:p>
            <w:pPr>
              <w:pStyle w:val="TableParagraph"/>
              <w:spacing w:before="128"/>
              <w:ind w:right="138"/>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28"/>
              <w:ind w:left="105"/>
              <w:rPr>
                <w:sz w:val="20"/>
              </w:rPr>
            </w:pPr>
            <w:r>
              <w:rPr>
                <w:sz w:val="20"/>
              </w:rPr>
              <w:t>14</w:t>
            </w:r>
          </w:p>
        </w:tc>
        <w:tc>
          <w:tcPr>
            <w:tcW w:w="454" w:type="dxa"/>
            <w:tcBorders>
              <w:top w:val="single" w:sz="8" w:space="0" w:color="000000"/>
              <w:left w:val="nil"/>
              <w:bottom w:val="single" w:sz="8" w:space="0" w:color="000000"/>
              <w:right w:val="nil"/>
            </w:tcBorders>
          </w:tcPr>
          <w:p>
            <w:pPr>
              <w:pStyle w:val="TableParagraph"/>
              <w:spacing w:before="128"/>
              <w:ind w:left="72" w:right="106"/>
              <w:jc w:val="center"/>
              <w:rPr>
                <w:sz w:val="20"/>
              </w:rPr>
            </w:pPr>
            <w:r>
              <w:rPr>
                <w:sz w:val="20"/>
              </w:rPr>
              <w:t>15</w:t>
            </w:r>
          </w:p>
        </w:tc>
        <w:tc>
          <w:tcPr>
            <w:tcW w:w="454" w:type="dxa"/>
            <w:tcBorders>
              <w:top w:val="single" w:sz="8" w:space="0" w:color="000000"/>
              <w:left w:val="nil"/>
              <w:bottom w:val="single" w:sz="8" w:space="0" w:color="000000"/>
              <w:right w:val="nil"/>
            </w:tcBorders>
          </w:tcPr>
          <w:p>
            <w:pPr>
              <w:pStyle w:val="TableParagraph"/>
              <w:spacing w:before="128"/>
              <w:ind w:right="136"/>
              <w:jc w:val="center"/>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sz w:val="20"/>
              </w:rPr>
              <w:t>11</w:t>
            </w:r>
          </w:p>
        </w:tc>
        <w:tc>
          <w:tcPr>
            <w:tcW w:w="454" w:type="dxa"/>
            <w:tcBorders>
              <w:top w:val="single" w:sz="8" w:space="0" w:color="000000"/>
              <w:left w:val="nil"/>
              <w:bottom w:val="single" w:sz="8" w:space="0" w:color="000000"/>
              <w:right w:val="nil"/>
            </w:tcBorders>
          </w:tcPr>
          <w:p>
            <w:pPr>
              <w:pStyle w:val="TableParagraph"/>
              <w:spacing w:before="128"/>
              <w:ind w:right="136"/>
              <w:jc w:val="center"/>
              <w:rPr>
                <w:sz w:val="20"/>
              </w:rPr>
            </w:pPr>
            <w:r>
              <w:rPr>
                <w:w w:val="99"/>
                <w:sz w:val="20"/>
              </w:rPr>
              <w:t>8</w:t>
            </w:r>
          </w:p>
        </w:tc>
        <w:tc>
          <w:tcPr>
            <w:tcW w:w="456" w:type="dxa"/>
            <w:tcBorders>
              <w:top w:val="single" w:sz="8" w:space="0" w:color="000000"/>
              <w:left w:val="nil"/>
              <w:bottom w:val="single" w:sz="8" w:space="0" w:color="000000"/>
              <w:right w:val="nil"/>
            </w:tcBorders>
          </w:tcPr>
          <w:p>
            <w:pPr>
              <w:pStyle w:val="TableParagraph"/>
              <w:spacing w:before="128"/>
              <w:ind w:right="138"/>
              <w:jc w:val="center"/>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28"/>
              <w:ind w:left="105"/>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28"/>
              <w:ind w:right="137"/>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sz w:val="20"/>
              </w:rPr>
              <w:t>11</w:t>
            </w:r>
          </w:p>
        </w:tc>
        <w:tc>
          <w:tcPr>
            <w:tcW w:w="454" w:type="dxa"/>
            <w:tcBorders>
              <w:top w:val="single" w:sz="8" w:space="0" w:color="000000"/>
              <w:left w:val="nil"/>
              <w:bottom w:val="single" w:sz="8" w:space="0" w:color="000000"/>
              <w:right w:val="nil"/>
            </w:tcBorders>
          </w:tcPr>
          <w:p>
            <w:pPr>
              <w:pStyle w:val="TableParagraph"/>
              <w:spacing w:before="128"/>
              <w:ind w:left="72" w:right="106"/>
              <w:jc w:val="center"/>
              <w:rPr>
                <w:sz w:val="20"/>
              </w:rPr>
            </w:pPr>
            <w:r>
              <w:rPr>
                <w:sz w:val="20"/>
              </w:rPr>
              <w:t>11</w:t>
            </w:r>
          </w:p>
        </w:tc>
        <w:tc>
          <w:tcPr>
            <w:tcW w:w="457" w:type="dxa"/>
            <w:tcBorders>
              <w:top w:val="single" w:sz="8" w:space="0" w:color="000000"/>
              <w:left w:val="nil"/>
              <w:bottom w:val="single" w:sz="8" w:space="0" w:color="000000"/>
              <w:right w:val="nil"/>
            </w:tcBorders>
          </w:tcPr>
          <w:p>
            <w:pPr>
              <w:pStyle w:val="TableParagraph"/>
              <w:spacing w:before="128"/>
              <w:ind w:left="107"/>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28"/>
              <w:ind w:left="105"/>
              <w:rPr>
                <w:sz w:val="20"/>
              </w:rPr>
            </w:pPr>
            <w:r>
              <w:rPr>
                <w:sz w:val="20"/>
              </w:rPr>
              <w:t>13</w:t>
            </w:r>
          </w:p>
        </w:tc>
        <w:tc>
          <w:tcPr>
            <w:tcW w:w="454" w:type="dxa"/>
            <w:tcBorders>
              <w:top w:val="single" w:sz="8" w:space="0" w:color="000000"/>
              <w:left w:val="nil"/>
              <w:bottom w:val="single" w:sz="8" w:space="0" w:color="000000"/>
              <w:right w:val="nil"/>
            </w:tcBorders>
          </w:tcPr>
          <w:p>
            <w:pPr>
              <w:pStyle w:val="TableParagraph"/>
              <w:spacing w:before="128"/>
              <w:ind w:left="71" w:right="106"/>
              <w:jc w:val="center"/>
              <w:rPr>
                <w:sz w:val="20"/>
              </w:rPr>
            </w:pPr>
            <w:r>
              <w:rPr>
                <w:sz w:val="20"/>
              </w:rPr>
              <w:t>18</w:t>
            </w:r>
          </w:p>
        </w:tc>
        <w:tc>
          <w:tcPr>
            <w:tcW w:w="454" w:type="dxa"/>
            <w:tcBorders>
              <w:top w:val="single" w:sz="8" w:space="0" w:color="000000"/>
              <w:left w:val="nil"/>
              <w:bottom w:val="single" w:sz="8" w:space="0" w:color="000000"/>
              <w:right w:val="nil"/>
            </w:tcBorders>
          </w:tcPr>
          <w:p>
            <w:pPr>
              <w:pStyle w:val="TableParagraph"/>
              <w:spacing w:before="128"/>
              <w:ind w:left="108"/>
              <w:rPr>
                <w:sz w:val="20"/>
              </w:rPr>
            </w:pPr>
            <w:r>
              <w:rPr>
                <w:sz w:val="20"/>
              </w:rPr>
              <w:t>34</w:t>
            </w:r>
          </w:p>
        </w:tc>
        <w:tc>
          <w:tcPr>
            <w:tcW w:w="454" w:type="dxa"/>
            <w:tcBorders>
              <w:top w:val="single" w:sz="8" w:space="0" w:color="000000"/>
              <w:left w:val="nil"/>
              <w:bottom w:val="single" w:sz="8" w:space="0" w:color="000000"/>
              <w:right w:val="nil"/>
            </w:tcBorders>
          </w:tcPr>
          <w:p>
            <w:pPr>
              <w:pStyle w:val="TableParagraph"/>
              <w:spacing w:before="128"/>
              <w:ind w:left="107"/>
              <w:rPr>
                <w:sz w:val="20"/>
              </w:rPr>
            </w:pPr>
            <w:r>
              <w:rPr>
                <w:sz w:val="20"/>
              </w:rPr>
              <w:t>24</w:t>
            </w:r>
          </w:p>
        </w:tc>
        <w:tc>
          <w:tcPr>
            <w:tcW w:w="622" w:type="dxa"/>
            <w:tcBorders>
              <w:top w:val="single" w:sz="8" w:space="0" w:color="000000"/>
              <w:left w:val="nil"/>
              <w:bottom w:val="single" w:sz="8" w:space="0" w:color="000000"/>
              <w:right w:val="nil"/>
            </w:tcBorders>
          </w:tcPr>
          <w:p>
            <w:pPr>
              <w:pStyle w:val="TableParagraph"/>
              <w:spacing w:before="128"/>
              <w:ind w:left="107"/>
              <w:rPr>
                <w:sz w:val="20"/>
              </w:rPr>
            </w:pPr>
            <w:r>
              <w:rPr>
                <w:sz w:val="20"/>
              </w:rPr>
              <w:t>296</w:t>
            </w:r>
          </w:p>
        </w:tc>
      </w:tr>
      <w:tr>
        <w:trPr>
          <w:trHeight w:val="547" w:hRule="exact"/>
        </w:trPr>
        <w:tc>
          <w:tcPr>
            <w:tcW w:w="1304"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404"/>
              <w:rPr>
                <w:sz w:val="20"/>
              </w:rPr>
            </w:pPr>
            <w:r>
              <w:rPr>
                <w:sz w:val="20"/>
              </w:rPr>
              <w:t>Porto </w:t>
            </w:r>
            <w:r>
              <w:rPr>
                <w:w w:val="95"/>
                <w:sz w:val="20"/>
              </w:rPr>
              <w:t>Nacional</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2248 de 24/06/15</w:t>
            </w:r>
          </w:p>
        </w:tc>
        <w:tc>
          <w:tcPr>
            <w:tcW w:w="566"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14</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right="54"/>
              <w:jc w:val="center"/>
              <w:rPr>
                <w:sz w:val="20"/>
              </w:rPr>
            </w:pPr>
            <w:r>
              <w:rPr>
                <w:w w:val="99"/>
                <w:sz w:val="20"/>
              </w:rPr>
              <w:t>-</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w:t>
            </w:r>
          </w:p>
        </w:tc>
        <w:tc>
          <w:tcPr>
            <w:tcW w:w="569"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ind w:left="108"/>
              <w:rPr>
                <w:sz w:val="20"/>
              </w:rPr>
            </w:pPr>
            <w:r>
              <w:rPr>
                <w:w w:val="99"/>
                <w:sz w:val="20"/>
              </w:rPr>
              <w:t>-</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32</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19</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12</w:t>
            </w:r>
          </w:p>
        </w:tc>
        <w:tc>
          <w:tcPr>
            <w:tcW w:w="456" w:type="dxa"/>
            <w:tcBorders>
              <w:top w:val="single" w:sz="8" w:space="0" w:color="000000"/>
              <w:left w:val="nil"/>
              <w:bottom w:val="single" w:sz="8" w:space="0" w:color="000000"/>
              <w:right w:val="nil"/>
            </w:tcBorders>
            <w:shd w:val="clear" w:color="auto" w:fill="F9DECA"/>
          </w:tcPr>
          <w:p>
            <w:pPr>
              <w:pStyle w:val="TableParagraph"/>
              <w:ind w:right="138"/>
              <w:jc w:val="center"/>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sz w:val="20"/>
              </w:rPr>
              <w:t>12</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42</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14</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10</w:t>
            </w:r>
          </w:p>
        </w:tc>
        <w:tc>
          <w:tcPr>
            <w:tcW w:w="456" w:type="dxa"/>
            <w:tcBorders>
              <w:top w:val="single" w:sz="8" w:space="0" w:color="000000"/>
              <w:left w:val="nil"/>
              <w:bottom w:val="single" w:sz="8" w:space="0" w:color="000000"/>
              <w:right w:val="nil"/>
            </w:tcBorders>
            <w:shd w:val="clear" w:color="auto" w:fill="F9DECA"/>
          </w:tcPr>
          <w:p>
            <w:pPr>
              <w:pStyle w:val="TableParagraph"/>
              <w:ind w:left="90" w:right="126"/>
              <w:jc w:val="center"/>
              <w:rPr>
                <w:sz w:val="20"/>
              </w:rPr>
            </w:pPr>
            <w:r>
              <w:rPr>
                <w:sz w:val="20"/>
              </w:rPr>
              <w:t>21</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ind w:right="137"/>
              <w:jc w:val="center"/>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14</w:t>
            </w:r>
          </w:p>
        </w:tc>
        <w:tc>
          <w:tcPr>
            <w:tcW w:w="457"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right="137"/>
              <w:jc w:val="center"/>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16</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23</w:t>
            </w:r>
          </w:p>
        </w:tc>
        <w:tc>
          <w:tcPr>
            <w:tcW w:w="622"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280</w:t>
            </w:r>
          </w:p>
        </w:tc>
      </w:tr>
      <w:tr>
        <w:trPr>
          <w:trHeight w:val="550" w:hRule="exact"/>
        </w:trPr>
        <w:tc>
          <w:tcPr>
            <w:tcW w:w="1304" w:type="dxa"/>
            <w:tcBorders>
              <w:top w:val="single" w:sz="8" w:space="0" w:color="000000"/>
              <w:left w:val="nil"/>
              <w:bottom w:val="single" w:sz="8" w:space="0" w:color="000000"/>
              <w:right w:val="nil"/>
            </w:tcBorders>
          </w:tcPr>
          <w:p>
            <w:pPr>
              <w:pStyle w:val="TableParagraph"/>
              <w:spacing w:before="130"/>
              <w:ind w:left="108"/>
              <w:rPr>
                <w:sz w:val="20"/>
              </w:rPr>
            </w:pPr>
            <w:r>
              <w:rPr>
                <w:sz w:val="20"/>
              </w:rPr>
              <w:t>Rio Sono</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244 de 17/06/15</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sz w:val="20"/>
              </w:rPr>
              <w:t>13</w:t>
            </w:r>
          </w:p>
        </w:tc>
        <w:tc>
          <w:tcPr>
            <w:tcW w:w="566" w:type="dxa"/>
            <w:tcBorders>
              <w:top w:val="single" w:sz="8" w:space="0" w:color="000000"/>
              <w:left w:val="nil"/>
              <w:bottom w:val="single" w:sz="8" w:space="0" w:color="000000"/>
              <w:right w:val="nil"/>
            </w:tcBorders>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left="21"/>
              <w:jc w:val="center"/>
              <w:rPr>
                <w:sz w:val="20"/>
              </w:rPr>
            </w:pPr>
            <w:r>
              <w:rPr>
                <w:w w:val="99"/>
                <w:sz w:val="20"/>
              </w:rPr>
              <w:t>X</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X</w:t>
            </w:r>
          </w:p>
        </w:tc>
        <w:tc>
          <w:tcPr>
            <w:tcW w:w="569"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18</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14</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14</w:t>
            </w:r>
          </w:p>
        </w:tc>
        <w:tc>
          <w:tcPr>
            <w:tcW w:w="456" w:type="dxa"/>
            <w:tcBorders>
              <w:top w:val="single" w:sz="8" w:space="0" w:color="000000"/>
              <w:left w:val="nil"/>
              <w:bottom w:val="single" w:sz="8" w:space="0" w:color="000000"/>
              <w:right w:val="nil"/>
            </w:tcBorders>
          </w:tcPr>
          <w:p>
            <w:pPr>
              <w:pStyle w:val="TableParagraph"/>
              <w:spacing w:before="130"/>
              <w:ind w:left="90" w:right="126"/>
              <w:jc w:val="center"/>
              <w:rPr>
                <w:sz w:val="20"/>
              </w:rPr>
            </w:pPr>
            <w:r>
              <w:rPr>
                <w:sz w:val="20"/>
              </w:rPr>
              <w:t>19</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36</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12</w:t>
            </w:r>
          </w:p>
        </w:tc>
        <w:tc>
          <w:tcPr>
            <w:tcW w:w="456" w:type="dxa"/>
            <w:tcBorders>
              <w:top w:val="single" w:sz="8" w:space="0" w:color="000000"/>
              <w:left w:val="nil"/>
              <w:bottom w:val="single" w:sz="8" w:space="0" w:color="000000"/>
              <w:right w:val="nil"/>
            </w:tcBorders>
          </w:tcPr>
          <w:p>
            <w:pPr>
              <w:pStyle w:val="TableParagraph"/>
              <w:spacing w:before="130"/>
              <w:ind w:left="90" w:right="126"/>
              <w:jc w:val="center"/>
              <w:rPr>
                <w:sz w:val="20"/>
              </w:rPr>
            </w:pPr>
            <w:r>
              <w:rPr>
                <w:sz w:val="20"/>
              </w:rPr>
              <w:t>11</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sz w:val="20"/>
              </w:rPr>
              <w:t>14</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21</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9</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15</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13</w:t>
            </w:r>
          </w:p>
        </w:tc>
        <w:tc>
          <w:tcPr>
            <w:tcW w:w="457"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spacing w:before="130"/>
              <w:ind w:right="137"/>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12</w:t>
            </w:r>
          </w:p>
        </w:tc>
        <w:tc>
          <w:tcPr>
            <w:tcW w:w="622" w:type="dxa"/>
            <w:tcBorders>
              <w:top w:val="single" w:sz="8" w:space="0" w:color="000000"/>
              <w:left w:val="nil"/>
              <w:bottom w:val="single" w:sz="8" w:space="0" w:color="000000"/>
              <w:right w:val="nil"/>
            </w:tcBorders>
          </w:tcPr>
          <w:p>
            <w:pPr>
              <w:pStyle w:val="TableParagraph"/>
              <w:spacing w:before="130"/>
              <w:ind w:left="107"/>
              <w:rPr>
                <w:sz w:val="20"/>
              </w:rPr>
            </w:pPr>
            <w:r>
              <w:rPr>
                <w:sz w:val="20"/>
              </w:rPr>
              <w:t>257</w:t>
            </w:r>
          </w:p>
        </w:tc>
      </w:tr>
      <w:tr>
        <w:trPr>
          <w:trHeight w:val="550" w:hRule="exact"/>
        </w:trPr>
        <w:tc>
          <w:tcPr>
            <w:tcW w:w="1304"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Santa Rita</w:t>
            </w:r>
          </w:p>
        </w:tc>
        <w:tc>
          <w:tcPr>
            <w:tcW w:w="1078" w:type="dxa"/>
            <w:tcBorders>
              <w:top w:val="single" w:sz="8" w:space="0" w:color="000000"/>
              <w:left w:val="nil"/>
              <w:bottom w:val="single" w:sz="8" w:space="0" w:color="000000"/>
              <w:right w:val="nil"/>
            </w:tcBorders>
            <w:shd w:val="clear" w:color="auto" w:fill="F9DECA"/>
          </w:tcPr>
          <w:p>
            <w:pPr>
              <w:pStyle w:val="TableParagraph"/>
              <w:spacing w:line="278" w:lineRule="auto" w:before="0"/>
              <w:ind w:left="107" w:right="239"/>
              <w:rPr>
                <w:sz w:val="20"/>
              </w:rPr>
            </w:pPr>
            <w:r>
              <w:rPr>
                <w:sz w:val="20"/>
              </w:rPr>
              <w:t>305 de 16/06/15</w:t>
            </w:r>
          </w:p>
        </w:tc>
        <w:tc>
          <w:tcPr>
            <w:tcW w:w="566"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13</w:t>
            </w:r>
          </w:p>
        </w:tc>
        <w:tc>
          <w:tcPr>
            <w:tcW w:w="566"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right="54"/>
              <w:jc w:val="center"/>
              <w:rPr>
                <w:sz w:val="20"/>
              </w:rPr>
            </w:pPr>
            <w:r>
              <w:rPr>
                <w:w w:val="99"/>
                <w:sz w:val="20"/>
              </w:rPr>
              <w:t>-</w:t>
            </w:r>
          </w:p>
        </w:tc>
        <w:tc>
          <w:tcPr>
            <w:tcW w:w="566"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w:t>
            </w:r>
          </w:p>
        </w:tc>
        <w:tc>
          <w:tcPr>
            <w:tcW w:w="569"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w:t>
            </w:r>
          </w:p>
        </w:tc>
        <w:tc>
          <w:tcPr>
            <w:tcW w:w="283"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71" w:right="106"/>
              <w:jc w:val="center"/>
              <w:rPr>
                <w:sz w:val="20"/>
              </w:rPr>
            </w:pPr>
            <w:r>
              <w:rPr>
                <w:sz w:val="20"/>
              </w:rPr>
              <w:t>20</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sz w:val="20"/>
              </w:rPr>
              <w:t>18</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17</w:t>
            </w:r>
          </w:p>
        </w:tc>
        <w:tc>
          <w:tcPr>
            <w:tcW w:w="456" w:type="dxa"/>
            <w:tcBorders>
              <w:top w:val="single" w:sz="8" w:space="0" w:color="000000"/>
              <w:left w:val="nil"/>
              <w:bottom w:val="single" w:sz="8" w:space="0" w:color="000000"/>
              <w:right w:val="nil"/>
            </w:tcBorders>
            <w:shd w:val="clear" w:color="auto" w:fill="F9DECA"/>
          </w:tcPr>
          <w:p>
            <w:pPr>
              <w:pStyle w:val="TableParagraph"/>
              <w:spacing w:before="130"/>
              <w:ind w:left="90" w:right="126"/>
              <w:jc w:val="center"/>
              <w:rPr>
                <w:sz w:val="20"/>
              </w:rPr>
            </w:pPr>
            <w:r>
              <w:rPr>
                <w:sz w:val="20"/>
              </w:rPr>
              <w:t>12</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5"/>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6"/>
              <w:jc w:val="center"/>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72" w:right="106"/>
              <w:jc w:val="center"/>
              <w:rPr>
                <w:sz w:val="20"/>
              </w:rPr>
            </w:pPr>
            <w:r>
              <w:rPr>
                <w:sz w:val="20"/>
              </w:rPr>
              <w:t>33</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6"/>
              <w:jc w:val="center"/>
              <w:rPr>
                <w:sz w:val="20"/>
              </w:rPr>
            </w:pPr>
            <w:r>
              <w:rPr>
                <w:w w:val="99"/>
                <w:sz w:val="20"/>
              </w:rPr>
              <w:t>9</w:t>
            </w:r>
          </w:p>
        </w:tc>
        <w:tc>
          <w:tcPr>
            <w:tcW w:w="456" w:type="dxa"/>
            <w:tcBorders>
              <w:top w:val="single" w:sz="8" w:space="0" w:color="000000"/>
              <w:left w:val="nil"/>
              <w:bottom w:val="single" w:sz="8" w:space="0" w:color="000000"/>
              <w:right w:val="nil"/>
            </w:tcBorders>
            <w:shd w:val="clear" w:color="auto" w:fill="F9DECA"/>
          </w:tcPr>
          <w:p>
            <w:pPr>
              <w:pStyle w:val="TableParagraph"/>
              <w:spacing w:before="130"/>
              <w:ind w:left="90" w:right="126"/>
              <w:jc w:val="center"/>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5"/>
              <w:rPr>
                <w:sz w:val="20"/>
              </w:rPr>
            </w:pPr>
            <w:r>
              <w:rPr>
                <w:sz w:val="20"/>
              </w:rPr>
              <w:t>15</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7"/>
              <w:jc w:val="center"/>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72" w:right="106"/>
              <w:jc w:val="center"/>
              <w:rPr>
                <w:sz w:val="20"/>
              </w:rPr>
            </w:pPr>
            <w:r>
              <w:rPr>
                <w:sz w:val="20"/>
              </w:rPr>
              <w:t>10</w:t>
            </w:r>
          </w:p>
        </w:tc>
        <w:tc>
          <w:tcPr>
            <w:tcW w:w="457"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5"/>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right="137"/>
              <w:jc w:val="center"/>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8"/>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18</w:t>
            </w:r>
          </w:p>
        </w:tc>
        <w:tc>
          <w:tcPr>
            <w:tcW w:w="622" w:type="dxa"/>
            <w:tcBorders>
              <w:top w:val="single" w:sz="8" w:space="0" w:color="000000"/>
              <w:left w:val="nil"/>
              <w:bottom w:val="single" w:sz="8" w:space="0" w:color="000000"/>
              <w:right w:val="nil"/>
            </w:tcBorders>
            <w:shd w:val="clear" w:color="auto" w:fill="F9DECA"/>
          </w:tcPr>
          <w:p>
            <w:pPr>
              <w:pStyle w:val="TableParagraph"/>
              <w:spacing w:before="130"/>
              <w:ind w:left="107"/>
              <w:rPr>
                <w:sz w:val="20"/>
              </w:rPr>
            </w:pPr>
            <w:r>
              <w:rPr>
                <w:sz w:val="20"/>
              </w:rPr>
              <w:t>237</w:t>
            </w:r>
          </w:p>
        </w:tc>
      </w:tr>
      <w:tr>
        <w:trPr>
          <w:trHeight w:val="550" w:hRule="exact"/>
        </w:trPr>
        <w:tc>
          <w:tcPr>
            <w:tcW w:w="1304" w:type="dxa"/>
            <w:tcBorders>
              <w:top w:val="single" w:sz="8" w:space="0" w:color="000000"/>
              <w:left w:val="nil"/>
              <w:bottom w:val="single" w:sz="8" w:space="0" w:color="000000"/>
              <w:right w:val="nil"/>
            </w:tcBorders>
          </w:tcPr>
          <w:p>
            <w:pPr>
              <w:pStyle w:val="TableParagraph"/>
              <w:ind w:left="108"/>
              <w:rPr>
                <w:sz w:val="20"/>
              </w:rPr>
            </w:pPr>
            <w:r>
              <w:rPr>
                <w:sz w:val="20"/>
              </w:rPr>
              <w:t>Santa Rosa</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364 de 15/06/15</w:t>
            </w:r>
          </w:p>
        </w:tc>
        <w:tc>
          <w:tcPr>
            <w:tcW w:w="566" w:type="dxa"/>
            <w:tcBorders>
              <w:top w:val="single" w:sz="8" w:space="0" w:color="000000"/>
              <w:left w:val="nil"/>
              <w:bottom w:val="single" w:sz="8" w:space="0" w:color="000000"/>
              <w:right w:val="nil"/>
            </w:tcBorders>
          </w:tcPr>
          <w:p>
            <w:pPr>
              <w:pStyle w:val="TableParagraph"/>
              <w:ind w:left="107"/>
              <w:rPr>
                <w:sz w:val="20"/>
              </w:rPr>
            </w:pPr>
            <w:r>
              <w:rPr>
                <w:sz w:val="20"/>
              </w:rPr>
              <w:t>13</w:t>
            </w:r>
          </w:p>
        </w:tc>
        <w:tc>
          <w:tcPr>
            <w:tcW w:w="566" w:type="dxa"/>
            <w:tcBorders>
              <w:top w:val="single" w:sz="8" w:space="0" w:color="000000"/>
              <w:left w:val="nil"/>
              <w:bottom w:val="single" w:sz="8" w:space="0" w:color="000000"/>
              <w:right w:val="nil"/>
            </w:tcBorders>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left="21"/>
              <w:jc w:val="center"/>
              <w:rPr>
                <w:sz w:val="20"/>
              </w:rPr>
            </w:pPr>
            <w:r>
              <w:rPr>
                <w:w w:val="99"/>
                <w:sz w:val="20"/>
              </w:rPr>
              <w:t>X</w:t>
            </w:r>
          </w:p>
        </w:tc>
        <w:tc>
          <w:tcPr>
            <w:tcW w:w="566" w:type="dxa"/>
            <w:tcBorders>
              <w:top w:val="single" w:sz="8" w:space="0" w:color="000000"/>
              <w:left w:val="nil"/>
              <w:bottom w:val="single" w:sz="8" w:space="0" w:color="000000"/>
              <w:right w:val="nil"/>
            </w:tcBorders>
          </w:tcPr>
          <w:p>
            <w:pPr>
              <w:pStyle w:val="TableParagraph"/>
              <w:ind w:left="107"/>
              <w:rPr>
                <w:sz w:val="20"/>
              </w:rPr>
            </w:pPr>
            <w:r>
              <w:rPr>
                <w:w w:val="99"/>
                <w:sz w:val="20"/>
              </w:rPr>
              <w:t>X</w:t>
            </w:r>
          </w:p>
        </w:tc>
        <w:tc>
          <w:tcPr>
            <w:tcW w:w="569" w:type="dxa"/>
            <w:tcBorders>
              <w:top w:val="single" w:sz="8" w:space="0" w:color="000000"/>
              <w:left w:val="nil"/>
              <w:bottom w:val="single" w:sz="8" w:space="0" w:color="000000"/>
              <w:right w:val="nil"/>
            </w:tcBorders>
          </w:tcPr>
          <w:p>
            <w:pPr>
              <w:pStyle w:val="TableParagraph"/>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ind w:left="71" w:right="106"/>
              <w:jc w:val="center"/>
              <w:rPr>
                <w:sz w:val="20"/>
              </w:rPr>
            </w:pPr>
            <w:r>
              <w:rPr>
                <w:sz w:val="20"/>
              </w:rPr>
              <w:t>13</w:t>
            </w:r>
          </w:p>
        </w:tc>
        <w:tc>
          <w:tcPr>
            <w:tcW w:w="454" w:type="dxa"/>
            <w:tcBorders>
              <w:top w:val="single" w:sz="8" w:space="0" w:color="000000"/>
              <w:left w:val="nil"/>
              <w:bottom w:val="single" w:sz="8" w:space="0" w:color="000000"/>
              <w:right w:val="nil"/>
            </w:tcBorders>
          </w:tcPr>
          <w:p>
            <w:pPr>
              <w:pStyle w:val="TableParagraph"/>
              <w:ind w:left="108"/>
              <w:rPr>
                <w:sz w:val="20"/>
              </w:rPr>
            </w:pPr>
            <w:r>
              <w:rPr>
                <w:sz w:val="20"/>
              </w:rPr>
              <w:t>12</w:t>
            </w:r>
          </w:p>
        </w:tc>
        <w:tc>
          <w:tcPr>
            <w:tcW w:w="454" w:type="dxa"/>
            <w:tcBorders>
              <w:top w:val="single" w:sz="8" w:space="0" w:color="000000"/>
              <w:left w:val="nil"/>
              <w:bottom w:val="single" w:sz="8" w:space="0" w:color="000000"/>
              <w:right w:val="nil"/>
            </w:tcBorders>
          </w:tcPr>
          <w:p>
            <w:pPr>
              <w:pStyle w:val="TableParagraph"/>
              <w:ind w:left="107"/>
              <w:rPr>
                <w:sz w:val="20"/>
              </w:rPr>
            </w:pPr>
            <w:r>
              <w:rPr>
                <w:w w:val="99"/>
                <w:sz w:val="20"/>
              </w:rPr>
              <w:t>5</w:t>
            </w:r>
          </w:p>
        </w:tc>
        <w:tc>
          <w:tcPr>
            <w:tcW w:w="456" w:type="dxa"/>
            <w:tcBorders>
              <w:top w:val="single" w:sz="8" w:space="0" w:color="000000"/>
              <w:left w:val="nil"/>
              <w:bottom w:val="single" w:sz="8" w:space="0" w:color="000000"/>
              <w:right w:val="nil"/>
            </w:tcBorders>
          </w:tcPr>
          <w:p>
            <w:pPr>
              <w:pStyle w:val="TableParagraph"/>
              <w:ind w:right="138"/>
              <w:jc w:val="center"/>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ind w:left="105"/>
              <w:rPr>
                <w:sz w:val="20"/>
              </w:rPr>
            </w:pPr>
            <w:r>
              <w:rPr>
                <w:sz w:val="20"/>
              </w:rPr>
              <w:t>17</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7</w:t>
            </w:r>
          </w:p>
        </w:tc>
        <w:tc>
          <w:tcPr>
            <w:tcW w:w="456" w:type="dxa"/>
            <w:tcBorders>
              <w:top w:val="single" w:sz="8" w:space="0" w:color="000000"/>
              <w:left w:val="nil"/>
              <w:bottom w:val="single" w:sz="8" w:space="0" w:color="000000"/>
              <w:right w:val="nil"/>
            </w:tcBorders>
          </w:tcPr>
          <w:p>
            <w:pPr>
              <w:pStyle w:val="TableParagraph"/>
              <w:ind w:right="138"/>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right="137"/>
              <w:jc w:val="center"/>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ind w:right="136"/>
              <w:jc w:val="center"/>
              <w:rPr>
                <w:sz w:val="20"/>
              </w:rPr>
            </w:pPr>
            <w:r>
              <w:rPr>
                <w:w w:val="99"/>
                <w:sz w:val="20"/>
              </w:rPr>
              <w:t>3</w:t>
            </w:r>
          </w:p>
        </w:tc>
        <w:tc>
          <w:tcPr>
            <w:tcW w:w="457" w:type="dxa"/>
            <w:tcBorders>
              <w:top w:val="single" w:sz="8" w:space="0" w:color="000000"/>
              <w:left w:val="nil"/>
              <w:bottom w:val="single" w:sz="8" w:space="0" w:color="000000"/>
              <w:right w:val="nil"/>
            </w:tcBorders>
          </w:tcPr>
          <w:p>
            <w:pPr>
              <w:pStyle w:val="TableParagraph"/>
              <w:ind w:left="107"/>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ind w:left="105"/>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ind w:right="137"/>
              <w:jc w:val="center"/>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ind w:left="108"/>
              <w:rPr>
                <w:sz w:val="20"/>
              </w:rPr>
            </w:pPr>
            <w:r>
              <w:rPr>
                <w:w w:val="99"/>
                <w:sz w:val="20"/>
              </w:rPr>
              <w:t>5</w:t>
            </w:r>
          </w:p>
        </w:tc>
        <w:tc>
          <w:tcPr>
            <w:tcW w:w="454" w:type="dxa"/>
            <w:tcBorders>
              <w:top w:val="single" w:sz="8" w:space="0" w:color="000000"/>
              <w:left w:val="nil"/>
              <w:bottom w:val="single" w:sz="8" w:space="0" w:color="000000"/>
              <w:right w:val="nil"/>
            </w:tcBorders>
          </w:tcPr>
          <w:p>
            <w:pPr>
              <w:pStyle w:val="TableParagraph"/>
              <w:ind w:left="107"/>
              <w:rPr>
                <w:sz w:val="20"/>
              </w:rPr>
            </w:pPr>
            <w:r>
              <w:rPr>
                <w:w w:val="99"/>
                <w:sz w:val="20"/>
              </w:rPr>
              <w:t>6</w:t>
            </w:r>
          </w:p>
        </w:tc>
        <w:tc>
          <w:tcPr>
            <w:tcW w:w="622" w:type="dxa"/>
            <w:tcBorders>
              <w:top w:val="single" w:sz="8" w:space="0" w:color="000000"/>
              <w:left w:val="nil"/>
              <w:bottom w:val="single" w:sz="8" w:space="0" w:color="000000"/>
              <w:right w:val="nil"/>
            </w:tcBorders>
          </w:tcPr>
          <w:p>
            <w:pPr>
              <w:pStyle w:val="TableParagraph"/>
              <w:ind w:left="107"/>
              <w:rPr>
                <w:sz w:val="20"/>
              </w:rPr>
            </w:pPr>
            <w:r>
              <w:rPr>
                <w:sz w:val="20"/>
              </w:rPr>
              <w:t>142</w:t>
            </w:r>
          </w:p>
        </w:tc>
      </w:tr>
      <w:tr>
        <w:trPr>
          <w:trHeight w:val="528" w:hRule="exact"/>
        </w:trPr>
        <w:tc>
          <w:tcPr>
            <w:tcW w:w="1304" w:type="dxa"/>
            <w:tcBorders>
              <w:top w:val="single" w:sz="8" w:space="0" w:color="000000"/>
              <w:left w:val="nil"/>
              <w:bottom w:val="single" w:sz="8" w:space="0" w:color="000000"/>
              <w:right w:val="nil"/>
            </w:tcBorders>
            <w:shd w:val="clear" w:color="auto" w:fill="F9DECA"/>
          </w:tcPr>
          <w:p>
            <w:pPr>
              <w:pStyle w:val="TableParagraph"/>
              <w:spacing w:before="118"/>
              <w:ind w:left="107"/>
              <w:rPr>
                <w:sz w:val="20"/>
              </w:rPr>
            </w:pPr>
            <w:r>
              <w:rPr>
                <w:sz w:val="20"/>
              </w:rPr>
              <w:t>Santa Tereza</w:t>
            </w:r>
          </w:p>
        </w:tc>
        <w:tc>
          <w:tcPr>
            <w:tcW w:w="1078" w:type="dxa"/>
            <w:tcBorders>
              <w:top w:val="single" w:sz="8" w:space="0" w:color="000000"/>
              <w:left w:val="nil"/>
              <w:bottom w:val="single" w:sz="8" w:space="0" w:color="000000"/>
              <w:right w:val="nil"/>
            </w:tcBorders>
            <w:shd w:val="clear" w:color="auto" w:fill="F9DECA"/>
          </w:tcPr>
          <w:p>
            <w:pPr>
              <w:pStyle w:val="TableParagraph"/>
              <w:spacing w:before="118"/>
              <w:ind w:left="107"/>
              <w:rPr>
                <w:sz w:val="20"/>
              </w:rPr>
            </w:pPr>
            <w:r>
              <w:rPr>
                <w:sz w:val="20"/>
              </w:rPr>
              <w:t>15/06/15</w:t>
            </w:r>
          </w:p>
        </w:tc>
        <w:tc>
          <w:tcPr>
            <w:tcW w:w="566" w:type="dxa"/>
            <w:tcBorders>
              <w:top w:val="single" w:sz="8" w:space="0" w:color="000000"/>
              <w:left w:val="nil"/>
              <w:bottom w:val="single" w:sz="8" w:space="0" w:color="000000"/>
              <w:right w:val="nil"/>
            </w:tcBorders>
            <w:shd w:val="clear" w:color="auto" w:fill="F9DECA"/>
          </w:tcPr>
          <w:p>
            <w:pPr>
              <w:pStyle w:val="TableParagraph"/>
              <w:spacing w:before="118"/>
              <w:ind w:left="107"/>
              <w:rPr>
                <w:sz w:val="20"/>
              </w:rPr>
            </w:pPr>
            <w:r>
              <w:rPr>
                <w:sz w:val="20"/>
              </w:rPr>
              <w:t>13</w:t>
            </w:r>
          </w:p>
        </w:tc>
        <w:tc>
          <w:tcPr>
            <w:tcW w:w="566" w:type="dxa"/>
            <w:tcBorders>
              <w:top w:val="single" w:sz="8" w:space="0" w:color="000000"/>
              <w:left w:val="nil"/>
              <w:bottom w:val="single" w:sz="8" w:space="0" w:color="000000"/>
              <w:right w:val="nil"/>
            </w:tcBorders>
            <w:shd w:val="clear" w:color="auto" w:fill="F9DECA"/>
          </w:tcPr>
          <w:p>
            <w:pPr>
              <w:pStyle w:val="TableParagraph"/>
              <w:spacing w:before="118"/>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18"/>
              <w:ind w:left="21"/>
              <w:jc w:val="center"/>
              <w:rPr>
                <w:sz w:val="20"/>
              </w:rPr>
            </w:pPr>
            <w:r>
              <w:rPr>
                <w:w w:val="99"/>
                <w:sz w:val="20"/>
              </w:rPr>
              <w:t>X</w:t>
            </w:r>
          </w:p>
        </w:tc>
        <w:tc>
          <w:tcPr>
            <w:tcW w:w="566" w:type="dxa"/>
            <w:tcBorders>
              <w:top w:val="single" w:sz="8" w:space="0" w:color="000000"/>
              <w:left w:val="nil"/>
              <w:bottom w:val="single" w:sz="8" w:space="0" w:color="000000"/>
              <w:right w:val="nil"/>
            </w:tcBorders>
            <w:shd w:val="clear" w:color="auto" w:fill="F9DECA"/>
          </w:tcPr>
          <w:p>
            <w:pPr>
              <w:pStyle w:val="TableParagraph"/>
              <w:spacing w:before="118"/>
              <w:ind w:left="108"/>
              <w:rPr>
                <w:sz w:val="20"/>
              </w:rPr>
            </w:pPr>
            <w:r>
              <w:rPr>
                <w:w w:val="99"/>
                <w:sz w:val="20"/>
              </w:rPr>
              <w:t>X</w:t>
            </w:r>
          </w:p>
        </w:tc>
        <w:tc>
          <w:tcPr>
            <w:tcW w:w="569" w:type="dxa"/>
            <w:tcBorders>
              <w:top w:val="single" w:sz="8" w:space="0" w:color="000000"/>
              <w:left w:val="nil"/>
              <w:bottom w:val="single" w:sz="8" w:space="0" w:color="000000"/>
              <w:right w:val="nil"/>
            </w:tcBorders>
            <w:shd w:val="clear" w:color="auto" w:fill="F9DECA"/>
          </w:tcPr>
          <w:p>
            <w:pPr>
              <w:pStyle w:val="TableParagraph"/>
              <w:spacing w:before="118"/>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18"/>
              <w:ind w:left="108"/>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spacing w:before="118"/>
              <w:ind w:left="71" w:right="106"/>
              <w:jc w:val="center"/>
              <w:rPr>
                <w:sz w:val="20"/>
              </w:rPr>
            </w:pPr>
            <w:r>
              <w:rPr>
                <w:sz w:val="20"/>
              </w:rPr>
              <w:t>16</w:t>
            </w:r>
          </w:p>
        </w:tc>
        <w:tc>
          <w:tcPr>
            <w:tcW w:w="454" w:type="dxa"/>
            <w:tcBorders>
              <w:top w:val="single" w:sz="8" w:space="0" w:color="000000"/>
              <w:left w:val="nil"/>
              <w:bottom w:val="single" w:sz="8" w:space="0" w:color="000000"/>
              <w:right w:val="nil"/>
            </w:tcBorders>
            <w:shd w:val="clear" w:color="auto" w:fill="F9DECA"/>
          </w:tcPr>
          <w:p>
            <w:pPr>
              <w:pStyle w:val="TableParagraph"/>
              <w:spacing w:before="118"/>
              <w:ind w:left="108"/>
              <w:rPr>
                <w:sz w:val="20"/>
              </w:rPr>
            </w:pPr>
            <w:r>
              <w:rPr>
                <w:sz w:val="20"/>
              </w:rPr>
              <w:t>20</w:t>
            </w:r>
          </w:p>
        </w:tc>
        <w:tc>
          <w:tcPr>
            <w:tcW w:w="454" w:type="dxa"/>
            <w:tcBorders>
              <w:top w:val="single" w:sz="8" w:space="0" w:color="000000"/>
              <w:left w:val="nil"/>
              <w:bottom w:val="single" w:sz="8" w:space="0" w:color="000000"/>
              <w:right w:val="nil"/>
            </w:tcBorders>
            <w:shd w:val="clear" w:color="auto" w:fill="F9DECA"/>
          </w:tcPr>
          <w:p>
            <w:pPr>
              <w:pStyle w:val="TableParagraph"/>
              <w:spacing w:before="118"/>
              <w:ind w:left="107"/>
              <w:rPr>
                <w:sz w:val="20"/>
              </w:rPr>
            </w:pPr>
            <w:r>
              <w:rPr>
                <w:sz w:val="20"/>
              </w:rPr>
              <w:t>12</w:t>
            </w:r>
          </w:p>
        </w:tc>
        <w:tc>
          <w:tcPr>
            <w:tcW w:w="456" w:type="dxa"/>
            <w:tcBorders>
              <w:top w:val="single" w:sz="8" w:space="0" w:color="000000"/>
              <w:left w:val="nil"/>
              <w:bottom w:val="single" w:sz="8" w:space="0" w:color="000000"/>
              <w:right w:val="nil"/>
            </w:tcBorders>
            <w:shd w:val="clear" w:color="auto" w:fill="F9DECA"/>
          </w:tcPr>
          <w:p>
            <w:pPr>
              <w:pStyle w:val="TableParagraph"/>
              <w:spacing w:before="118"/>
              <w:ind w:left="90" w:right="126"/>
              <w:jc w:val="center"/>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118"/>
              <w:ind w:left="105"/>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118"/>
              <w:ind w:right="136"/>
              <w:jc w:val="center"/>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18"/>
              <w:ind w:left="72" w:right="106"/>
              <w:jc w:val="center"/>
              <w:rPr>
                <w:sz w:val="20"/>
              </w:rPr>
            </w:pPr>
            <w:r>
              <w:rPr>
                <w:sz w:val="20"/>
              </w:rPr>
              <w:t>30</w:t>
            </w:r>
          </w:p>
        </w:tc>
        <w:tc>
          <w:tcPr>
            <w:tcW w:w="454" w:type="dxa"/>
            <w:tcBorders>
              <w:top w:val="single" w:sz="8" w:space="0" w:color="000000"/>
              <w:left w:val="nil"/>
              <w:bottom w:val="single" w:sz="8" w:space="0" w:color="000000"/>
              <w:right w:val="nil"/>
            </w:tcBorders>
            <w:shd w:val="clear" w:color="auto" w:fill="F9DECA"/>
          </w:tcPr>
          <w:p>
            <w:pPr>
              <w:pStyle w:val="TableParagraph"/>
              <w:spacing w:before="118"/>
              <w:ind w:left="108"/>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18"/>
              <w:ind w:left="72" w:right="106"/>
              <w:jc w:val="center"/>
              <w:rPr>
                <w:sz w:val="20"/>
              </w:rPr>
            </w:pPr>
            <w:r>
              <w:rPr>
                <w:sz w:val="20"/>
              </w:rPr>
              <w:t>10</w:t>
            </w:r>
          </w:p>
        </w:tc>
        <w:tc>
          <w:tcPr>
            <w:tcW w:w="456" w:type="dxa"/>
            <w:tcBorders>
              <w:top w:val="single" w:sz="8" w:space="0" w:color="000000"/>
              <w:left w:val="nil"/>
              <w:bottom w:val="single" w:sz="8" w:space="0" w:color="000000"/>
              <w:right w:val="nil"/>
            </w:tcBorders>
            <w:shd w:val="clear" w:color="auto" w:fill="F9DECA"/>
          </w:tcPr>
          <w:p>
            <w:pPr>
              <w:pStyle w:val="TableParagraph"/>
              <w:spacing w:before="118"/>
              <w:ind w:right="138"/>
              <w:jc w:val="center"/>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18"/>
              <w:ind w:left="105"/>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18"/>
              <w:ind w:left="71" w:right="106"/>
              <w:jc w:val="center"/>
              <w:rPr>
                <w:sz w:val="20"/>
              </w:rPr>
            </w:pPr>
            <w:r>
              <w:rPr>
                <w:sz w:val="20"/>
              </w:rPr>
              <w:t>16</w:t>
            </w:r>
          </w:p>
        </w:tc>
        <w:tc>
          <w:tcPr>
            <w:tcW w:w="454" w:type="dxa"/>
            <w:tcBorders>
              <w:top w:val="single" w:sz="8" w:space="0" w:color="000000"/>
              <w:left w:val="nil"/>
              <w:bottom w:val="single" w:sz="8" w:space="0" w:color="000000"/>
              <w:right w:val="nil"/>
            </w:tcBorders>
            <w:shd w:val="clear" w:color="auto" w:fill="F9DECA"/>
          </w:tcPr>
          <w:p>
            <w:pPr>
              <w:pStyle w:val="TableParagraph"/>
              <w:spacing w:before="118"/>
              <w:ind w:left="108"/>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18"/>
              <w:ind w:left="108"/>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spacing w:before="118"/>
              <w:ind w:left="72" w:right="106"/>
              <w:jc w:val="center"/>
              <w:rPr>
                <w:sz w:val="20"/>
              </w:rPr>
            </w:pPr>
            <w:r>
              <w:rPr>
                <w:sz w:val="20"/>
              </w:rPr>
              <w:t>10</w:t>
            </w:r>
          </w:p>
        </w:tc>
        <w:tc>
          <w:tcPr>
            <w:tcW w:w="457" w:type="dxa"/>
            <w:tcBorders>
              <w:top w:val="single" w:sz="8" w:space="0" w:color="000000"/>
              <w:left w:val="nil"/>
              <w:bottom w:val="single" w:sz="8" w:space="0" w:color="000000"/>
              <w:right w:val="nil"/>
            </w:tcBorders>
            <w:shd w:val="clear" w:color="auto" w:fill="F9DECA"/>
          </w:tcPr>
          <w:p>
            <w:pPr>
              <w:pStyle w:val="TableParagraph"/>
              <w:spacing w:before="118"/>
              <w:ind w:left="107"/>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18"/>
              <w:ind w:left="105"/>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spacing w:before="118"/>
              <w:ind w:right="137"/>
              <w:jc w:val="center"/>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18"/>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18"/>
              <w:ind w:left="107"/>
              <w:rPr>
                <w:sz w:val="20"/>
              </w:rPr>
            </w:pPr>
            <w:r>
              <w:rPr>
                <w:sz w:val="20"/>
              </w:rPr>
              <w:t>10</w:t>
            </w:r>
          </w:p>
        </w:tc>
        <w:tc>
          <w:tcPr>
            <w:tcW w:w="622" w:type="dxa"/>
            <w:tcBorders>
              <w:top w:val="single" w:sz="8" w:space="0" w:color="000000"/>
              <w:left w:val="nil"/>
              <w:bottom w:val="single" w:sz="8" w:space="0" w:color="000000"/>
              <w:right w:val="nil"/>
            </w:tcBorders>
            <w:shd w:val="clear" w:color="auto" w:fill="F9DECA"/>
          </w:tcPr>
          <w:p>
            <w:pPr>
              <w:pStyle w:val="TableParagraph"/>
              <w:spacing w:before="118"/>
              <w:ind w:left="107"/>
              <w:rPr>
                <w:sz w:val="20"/>
              </w:rPr>
            </w:pPr>
            <w:r>
              <w:rPr>
                <w:sz w:val="20"/>
              </w:rPr>
              <w:t>221</w:t>
            </w:r>
          </w:p>
        </w:tc>
      </w:tr>
      <w:tr>
        <w:trPr>
          <w:trHeight w:val="550" w:hRule="exact"/>
        </w:trPr>
        <w:tc>
          <w:tcPr>
            <w:tcW w:w="1304" w:type="dxa"/>
            <w:tcBorders>
              <w:top w:val="single" w:sz="8" w:space="0" w:color="000000"/>
              <w:left w:val="nil"/>
              <w:bottom w:val="single" w:sz="8" w:space="0" w:color="000000"/>
              <w:right w:val="nil"/>
            </w:tcBorders>
          </w:tcPr>
          <w:p>
            <w:pPr>
              <w:pStyle w:val="TableParagraph"/>
              <w:spacing w:before="130"/>
              <w:ind w:left="108"/>
              <w:rPr>
                <w:sz w:val="20"/>
              </w:rPr>
            </w:pPr>
            <w:r>
              <w:rPr>
                <w:sz w:val="20"/>
              </w:rPr>
              <w:t>São Félix</w:t>
            </w:r>
          </w:p>
        </w:tc>
        <w:tc>
          <w:tcPr>
            <w:tcW w:w="1078" w:type="dxa"/>
            <w:tcBorders>
              <w:top w:val="single" w:sz="8" w:space="0" w:color="000000"/>
              <w:left w:val="nil"/>
              <w:bottom w:val="single" w:sz="8" w:space="0" w:color="000000"/>
              <w:right w:val="nil"/>
            </w:tcBorders>
          </w:tcPr>
          <w:p>
            <w:pPr>
              <w:pStyle w:val="TableParagraph"/>
              <w:spacing w:line="276" w:lineRule="auto" w:before="0"/>
              <w:ind w:left="107" w:right="239"/>
              <w:rPr>
                <w:sz w:val="20"/>
              </w:rPr>
            </w:pPr>
            <w:r>
              <w:rPr>
                <w:sz w:val="20"/>
              </w:rPr>
              <w:t>237 de 22/06/15</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sz w:val="20"/>
              </w:rPr>
              <w:t>13</w:t>
            </w:r>
          </w:p>
        </w:tc>
        <w:tc>
          <w:tcPr>
            <w:tcW w:w="566" w:type="dxa"/>
            <w:tcBorders>
              <w:top w:val="single" w:sz="8" w:space="0" w:color="000000"/>
              <w:left w:val="nil"/>
              <w:bottom w:val="single" w:sz="8" w:space="0" w:color="000000"/>
              <w:right w:val="nil"/>
            </w:tcBorders>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right="54"/>
              <w:jc w:val="center"/>
              <w:rPr>
                <w:sz w:val="20"/>
              </w:rPr>
            </w:pPr>
            <w:r>
              <w:rPr>
                <w:w w:val="99"/>
                <w:sz w:val="20"/>
              </w:rPr>
              <w:t>-</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w:t>
            </w:r>
          </w:p>
        </w:tc>
        <w:tc>
          <w:tcPr>
            <w:tcW w:w="569"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20</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20</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10</w:t>
            </w:r>
          </w:p>
        </w:tc>
        <w:tc>
          <w:tcPr>
            <w:tcW w:w="456" w:type="dxa"/>
            <w:tcBorders>
              <w:top w:val="single" w:sz="8" w:space="0" w:color="000000"/>
              <w:left w:val="nil"/>
              <w:bottom w:val="single" w:sz="8" w:space="0" w:color="000000"/>
              <w:right w:val="nil"/>
            </w:tcBorders>
          </w:tcPr>
          <w:p>
            <w:pPr>
              <w:pStyle w:val="TableParagraph"/>
              <w:spacing w:before="130"/>
              <w:ind w:right="138"/>
              <w:jc w:val="center"/>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sz w:val="20"/>
              </w:rPr>
              <w:t>11</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4</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13</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13</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7</w:t>
            </w:r>
          </w:p>
        </w:tc>
        <w:tc>
          <w:tcPr>
            <w:tcW w:w="456" w:type="dxa"/>
            <w:tcBorders>
              <w:top w:val="single" w:sz="8" w:space="0" w:color="000000"/>
              <w:left w:val="nil"/>
              <w:bottom w:val="single" w:sz="8" w:space="0" w:color="000000"/>
              <w:right w:val="nil"/>
            </w:tcBorders>
          </w:tcPr>
          <w:p>
            <w:pPr>
              <w:pStyle w:val="TableParagraph"/>
              <w:spacing w:before="130"/>
              <w:ind w:left="90" w:right="126"/>
              <w:jc w:val="center"/>
              <w:rPr>
                <w:sz w:val="20"/>
              </w:rPr>
            </w:pPr>
            <w:r>
              <w:rPr>
                <w:sz w:val="20"/>
              </w:rPr>
              <w:t>35</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sz w:val="20"/>
              </w:rPr>
              <w:t>19</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10</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3</w:t>
            </w:r>
          </w:p>
        </w:tc>
        <w:tc>
          <w:tcPr>
            <w:tcW w:w="454" w:type="dxa"/>
            <w:tcBorders>
              <w:top w:val="single" w:sz="8" w:space="0" w:color="000000"/>
              <w:left w:val="nil"/>
              <w:bottom w:val="single" w:sz="8" w:space="0" w:color="000000"/>
              <w:right w:val="nil"/>
            </w:tcBorders>
          </w:tcPr>
          <w:p>
            <w:pPr>
              <w:pStyle w:val="TableParagraph"/>
              <w:spacing w:before="130"/>
              <w:ind w:right="136"/>
              <w:jc w:val="center"/>
              <w:rPr>
                <w:sz w:val="20"/>
              </w:rPr>
            </w:pPr>
            <w:r>
              <w:rPr>
                <w:w w:val="99"/>
                <w:sz w:val="20"/>
              </w:rPr>
              <w:t>5</w:t>
            </w:r>
          </w:p>
        </w:tc>
        <w:tc>
          <w:tcPr>
            <w:tcW w:w="457" w:type="dxa"/>
            <w:tcBorders>
              <w:top w:val="single" w:sz="8" w:space="0" w:color="000000"/>
              <w:left w:val="nil"/>
              <w:bottom w:val="single" w:sz="8" w:space="0" w:color="000000"/>
              <w:right w:val="nil"/>
            </w:tcBorders>
          </w:tcPr>
          <w:p>
            <w:pPr>
              <w:pStyle w:val="TableParagraph"/>
              <w:spacing w:before="130"/>
              <w:ind w:left="107"/>
              <w:rPr>
                <w:sz w:val="20"/>
              </w:rPr>
            </w:pPr>
            <w:r>
              <w:rPr>
                <w:sz w:val="20"/>
              </w:rPr>
              <w:t>11</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sz w:val="20"/>
              </w:rPr>
              <w:t>12</w:t>
            </w:r>
          </w:p>
        </w:tc>
        <w:tc>
          <w:tcPr>
            <w:tcW w:w="454" w:type="dxa"/>
            <w:tcBorders>
              <w:top w:val="single" w:sz="8" w:space="0" w:color="000000"/>
              <w:left w:val="nil"/>
              <w:bottom w:val="single" w:sz="8" w:space="0" w:color="000000"/>
              <w:right w:val="nil"/>
            </w:tcBorders>
          </w:tcPr>
          <w:p>
            <w:pPr>
              <w:pStyle w:val="TableParagraph"/>
              <w:spacing w:before="130"/>
              <w:ind w:right="137"/>
              <w:jc w:val="center"/>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12</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27</w:t>
            </w:r>
          </w:p>
        </w:tc>
        <w:tc>
          <w:tcPr>
            <w:tcW w:w="622" w:type="dxa"/>
            <w:tcBorders>
              <w:top w:val="single" w:sz="8" w:space="0" w:color="000000"/>
              <w:left w:val="nil"/>
              <w:bottom w:val="single" w:sz="8" w:space="0" w:color="000000"/>
              <w:right w:val="nil"/>
            </w:tcBorders>
          </w:tcPr>
          <w:p>
            <w:pPr>
              <w:pStyle w:val="TableParagraph"/>
              <w:spacing w:before="130"/>
              <w:ind w:left="107"/>
              <w:rPr>
                <w:sz w:val="20"/>
              </w:rPr>
            </w:pPr>
            <w:r>
              <w:rPr>
                <w:sz w:val="20"/>
              </w:rPr>
              <w:t>251</w:t>
            </w:r>
          </w:p>
        </w:tc>
      </w:tr>
    </w:tbl>
    <w:p>
      <w:pPr>
        <w:spacing w:after="0"/>
        <w:rPr>
          <w:sz w:val="20"/>
        </w:rPr>
        <w:sectPr>
          <w:pgSz w:w="16840" w:h="11910" w:orient="landscape"/>
          <w:pgMar w:header="749" w:footer="0" w:top="960" w:bottom="280" w:left="880" w:right="740"/>
        </w:sectPr>
      </w:pPr>
    </w:p>
    <w:p>
      <w:pPr>
        <w:pStyle w:val="BodyText"/>
        <w:rPr>
          <w:sz w:val="20"/>
        </w:rPr>
      </w:pPr>
    </w:p>
    <w:p>
      <w:pPr>
        <w:pStyle w:val="BodyText"/>
        <w:rPr>
          <w:sz w:val="20"/>
        </w:rPr>
      </w:pPr>
    </w:p>
    <w:p>
      <w:pPr>
        <w:pStyle w:val="BodyText"/>
        <w:spacing w:before="8"/>
        <w:rPr>
          <w:sz w:val="22"/>
        </w:rPr>
      </w:pPr>
    </w:p>
    <w:tbl>
      <w:tblPr>
        <w:tblW w:w="0" w:type="auto"/>
        <w:jc w:val="left"/>
        <w:tblInd w:w="100"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305"/>
        <w:gridCol w:w="1078"/>
        <w:gridCol w:w="566"/>
        <w:gridCol w:w="566"/>
        <w:gridCol w:w="338"/>
        <w:gridCol w:w="566"/>
        <w:gridCol w:w="569"/>
        <w:gridCol w:w="283"/>
        <w:gridCol w:w="454"/>
        <w:gridCol w:w="454"/>
        <w:gridCol w:w="454"/>
        <w:gridCol w:w="456"/>
        <w:gridCol w:w="454"/>
        <w:gridCol w:w="454"/>
        <w:gridCol w:w="454"/>
        <w:gridCol w:w="454"/>
        <w:gridCol w:w="454"/>
        <w:gridCol w:w="456"/>
        <w:gridCol w:w="454"/>
        <w:gridCol w:w="454"/>
        <w:gridCol w:w="454"/>
        <w:gridCol w:w="454"/>
        <w:gridCol w:w="454"/>
        <w:gridCol w:w="457"/>
        <w:gridCol w:w="454"/>
        <w:gridCol w:w="454"/>
        <w:gridCol w:w="454"/>
        <w:gridCol w:w="454"/>
        <w:gridCol w:w="623"/>
      </w:tblGrid>
      <w:tr>
        <w:trPr>
          <w:trHeight w:val="1132" w:hRule="exact"/>
        </w:trPr>
        <w:tc>
          <w:tcPr>
            <w:tcW w:w="1305" w:type="dxa"/>
            <w:tcBorders>
              <w:left w:val="single" w:sz="8" w:space="0" w:color="000000"/>
              <w:right w:val="single" w:sz="8" w:space="0" w:color="000000"/>
            </w:tcBorders>
            <w:shd w:val="clear" w:color="auto" w:fill="F9DECA"/>
          </w:tcPr>
          <w:p>
            <w:pPr>
              <w:pStyle w:val="TableParagraph"/>
              <w:spacing w:before="0"/>
              <w:rPr>
                <w:sz w:val="22"/>
              </w:rPr>
            </w:pPr>
          </w:p>
          <w:p>
            <w:pPr>
              <w:pStyle w:val="TableParagraph"/>
              <w:spacing w:before="155"/>
              <w:ind w:left="201"/>
              <w:rPr>
                <w:b/>
                <w:sz w:val="20"/>
              </w:rPr>
            </w:pPr>
            <w:r>
              <w:rPr>
                <w:b/>
                <w:sz w:val="20"/>
              </w:rPr>
              <w:t>Município</w:t>
            </w:r>
          </w:p>
        </w:tc>
        <w:tc>
          <w:tcPr>
            <w:tcW w:w="1078" w:type="dxa"/>
            <w:tcBorders>
              <w:left w:val="single" w:sz="8" w:space="0" w:color="000000"/>
              <w:right w:val="single" w:sz="8" w:space="0" w:color="000000"/>
            </w:tcBorders>
            <w:shd w:val="clear" w:color="auto" w:fill="F9DECA"/>
            <w:textDirection w:val="btLr"/>
          </w:tcPr>
          <w:p>
            <w:pPr>
              <w:pStyle w:val="TableParagraph"/>
              <w:spacing w:before="4"/>
              <w:rPr>
                <w:sz w:val="22"/>
              </w:rPr>
            </w:pPr>
          </w:p>
          <w:p>
            <w:pPr>
              <w:pStyle w:val="TableParagraph"/>
              <w:spacing w:line="283" w:lineRule="auto" w:before="0"/>
              <w:ind w:left="112" w:right="30"/>
              <w:rPr>
                <w:b/>
                <w:sz w:val="20"/>
              </w:rPr>
            </w:pPr>
            <w:r>
              <w:rPr>
                <w:b/>
                <w:spacing w:val="-1"/>
                <w:w w:val="99"/>
                <w:sz w:val="20"/>
              </w:rPr>
              <w:t>L</w:t>
            </w:r>
            <w:r>
              <w:rPr>
                <w:b/>
                <w:w w:val="99"/>
                <w:sz w:val="20"/>
              </w:rPr>
              <w:t>ei</w:t>
            </w:r>
            <w:r>
              <w:rPr>
                <w:b/>
                <w:sz w:val="20"/>
              </w:rPr>
              <w:t> </w:t>
            </w:r>
            <w:r>
              <w:rPr>
                <w:b/>
                <w:w w:val="99"/>
                <w:sz w:val="20"/>
              </w:rPr>
              <w:t>do </w:t>
            </w:r>
            <w:r>
              <w:rPr>
                <w:b/>
                <w:w w:val="99"/>
                <w:sz w:val="20"/>
              </w:rPr>
              <w:t>P</w:t>
            </w:r>
            <w:r>
              <w:rPr>
                <w:b/>
                <w:spacing w:val="-1"/>
                <w:w w:val="99"/>
                <w:sz w:val="20"/>
              </w:rPr>
              <w:t>M</w:t>
            </w:r>
            <w:r>
              <w:rPr>
                <w:b/>
                <w:w w:val="99"/>
                <w:sz w:val="20"/>
              </w:rPr>
              <w:t>E</w:t>
            </w:r>
          </w:p>
        </w:tc>
        <w:tc>
          <w:tcPr>
            <w:tcW w:w="566" w:type="dxa"/>
            <w:tcBorders>
              <w:left w:val="single" w:sz="8" w:space="0" w:color="000000"/>
              <w:right w:val="single" w:sz="8" w:space="0" w:color="000000"/>
            </w:tcBorders>
            <w:shd w:val="clear" w:color="auto" w:fill="F9DECA"/>
            <w:textDirection w:val="btLr"/>
          </w:tcPr>
          <w:p>
            <w:pPr>
              <w:pStyle w:val="TableParagraph"/>
              <w:spacing w:line="283" w:lineRule="auto" w:before="3"/>
              <w:ind w:left="112" w:right="30"/>
              <w:rPr>
                <w:b/>
                <w:sz w:val="20"/>
              </w:rPr>
            </w:pPr>
            <w:r>
              <w:rPr>
                <w:b/>
                <w:w w:val="99"/>
                <w:sz w:val="20"/>
              </w:rPr>
              <w:t>Nº</w:t>
            </w:r>
            <w:r>
              <w:rPr>
                <w:b/>
                <w:spacing w:val="-1"/>
                <w:sz w:val="20"/>
              </w:rPr>
              <w:t> </w:t>
            </w:r>
            <w:r>
              <w:rPr>
                <w:b/>
                <w:w w:val="99"/>
                <w:sz w:val="20"/>
              </w:rPr>
              <w:t>de Ar</w:t>
            </w:r>
            <w:r>
              <w:rPr>
                <w:b/>
                <w:spacing w:val="1"/>
                <w:w w:val="99"/>
                <w:sz w:val="20"/>
              </w:rPr>
              <w:t>t</w:t>
            </w:r>
            <w:r>
              <w:rPr>
                <w:b/>
                <w:w w:val="99"/>
                <w:sz w:val="20"/>
              </w:rPr>
              <w:t>ig</w:t>
            </w:r>
            <w:r>
              <w:rPr>
                <w:b/>
                <w:spacing w:val="1"/>
                <w:w w:val="99"/>
                <w:sz w:val="20"/>
              </w:rPr>
              <w:t>o</w:t>
            </w:r>
            <w:r>
              <w:rPr>
                <w:b/>
                <w:w w:val="99"/>
                <w:sz w:val="20"/>
              </w:rPr>
              <w:t>s</w:t>
            </w:r>
          </w:p>
        </w:tc>
        <w:tc>
          <w:tcPr>
            <w:tcW w:w="566" w:type="dxa"/>
            <w:tcBorders>
              <w:left w:val="single" w:sz="8" w:space="0" w:color="000000"/>
              <w:right w:val="single" w:sz="8" w:space="0" w:color="000000"/>
            </w:tcBorders>
            <w:shd w:val="clear" w:color="auto" w:fill="F9DECA"/>
            <w:textDirection w:val="btLr"/>
          </w:tcPr>
          <w:p>
            <w:pPr>
              <w:pStyle w:val="TableParagraph"/>
              <w:spacing w:line="283" w:lineRule="auto" w:before="3"/>
              <w:ind w:left="112" w:right="30"/>
              <w:rPr>
                <w:b/>
                <w:sz w:val="20"/>
              </w:rPr>
            </w:pPr>
            <w:r>
              <w:rPr>
                <w:b/>
                <w:w w:val="99"/>
                <w:sz w:val="20"/>
              </w:rPr>
              <w:t>Nº</w:t>
            </w:r>
            <w:r>
              <w:rPr>
                <w:b/>
                <w:spacing w:val="-1"/>
                <w:sz w:val="20"/>
              </w:rPr>
              <w:t> </w:t>
            </w:r>
            <w:r>
              <w:rPr>
                <w:b/>
                <w:w w:val="99"/>
                <w:sz w:val="20"/>
              </w:rPr>
              <w:t>de </w:t>
            </w:r>
            <w:r>
              <w:rPr>
                <w:b/>
                <w:spacing w:val="-1"/>
                <w:w w:val="99"/>
                <w:sz w:val="20"/>
              </w:rPr>
              <w:t>M</w:t>
            </w:r>
            <w:r>
              <w:rPr>
                <w:b/>
                <w:w w:val="99"/>
                <w:sz w:val="20"/>
              </w:rPr>
              <w:t>e</w:t>
            </w:r>
            <w:r>
              <w:rPr>
                <w:b/>
                <w:spacing w:val="1"/>
                <w:w w:val="99"/>
                <w:sz w:val="20"/>
              </w:rPr>
              <w:t>ta</w:t>
            </w:r>
            <w:r>
              <w:rPr>
                <w:b/>
                <w:w w:val="99"/>
                <w:sz w:val="20"/>
              </w:rPr>
              <w:t>s</w:t>
            </w:r>
          </w:p>
        </w:tc>
        <w:tc>
          <w:tcPr>
            <w:tcW w:w="338" w:type="dxa"/>
            <w:tcBorders>
              <w:left w:val="single" w:sz="8" w:space="0" w:color="000000"/>
              <w:right w:val="single" w:sz="8" w:space="0" w:color="000000"/>
            </w:tcBorders>
            <w:shd w:val="clear" w:color="auto" w:fill="F9DECA"/>
            <w:textDirection w:val="btLr"/>
          </w:tcPr>
          <w:p>
            <w:pPr>
              <w:pStyle w:val="TableParagraph"/>
              <w:spacing w:before="24"/>
              <w:ind w:left="-1"/>
              <w:rPr>
                <w:b/>
                <w:sz w:val="20"/>
              </w:rPr>
            </w:pPr>
            <w:r>
              <w:rPr>
                <w:b/>
                <w:w w:val="99"/>
                <w:sz w:val="20"/>
              </w:rPr>
              <w:t>C</w:t>
            </w:r>
            <w:r>
              <w:rPr>
                <w:b/>
                <w:spacing w:val="1"/>
                <w:w w:val="99"/>
                <w:sz w:val="20"/>
              </w:rPr>
              <w:t>o</w:t>
            </w:r>
            <w:r>
              <w:rPr>
                <w:b/>
                <w:w w:val="99"/>
                <w:sz w:val="20"/>
              </w:rPr>
              <w:t>mi</w:t>
            </w:r>
            <w:r>
              <w:rPr>
                <w:b/>
                <w:spacing w:val="-2"/>
                <w:w w:val="99"/>
                <w:sz w:val="20"/>
              </w:rPr>
              <w:t>s</w:t>
            </w:r>
            <w:r>
              <w:rPr>
                <w:b/>
                <w:spacing w:val="-1"/>
                <w:w w:val="99"/>
                <w:sz w:val="20"/>
              </w:rPr>
              <w:t>s</w:t>
            </w:r>
            <w:r>
              <w:rPr>
                <w:b/>
                <w:spacing w:val="1"/>
                <w:w w:val="99"/>
                <w:sz w:val="20"/>
              </w:rPr>
              <w:t>ã</w:t>
            </w:r>
            <w:r>
              <w:rPr>
                <w:b/>
                <w:w w:val="99"/>
                <w:sz w:val="20"/>
              </w:rPr>
              <w:t>o</w:t>
            </w:r>
          </w:p>
        </w:tc>
        <w:tc>
          <w:tcPr>
            <w:tcW w:w="566" w:type="dxa"/>
            <w:tcBorders>
              <w:left w:val="single" w:sz="8" w:space="0" w:color="000000"/>
              <w:right w:val="single" w:sz="8" w:space="0" w:color="000000"/>
            </w:tcBorders>
            <w:shd w:val="clear" w:color="auto" w:fill="F9DECA"/>
            <w:textDirection w:val="btLr"/>
          </w:tcPr>
          <w:p>
            <w:pPr>
              <w:pStyle w:val="TableParagraph"/>
              <w:spacing w:line="283" w:lineRule="auto" w:before="3"/>
              <w:ind w:left="-1" w:right="30"/>
              <w:rPr>
                <w:b/>
                <w:sz w:val="20"/>
              </w:rPr>
            </w:pPr>
            <w:r>
              <w:rPr>
                <w:b/>
                <w:spacing w:val="-1"/>
                <w:w w:val="99"/>
                <w:sz w:val="20"/>
              </w:rPr>
              <w:t>E</w:t>
            </w:r>
            <w:r>
              <w:rPr>
                <w:b/>
                <w:w w:val="99"/>
                <w:sz w:val="20"/>
              </w:rPr>
              <w:t>q</w:t>
            </w:r>
            <w:r>
              <w:rPr>
                <w:b/>
                <w:spacing w:val="-1"/>
                <w:w w:val="99"/>
                <w:sz w:val="20"/>
              </w:rPr>
              <w:t>u</w:t>
            </w:r>
            <w:r>
              <w:rPr>
                <w:b/>
                <w:spacing w:val="2"/>
                <w:w w:val="99"/>
                <w:sz w:val="20"/>
              </w:rPr>
              <w:t>i</w:t>
            </w:r>
            <w:r>
              <w:rPr>
                <w:b/>
                <w:w w:val="99"/>
                <w:sz w:val="20"/>
              </w:rPr>
              <w:t>pe </w:t>
            </w:r>
            <w:r>
              <w:rPr>
                <w:b/>
                <w:spacing w:val="-1"/>
                <w:w w:val="99"/>
                <w:sz w:val="20"/>
              </w:rPr>
              <w:t>T</w:t>
            </w:r>
            <w:r>
              <w:rPr>
                <w:b/>
                <w:w w:val="99"/>
                <w:sz w:val="20"/>
              </w:rPr>
              <w:t>écnica</w:t>
            </w:r>
          </w:p>
        </w:tc>
        <w:tc>
          <w:tcPr>
            <w:tcW w:w="569" w:type="dxa"/>
            <w:tcBorders>
              <w:left w:val="single" w:sz="8" w:space="0" w:color="000000"/>
              <w:right w:val="single" w:sz="8" w:space="0" w:color="000000"/>
            </w:tcBorders>
            <w:shd w:val="clear" w:color="auto" w:fill="F9DECA"/>
            <w:textDirection w:val="btLr"/>
          </w:tcPr>
          <w:p>
            <w:pPr>
              <w:pStyle w:val="TableParagraph"/>
              <w:spacing w:line="283" w:lineRule="auto" w:before="3"/>
              <w:ind w:left="-1"/>
              <w:rPr>
                <w:b/>
                <w:sz w:val="20"/>
              </w:rPr>
            </w:pPr>
            <w:r>
              <w:rPr>
                <w:b/>
                <w:w w:val="99"/>
                <w:sz w:val="20"/>
              </w:rPr>
              <w:t>H</w:t>
            </w:r>
            <w:r>
              <w:rPr>
                <w:b/>
                <w:w w:val="99"/>
                <w:sz w:val="20"/>
              </w:rPr>
              <w:t>i</w:t>
            </w:r>
            <w:r>
              <w:rPr>
                <w:b/>
                <w:spacing w:val="-1"/>
                <w:w w:val="99"/>
                <w:sz w:val="20"/>
              </w:rPr>
              <w:t>s</w:t>
            </w:r>
            <w:r>
              <w:rPr>
                <w:b/>
                <w:w w:val="99"/>
                <w:sz w:val="20"/>
              </w:rPr>
              <w:t>t</w:t>
            </w:r>
            <w:r>
              <w:rPr>
                <w:b/>
                <w:spacing w:val="1"/>
                <w:w w:val="99"/>
                <w:sz w:val="20"/>
              </w:rPr>
              <w:t>ó</w:t>
            </w:r>
            <w:r>
              <w:rPr>
                <w:b/>
                <w:w w:val="99"/>
                <w:sz w:val="20"/>
              </w:rPr>
              <w:t>rico</w:t>
            </w:r>
            <w:r>
              <w:rPr>
                <w:b/>
                <w:spacing w:val="1"/>
                <w:sz w:val="20"/>
              </w:rPr>
              <w:t> </w:t>
            </w:r>
            <w:r>
              <w:rPr>
                <w:b/>
                <w:w w:val="99"/>
                <w:sz w:val="20"/>
              </w:rPr>
              <w:t>do </w:t>
            </w:r>
            <w:r>
              <w:rPr>
                <w:b/>
                <w:spacing w:val="-1"/>
                <w:w w:val="99"/>
                <w:sz w:val="20"/>
              </w:rPr>
              <w:t>M</w:t>
            </w:r>
            <w:r>
              <w:rPr>
                <w:b/>
                <w:w w:val="99"/>
                <w:sz w:val="20"/>
              </w:rPr>
              <w:t>u</w:t>
            </w:r>
            <w:r>
              <w:rPr>
                <w:b/>
                <w:spacing w:val="1"/>
                <w:w w:val="99"/>
                <w:sz w:val="20"/>
              </w:rPr>
              <w:t>n</w:t>
            </w:r>
            <w:r>
              <w:rPr>
                <w:b/>
                <w:w w:val="99"/>
                <w:sz w:val="20"/>
              </w:rPr>
              <w:t>icípio</w:t>
            </w:r>
          </w:p>
        </w:tc>
        <w:tc>
          <w:tcPr>
            <w:tcW w:w="283" w:type="dxa"/>
            <w:tcBorders>
              <w:left w:val="single" w:sz="8" w:space="0" w:color="000000"/>
              <w:right w:val="single" w:sz="8" w:space="0" w:color="000000"/>
            </w:tcBorders>
            <w:shd w:val="clear" w:color="auto" w:fill="F9DECA"/>
            <w:textDirection w:val="btLr"/>
          </w:tcPr>
          <w:p>
            <w:pPr>
              <w:pStyle w:val="TableParagraph"/>
              <w:spacing w:line="226" w:lineRule="exact" w:before="0"/>
              <w:ind w:left="-1"/>
              <w:rPr>
                <w:b/>
                <w:sz w:val="20"/>
              </w:rPr>
            </w:pPr>
            <w:r>
              <w:rPr>
                <w:b/>
                <w:w w:val="99"/>
                <w:sz w:val="20"/>
              </w:rPr>
              <w:t>Di</w:t>
            </w:r>
            <w:r>
              <w:rPr>
                <w:b/>
                <w:spacing w:val="1"/>
                <w:w w:val="99"/>
                <w:sz w:val="20"/>
              </w:rPr>
              <w:t>a</w:t>
            </w:r>
            <w:r>
              <w:rPr>
                <w:b/>
                <w:spacing w:val="1"/>
                <w:w w:val="99"/>
                <w:sz w:val="20"/>
              </w:rPr>
              <w:t>g</w:t>
            </w:r>
            <w:r>
              <w:rPr>
                <w:b/>
                <w:w w:val="99"/>
                <w:sz w:val="20"/>
              </w:rPr>
              <w:t>nó</w:t>
            </w:r>
            <w:r>
              <w:rPr>
                <w:b/>
                <w:spacing w:val="-1"/>
                <w:w w:val="99"/>
                <w:sz w:val="20"/>
              </w:rPr>
              <w:t>s</w:t>
            </w:r>
            <w:r>
              <w:rPr>
                <w:b/>
                <w:w w:val="99"/>
                <w:sz w:val="20"/>
              </w:rPr>
              <w:t>tico</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1</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2</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3</w:t>
            </w:r>
          </w:p>
        </w:tc>
        <w:tc>
          <w:tcPr>
            <w:tcW w:w="456"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4</w:t>
            </w:r>
          </w:p>
        </w:tc>
        <w:tc>
          <w:tcPr>
            <w:tcW w:w="454" w:type="dxa"/>
            <w:tcBorders>
              <w:left w:val="single" w:sz="8" w:space="0" w:color="000000"/>
              <w:right w:val="single" w:sz="8" w:space="0" w:color="000000"/>
            </w:tcBorders>
            <w:shd w:val="clear" w:color="auto" w:fill="F9DECA"/>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5</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6</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7</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8</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w w:val="99"/>
                <w:sz w:val="20"/>
              </w:rPr>
              <w:t>9</w:t>
            </w:r>
          </w:p>
        </w:tc>
        <w:tc>
          <w:tcPr>
            <w:tcW w:w="456"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0</w:t>
            </w:r>
          </w:p>
        </w:tc>
        <w:tc>
          <w:tcPr>
            <w:tcW w:w="454" w:type="dxa"/>
            <w:tcBorders>
              <w:left w:val="single" w:sz="8" w:space="0" w:color="000000"/>
              <w:right w:val="single" w:sz="8" w:space="0" w:color="000000"/>
            </w:tcBorders>
            <w:shd w:val="clear" w:color="auto" w:fill="F9DECA"/>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1</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2</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3</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4</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5</w:t>
            </w:r>
          </w:p>
        </w:tc>
        <w:tc>
          <w:tcPr>
            <w:tcW w:w="457"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6</w:t>
            </w:r>
          </w:p>
        </w:tc>
        <w:tc>
          <w:tcPr>
            <w:tcW w:w="454" w:type="dxa"/>
            <w:tcBorders>
              <w:left w:val="single" w:sz="8" w:space="0" w:color="000000"/>
              <w:right w:val="single" w:sz="8" w:space="0" w:color="000000"/>
            </w:tcBorders>
            <w:shd w:val="clear" w:color="auto" w:fill="F9DECA"/>
            <w:textDirection w:val="btLr"/>
          </w:tcPr>
          <w:p>
            <w:pPr>
              <w:pStyle w:val="TableParagraph"/>
              <w:spacing w:before="79"/>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7</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8</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1</w:t>
            </w:r>
            <w:r>
              <w:rPr>
                <w:b/>
                <w:w w:val="99"/>
                <w:sz w:val="20"/>
              </w:rPr>
              <w:t>9</w:t>
            </w:r>
          </w:p>
        </w:tc>
        <w:tc>
          <w:tcPr>
            <w:tcW w:w="454" w:type="dxa"/>
            <w:tcBorders>
              <w:left w:val="single" w:sz="8" w:space="0" w:color="000000"/>
              <w:right w:val="single" w:sz="8" w:space="0" w:color="000000"/>
            </w:tcBorders>
            <w:shd w:val="clear" w:color="auto" w:fill="F9DECA"/>
            <w:textDirection w:val="btLr"/>
          </w:tcPr>
          <w:p>
            <w:pPr>
              <w:pStyle w:val="TableParagraph"/>
              <w:spacing w:before="82"/>
              <w:ind w:left="-1"/>
              <w:rPr>
                <w:b/>
                <w:sz w:val="20"/>
              </w:rPr>
            </w:pPr>
            <w:r>
              <w:rPr>
                <w:b/>
                <w:spacing w:val="-1"/>
                <w:w w:val="99"/>
                <w:sz w:val="20"/>
              </w:rPr>
              <w:t>M</w:t>
            </w:r>
            <w:r>
              <w:rPr>
                <w:b/>
                <w:w w:val="99"/>
                <w:sz w:val="20"/>
              </w:rPr>
              <w:t>e</w:t>
            </w:r>
            <w:r>
              <w:rPr>
                <w:b/>
                <w:spacing w:val="1"/>
                <w:w w:val="99"/>
                <w:sz w:val="20"/>
              </w:rPr>
              <w:t>t</w:t>
            </w:r>
            <w:r>
              <w:rPr>
                <w:b/>
                <w:w w:val="99"/>
                <w:sz w:val="20"/>
              </w:rPr>
              <w:t>a</w:t>
            </w:r>
            <w:r>
              <w:rPr>
                <w:b/>
                <w:spacing w:val="1"/>
                <w:sz w:val="20"/>
              </w:rPr>
              <w:t> </w:t>
            </w:r>
            <w:r>
              <w:rPr>
                <w:b/>
                <w:spacing w:val="1"/>
                <w:w w:val="99"/>
                <w:sz w:val="20"/>
              </w:rPr>
              <w:t>2</w:t>
            </w:r>
            <w:r>
              <w:rPr>
                <w:b/>
                <w:w w:val="99"/>
                <w:sz w:val="20"/>
              </w:rPr>
              <w:t>0</w:t>
            </w:r>
          </w:p>
        </w:tc>
        <w:tc>
          <w:tcPr>
            <w:tcW w:w="623" w:type="dxa"/>
            <w:tcBorders>
              <w:left w:val="single" w:sz="8" w:space="0" w:color="000000"/>
              <w:right w:val="single" w:sz="8" w:space="0" w:color="000000"/>
            </w:tcBorders>
            <w:shd w:val="clear" w:color="auto" w:fill="F9DECA"/>
            <w:textDirection w:val="btLr"/>
          </w:tcPr>
          <w:p>
            <w:pPr>
              <w:pStyle w:val="TableParagraph"/>
              <w:spacing w:line="283" w:lineRule="auto" w:before="29"/>
              <w:ind w:left="-1" w:right="30"/>
              <w:rPr>
                <w:b/>
                <w:sz w:val="20"/>
              </w:rPr>
            </w:pPr>
            <w:r>
              <w:rPr>
                <w:b/>
                <w:spacing w:val="-1"/>
                <w:w w:val="99"/>
                <w:sz w:val="20"/>
              </w:rPr>
              <w:t>T</w:t>
            </w:r>
            <w:r>
              <w:rPr>
                <w:b/>
                <w:spacing w:val="1"/>
                <w:w w:val="99"/>
                <w:sz w:val="20"/>
              </w:rPr>
              <w:t>o</w:t>
            </w:r>
            <w:r>
              <w:rPr>
                <w:b/>
                <w:w w:val="99"/>
                <w:sz w:val="20"/>
              </w:rPr>
              <w:t>t</w:t>
            </w:r>
            <w:r>
              <w:rPr>
                <w:b/>
                <w:spacing w:val="1"/>
                <w:w w:val="99"/>
                <w:sz w:val="20"/>
              </w:rPr>
              <w:t>a</w:t>
            </w:r>
            <w:r>
              <w:rPr>
                <w:b/>
                <w:w w:val="99"/>
                <w:sz w:val="20"/>
              </w:rPr>
              <w:t>l</w:t>
            </w:r>
            <w:r>
              <w:rPr>
                <w:b/>
                <w:spacing w:val="-1"/>
                <w:sz w:val="20"/>
              </w:rPr>
              <w:t> </w:t>
            </w:r>
            <w:r>
              <w:rPr>
                <w:b/>
                <w:w w:val="99"/>
                <w:sz w:val="20"/>
              </w:rPr>
              <w:t>de </w:t>
            </w:r>
            <w:r>
              <w:rPr>
                <w:b/>
                <w:spacing w:val="-1"/>
                <w:w w:val="99"/>
                <w:sz w:val="20"/>
              </w:rPr>
              <w:t>E</w:t>
            </w:r>
            <w:r>
              <w:rPr>
                <w:b/>
                <w:spacing w:val="-1"/>
                <w:w w:val="99"/>
                <w:sz w:val="20"/>
              </w:rPr>
              <w:t>s</w:t>
            </w:r>
            <w:r>
              <w:rPr>
                <w:b/>
                <w:w w:val="99"/>
                <w:sz w:val="20"/>
              </w:rPr>
              <w:t>tr</w:t>
            </w:r>
            <w:r>
              <w:rPr>
                <w:b/>
                <w:spacing w:val="1"/>
                <w:w w:val="99"/>
                <w:sz w:val="20"/>
              </w:rPr>
              <w:t>a</w:t>
            </w:r>
            <w:r>
              <w:rPr>
                <w:b/>
                <w:w w:val="99"/>
                <w:sz w:val="20"/>
              </w:rPr>
              <w:t>té</w:t>
            </w:r>
            <w:r>
              <w:rPr>
                <w:b/>
                <w:spacing w:val="1"/>
                <w:w w:val="99"/>
                <w:sz w:val="20"/>
              </w:rPr>
              <w:t>g</w:t>
            </w:r>
            <w:r>
              <w:rPr>
                <w:b/>
                <w:w w:val="99"/>
                <w:sz w:val="20"/>
              </w:rPr>
              <w:t>ia</w:t>
            </w:r>
            <w:r>
              <w:rPr>
                <w:b/>
                <w:w w:val="99"/>
                <w:sz w:val="20"/>
              </w:rPr>
              <w:t>s</w:t>
            </w:r>
          </w:p>
        </w:tc>
      </w:tr>
      <w:tr>
        <w:trPr>
          <w:trHeight w:val="563" w:hRule="exact"/>
        </w:trPr>
        <w:tc>
          <w:tcPr>
            <w:tcW w:w="1305" w:type="dxa"/>
            <w:tcBorders>
              <w:left w:val="nil"/>
              <w:bottom w:val="single" w:sz="8" w:space="0" w:color="000000"/>
              <w:right w:val="nil"/>
            </w:tcBorders>
          </w:tcPr>
          <w:p>
            <w:pPr>
              <w:pStyle w:val="TableParagraph"/>
              <w:spacing w:before="130"/>
              <w:ind w:left="109"/>
              <w:rPr>
                <w:sz w:val="20"/>
              </w:rPr>
            </w:pPr>
            <w:r>
              <w:rPr>
                <w:sz w:val="20"/>
              </w:rPr>
              <w:t>Silvanópolis</w:t>
            </w:r>
          </w:p>
        </w:tc>
        <w:tc>
          <w:tcPr>
            <w:tcW w:w="1078" w:type="dxa"/>
            <w:tcBorders>
              <w:left w:val="nil"/>
              <w:bottom w:val="single" w:sz="8" w:space="0" w:color="000000"/>
              <w:right w:val="nil"/>
            </w:tcBorders>
          </w:tcPr>
          <w:p>
            <w:pPr>
              <w:pStyle w:val="TableParagraph"/>
              <w:spacing w:line="276" w:lineRule="auto" w:before="0"/>
              <w:ind w:left="107" w:right="239"/>
              <w:rPr>
                <w:sz w:val="20"/>
              </w:rPr>
            </w:pPr>
            <w:r>
              <w:rPr>
                <w:sz w:val="20"/>
              </w:rPr>
              <w:t>323 de 19/06/15</w:t>
            </w:r>
          </w:p>
        </w:tc>
        <w:tc>
          <w:tcPr>
            <w:tcW w:w="566" w:type="dxa"/>
            <w:tcBorders>
              <w:left w:val="nil"/>
              <w:bottom w:val="single" w:sz="8" w:space="0" w:color="000000"/>
              <w:right w:val="nil"/>
            </w:tcBorders>
          </w:tcPr>
          <w:p>
            <w:pPr>
              <w:pStyle w:val="TableParagraph"/>
              <w:spacing w:before="130"/>
              <w:ind w:left="107"/>
              <w:rPr>
                <w:sz w:val="20"/>
              </w:rPr>
            </w:pPr>
            <w:r>
              <w:rPr>
                <w:sz w:val="20"/>
              </w:rPr>
              <w:t>13</w:t>
            </w:r>
          </w:p>
        </w:tc>
        <w:tc>
          <w:tcPr>
            <w:tcW w:w="566" w:type="dxa"/>
            <w:tcBorders>
              <w:left w:val="nil"/>
              <w:bottom w:val="single" w:sz="8" w:space="0" w:color="000000"/>
              <w:right w:val="nil"/>
            </w:tcBorders>
          </w:tcPr>
          <w:p>
            <w:pPr>
              <w:pStyle w:val="TableParagraph"/>
              <w:spacing w:before="130"/>
              <w:ind w:left="108"/>
              <w:rPr>
                <w:sz w:val="20"/>
              </w:rPr>
            </w:pPr>
            <w:r>
              <w:rPr>
                <w:sz w:val="20"/>
              </w:rPr>
              <w:t>20</w:t>
            </w:r>
          </w:p>
        </w:tc>
        <w:tc>
          <w:tcPr>
            <w:tcW w:w="338" w:type="dxa"/>
            <w:tcBorders>
              <w:left w:val="nil"/>
              <w:bottom w:val="single" w:sz="8" w:space="0" w:color="000000"/>
              <w:right w:val="nil"/>
            </w:tcBorders>
          </w:tcPr>
          <w:p>
            <w:pPr>
              <w:pStyle w:val="TableParagraph"/>
              <w:spacing w:before="130"/>
              <w:ind w:right="54"/>
              <w:jc w:val="center"/>
              <w:rPr>
                <w:sz w:val="20"/>
              </w:rPr>
            </w:pPr>
            <w:r>
              <w:rPr>
                <w:w w:val="99"/>
                <w:sz w:val="20"/>
              </w:rPr>
              <w:t>-</w:t>
            </w:r>
          </w:p>
        </w:tc>
        <w:tc>
          <w:tcPr>
            <w:tcW w:w="566" w:type="dxa"/>
            <w:tcBorders>
              <w:left w:val="nil"/>
              <w:bottom w:val="single" w:sz="8" w:space="0" w:color="000000"/>
              <w:right w:val="nil"/>
            </w:tcBorders>
          </w:tcPr>
          <w:p>
            <w:pPr>
              <w:pStyle w:val="TableParagraph"/>
              <w:spacing w:before="130"/>
              <w:ind w:left="107"/>
              <w:rPr>
                <w:sz w:val="20"/>
              </w:rPr>
            </w:pPr>
            <w:r>
              <w:rPr>
                <w:w w:val="99"/>
                <w:sz w:val="20"/>
              </w:rPr>
              <w:t>-</w:t>
            </w:r>
          </w:p>
        </w:tc>
        <w:tc>
          <w:tcPr>
            <w:tcW w:w="569" w:type="dxa"/>
            <w:tcBorders>
              <w:left w:val="nil"/>
              <w:bottom w:val="single" w:sz="8" w:space="0" w:color="000000"/>
              <w:right w:val="nil"/>
            </w:tcBorders>
          </w:tcPr>
          <w:p>
            <w:pPr>
              <w:pStyle w:val="TableParagraph"/>
              <w:spacing w:before="130"/>
              <w:ind w:left="108"/>
              <w:rPr>
                <w:sz w:val="20"/>
              </w:rPr>
            </w:pPr>
            <w:r>
              <w:rPr>
                <w:w w:val="99"/>
                <w:sz w:val="20"/>
              </w:rPr>
              <w:t>X</w:t>
            </w:r>
          </w:p>
        </w:tc>
        <w:tc>
          <w:tcPr>
            <w:tcW w:w="283" w:type="dxa"/>
            <w:tcBorders>
              <w:left w:val="nil"/>
              <w:bottom w:val="single" w:sz="8" w:space="0" w:color="000000"/>
              <w:right w:val="nil"/>
            </w:tcBorders>
          </w:tcPr>
          <w:p>
            <w:pPr>
              <w:pStyle w:val="TableParagraph"/>
              <w:spacing w:before="130"/>
              <w:ind w:right="31"/>
              <w:jc w:val="right"/>
              <w:rPr>
                <w:sz w:val="20"/>
              </w:rPr>
            </w:pPr>
            <w:r>
              <w:rPr>
                <w:w w:val="99"/>
                <w:sz w:val="20"/>
              </w:rPr>
              <w:t>X</w:t>
            </w:r>
          </w:p>
        </w:tc>
        <w:tc>
          <w:tcPr>
            <w:tcW w:w="454" w:type="dxa"/>
            <w:tcBorders>
              <w:left w:val="nil"/>
              <w:bottom w:val="single" w:sz="8" w:space="0" w:color="000000"/>
              <w:right w:val="nil"/>
            </w:tcBorders>
          </w:tcPr>
          <w:p>
            <w:pPr>
              <w:pStyle w:val="TableParagraph"/>
              <w:spacing w:before="130"/>
              <w:ind w:left="71" w:right="106"/>
              <w:jc w:val="center"/>
              <w:rPr>
                <w:sz w:val="20"/>
              </w:rPr>
            </w:pPr>
            <w:r>
              <w:rPr>
                <w:sz w:val="20"/>
              </w:rPr>
              <w:t>36</w:t>
            </w:r>
          </w:p>
        </w:tc>
        <w:tc>
          <w:tcPr>
            <w:tcW w:w="454" w:type="dxa"/>
            <w:tcBorders>
              <w:left w:val="nil"/>
              <w:bottom w:val="single" w:sz="8" w:space="0" w:color="000000"/>
              <w:right w:val="nil"/>
            </w:tcBorders>
          </w:tcPr>
          <w:p>
            <w:pPr>
              <w:pStyle w:val="TableParagraph"/>
              <w:spacing w:before="130"/>
              <w:ind w:left="108"/>
              <w:rPr>
                <w:sz w:val="20"/>
              </w:rPr>
            </w:pPr>
            <w:r>
              <w:rPr>
                <w:sz w:val="20"/>
              </w:rPr>
              <w:t>21</w:t>
            </w:r>
          </w:p>
        </w:tc>
        <w:tc>
          <w:tcPr>
            <w:tcW w:w="454" w:type="dxa"/>
            <w:tcBorders>
              <w:left w:val="nil"/>
              <w:bottom w:val="single" w:sz="8" w:space="0" w:color="000000"/>
              <w:right w:val="nil"/>
            </w:tcBorders>
          </w:tcPr>
          <w:p>
            <w:pPr>
              <w:pStyle w:val="TableParagraph"/>
              <w:spacing w:before="130"/>
              <w:ind w:left="107"/>
              <w:rPr>
                <w:sz w:val="20"/>
              </w:rPr>
            </w:pPr>
            <w:r>
              <w:rPr>
                <w:w w:val="99"/>
                <w:sz w:val="20"/>
              </w:rPr>
              <w:t>4</w:t>
            </w:r>
          </w:p>
        </w:tc>
        <w:tc>
          <w:tcPr>
            <w:tcW w:w="456" w:type="dxa"/>
            <w:tcBorders>
              <w:left w:val="nil"/>
              <w:bottom w:val="single" w:sz="8" w:space="0" w:color="000000"/>
              <w:right w:val="nil"/>
            </w:tcBorders>
          </w:tcPr>
          <w:p>
            <w:pPr>
              <w:pStyle w:val="TableParagraph"/>
              <w:spacing w:before="130"/>
              <w:ind w:left="90" w:right="126"/>
              <w:jc w:val="center"/>
              <w:rPr>
                <w:sz w:val="20"/>
              </w:rPr>
            </w:pPr>
            <w:r>
              <w:rPr>
                <w:sz w:val="20"/>
              </w:rPr>
              <w:t>17</w:t>
            </w:r>
          </w:p>
        </w:tc>
        <w:tc>
          <w:tcPr>
            <w:tcW w:w="454" w:type="dxa"/>
            <w:tcBorders>
              <w:left w:val="nil"/>
              <w:bottom w:val="single" w:sz="8" w:space="0" w:color="000000"/>
              <w:right w:val="nil"/>
            </w:tcBorders>
          </w:tcPr>
          <w:p>
            <w:pPr>
              <w:pStyle w:val="TableParagraph"/>
              <w:spacing w:before="130"/>
              <w:ind w:left="105"/>
              <w:rPr>
                <w:sz w:val="20"/>
              </w:rPr>
            </w:pPr>
            <w:r>
              <w:rPr>
                <w:w w:val="99"/>
                <w:sz w:val="20"/>
              </w:rPr>
              <w:t>8</w:t>
            </w:r>
          </w:p>
        </w:tc>
        <w:tc>
          <w:tcPr>
            <w:tcW w:w="454" w:type="dxa"/>
            <w:tcBorders>
              <w:left w:val="nil"/>
              <w:bottom w:val="single" w:sz="8" w:space="0" w:color="000000"/>
              <w:right w:val="nil"/>
            </w:tcBorders>
          </w:tcPr>
          <w:p>
            <w:pPr>
              <w:pStyle w:val="TableParagraph"/>
              <w:spacing w:before="130"/>
              <w:ind w:left="72" w:right="106"/>
              <w:jc w:val="center"/>
              <w:rPr>
                <w:sz w:val="20"/>
              </w:rPr>
            </w:pPr>
            <w:r>
              <w:rPr>
                <w:sz w:val="20"/>
              </w:rPr>
              <w:t>18</w:t>
            </w:r>
          </w:p>
        </w:tc>
        <w:tc>
          <w:tcPr>
            <w:tcW w:w="454" w:type="dxa"/>
            <w:tcBorders>
              <w:left w:val="nil"/>
              <w:bottom w:val="single" w:sz="8" w:space="0" w:color="000000"/>
              <w:right w:val="nil"/>
            </w:tcBorders>
          </w:tcPr>
          <w:p>
            <w:pPr>
              <w:pStyle w:val="TableParagraph"/>
              <w:spacing w:before="130"/>
              <w:ind w:right="136"/>
              <w:jc w:val="center"/>
              <w:rPr>
                <w:sz w:val="20"/>
              </w:rPr>
            </w:pPr>
            <w:r>
              <w:rPr>
                <w:w w:val="99"/>
                <w:sz w:val="20"/>
              </w:rPr>
              <w:t>5</w:t>
            </w:r>
          </w:p>
        </w:tc>
        <w:tc>
          <w:tcPr>
            <w:tcW w:w="454" w:type="dxa"/>
            <w:tcBorders>
              <w:left w:val="nil"/>
              <w:bottom w:val="single" w:sz="8" w:space="0" w:color="000000"/>
              <w:right w:val="nil"/>
            </w:tcBorders>
          </w:tcPr>
          <w:p>
            <w:pPr>
              <w:pStyle w:val="TableParagraph"/>
              <w:spacing w:before="130"/>
              <w:ind w:left="108"/>
              <w:rPr>
                <w:sz w:val="20"/>
              </w:rPr>
            </w:pPr>
            <w:r>
              <w:rPr>
                <w:w w:val="99"/>
                <w:sz w:val="20"/>
              </w:rPr>
              <w:t>8</w:t>
            </w:r>
          </w:p>
        </w:tc>
        <w:tc>
          <w:tcPr>
            <w:tcW w:w="454" w:type="dxa"/>
            <w:tcBorders>
              <w:left w:val="nil"/>
              <w:bottom w:val="single" w:sz="8" w:space="0" w:color="000000"/>
              <w:right w:val="nil"/>
            </w:tcBorders>
          </w:tcPr>
          <w:p>
            <w:pPr>
              <w:pStyle w:val="TableParagraph"/>
              <w:spacing w:before="130"/>
              <w:ind w:right="136"/>
              <w:jc w:val="center"/>
              <w:rPr>
                <w:sz w:val="20"/>
              </w:rPr>
            </w:pPr>
            <w:r>
              <w:rPr>
                <w:w w:val="99"/>
                <w:sz w:val="20"/>
              </w:rPr>
              <w:t>8</w:t>
            </w:r>
          </w:p>
        </w:tc>
        <w:tc>
          <w:tcPr>
            <w:tcW w:w="456" w:type="dxa"/>
            <w:tcBorders>
              <w:left w:val="nil"/>
              <w:bottom w:val="single" w:sz="8" w:space="0" w:color="000000"/>
              <w:right w:val="nil"/>
            </w:tcBorders>
          </w:tcPr>
          <w:p>
            <w:pPr>
              <w:pStyle w:val="TableParagraph"/>
              <w:spacing w:before="130"/>
              <w:ind w:left="90" w:right="126"/>
              <w:jc w:val="center"/>
              <w:rPr>
                <w:sz w:val="20"/>
              </w:rPr>
            </w:pPr>
            <w:r>
              <w:rPr>
                <w:sz w:val="20"/>
              </w:rPr>
              <w:t>12</w:t>
            </w:r>
          </w:p>
        </w:tc>
        <w:tc>
          <w:tcPr>
            <w:tcW w:w="454" w:type="dxa"/>
            <w:tcBorders>
              <w:left w:val="nil"/>
              <w:bottom w:val="single" w:sz="8" w:space="0" w:color="000000"/>
              <w:right w:val="nil"/>
            </w:tcBorders>
          </w:tcPr>
          <w:p>
            <w:pPr>
              <w:pStyle w:val="TableParagraph"/>
              <w:spacing w:before="130"/>
              <w:ind w:left="105"/>
              <w:rPr>
                <w:sz w:val="20"/>
              </w:rPr>
            </w:pPr>
            <w:r>
              <w:rPr>
                <w:w w:val="99"/>
                <w:sz w:val="20"/>
              </w:rPr>
              <w:t>7</w:t>
            </w:r>
          </w:p>
        </w:tc>
        <w:tc>
          <w:tcPr>
            <w:tcW w:w="454" w:type="dxa"/>
            <w:tcBorders>
              <w:left w:val="nil"/>
              <w:bottom w:val="single" w:sz="8" w:space="0" w:color="000000"/>
              <w:right w:val="nil"/>
            </w:tcBorders>
          </w:tcPr>
          <w:p>
            <w:pPr>
              <w:pStyle w:val="TableParagraph"/>
              <w:spacing w:before="130"/>
              <w:ind w:right="137"/>
              <w:jc w:val="center"/>
              <w:rPr>
                <w:sz w:val="20"/>
              </w:rPr>
            </w:pPr>
            <w:r>
              <w:rPr>
                <w:w w:val="99"/>
                <w:sz w:val="20"/>
              </w:rPr>
              <w:t>9</w:t>
            </w:r>
          </w:p>
        </w:tc>
        <w:tc>
          <w:tcPr>
            <w:tcW w:w="454" w:type="dxa"/>
            <w:tcBorders>
              <w:left w:val="nil"/>
              <w:bottom w:val="single" w:sz="8" w:space="0" w:color="000000"/>
              <w:right w:val="nil"/>
            </w:tcBorders>
          </w:tcPr>
          <w:p>
            <w:pPr>
              <w:pStyle w:val="TableParagraph"/>
              <w:spacing w:before="130"/>
              <w:ind w:left="108"/>
              <w:rPr>
                <w:sz w:val="20"/>
              </w:rPr>
            </w:pPr>
            <w:r>
              <w:rPr>
                <w:w w:val="99"/>
                <w:sz w:val="20"/>
              </w:rPr>
              <w:t>6</w:t>
            </w:r>
          </w:p>
        </w:tc>
        <w:tc>
          <w:tcPr>
            <w:tcW w:w="454" w:type="dxa"/>
            <w:tcBorders>
              <w:left w:val="nil"/>
              <w:bottom w:val="single" w:sz="8" w:space="0" w:color="000000"/>
              <w:right w:val="nil"/>
            </w:tcBorders>
          </w:tcPr>
          <w:p>
            <w:pPr>
              <w:pStyle w:val="TableParagraph"/>
              <w:spacing w:before="130"/>
              <w:ind w:left="108"/>
              <w:rPr>
                <w:sz w:val="20"/>
              </w:rPr>
            </w:pPr>
            <w:r>
              <w:rPr>
                <w:w w:val="99"/>
                <w:sz w:val="20"/>
              </w:rPr>
              <w:t>5</w:t>
            </w:r>
          </w:p>
        </w:tc>
        <w:tc>
          <w:tcPr>
            <w:tcW w:w="454" w:type="dxa"/>
            <w:tcBorders>
              <w:left w:val="nil"/>
              <w:bottom w:val="single" w:sz="8" w:space="0" w:color="000000"/>
              <w:right w:val="nil"/>
            </w:tcBorders>
          </w:tcPr>
          <w:p>
            <w:pPr>
              <w:pStyle w:val="TableParagraph"/>
              <w:spacing w:before="130"/>
              <w:ind w:left="72" w:right="106"/>
              <w:jc w:val="center"/>
              <w:rPr>
                <w:sz w:val="20"/>
              </w:rPr>
            </w:pPr>
            <w:r>
              <w:rPr>
                <w:sz w:val="20"/>
              </w:rPr>
              <w:t>17</w:t>
            </w:r>
          </w:p>
        </w:tc>
        <w:tc>
          <w:tcPr>
            <w:tcW w:w="457" w:type="dxa"/>
            <w:tcBorders>
              <w:left w:val="nil"/>
              <w:bottom w:val="single" w:sz="8" w:space="0" w:color="000000"/>
              <w:right w:val="nil"/>
            </w:tcBorders>
          </w:tcPr>
          <w:p>
            <w:pPr>
              <w:pStyle w:val="TableParagraph"/>
              <w:spacing w:before="130"/>
              <w:ind w:left="107"/>
              <w:rPr>
                <w:sz w:val="20"/>
              </w:rPr>
            </w:pPr>
            <w:r>
              <w:rPr>
                <w:w w:val="99"/>
                <w:sz w:val="20"/>
              </w:rPr>
              <w:t>6</w:t>
            </w:r>
          </w:p>
        </w:tc>
        <w:tc>
          <w:tcPr>
            <w:tcW w:w="454" w:type="dxa"/>
            <w:tcBorders>
              <w:left w:val="nil"/>
              <w:bottom w:val="single" w:sz="8" w:space="0" w:color="000000"/>
              <w:right w:val="nil"/>
            </w:tcBorders>
          </w:tcPr>
          <w:p>
            <w:pPr>
              <w:pStyle w:val="TableParagraph"/>
              <w:spacing w:before="130"/>
              <w:ind w:left="105"/>
              <w:rPr>
                <w:sz w:val="20"/>
              </w:rPr>
            </w:pPr>
            <w:r>
              <w:rPr>
                <w:w w:val="99"/>
                <w:sz w:val="20"/>
              </w:rPr>
              <w:t>9</w:t>
            </w:r>
          </w:p>
        </w:tc>
        <w:tc>
          <w:tcPr>
            <w:tcW w:w="454" w:type="dxa"/>
            <w:tcBorders>
              <w:left w:val="nil"/>
              <w:bottom w:val="single" w:sz="8" w:space="0" w:color="000000"/>
              <w:right w:val="nil"/>
            </w:tcBorders>
          </w:tcPr>
          <w:p>
            <w:pPr>
              <w:pStyle w:val="TableParagraph"/>
              <w:spacing w:before="130"/>
              <w:ind w:left="71" w:right="106"/>
              <w:jc w:val="center"/>
              <w:rPr>
                <w:sz w:val="20"/>
              </w:rPr>
            </w:pPr>
            <w:r>
              <w:rPr>
                <w:sz w:val="20"/>
              </w:rPr>
              <w:t>15</w:t>
            </w:r>
          </w:p>
        </w:tc>
        <w:tc>
          <w:tcPr>
            <w:tcW w:w="454" w:type="dxa"/>
            <w:tcBorders>
              <w:left w:val="nil"/>
              <w:bottom w:val="single" w:sz="8" w:space="0" w:color="000000"/>
              <w:right w:val="nil"/>
            </w:tcBorders>
          </w:tcPr>
          <w:p>
            <w:pPr>
              <w:pStyle w:val="TableParagraph"/>
              <w:spacing w:before="130"/>
              <w:ind w:left="108"/>
              <w:rPr>
                <w:sz w:val="20"/>
              </w:rPr>
            </w:pPr>
            <w:r>
              <w:rPr>
                <w:sz w:val="20"/>
              </w:rPr>
              <w:t>23</w:t>
            </w:r>
          </w:p>
        </w:tc>
        <w:tc>
          <w:tcPr>
            <w:tcW w:w="454" w:type="dxa"/>
            <w:tcBorders>
              <w:left w:val="nil"/>
              <w:bottom w:val="single" w:sz="8" w:space="0" w:color="000000"/>
              <w:right w:val="nil"/>
            </w:tcBorders>
          </w:tcPr>
          <w:p>
            <w:pPr>
              <w:pStyle w:val="TableParagraph"/>
              <w:spacing w:before="130"/>
              <w:ind w:left="107"/>
              <w:rPr>
                <w:sz w:val="20"/>
              </w:rPr>
            </w:pPr>
            <w:r>
              <w:rPr>
                <w:sz w:val="20"/>
              </w:rPr>
              <w:t>23</w:t>
            </w:r>
          </w:p>
        </w:tc>
        <w:tc>
          <w:tcPr>
            <w:tcW w:w="623" w:type="dxa"/>
            <w:tcBorders>
              <w:left w:val="nil"/>
              <w:bottom w:val="single" w:sz="8" w:space="0" w:color="000000"/>
              <w:right w:val="nil"/>
            </w:tcBorders>
          </w:tcPr>
          <w:p>
            <w:pPr>
              <w:pStyle w:val="TableParagraph"/>
              <w:spacing w:before="130"/>
              <w:ind w:left="107"/>
              <w:rPr>
                <w:sz w:val="20"/>
              </w:rPr>
            </w:pPr>
            <w:r>
              <w:rPr>
                <w:sz w:val="20"/>
              </w:rPr>
              <w:t>257</w:t>
            </w:r>
          </w:p>
        </w:tc>
      </w:tr>
      <w:tr>
        <w:trPr>
          <w:trHeight w:val="549" w:hRule="exact"/>
        </w:trPr>
        <w:tc>
          <w:tcPr>
            <w:tcW w:w="1305"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Aragominas</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350 de 22/06/15</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w w:val="99"/>
                <w:sz w:val="20"/>
              </w:rPr>
              <w:t>6</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29"/>
              <w:ind w:left="21"/>
              <w:jc w:val="center"/>
              <w:rPr>
                <w:sz w:val="20"/>
              </w:rPr>
            </w:pPr>
            <w:r>
              <w:rPr>
                <w:w w:val="99"/>
                <w:sz w:val="20"/>
              </w:rPr>
              <w:t>X</w:t>
            </w:r>
          </w:p>
        </w:tc>
        <w:tc>
          <w:tcPr>
            <w:tcW w:w="566"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X</w:t>
            </w:r>
          </w:p>
        </w:tc>
        <w:tc>
          <w:tcPr>
            <w:tcW w:w="569"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29"/>
              <w:ind w:right="29"/>
              <w:jc w:val="right"/>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1" w:right="106"/>
              <w:jc w:val="center"/>
              <w:rPr>
                <w:sz w:val="20"/>
              </w:rPr>
            </w:pPr>
            <w:r>
              <w:rPr>
                <w:sz w:val="20"/>
              </w:rPr>
              <w:t>18</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13</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14</w:t>
            </w:r>
          </w:p>
        </w:tc>
        <w:tc>
          <w:tcPr>
            <w:tcW w:w="456" w:type="dxa"/>
            <w:tcBorders>
              <w:top w:val="single" w:sz="8" w:space="0" w:color="000000"/>
              <w:left w:val="nil"/>
              <w:bottom w:val="single" w:sz="8" w:space="0" w:color="000000"/>
              <w:right w:val="nil"/>
            </w:tcBorders>
            <w:shd w:val="clear" w:color="auto" w:fill="F9DECA"/>
          </w:tcPr>
          <w:p>
            <w:pPr>
              <w:pStyle w:val="TableParagraph"/>
              <w:spacing w:before="129"/>
              <w:ind w:left="90" w:right="126"/>
              <w:jc w:val="center"/>
              <w:rPr>
                <w:sz w:val="20"/>
              </w:rPr>
            </w:pPr>
            <w:r>
              <w:rPr>
                <w:sz w:val="20"/>
              </w:rPr>
              <w:t>19</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6"/>
              <w:jc w:val="center"/>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2" w:right="106"/>
              <w:jc w:val="center"/>
              <w:rPr>
                <w:sz w:val="20"/>
              </w:rPr>
            </w:pPr>
            <w:r>
              <w:rPr>
                <w:sz w:val="20"/>
              </w:rPr>
              <w:t>36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2" w:right="106"/>
              <w:jc w:val="center"/>
              <w:rPr>
                <w:sz w:val="20"/>
              </w:rPr>
            </w:pPr>
            <w:r>
              <w:rPr>
                <w:sz w:val="20"/>
              </w:rPr>
              <w:t>12</w:t>
            </w:r>
          </w:p>
        </w:tc>
        <w:tc>
          <w:tcPr>
            <w:tcW w:w="456" w:type="dxa"/>
            <w:tcBorders>
              <w:top w:val="single" w:sz="8" w:space="0" w:color="000000"/>
              <w:left w:val="nil"/>
              <w:bottom w:val="single" w:sz="8" w:space="0" w:color="000000"/>
              <w:right w:val="nil"/>
            </w:tcBorders>
            <w:shd w:val="clear" w:color="auto" w:fill="F9DECA"/>
          </w:tcPr>
          <w:p>
            <w:pPr>
              <w:pStyle w:val="TableParagraph"/>
              <w:spacing w:before="129"/>
              <w:ind w:left="90" w:right="126"/>
              <w:jc w:val="center"/>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sz w:val="20"/>
              </w:rPr>
              <w:t>14</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1" w:right="106"/>
              <w:jc w:val="center"/>
              <w:rPr>
                <w:sz w:val="20"/>
              </w:rPr>
            </w:pPr>
            <w:r>
              <w:rPr>
                <w:sz w:val="20"/>
              </w:rPr>
              <w:t>21</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9</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sz w:val="20"/>
              </w:rPr>
              <w:t>15</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72" w:right="106"/>
              <w:jc w:val="center"/>
              <w:rPr>
                <w:sz w:val="20"/>
              </w:rPr>
            </w:pPr>
            <w:r>
              <w:rPr>
                <w:sz w:val="20"/>
              </w:rPr>
              <w:t>14</w:t>
            </w:r>
          </w:p>
        </w:tc>
        <w:tc>
          <w:tcPr>
            <w:tcW w:w="457"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5"/>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right="137"/>
              <w:jc w:val="center"/>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8"/>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13</w:t>
            </w:r>
          </w:p>
        </w:tc>
        <w:tc>
          <w:tcPr>
            <w:tcW w:w="623" w:type="dxa"/>
            <w:tcBorders>
              <w:top w:val="single" w:sz="8" w:space="0" w:color="000000"/>
              <w:left w:val="nil"/>
              <w:bottom w:val="single" w:sz="8" w:space="0" w:color="000000"/>
              <w:right w:val="nil"/>
            </w:tcBorders>
            <w:shd w:val="clear" w:color="auto" w:fill="F9DECA"/>
          </w:tcPr>
          <w:p>
            <w:pPr>
              <w:pStyle w:val="TableParagraph"/>
              <w:spacing w:before="129"/>
              <w:ind w:left="107"/>
              <w:rPr>
                <w:sz w:val="20"/>
              </w:rPr>
            </w:pPr>
            <w:r>
              <w:rPr>
                <w:sz w:val="20"/>
              </w:rPr>
              <w:t>256</w:t>
            </w:r>
          </w:p>
        </w:tc>
      </w:tr>
      <w:tr>
        <w:trPr>
          <w:trHeight w:val="550" w:hRule="exact"/>
        </w:trPr>
        <w:tc>
          <w:tcPr>
            <w:tcW w:w="1305" w:type="dxa"/>
            <w:tcBorders>
              <w:top w:val="single" w:sz="8" w:space="0" w:color="000000"/>
              <w:left w:val="nil"/>
              <w:bottom w:val="single" w:sz="8" w:space="0" w:color="000000"/>
              <w:right w:val="nil"/>
            </w:tcBorders>
          </w:tcPr>
          <w:p>
            <w:pPr>
              <w:pStyle w:val="TableParagraph"/>
              <w:spacing w:before="130"/>
              <w:ind w:left="109"/>
              <w:rPr>
                <w:sz w:val="20"/>
              </w:rPr>
            </w:pPr>
            <w:r>
              <w:rPr>
                <w:sz w:val="20"/>
              </w:rPr>
              <w:t>Araguaína</w:t>
            </w:r>
          </w:p>
        </w:tc>
        <w:tc>
          <w:tcPr>
            <w:tcW w:w="1078" w:type="dxa"/>
            <w:tcBorders>
              <w:top w:val="single" w:sz="8" w:space="0" w:color="000000"/>
              <w:left w:val="nil"/>
              <w:bottom w:val="single" w:sz="8" w:space="0" w:color="000000"/>
              <w:right w:val="nil"/>
            </w:tcBorders>
          </w:tcPr>
          <w:p>
            <w:pPr>
              <w:pStyle w:val="TableParagraph"/>
              <w:spacing w:line="278" w:lineRule="auto" w:before="0"/>
              <w:ind w:left="107" w:right="239"/>
              <w:rPr>
                <w:sz w:val="20"/>
              </w:rPr>
            </w:pPr>
            <w:r>
              <w:rPr>
                <w:sz w:val="20"/>
              </w:rPr>
              <w:t>2957 de 24/06/15</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sz w:val="20"/>
              </w:rPr>
              <w:t>11</w:t>
            </w:r>
          </w:p>
        </w:tc>
        <w:tc>
          <w:tcPr>
            <w:tcW w:w="566" w:type="dxa"/>
            <w:tcBorders>
              <w:top w:val="single" w:sz="8" w:space="0" w:color="000000"/>
              <w:left w:val="nil"/>
              <w:bottom w:val="single" w:sz="8" w:space="0" w:color="000000"/>
              <w:right w:val="nil"/>
            </w:tcBorders>
          </w:tcPr>
          <w:p>
            <w:pPr>
              <w:pStyle w:val="TableParagraph"/>
              <w:spacing w:before="130"/>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spacing w:before="130"/>
              <w:ind w:left="21"/>
              <w:jc w:val="center"/>
              <w:rPr>
                <w:sz w:val="20"/>
              </w:rPr>
            </w:pPr>
            <w:r>
              <w:rPr>
                <w:w w:val="99"/>
                <w:sz w:val="20"/>
              </w:rPr>
              <w:t>X</w:t>
            </w:r>
          </w:p>
        </w:tc>
        <w:tc>
          <w:tcPr>
            <w:tcW w:w="566" w:type="dxa"/>
            <w:tcBorders>
              <w:top w:val="single" w:sz="8" w:space="0" w:color="000000"/>
              <w:left w:val="nil"/>
              <w:bottom w:val="single" w:sz="8" w:space="0" w:color="000000"/>
              <w:right w:val="nil"/>
            </w:tcBorders>
          </w:tcPr>
          <w:p>
            <w:pPr>
              <w:pStyle w:val="TableParagraph"/>
              <w:spacing w:before="130"/>
              <w:ind w:left="107"/>
              <w:rPr>
                <w:sz w:val="20"/>
              </w:rPr>
            </w:pPr>
            <w:r>
              <w:rPr>
                <w:w w:val="99"/>
                <w:sz w:val="20"/>
              </w:rPr>
              <w:t>X</w:t>
            </w:r>
          </w:p>
        </w:tc>
        <w:tc>
          <w:tcPr>
            <w:tcW w:w="569"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spacing w:before="130"/>
              <w:ind w:right="31"/>
              <w:jc w:val="right"/>
              <w:rPr>
                <w:sz w:val="20"/>
              </w:rPr>
            </w:pPr>
            <w:r>
              <w:rPr>
                <w:w w:val="99"/>
                <w:sz w:val="20"/>
              </w:rPr>
              <w:t>X</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22</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12</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15</w:t>
            </w:r>
          </w:p>
        </w:tc>
        <w:tc>
          <w:tcPr>
            <w:tcW w:w="456" w:type="dxa"/>
            <w:tcBorders>
              <w:top w:val="single" w:sz="8" w:space="0" w:color="000000"/>
              <w:left w:val="nil"/>
              <w:bottom w:val="single" w:sz="8" w:space="0" w:color="000000"/>
              <w:right w:val="nil"/>
            </w:tcBorders>
          </w:tcPr>
          <w:p>
            <w:pPr>
              <w:pStyle w:val="TableParagraph"/>
              <w:spacing w:before="130"/>
              <w:ind w:right="138"/>
              <w:jc w:val="center"/>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10</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17</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10</w:t>
            </w:r>
          </w:p>
        </w:tc>
        <w:tc>
          <w:tcPr>
            <w:tcW w:w="456" w:type="dxa"/>
            <w:tcBorders>
              <w:top w:val="single" w:sz="8" w:space="0" w:color="000000"/>
              <w:left w:val="nil"/>
              <w:bottom w:val="single" w:sz="8" w:space="0" w:color="000000"/>
              <w:right w:val="nil"/>
            </w:tcBorders>
          </w:tcPr>
          <w:p>
            <w:pPr>
              <w:pStyle w:val="TableParagraph"/>
              <w:spacing w:before="130"/>
              <w:ind w:right="138"/>
              <w:jc w:val="center"/>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sz w:val="20"/>
              </w:rPr>
              <w:t>12</w:t>
            </w:r>
          </w:p>
        </w:tc>
        <w:tc>
          <w:tcPr>
            <w:tcW w:w="454" w:type="dxa"/>
            <w:tcBorders>
              <w:top w:val="single" w:sz="8" w:space="0" w:color="000000"/>
              <w:left w:val="nil"/>
              <w:bottom w:val="single" w:sz="8" w:space="0" w:color="000000"/>
              <w:right w:val="nil"/>
            </w:tcBorders>
          </w:tcPr>
          <w:p>
            <w:pPr>
              <w:pStyle w:val="TableParagraph"/>
              <w:spacing w:before="130"/>
              <w:ind w:right="137"/>
              <w:jc w:val="center"/>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8</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sz w:val="20"/>
              </w:rPr>
              <w:t>13</w:t>
            </w:r>
          </w:p>
        </w:tc>
        <w:tc>
          <w:tcPr>
            <w:tcW w:w="454" w:type="dxa"/>
            <w:tcBorders>
              <w:top w:val="single" w:sz="8" w:space="0" w:color="000000"/>
              <w:left w:val="nil"/>
              <w:bottom w:val="single" w:sz="8" w:space="0" w:color="000000"/>
              <w:right w:val="nil"/>
            </w:tcBorders>
          </w:tcPr>
          <w:p>
            <w:pPr>
              <w:pStyle w:val="TableParagraph"/>
              <w:spacing w:before="130"/>
              <w:ind w:left="72" w:right="106"/>
              <w:jc w:val="center"/>
              <w:rPr>
                <w:sz w:val="20"/>
              </w:rPr>
            </w:pPr>
            <w:r>
              <w:rPr>
                <w:sz w:val="20"/>
              </w:rPr>
              <w:t>11</w:t>
            </w:r>
          </w:p>
        </w:tc>
        <w:tc>
          <w:tcPr>
            <w:tcW w:w="457" w:type="dxa"/>
            <w:tcBorders>
              <w:top w:val="single" w:sz="8" w:space="0" w:color="000000"/>
              <w:left w:val="nil"/>
              <w:bottom w:val="single" w:sz="8" w:space="0" w:color="000000"/>
              <w:right w:val="nil"/>
            </w:tcBorders>
          </w:tcPr>
          <w:p>
            <w:pPr>
              <w:pStyle w:val="TableParagraph"/>
              <w:spacing w:before="130"/>
              <w:ind w:left="107"/>
              <w:rPr>
                <w:sz w:val="20"/>
              </w:rPr>
            </w:pPr>
            <w:r>
              <w:rPr>
                <w:sz w:val="20"/>
              </w:rPr>
              <w:t>10</w:t>
            </w:r>
          </w:p>
        </w:tc>
        <w:tc>
          <w:tcPr>
            <w:tcW w:w="454" w:type="dxa"/>
            <w:tcBorders>
              <w:top w:val="single" w:sz="8" w:space="0" w:color="000000"/>
              <w:left w:val="nil"/>
              <w:bottom w:val="single" w:sz="8" w:space="0" w:color="000000"/>
              <w:right w:val="nil"/>
            </w:tcBorders>
          </w:tcPr>
          <w:p>
            <w:pPr>
              <w:pStyle w:val="TableParagraph"/>
              <w:spacing w:before="130"/>
              <w:ind w:left="105"/>
              <w:rPr>
                <w:sz w:val="20"/>
              </w:rPr>
            </w:pPr>
            <w:r>
              <w:rPr>
                <w:w w:val="99"/>
                <w:sz w:val="20"/>
              </w:rPr>
              <w:t>6</w:t>
            </w:r>
          </w:p>
        </w:tc>
        <w:tc>
          <w:tcPr>
            <w:tcW w:w="454" w:type="dxa"/>
            <w:tcBorders>
              <w:top w:val="single" w:sz="8" w:space="0" w:color="000000"/>
              <w:left w:val="nil"/>
              <w:bottom w:val="single" w:sz="8" w:space="0" w:color="000000"/>
              <w:right w:val="nil"/>
            </w:tcBorders>
          </w:tcPr>
          <w:p>
            <w:pPr>
              <w:pStyle w:val="TableParagraph"/>
              <w:spacing w:before="130"/>
              <w:ind w:left="71" w:right="106"/>
              <w:jc w:val="center"/>
              <w:rPr>
                <w:sz w:val="20"/>
              </w:rPr>
            </w:pPr>
            <w:r>
              <w:rPr>
                <w:sz w:val="20"/>
              </w:rPr>
              <w:t>25</w:t>
            </w:r>
          </w:p>
        </w:tc>
        <w:tc>
          <w:tcPr>
            <w:tcW w:w="454" w:type="dxa"/>
            <w:tcBorders>
              <w:top w:val="single" w:sz="8" w:space="0" w:color="000000"/>
              <w:left w:val="nil"/>
              <w:bottom w:val="single" w:sz="8" w:space="0" w:color="000000"/>
              <w:right w:val="nil"/>
            </w:tcBorders>
          </w:tcPr>
          <w:p>
            <w:pPr>
              <w:pStyle w:val="TableParagraph"/>
              <w:spacing w:before="130"/>
              <w:ind w:left="108"/>
              <w:rPr>
                <w:sz w:val="20"/>
              </w:rPr>
            </w:pPr>
            <w:r>
              <w:rPr>
                <w:w w:val="99"/>
                <w:sz w:val="20"/>
              </w:rPr>
              <w:t>7</w:t>
            </w:r>
          </w:p>
        </w:tc>
        <w:tc>
          <w:tcPr>
            <w:tcW w:w="454" w:type="dxa"/>
            <w:tcBorders>
              <w:top w:val="single" w:sz="8" w:space="0" w:color="000000"/>
              <w:left w:val="nil"/>
              <w:bottom w:val="single" w:sz="8" w:space="0" w:color="000000"/>
              <w:right w:val="nil"/>
            </w:tcBorders>
          </w:tcPr>
          <w:p>
            <w:pPr>
              <w:pStyle w:val="TableParagraph"/>
              <w:spacing w:before="130"/>
              <w:ind w:left="107"/>
              <w:rPr>
                <w:sz w:val="20"/>
              </w:rPr>
            </w:pPr>
            <w:r>
              <w:rPr>
                <w:sz w:val="20"/>
              </w:rPr>
              <w:t>14</w:t>
            </w:r>
          </w:p>
        </w:tc>
        <w:tc>
          <w:tcPr>
            <w:tcW w:w="623" w:type="dxa"/>
            <w:tcBorders>
              <w:top w:val="single" w:sz="8" w:space="0" w:color="000000"/>
              <w:left w:val="nil"/>
              <w:bottom w:val="single" w:sz="8" w:space="0" w:color="000000"/>
              <w:right w:val="nil"/>
            </w:tcBorders>
          </w:tcPr>
          <w:p>
            <w:pPr>
              <w:pStyle w:val="TableParagraph"/>
              <w:spacing w:before="130"/>
              <w:ind w:left="107"/>
              <w:rPr>
                <w:sz w:val="20"/>
              </w:rPr>
            </w:pPr>
            <w:r>
              <w:rPr>
                <w:sz w:val="20"/>
              </w:rPr>
              <w:t>225</w:t>
            </w:r>
          </w:p>
        </w:tc>
      </w:tr>
      <w:tr>
        <w:trPr>
          <w:trHeight w:val="554" w:hRule="exact"/>
        </w:trPr>
        <w:tc>
          <w:tcPr>
            <w:tcW w:w="1305"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Pequizeiro</w:t>
            </w:r>
          </w:p>
        </w:tc>
        <w:tc>
          <w:tcPr>
            <w:tcW w:w="1078" w:type="dxa"/>
            <w:tcBorders>
              <w:top w:val="single" w:sz="8" w:space="0" w:color="000000"/>
              <w:left w:val="nil"/>
              <w:bottom w:val="single" w:sz="8" w:space="0" w:color="000000"/>
              <w:right w:val="nil"/>
            </w:tcBorders>
            <w:shd w:val="clear" w:color="auto" w:fill="F9DECA"/>
          </w:tcPr>
          <w:p>
            <w:pPr>
              <w:pStyle w:val="TableParagraph"/>
              <w:spacing w:line="276" w:lineRule="auto" w:before="0"/>
              <w:ind w:left="107" w:right="239"/>
              <w:rPr>
                <w:sz w:val="20"/>
              </w:rPr>
            </w:pPr>
            <w:r>
              <w:rPr>
                <w:sz w:val="20"/>
              </w:rPr>
              <w:t>402 de 18/06/15</w:t>
            </w:r>
          </w:p>
        </w:tc>
        <w:tc>
          <w:tcPr>
            <w:tcW w:w="566"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13</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20</w:t>
            </w:r>
          </w:p>
        </w:tc>
        <w:tc>
          <w:tcPr>
            <w:tcW w:w="338" w:type="dxa"/>
            <w:tcBorders>
              <w:top w:val="single" w:sz="8" w:space="0" w:color="000000"/>
              <w:left w:val="nil"/>
              <w:bottom w:val="single" w:sz="8" w:space="0" w:color="000000"/>
              <w:right w:val="nil"/>
            </w:tcBorders>
          </w:tcPr>
          <w:p>
            <w:pPr>
              <w:pStyle w:val="TableParagraph"/>
              <w:ind w:right="54"/>
              <w:jc w:val="center"/>
              <w:rPr>
                <w:sz w:val="20"/>
              </w:rPr>
            </w:pPr>
            <w:r>
              <w:rPr>
                <w:w w:val="99"/>
                <w:sz w:val="20"/>
              </w:rPr>
              <w:t>-</w:t>
            </w:r>
          </w:p>
        </w:tc>
        <w:tc>
          <w:tcPr>
            <w:tcW w:w="566"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X</w:t>
            </w:r>
          </w:p>
        </w:tc>
        <w:tc>
          <w:tcPr>
            <w:tcW w:w="569"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X</w:t>
            </w:r>
          </w:p>
        </w:tc>
        <w:tc>
          <w:tcPr>
            <w:tcW w:w="283" w:type="dxa"/>
            <w:tcBorders>
              <w:top w:val="single" w:sz="8" w:space="0" w:color="000000"/>
              <w:left w:val="nil"/>
              <w:bottom w:val="single" w:sz="8" w:space="0" w:color="000000"/>
              <w:right w:val="nil"/>
            </w:tcBorders>
          </w:tcPr>
          <w:p>
            <w:pPr>
              <w:pStyle w:val="TableParagraph"/>
              <w:ind w:right="29"/>
              <w:jc w:val="right"/>
              <w:rPr>
                <w:sz w:val="20"/>
              </w:rPr>
            </w:pPr>
            <w:r>
              <w:rPr>
                <w:w w:val="99"/>
                <w:sz w:val="20"/>
              </w:rPr>
              <w:t>X</w:t>
            </w:r>
          </w:p>
        </w:tc>
        <w:tc>
          <w:tcPr>
            <w:tcW w:w="454" w:type="dxa"/>
            <w:tcBorders>
              <w:top w:val="single" w:sz="8" w:space="0" w:color="000000"/>
              <w:left w:val="nil"/>
              <w:bottom w:val="single" w:sz="8" w:space="0" w:color="000000"/>
              <w:right w:val="nil"/>
            </w:tcBorders>
            <w:shd w:val="clear" w:color="auto" w:fill="F9DECA"/>
          </w:tcPr>
          <w:p>
            <w:pPr>
              <w:pStyle w:val="TableParagraph"/>
              <w:ind w:left="71" w:right="106"/>
              <w:jc w:val="center"/>
              <w:rPr>
                <w:sz w:val="20"/>
              </w:rPr>
            </w:pPr>
            <w:r>
              <w:rPr>
                <w:sz w:val="20"/>
              </w:rPr>
              <w:t>18</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12</w:t>
            </w:r>
          </w:p>
        </w:tc>
        <w:tc>
          <w:tcPr>
            <w:tcW w:w="456" w:type="dxa"/>
            <w:tcBorders>
              <w:top w:val="single" w:sz="8" w:space="0" w:color="000000"/>
              <w:left w:val="nil"/>
              <w:bottom w:val="single" w:sz="8" w:space="0" w:color="000000"/>
              <w:right w:val="nil"/>
            </w:tcBorders>
            <w:shd w:val="clear" w:color="auto" w:fill="F9DECA"/>
          </w:tcPr>
          <w:p>
            <w:pPr>
              <w:pStyle w:val="TableParagraph"/>
              <w:ind w:left="90" w:right="126"/>
              <w:jc w:val="center"/>
              <w:rPr>
                <w:sz w:val="20"/>
              </w:rPr>
            </w:pPr>
            <w:r>
              <w:rPr>
                <w:sz w:val="20"/>
              </w:rPr>
              <w:t>11</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16</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6</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10</w:t>
            </w:r>
          </w:p>
        </w:tc>
        <w:tc>
          <w:tcPr>
            <w:tcW w:w="454" w:type="dxa"/>
            <w:tcBorders>
              <w:top w:val="single" w:sz="8" w:space="0" w:color="000000"/>
              <w:left w:val="nil"/>
              <w:bottom w:val="single" w:sz="8" w:space="0" w:color="000000"/>
              <w:right w:val="nil"/>
            </w:tcBorders>
            <w:shd w:val="clear" w:color="auto" w:fill="F9DECA"/>
          </w:tcPr>
          <w:p>
            <w:pPr>
              <w:pStyle w:val="TableParagraph"/>
              <w:ind w:left="72" w:right="106"/>
              <w:jc w:val="center"/>
              <w:rPr>
                <w:sz w:val="20"/>
              </w:rPr>
            </w:pPr>
            <w:r>
              <w:rPr>
                <w:sz w:val="20"/>
              </w:rPr>
              <w:t>10</w:t>
            </w:r>
          </w:p>
        </w:tc>
        <w:tc>
          <w:tcPr>
            <w:tcW w:w="456" w:type="dxa"/>
            <w:tcBorders>
              <w:top w:val="single" w:sz="8" w:space="0" w:color="000000"/>
              <w:left w:val="nil"/>
              <w:bottom w:val="single" w:sz="8" w:space="0" w:color="000000"/>
              <w:right w:val="nil"/>
            </w:tcBorders>
            <w:shd w:val="clear" w:color="auto" w:fill="F9DECA"/>
          </w:tcPr>
          <w:p>
            <w:pPr>
              <w:pStyle w:val="TableParagraph"/>
              <w:ind w:right="138"/>
              <w:jc w:val="center"/>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right="137"/>
              <w:jc w:val="center"/>
              <w:rPr>
                <w:sz w:val="20"/>
              </w:rPr>
            </w:pPr>
            <w:r>
              <w:rPr>
                <w:w w:val="99"/>
                <w:sz w:val="20"/>
              </w:rPr>
              <w:t>2</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w w:val="99"/>
                <w:sz w:val="20"/>
              </w:rPr>
              <w:t>8</w:t>
            </w:r>
          </w:p>
        </w:tc>
        <w:tc>
          <w:tcPr>
            <w:tcW w:w="454" w:type="dxa"/>
            <w:tcBorders>
              <w:top w:val="single" w:sz="8" w:space="0" w:color="000000"/>
              <w:left w:val="nil"/>
              <w:bottom w:val="single" w:sz="8" w:space="0" w:color="000000"/>
              <w:right w:val="nil"/>
            </w:tcBorders>
            <w:shd w:val="clear" w:color="auto" w:fill="F9DECA"/>
          </w:tcPr>
          <w:p>
            <w:pPr>
              <w:pStyle w:val="TableParagraph"/>
              <w:ind w:right="136"/>
              <w:jc w:val="center"/>
              <w:rPr>
                <w:sz w:val="20"/>
              </w:rPr>
            </w:pPr>
            <w:r>
              <w:rPr>
                <w:w w:val="99"/>
                <w:sz w:val="20"/>
              </w:rPr>
              <w:t>4</w:t>
            </w:r>
          </w:p>
        </w:tc>
        <w:tc>
          <w:tcPr>
            <w:tcW w:w="457" w:type="dxa"/>
            <w:tcBorders>
              <w:top w:val="single" w:sz="8" w:space="0" w:color="000000"/>
              <w:left w:val="nil"/>
              <w:bottom w:val="single" w:sz="8" w:space="0" w:color="000000"/>
              <w:right w:val="nil"/>
            </w:tcBorders>
            <w:shd w:val="clear" w:color="auto" w:fill="F9DECA"/>
          </w:tcPr>
          <w:p>
            <w:pPr>
              <w:pStyle w:val="TableParagraph"/>
              <w:ind w:left="107"/>
              <w:rPr>
                <w:sz w:val="20"/>
              </w:rPr>
            </w:pPr>
            <w:r>
              <w:rPr>
                <w:w w:val="99"/>
                <w:sz w:val="20"/>
              </w:rPr>
              <w:t>5</w:t>
            </w:r>
          </w:p>
        </w:tc>
        <w:tc>
          <w:tcPr>
            <w:tcW w:w="454" w:type="dxa"/>
            <w:tcBorders>
              <w:top w:val="single" w:sz="8" w:space="0" w:color="000000"/>
              <w:left w:val="nil"/>
              <w:bottom w:val="single" w:sz="8" w:space="0" w:color="000000"/>
              <w:right w:val="nil"/>
            </w:tcBorders>
            <w:shd w:val="clear" w:color="auto" w:fill="F9DECA"/>
          </w:tcPr>
          <w:p>
            <w:pPr>
              <w:pStyle w:val="TableParagraph"/>
              <w:ind w:left="105"/>
              <w:rPr>
                <w:sz w:val="20"/>
              </w:rPr>
            </w:pPr>
            <w:r>
              <w:rPr>
                <w:w w:val="99"/>
                <w:sz w:val="20"/>
              </w:rPr>
              <w:t>4</w:t>
            </w:r>
          </w:p>
        </w:tc>
        <w:tc>
          <w:tcPr>
            <w:tcW w:w="454" w:type="dxa"/>
            <w:tcBorders>
              <w:top w:val="single" w:sz="8" w:space="0" w:color="000000"/>
              <w:left w:val="nil"/>
              <w:bottom w:val="single" w:sz="8" w:space="0" w:color="000000"/>
              <w:right w:val="nil"/>
            </w:tcBorders>
            <w:shd w:val="clear" w:color="auto" w:fill="F9DECA"/>
          </w:tcPr>
          <w:p>
            <w:pPr>
              <w:pStyle w:val="TableParagraph"/>
              <w:ind w:right="137"/>
              <w:jc w:val="center"/>
              <w:rPr>
                <w:sz w:val="20"/>
              </w:rPr>
            </w:pPr>
            <w:r>
              <w:rPr>
                <w:w w:val="99"/>
                <w:sz w:val="20"/>
              </w:rPr>
              <w:t>7</w:t>
            </w:r>
          </w:p>
        </w:tc>
        <w:tc>
          <w:tcPr>
            <w:tcW w:w="454" w:type="dxa"/>
            <w:tcBorders>
              <w:top w:val="single" w:sz="8" w:space="0" w:color="000000"/>
              <w:left w:val="nil"/>
              <w:bottom w:val="single" w:sz="8" w:space="0" w:color="000000"/>
              <w:right w:val="nil"/>
            </w:tcBorders>
            <w:shd w:val="clear" w:color="auto" w:fill="F9DECA"/>
          </w:tcPr>
          <w:p>
            <w:pPr>
              <w:pStyle w:val="TableParagraph"/>
              <w:ind w:left="108"/>
              <w:rPr>
                <w:sz w:val="20"/>
              </w:rPr>
            </w:pPr>
            <w:r>
              <w:rPr>
                <w:sz w:val="20"/>
              </w:rPr>
              <w:t>29</w:t>
            </w:r>
          </w:p>
        </w:tc>
        <w:tc>
          <w:tcPr>
            <w:tcW w:w="454"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10</w:t>
            </w:r>
          </w:p>
        </w:tc>
        <w:tc>
          <w:tcPr>
            <w:tcW w:w="623" w:type="dxa"/>
            <w:tcBorders>
              <w:top w:val="single" w:sz="8" w:space="0" w:color="000000"/>
              <w:left w:val="nil"/>
              <w:bottom w:val="single" w:sz="8" w:space="0" w:color="000000"/>
              <w:right w:val="nil"/>
            </w:tcBorders>
            <w:shd w:val="clear" w:color="auto" w:fill="F9DECA"/>
          </w:tcPr>
          <w:p>
            <w:pPr>
              <w:pStyle w:val="TableParagraph"/>
              <w:ind w:left="107"/>
              <w:rPr>
                <w:sz w:val="20"/>
              </w:rPr>
            </w:pPr>
            <w:r>
              <w:rPr>
                <w:sz w:val="20"/>
              </w:rPr>
              <w:t>188</w:t>
            </w:r>
          </w:p>
        </w:tc>
      </w:tr>
    </w:tbl>
    <w:p>
      <w:pPr>
        <w:spacing w:line="221" w:lineRule="exact" w:before="0"/>
        <w:ind w:left="538" w:right="0" w:firstLine="0"/>
        <w:jc w:val="left"/>
        <w:rPr>
          <w:sz w:val="20"/>
        </w:rPr>
      </w:pPr>
      <w:r>
        <w:rPr/>
        <w:drawing>
          <wp:anchor distT="0" distB="0" distL="0" distR="0" allowOverlap="1" layoutInCell="1" locked="0" behindDoc="0" simplePos="0" relativeHeight="3904">
            <wp:simplePos x="0" y="0"/>
            <wp:positionH relativeFrom="page">
              <wp:posOffset>2860801</wp:posOffset>
            </wp:positionH>
            <wp:positionV relativeFrom="paragraph">
              <wp:posOffset>-1048892</wp:posOffset>
            </wp:positionV>
            <wp:extent cx="216469" cy="338137"/>
            <wp:effectExtent l="0" t="0" r="0" b="0"/>
            <wp:wrapNone/>
            <wp:docPr id="167" name="image28.png" descr=""/>
            <wp:cNvGraphicFramePr>
              <a:graphicFrameLocks noChangeAspect="1"/>
            </wp:cNvGraphicFramePr>
            <a:graphic>
              <a:graphicData uri="http://schemas.openxmlformats.org/drawingml/2006/picture">
                <pic:pic>
                  <pic:nvPicPr>
                    <pic:cNvPr id="168" name="image28.png"/>
                    <pic:cNvPicPr/>
                  </pic:nvPicPr>
                  <pic:blipFill>
                    <a:blip r:embed="rId79" cstate="print"/>
                    <a:stretch>
                      <a:fillRect/>
                    </a:stretch>
                  </pic:blipFill>
                  <pic:spPr>
                    <a:xfrm>
                      <a:off x="0" y="0"/>
                      <a:ext cx="216469" cy="338137"/>
                    </a:xfrm>
                    <a:prstGeom prst="rect">
                      <a:avLst/>
                    </a:prstGeom>
                  </pic:spPr>
                </pic:pic>
              </a:graphicData>
            </a:graphic>
          </wp:anchor>
        </w:drawing>
      </w:r>
      <w:r>
        <w:rPr/>
        <w:drawing>
          <wp:anchor distT="0" distB="0" distL="0" distR="0" allowOverlap="1" layoutInCell="1" locked="0" behindDoc="0" simplePos="0" relativeHeight="3928">
            <wp:simplePos x="0" y="0"/>
            <wp:positionH relativeFrom="page">
              <wp:posOffset>3795395</wp:posOffset>
            </wp:positionH>
            <wp:positionV relativeFrom="paragraph">
              <wp:posOffset>-1048892</wp:posOffset>
            </wp:positionV>
            <wp:extent cx="182694" cy="338137"/>
            <wp:effectExtent l="0" t="0" r="0" b="0"/>
            <wp:wrapNone/>
            <wp:docPr id="169" name="image29.png" descr=""/>
            <wp:cNvGraphicFramePr>
              <a:graphicFrameLocks noChangeAspect="1"/>
            </wp:cNvGraphicFramePr>
            <a:graphic>
              <a:graphicData uri="http://schemas.openxmlformats.org/drawingml/2006/picture">
                <pic:pic>
                  <pic:nvPicPr>
                    <pic:cNvPr id="170" name="image29.png"/>
                    <pic:cNvPicPr/>
                  </pic:nvPicPr>
                  <pic:blipFill>
                    <a:blip r:embed="rId80" cstate="print"/>
                    <a:stretch>
                      <a:fillRect/>
                    </a:stretch>
                  </pic:blipFill>
                  <pic:spPr>
                    <a:xfrm>
                      <a:off x="0" y="0"/>
                      <a:ext cx="182694" cy="338137"/>
                    </a:xfrm>
                    <a:prstGeom prst="rect">
                      <a:avLst/>
                    </a:prstGeom>
                  </pic:spPr>
                </pic:pic>
              </a:graphicData>
            </a:graphic>
          </wp:anchor>
        </w:drawing>
      </w:r>
      <w:r>
        <w:rPr/>
        <w:drawing>
          <wp:anchor distT="0" distB="0" distL="0" distR="0" allowOverlap="1" layoutInCell="1" locked="0" behindDoc="0" simplePos="0" relativeHeight="3952">
            <wp:simplePos x="0" y="0"/>
            <wp:positionH relativeFrom="page">
              <wp:posOffset>2860801</wp:posOffset>
            </wp:positionH>
            <wp:positionV relativeFrom="paragraph">
              <wp:posOffset>-352043</wp:posOffset>
            </wp:positionV>
            <wp:extent cx="216950" cy="340042"/>
            <wp:effectExtent l="0" t="0" r="0" b="0"/>
            <wp:wrapNone/>
            <wp:docPr id="171" name="image30.png" descr=""/>
            <wp:cNvGraphicFramePr>
              <a:graphicFrameLocks noChangeAspect="1"/>
            </wp:cNvGraphicFramePr>
            <a:graphic>
              <a:graphicData uri="http://schemas.openxmlformats.org/drawingml/2006/picture">
                <pic:pic>
                  <pic:nvPicPr>
                    <pic:cNvPr id="172" name="image30.png"/>
                    <pic:cNvPicPr/>
                  </pic:nvPicPr>
                  <pic:blipFill>
                    <a:blip r:embed="rId81" cstate="print"/>
                    <a:stretch>
                      <a:fillRect/>
                    </a:stretch>
                  </pic:blipFill>
                  <pic:spPr>
                    <a:xfrm>
                      <a:off x="0" y="0"/>
                      <a:ext cx="216950" cy="340042"/>
                    </a:xfrm>
                    <a:prstGeom prst="rect">
                      <a:avLst/>
                    </a:prstGeom>
                  </pic:spPr>
                </pic:pic>
              </a:graphicData>
            </a:graphic>
          </wp:anchor>
        </w:drawing>
      </w:r>
      <w:r>
        <w:rPr/>
        <w:drawing>
          <wp:anchor distT="0" distB="0" distL="0" distR="0" allowOverlap="1" layoutInCell="1" locked="0" behindDoc="0" simplePos="0" relativeHeight="3976">
            <wp:simplePos x="0" y="0"/>
            <wp:positionH relativeFrom="page">
              <wp:posOffset>3795395</wp:posOffset>
            </wp:positionH>
            <wp:positionV relativeFrom="paragraph">
              <wp:posOffset>-352043</wp:posOffset>
            </wp:positionV>
            <wp:extent cx="183099" cy="340042"/>
            <wp:effectExtent l="0" t="0" r="0" b="0"/>
            <wp:wrapNone/>
            <wp:docPr id="173" name="image31.png" descr=""/>
            <wp:cNvGraphicFramePr>
              <a:graphicFrameLocks noChangeAspect="1"/>
            </wp:cNvGraphicFramePr>
            <a:graphic>
              <a:graphicData uri="http://schemas.openxmlformats.org/drawingml/2006/picture">
                <pic:pic>
                  <pic:nvPicPr>
                    <pic:cNvPr id="174" name="image31.png"/>
                    <pic:cNvPicPr/>
                  </pic:nvPicPr>
                  <pic:blipFill>
                    <a:blip r:embed="rId82" cstate="print"/>
                    <a:stretch>
                      <a:fillRect/>
                    </a:stretch>
                  </pic:blipFill>
                  <pic:spPr>
                    <a:xfrm>
                      <a:off x="0" y="0"/>
                      <a:ext cx="183099" cy="340042"/>
                    </a:xfrm>
                    <a:prstGeom prst="rect">
                      <a:avLst/>
                    </a:prstGeom>
                  </pic:spPr>
                </pic:pic>
              </a:graphicData>
            </a:graphic>
          </wp:anchor>
        </w:drawing>
      </w:r>
      <w:r>
        <w:rPr>
          <w:sz w:val="20"/>
        </w:rPr>
        <w:t>Fonte: Adaires Rodrigues de Sousa (2015).</w:t>
      </w:r>
    </w:p>
    <w:p>
      <w:pPr>
        <w:spacing w:after="0" w:line="221" w:lineRule="exact"/>
        <w:jc w:val="left"/>
        <w:rPr>
          <w:sz w:val="20"/>
        </w:rPr>
        <w:sectPr>
          <w:pgSz w:w="16840" w:h="11910" w:orient="landscape"/>
          <w:pgMar w:header="749" w:footer="0" w:top="960" w:bottom="280" w:left="880" w:right="740"/>
        </w:sectPr>
      </w:pPr>
    </w:p>
    <w:p>
      <w:pPr>
        <w:spacing w:before="26"/>
        <w:ind w:left="0" w:right="116" w:firstLine="0"/>
        <w:jc w:val="right"/>
        <w:rPr>
          <w:rFonts w:ascii="Calibri"/>
          <w:sz w:val="22"/>
        </w:rPr>
      </w:pPr>
      <w:r>
        <w:rPr>
          <w:rFonts w:ascii="Calibri"/>
          <w:sz w:val="22"/>
        </w:rPr>
        <w:t>136</w:t>
      </w:r>
    </w:p>
    <w:p>
      <w:pPr>
        <w:pStyle w:val="BodyText"/>
        <w:rPr>
          <w:rFonts w:ascii="Calibri"/>
          <w:sz w:val="22"/>
        </w:rPr>
      </w:pPr>
    </w:p>
    <w:p>
      <w:pPr>
        <w:pStyle w:val="BodyText"/>
        <w:spacing w:line="360" w:lineRule="auto" w:before="170"/>
        <w:ind w:left="102" w:firstLine="851"/>
      </w:pPr>
      <w:r>
        <w:rPr/>
        <w:t>Da tabela ‗Formatação com 20 metas e seções em 78 PMEs‘, é possível apreendermos:</w:t>
      </w:r>
    </w:p>
    <w:p>
      <w:pPr>
        <w:pStyle w:val="ListParagraph"/>
        <w:numPr>
          <w:ilvl w:val="0"/>
          <w:numId w:val="40"/>
        </w:numPr>
        <w:tabs>
          <w:tab w:pos="1101" w:val="left" w:leader="none"/>
        </w:tabs>
        <w:spacing w:line="360" w:lineRule="auto" w:before="6" w:after="0"/>
        <w:ind w:left="102" w:right="120" w:firstLine="852"/>
        <w:jc w:val="both"/>
        <w:rPr>
          <w:sz w:val="24"/>
        </w:rPr>
      </w:pPr>
      <w:r>
        <w:rPr>
          <w:sz w:val="24"/>
        </w:rPr>
        <w:t>Em relação às Leis, cerca de 88,47% dos PMEs (69 Planos) não se alinham à mesma formatação, sendo dois com quinze artigos e os demais variando desde quatro até treze artigos, sendo que, em um PME,a lei não o acompanha, ou seja, sua Lei não  faz parte do conjunto de seções do</w:t>
      </w:r>
      <w:r>
        <w:rPr>
          <w:spacing w:val="-8"/>
          <w:sz w:val="24"/>
        </w:rPr>
        <w:t> </w:t>
      </w:r>
      <w:r>
        <w:rPr>
          <w:sz w:val="24"/>
        </w:rPr>
        <w:t>Plano.</w:t>
      </w:r>
    </w:p>
    <w:p>
      <w:pPr>
        <w:pStyle w:val="ListParagraph"/>
        <w:numPr>
          <w:ilvl w:val="0"/>
          <w:numId w:val="40"/>
        </w:numPr>
        <w:tabs>
          <w:tab w:pos="1115" w:val="left" w:leader="none"/>
        </w:tabs>
        <w:spacing w:line="360" w:lineRule="auto" w:before="6" w:after="0"/>
        <w:ind w:left="102" w:right="122" w:firstLine="852"/>
        <w:jc w:val="both"/>
        <w:rPr>
          <w:sz w:val="24"/>
        </w:rPr>
      </w:pPr>
      <w:r>
        <w:rPr>
          <w:sz w:val="24"/>
        </w:rPr>
        <w:t>Em relação às estratégias, 14,1% PMEs (11 Planos) possuem número maior de estratégias comparando-se ao PNE 2014-2024 e 85,9% (67) possuem menor</w:t>
      </w:r>
      <w:r>
        <w:rPr>
          <w:spacing w:val="-14"/>
          <w:sz w:val="24"/>
        </w:rPr>
        <w:t> </w:t>
      </w:r>
      <w:r>
        <w:rPr>
          <w:sz w:val="24"/>
        </w:rPr>
        <w:t>número</w:t>
      </w:r>
    </w:p>
    <w:p>
      <w:pPr>
        <w:pStyle w:val="ListParagraph"/>
        <w:numPr>
          <w:ilvl w:val="0"/>
          <w:numId w:val="40"/>
        </w:numPr>
        <w:tabs>
          <w:tab w:pos="1132" w:val="left" w:leader="none"/>
        </w:tabs>
        <w:spacing w:line="360" w:lineRule="auto" w:before="6" w:after="0"/>
        <w:ind w:left="102" w:right="119" w:firstLine="852"/>
        <w:jc w:val="both"/>
        <w:rPr>
          <w:sz w:val="24"/>
        </w:rPr>
      </w:pPr>
      <w:r>
        <w:rPr>
          <w:sz w:val="24"/>
        </w:rPr>
        <w:t>Quanto à formatação dos PMEs, tendo em vista o registro das seções que compõem os documentos de instituição da Comissão Municipal Representativa da Sociedade e da Equipe Técnica (membros da Comissão e Equipe Técnica, o Histórico  do Município, o Diagnóstico), dos 78 PMEs agrupados na Tabela, 23 seguem a mesma formatação que o PNE 2014-2024, ou seja, a Lei e as metas e estratégias. Os demais 55 PMEs pontuam desde algumas das referidas seções a até</w:t>
      </w:r>
      <w:r>
        <w:rPr>
          <w:spacing w:val="-13"/>
          <w:sz w:val="24"/>
        </w:rPr>
        <w:t> </w:t>
      </w:r>
      <w:r>
        <w:rPr>
          <w:sz w:val="24"/>
        </w:rPr>
        <w:t>todas.</w:t>
      </w:r>
    </w:p>
    <w:p>
      <w:pPr>
        <w:spacing w:after="0" w:line="360" w:lineRule="auto"/>
        <w:jc w:val="both"/>
        <w:rPr>
          <w:sz w:val="24"/>
        </w:rPr>
        <w:sectPr>
          <w:headerReference w:type="default" r:id="rId113"/>
          <w:pgSz w:w="11910" w:h="16840"/>
          <w:pgMar w:header="0" w:footer="0" w:top="660" w:bottom="280" w:left="1600" w:right="1580"/>
        </w:sectPr>
      </w:pPr>
    </w:p>
    <w:p>
      <w:pPr>
        <w:spacing w:before="38"/>
        <w:ind w:left="0" w:right="1133" w:firstLine="0"/>
        <w:jc w:val="right"/>
        <w:rPr>
          <w:rFonts w:ascii="Calibri"/>
          <w:sz w:val="22"/>
        </w:rPr>
      </w:pPr>
      <w:r>
        <w:rPr>
          <w:rFonts w:ascii="Calibri"/>
          <w:sz w:val="22"/>
        </w:rPr>
        <w:t>137</w:t>
      </w:r>
    </w:p>
    <w:p>
      <w:pPr>
        <w:pStyle w:val="BodyText"/>
        <w:rPr>
          <w:rFonts w:ascii="Calibri"/>
          <w:sz w:val="20"/>
        </w:rPr>
      </w:pPr>
    </w:p>
    <w:p>
      <w:pPr>
        <w:pStyle w:val="BodyText"/>
        <w:rPr>
          <w:rFonts w:ascii="Calibri"/>
          <w:sz w:val="20"/>
        </w:rPr>
      </w:pPr>
    </w:p>
    <w:p>
      <w:pPr>
        <w:pStyle w:val="BodyText"/>
        <w:spacing w:before="2"/>
        <w:rPr>
          <w:rFonts w:ascii="Calibri"/>
          <w:sz w:val="19"/>
        </w:rPr>
      </w:pPr>
    </w:p>
    <w:p>
      <w:pPr>
        <w:pStyle w:val="BodyText"/>
        <w:ind w:left="1118"/>
      </w:pPr>
      <w:r>
        <w:rPr>
          <w:b/>
        </w:rPr>
        <w:t>Tabela 3 </w:t>
      </w:r>
      <w:r>
        <w:rPr/>
        <w:t>Formatação de 10 PMEs no Tocantins com mais de 20 metas e seções.</w:t>
      </w:r>
    </w:p>
    <w:p>
      <w:pPr>
        <w:pStyle w:val="BodyText"/>
        <w:spacing w:before="5"/>
        <w:rPr>
          <w:sz w:val="11"/>
        </w:rPr>
      </w:pPr>
    </w:p>
    <w:tbl>
      <w:tblPr>
        <w:tblW w:w="0" w:type="auto"/>
        <w:jc w:val="left"/>
        <w:tblInd w:w="108" w:type="dxa"/>
        <w:tblBorders>
          <w:top w:val="single" w:sz="17" w:space="0" w:color="C0504D"/>
          <w:left w:val="single" w:sz="17" w:space="0" w:color="C0504D"/>
          <w:bottom w:val="single" w:sz="17" w:space="0" w:color="C0504D"/>
          <w:right w:val="single" w:sz="17" w:space="0" w:color="C0504D"/>
          <w:insideH w:val="single" w:sz="17" w:space="0" w:color="C0504D"/>
          <w:insideV w:val="single" w:sz="17" w:space="0" w:color="C0504D"/>
        </w:tblBorders>
        <w:tblLayout w:type="fixed"/>
        <w:tblCellMar>
          <w:top w:w="0" w:type="dxa"/>
          <w:left w:w="0" w:type="dxa"/>
          <w:bottom w:w="0" w:type="dxa"/>
          <w:right w:w="0" w:type="dxa"/>
        </w:tblCellMar>
        <w:tblLook w:val="01E0"/>
      </w:tblPr>
      <w:tblGrid>
        <w:gridCol w:w="1536"/>
        <w:gridCol w:w="965"/>
        <w:gridCol w:w="564"/>
        <w:gridCol w:w="569"/>
        <w:gridCol w:w="338"/>
        <w:gridCol w:w="566"/>
        <w:gridCol w:w="566"/>
        <w:gridCol w:w="284"/>
        <w:gridCol w:w="456"/>
        <w:gridCol w:w="454"/>
        <w:gridCol w:w="454"/>
        <w:gridCol w:w="454"/>
        <w:gridCol w:w="454"/>
        <w:gridCol w:w="454"/>
        <w:gridCol w:w="456"/>
        <w:gridCol w:w="454"/>
        <w:gridCol w:w="454"/>
        <w:gridCol w:w="454"/>
        <w:gridCol w:w="454"/>
        <w:gridCol w:w="454"/>
        <w:gridCol w:w="456"/>
        <w:gridCol w:w="454"/>
        <w:gridCol w:w="454"/>
        <w:gridCol w:w="454"/>
        <w:gridCol w:w="454"/>
        <w:gridCol w:w="454"/>
        <w:gridCol w:w="456"/>
        <w:gridCol w:w="454"/>
        <w:gridCol w:w="454"/>
        <w:gridCol w:w="454"/>
        <w:gridCol w:w="626"/>
      </w:tblGrid>
      <w:tr>
        <w:trPr>
          <w:trHeight w:val="1134" w:hRule="exact"/>
        </w:trPr>
        <w:tc>
          <w:tcPr>
            <w:tcW w:w="1536" w:type="dxa"/>
            <w:tcBorders>
              <w:left w:val="single" w:sz="8" w:space="0" w:color="C0504D"/>
              <w:right w:val="single" w:sz="8" w:space="0" w:color="C0504D"/>
            </w:tcBorders>
          </w:tcPr>
          <w:p>
            <w:pPr>
              <w:pStyle w:val="TableParagraph"/>
              <w:spacing w:before="0"/>
              <w:rPr>
                <w:sz w:val="22"/>
              </w:rPr>
            </w:pPr>
          </w:p>
          <w:p>
            <w:pPr>
              <w:pStyle w:val="TableParagraph"/>
              <w:spacing w:before="170"/>
              <w:ind w:left="314"/>
              <w:rPr>
                <w:b/>
                <w:sz w:val="20"/>
              </w:rPr>
            </w:pPr>
            <w:r>
              <w:rPr>
                <w:b/>
                <w:sz w:val="20"/>
              </w:rPr>
              <w:t>Município</w:t>
            </w:r>
          </w:p>
        </w:tc>
        <w:tc>
          <w:tcPr>
            <w:tcW w:w="965" w:type="dxa"/>
            <w:tcBorders>
              <w:top w:val="single" w:sz="17" w:space="0" w:color="EC7C30"/>
              <w:left w:val="single" w:sz="8" w:space="0" w:color="C0504D"/>
              <w:bottom w:val="single" w:sz="17" w:space="0" w:color="EC7C30"/>
              <w:right w:val="single" w:sz="8" w:space="0" w:color="EC7C30"/>
            </w:tcBorders>
            <w:textDirection w:val="btLr"/>
          </w:tcPr>
          <w:p>
            <w:pPr>
              <w:pStyle w:val="TableParagraph"/>
              <w:spacing w:before="5"/>
              <w:rPr>
                <w:sz w:val="20"/>
              </w:rPr>
            </w:pPr>
          </w:p>
          <w:p>
            <w:pPr>
              <w:pStyle w:val="TableParagraph"/>
              <w:spacing w:line="247" w:lineRule="auto" w:before="0"/>
              <w:ind w:left="112" w:right="85"/>
              <w:rPr>
                <w:sz w:val="20"/>
              </w:rPr>
            </w:pPr>
            <w:r>
              <w:rPr>
                <w:w w:val="99"/>
                <w:sz w:val="20"/>
              </w:rPr>
              <w:t>Lei</w:t>
            </w:r>
            <w:r>
              <w:rPr>
                <w:sz w:val="20"/>
              </w:rPr>
              <w:t> </w:t>
            </w:r>
            <w:r>
              <w:rPr>
                <w:spacing w:val="1"/>
                <w:w w:val="99"/>
                <w:sz w:val="20"/>
              </w:rPr>
              <w:t>d</w:t>
            </w:r>
            <w:r>
              <w:rPr>
                <w:w w:val="99"/>
                <w:sz w:val="20"/>
              </w:rPr>
              <w:t>o </w:t>
            </w:r>
            <w:r>
              <w:rPr>
                <w:w w:val="99"/>
                <w:sz w:val="20"/>
              </w:rPr>
              <w:t>PME</w:t>
            </w:r>
          </w:p>
        </w:tc>
        <w:tc>
          <w:tcPr>
            <w:tcW w:w="564"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line="244" w:lineRule="auto" w:before="36"/>
              <w:ind w:left="112" w:right="85"/>
              <w:rPr>
                <w:sz w:val="20"/>
              </w:rPr>
            </w:pPr>
            <w:r>
              <w:rPr>
                <w:w w:val="99"/>
                <w:sz w:val="20"/>
              </w:rPr>
              <w:t>Nº</w:t>
            </w:r>
            <w:r>
              <w:rPr>
                <w:sz w:val="20"/>
              </w:rPr>
              <w:t> </w:t>
            </w:r>
            <w:r>
              <w:rPr>
                <w:spacing w:val="1"/>
                <w:w w:val="99"/>
                <w:sz w:val="20"/>
              </w:rPr>
              <w:t>d</w:t>
            </w:r>
            <w:r>
              <w:rPr>
                <w:w w:val="99"/>
                <w:sz w:val="20"/>
              </w:rPr>
              <w:t>e </w:t>
            </w:r>
            <w:r>
              <w:rPr>
                <w:w w:val="99"/>
                <w:sz w:val="20"/>
              </w:rPr>
              <w:t>Ar</w:t>
            </w:r>
            <w:r>
              <w:rPr>
                <w:w w:val="99"/>
                <w:sz w:val="20"/>
              </w:rPr>
              <w:t>tig</w:t>
            </w:r>
            <w:r>
              <w:rPr>
                <w:spacing w:val="1"/>
                <w:w w:val="99"/>
                <w:sz w:val="20"/>
              </w:rPr>
              <w:t>o</w:t>
            </w:r>
            <w:r>
              <w:rPr>
                <w:w w:val="99"/>
                <w:sz w:val="20"/>
              </w:rPr>
              <w:t>s</w:t>
            </w:r>
          </w:p>
        </w:tc>
        <w:tc>
          <w:tcPr>
            <w:tcW w:w="569"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line="244" w:lineRule="auto" w:before="39"/>
              <w:ind w:left="112" w:right="85"/>
              <w:rPr>
                <w:sz w:val="20"/>
              </w:rPr>
            </w:pPr>
            <w:r>
              <w:rPr>
                <w:w w:val="99"/>
                <w:sz w:val="20"/>
              </w:rPr>
              <w:t>Nº</w:t>
            </w:r>
            <w:r>
              <w:rPr>
                <w:sz w:val="20"/>
              </w:rPr>
              <w:t> </w:t>
            </w:r>
            <w:r>
              <w:rPr>
                <w:spacing w:val="1"/>
                <w:w w:val="99"/>
                <w:sz w:val="20"/>
              </w:rPr>
              <w:t>d</w:t>
            </w:r>
            <w:r>
              <w:rPr>
                <w:w w:val="99"/>
                <w:sz w:val="20"/>
              </w:rPr>
              <w:t>e </w:t>
            </w:r>
            <w:r>
              <w:rPr>
                <w:w w:val="99"/>
                <w:sz w:val="20"/>
              </w:rPr>
              <w:t>Metas</w:t>
            </w:r>
          </w:p>
        </w:tc>
        <w:tc>
          <w:tcPr>
            <w:tcW w:w="338"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41"/>
              <w:ind w:left="-1"/>
              <w:rPr>
                <w:sz w:val="20"/>
              </w:rPr>
            </w:pPr>
            <w:r>
              <w:rPr>
                <w:spacing w:val="-1"/>
                <w:w w:val="99"/>
                <w:sz w:val="20"/>
              </w:rPr>
              <w:t>C</w:t>
            </w:r>
            <w:r>
              <w:rPr>
                <w:spacing w:val="1"/>
                <w:w w:val="99"/>
                <w:sz w:val="20"/>
              </w:rPr>
              <w:t>o</w:t>
            </w:r>
            <w:r>
              <w:rPr>
                <w:w w:val="99"/>
                <w:sz w:val="20"/>
              </w:rPr>
              <w:t>m</w:t>
            </w:r>
            <w:r>
              <w:rPr>
                <w:w w:val="99"/>
                <w:sz w:val="20"/>
              </w:rPr>
              <w:t>i</w:t>
            </w:r>
            <w:r>
              <w:rPr>
                <w:spacing w:val="-1"/>
                <w:w w:val="99"/>
                <w:sz w:val="20"/>
              </w:rPr>
              <w:t>s</w:t>
            </w:r>
            <w:r>
              <w:rPr>
                <w:spacing w:val="-1"/>
                <w:w w:val="99"/>
                <w:sz w:val="20"/>
              </w:rPr>
              <w:t>s</w:t>
            </w:r>
            <w:r>
              <w:rPr>
                <w:w w:val="99"/>
                <w:sz w:val="20"/>
              </w:rPr>
              <w:t>ão</w:t>
            </w:r>
          </w:p>
        </w:tc>
        <w:tc>
          <w:tcPr>
            <w:tcW w:w="566"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line="244" w:lineRule="auto" w:before="36"/>
              <w:ind w:left="-1" w:right="85"/>
              <w:rPr>
                <w:sz w:val="20"/>
              </w:rPr>
            </w:pPr>
            <w:r>
              <w:rPr>
                <w:w w:val="99"/>
                <w:sz w:val="20"/>
              </w:rPr>
              <w:t>E</w:t>
            </w:r>
            <w:r>
              <w:rPr>
                <w:spacing w:val="1"/>
                <w:w w:val="99"/>
                <w:sz w:val="20"/>
              </w:rPr>
              <w:t>qu</w:t>
            </w:r>
            <w:r>
              <w:rPr>
                <w:w w:val="99"/>
                <w:sz w:val="20"/>
              </w:rPr>
              <w:t>ipe Téc</w:t>
            </w:r>
            <w:r>
              <w:rPr>
                <w:spacing w:val="1"/>
                <w:w w:val="99"/>
                <w:sz w:val="20"/>
              </w:rPr>
              <w:t>n</w:t>
            </w:r>
            <w:r>
              <w:rPr>
                <w:w w:val="99"/>
                <w:sz w:val="20"/>
              </w:rPr>
              <w:t>ica</w:t>
            </w:r>
          </w:p>
        </w:tc>
        <w:tc>
          <w:tcPr>
            <w:tcW w:w="566"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line="247" w:lineRule="auto" w:before="36"/>
              <w:ind w:left="-1"/>
              <w:rPr>
                <w:sz w:val="20"/>
              </w:rPr>
            </w:pPr>
            <w:r>
              <w:rPr>
                <w:w w:val="99"/>
                <w:sz w:val="20"/>
              </w:rPr>
              <w:t>Hi</w:t>
            </w:r>
            <w:r>
              <w:rPr>
                <w:spacing w:val="-1"/>
                <w:w w:val="99"/>
                <w:sz w:val="20"/>
              </w:rPr>
              <w:t>s</w:t>
            </w:r>
            <w:r>
              <w:rPr>
                <w:w w:val="99"/>
                <w:sz w:val="20"/>
              </w:rPr>
              <w:t>tórico</w:t>
            </w:r>
            <w:r>
              <w:rPr>
                <w:spacing w:val="1"/>
                <w:sz w:val="20"/>
              </w:rPr>
              <w:t> </w:t>
            </w:r>
            <w:r>
              <w:rPr>
                <w:spacing w:val="1"/>
                <w:w w:val="99"/>
                <w:sz w:val="20"/>
              </w:rPr>
              <w:t>d</w:t>
            </w:r>
            <w:r>
              <w:rPr>
                <w:w w:val="99"/>
                <w:sz w:val="20"/>
              </w:rPr>
              <w:t>o </w:t>
            </w:r>
            <w:r>
              <w:rPr>
                <w:w w:val="99"/>
                <w:sz w:val="20"/>
              </w:rPr>
              <w:t>M</w:t>
            </w:r>
            <w:r>
              <w:rPr>
                <w:spacing w:val="1"/>
                <w:w w:val="99"/>
                <w:sz w:val="20"/>
              </w:rPr>
              <w:t>u</w:t>
            </w:r>
            <w:r>
              <w:rPr>
                <w:spacing w:val="1"/>
                <w:w w:val="99"/>
                <w:sz w:val="20"/>
              </w:rPr>
              <w:t>n</w:t>
            </w:r>
            <w:r>
              <w:rPr>
                <w:w w:val="99"/>
                <w:sz w:val="20"/>
              </w:rPr>
              <w:t>icí</w:t>
            </w:r>
            <w:r>
              <w:rPr>
                <w:spacing w:val="1"/>
                <w:w w:val="99"/>
                <w:sz w:val="20"/>
              </w:rPr>
              <w:t>p</w:t>
            </w:r>
            <w:r>
              <w:rPr>
                <w:w w:val="99"/>
                <w:sz w:val="20"/>
              </w:rPr>
              <w:t>io</w:t>
            </w:r>
          </w:p>
        </w:tc>
        <w:tc>
          <w:tcPr>
            <w:tcW w:w="284"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15"/>
              <w:ind w:left="-1"/>
              <w:rPr>
                <w:sz w:val="20"/>
              </w:rPr>
            </w:pPr>
            <w:r>
              <w:rPr>
                <w:w w:val="99"/>
                <w:sz w:val="20"/>
              </w:rPr>
              <w:t>Dia</w:t>
            </w:r>
            <w:r>
              <w:rPr>
                <w:spacing w:val="1"/>
                <w:w w:val="99"/>
                <w:sz w:val="20"/>
              </w:rPr>
              <w:t>gnó</w:t>
            </w:r>
            <w:r>
              <w:rPr>
                <w:spacing w:val="-1"/>
                <w:w w:val="99"/>
                <w:sz w:val="20"/>
              </w:rPr>
              <w:t>s</w:t>
            </w:r>
            <w:r>
              <w:rPr>
                <w:w w:val="99"/>
                <w:sz w:val="20"/>
              </w:rPr>
              <w:t>tico</w:t>
            </w:r>
          </w:p>
        </w:tc>
        <w:tc>
          <w:tcPr>
            <w:tcW w:w="456"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101"/>
              <w:ind w:left="-1"/>
              <w:rPr>
                <w:sz w:val="20"/>
              </w:rPr>
            </w:pPr>
            <w:r>
              <w:rPr>
                <w:w w:val="99"/>
                <w:sz w:val="20"/>
              </w:rPr>
              <w:t>Me</w:t>
            </w:r>
            <w:r>
              <w:rPr>
                <w:w w:val="99"/>
                <w:sz w:val="20"/>
              </w:rPr>
              <w:t>ta</w:t>
            </w:r>
            <w:r>
              <w:rPr>
                <w:sz w:val="20"/>
              </w:rPr>
              <w:t> </w:t>
            </w:r>
            <w:r>
              <w:rPr>
                <w:w w:val="99"/>
                <w:sz w:val="20"/>
              </w:rPr>
              <w:t>1</w:t>
            </w:r>
          </w:p>
        </w:tc>
        <w:tc>
          <w:tcPr>
            <w:tcW w:w="454"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2</w:t>
            </w:r>
          </w:p>
        </w:tc>
        <w:tc>
          <w:tcPr>
            <w:tcW w:w="454"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3</w:t>
            </w:r>
          </w:p>
        </w:tc>
        <w:tc>
          <w:tcPr>
            <w:tcW w:w="454"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4</w:t>
            </w:r>
          </w:p>
        </w:tc>
        <w:tc>
          <w:tcPr>
            <w:tcW w:w="454"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5</w:t>
            </w:r>
          </w:p>
        </w:tc>
        <w:tc>
          <w:tcPr>
            <w:tcW w:w="454"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6</w:t>
            </w:r>
          </w:p>
        </w:tc>
        <w:tc>
          <w:tcPr>
            <w:tcW w:w="456"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101"/>
              <w:ind w:left="-1"/>
              <w:rPr>
                <w:sz w:val="20"/>
              </w:rPr>
            </w:pPr>
            <w:r>
              <w:rPr>
                <w:w w:val="99"/>
                <w:sz w:val="20"/>
              </w:rPr>
              <w:t>Me</w:t>
            </w:r>
            <w:r>
              <w:rPr>
                <w:w w:val="99"/>
                <w:sz w:val="20"/>
              </w:rPr>
              <w:t>ta</w:t>
            </w:r>
            <w:r>
              <w:rPr>
                <w:sz w:val="20"/>
              </w:rPr>
              <w:t> </w:t>
            </w:r>
            <w:r>
              <w:rPr>
                <w:w w:val="99"/>
                <w:sz w:val="20"/>
              </w:rPr>
              <w:t>7</w:t>
            </w:r>
          </w:p>
        </w:tc>
        <w:tc>
          <w:tcPr>
            <w:tcW w:w="454"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8</w:t>
            </w:r>
          </w:p>
        </w:tc>
        <w:tc>
          <w:tcPr>
            <w:tcW w:w="454"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9</w:t>
            </w:r>
          </w:p>
        </w:tc>
        <w:tc>
          <w:tcPr>
            <w:tcW w:w="454"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0</w:t>
            </w:r>
          </w:p>
        </w:tc>
        <w:tc>
          <w:tcPr>
            <w:tcW w:w="454"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11</w:t>
            </w:r>
          </w:p>
        </w:tc>
        <w:tc>
          <w:tcPr>
            <w:tcW w:w="454"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2</w:t>
            </w:r>
          </w:p>
        </w:tc>
        <w:tc>
          <w:tcPr>
            <w:tcW w:w="456"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101"/>
              <w:ind w:left="-1"/>
              <w:rPr>
                <w:sz w:val="20"/>
              </w:rPr>
            </w:pPr>
            <w:r>
              <w:rPr>
                <w:w w:val="99"/>
                <w:sz w:val="20"/>
              </w:rPr>
              <w:t>Me</w:t>
            </w:r>
            <w:r>
              <w:rPr>
                <w:w w:val="99"/>
                <w:sz w:val="20"/>
              </w:rPr>
              <w:t>ta</w:t>
            </w:r>
            <w:r>
              <w:rPr>
                <w:sz w:val="20"/>
              </w:rPr>
              <w:t> </w:t>
            </w:r>
            <w:r>
              <w:rPr>
                <w:spacing w:val="1"/>
                <w:w w:val="99"/>
                <w:sz w:val="20"/>
              </w:rPr>
              <w:t>1</w:t>
            </w:r>
            <w:r>
              <w:rPr>
                <w:w w:val="99"/>
                <w:sz w:val="20"/>
              </w:rPr>
              <w:t>3</w:t>
            </w:r>
          </w:p>
        </w:tc>
        <w:tc>
          <w:tcPr>
            <w:tcW w:w="454"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4</w:t>
            </w:r>
          </w:p>
        </w:tc>
        <w:tc>
          <w:tcPr>
            <w:tcW w:w="454"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5</w:t>
            </w:r>
          </w:p>
        </w:tc>
        <w:tc>
          <w:tcPr>
            <w:tcW w:w="454"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6</w:t>
            </w:r>
          </w:p>
        </w:tc>
        <w:tc>
          <w:tcPr>
            <w:tcW w:w="454"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7</w:t>
            </w:r>
          </w:p>
        </w:tc>
        <w:tc>
          <w:tcPr>
            <w:tcW w:w="454"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8</w:t>
            </w:r>
          </w:p>
        </w:tc>
        <w:tc>
          <w:tcPr>
            <w:tcW w:w="456"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101"/>
              <w:ind w:left="-1"/>
              <w:rPr>
                <w:sz w:val="20"/>
              </w:rPr>
            </w:pPr>
            <w:r>
              <w:rPr>
                <w:w w:val="99"/>
                <w:sz w:val="20"/>
              </w:rPr>
              <w:t>Me</w:t>
            </w:r>
            <w:r>
              <w:rPr>
                <w:w w:val="99"/>
                <w:sz w:val="20"/>
              </w:rPr>
              <w:t>ta</w:t>
            </w:r>
            <w:r>
              <w:rPr>
                <w:sz w:val="20"/>
              </w:rPr>
              <w:t> </w:t>
            </w:r>
            <w:r>
              <w:rPr>
                <w:spacing w:val="1"/>
                <w:w w:val="99"/>
                <w:sz w:val="20"/>
              </w:rPr>
              <w:t>1</w:t>
            </w:r>
            <w:r>
              <w:rPr>
                <w:w w:val="99"/>
                <w:sz w:val="20"/>
              </w:rPr>
              <w:t>9</w:t>
            </w:r>
          </w:p>
        </w:tc>
        <w:tc>
          <w:tcPr>
            <w:tcW w:w="454"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2</w:t>
            </w:r>
            <w:r>
              <w:rPr>
                <w:w w:val="99"/>
                <w:sz w:val="20"/>
              </w:rPr>
              <w:t>0</w:t>
            </w:r>
          </w:p>
        </w:tc>
        <w:tc>
          <w:tcPr>
            <w:tcW w:w="454"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2</w:t>
            </w:r>
            <w:r>
              <w:rPr>
                <w:w w:val="99"/>
                <w:sz w:val="20"/>
              </w:rPr>
              <w:t>1</w:t>
            </w:r>
          </w:p>
        </w:tc>
        <w:tc>
          <w:tcPr>
            <w:tcW w:w="454"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2</w:t>
            </w:r>
            <w:r>
              <w:rPr>
                <w:w w:val="99"/>
                <w:sz w:val="20"/>
              </w:rPr>
              <w:t>2</w:t>
            </w:r>
          </w:p>
        </w:tc>
        <w:tc>
          <w:tcPr>
            <w:tcW w:w="626" w:type="dxa"/>
            <w:tcBorders>
              <w:top w:val="single" w:sz="17" w:space="0" w:color="EC7C30"/>
              <w:left w:val="single" w:sz="8" w:space="0" w:color="EC7C30"/>
              <w:bottom w:val="single" w:sz="17" w:space="0" w:color="EC7C30"/>
              <w:right w:val="single" w:sz="8" w:space="0" w:color="EC7C30"/>
            </w:tcBorders>
            <w:textDirection w:val="btLr"/>
          </w:tcPr>
          <w:p>
            <w:pPr>
              <w:pStyle w:val="TableParagraph"/>
              <w:spacing w:line="244" w:lineRule="auto" w:before="65"/>
              <w:ind w:left="-1" w:right="85"/>
              <w:rPr>
                <w:sz w:val="20"/>
              </w:rPr>
            </w:pPr>
            <w:r>
              <w:rPr>
                <w:w w:val="99"/>
                <w:sz w:val="20"/>
              </w:rPr>
              <w:t>T</w:t>
            </w:r>
            <w:r>
              <w:rPr>
                <w:spacing w:val="1"/>
                <w:w w:val="99"/>
                <w:sz w:val="20"/>
              </w:rPr>
              <w:t>o</w:t>
            </w:r>
            <w:r>
              <w:rPr>
                <w:w w:val="99"/>
                <w:sz w:val="20"/>
              </w:rPr>
              <w:t>tal</w:t>
            </w:r>
            <w:r>
              <w:rPr>
                <w:sz w:val="20"/>
              </w:rPr>
              <w:t> </w:t>
            </w:r>
            <w:r>
              <w:rPr>
                <w:spacing w:val="1"/>
                <w:w w:val="99"/>
                <w:sz w:val="20"/>
              </w:rPr>
              <w:t>d</w:t>
            </w:r>
            <w:r>
              <w:rPr>
                <w:w w:val="99"/>
                <w:sz w:val="20"/>
              </w:rPr>
              <w:t>e E</w:t>
            </w:r>
            <w:r>
              <w:rPr>
                <w:spacing w:val="-1"/>
                <w:w w:val="99"/>
                <w:sz w:val="20"/>
              </w:rPr>
              <w:t>s</w:t>
            </w:r>
            <w:r>
              <w:rPr>
                <w:w w:val="99"/>
                <w:sz w:val="20"/>
              </w:rPr>
              <w:t>traté</w:t>
            </w:r>
            <w:r>
              <w:rPr>
                <w:spacing w:val="1"/>
                <w:w w:val="99"/>
                <w:sz w:val="20"/>
              </w:rPr>
              <w:t>g</w:t>
            </w:r>
            <w:r>
              <w:rPr>
                <w:w w:val="99"/>
                <w:sz w:val="20"/>
              </w:rPr>
              <w:t>ias</w:t>
            </w:r>
          </w:p>
        </w:tc>
      </w:tr>
      <w:tr>
        <w:trPr>
          <w:trHeight w:val="492" w:hRule="exact"/>
        </w:trPr>
        <w:tc>
          <w:tcPr>
            <w:tcW w:w="1536" w:type="dxa"/>
            <w:tcBorders>
              <w:left w:val="nil"/>
              <w:bottom w:val="single" w:sz="8" w:space="0" w:color="EC7C30"/>
              <w:right w:val="nil"/>
            </w:tcBorders>
          </w:tcPr>
          <w:p>
            <w:pPr>
              <w:pStyle w:val="TableParagraph"/>
              <w:spacing w:before="108"/>
              <w:ind w:left="115"/>
              <w:rPr>
                <w:sz w:val="20"/>
              </w:rPr>
            </w:pPr>
            <w:r>
              <w:rPr>
                <w:sz w:val="20"/>
              </w:rPr>
              <w:t>Crixás</w:t>
            </w:r>
          </w:p>
        </w:tc>
        <w:tc>
          <w:tcPr>
            <w:tcW w:w="965" w:type="dxa"/>
            <w:tcBorders>
              <w:top w:val="single" w:sz="17" w:space="0" w:color="EC7C30"/>
              <w:left w:val="nil"/>
              <w:bottom w:val="single" w:sz="8" w:space="0" w:color="EC7C30"/>
              <w:right w:val="nil"/>
            </w:tcBorders>
          </w:tcPr>
          <w:p>
            <w:pPr>
              <w:pStyle w:val="TableParagraph"/>
              <w:spacing w:before="0"/>
              <w:ind w:left="107" w:right="126"/>
              <w:rPr>
                <w:sz w:val="20"/>
              </w:rPr>
            </w:pPr>
            <w:r>
              <w:rPr>
                <w:sz w:val="20"/>
              </w:rPr>
              <w:t>350 de 15/06/15</w:t>
            </w:r>
          </w:p>
        </w:tc>
        <w:tc>
          <w:tcPr>
            <w:tcW w:w="564" w:type="dxa"/>
            <w:tcBorders>
              <w:top w:val="single" w:sz="17" w:space="0" w:color="EC7C30"/>
              <w:left w:val="nil"/>
              <w:bottom w:val="single" w:sz="8" w:space="0" w:color="EC7C30"/>
              <w:right w:val="nil"/>
            </w:tcBorders>
          </w:tcPr>
          <w:p>
            <w:pPr>
              <w:pStyle w:val="TableParagraph"/>
              <w:spacing w:before="108"/>
              <w:ind w:left="105"/>
              <w:rPr>
                <w:sz w:val="20"/>
              </w:rPr>
            </w:pPr>
            <w:r>
              <w:rPr>
                <w:sz w:val="20"/>
              </w:rPr>
              <w:t>12</w:t>
            </w:r>
          </w:p>
        </w:tc>
        <w:tc>
          <w:tcPr>
            <w:tcW w:w="569" w:type="dxa"/>
            <w:tcBorders>
              <w:top w:val="single" w:sz="17" w:space="0" w:color="EC7C30"/>
              <w:left w:val="nil"/>
              <w:bottom w:val="single" w:sz="8" w:space="0" w:color="EC7C30"/>
              <w:right w:val="nil"/>
            </w:tcBorders>
          </w:tcPr>
          <w:p>
            <w:pPr>
              <w:pStyle w:val="TableParagraph"/>
              <w:spacing w:before="108"/>
              <w:ind w:left="107"/>
              <w:rPr>
                <w:sz w:val="20"/>
              </w:rPr>
            </w:pPr>
            <w:r>
              <w:rPr>
                <w:sz w:val="20"/>
              </w:rPr>
              <w:t>22</w:t>
            </w:r>
          </w:p>
        </w:tc>
        <w:tc>
          <w:tcPr>
            <w:tcW w:w="338" w:type="dxa"/>
            <w:tcBorders>
              <w:top w:val="single" w:sz="17" w:space="0" w:color="EC7C30"/>
              <w:left w:val="nil"/>
              <w:bottom w:val="single" w:sz="8" w:space="0" w:color="EC7C30"/>
              <w:right w:val="nil"/>
            </w:tcBorders>
          </w:tcPr>
          <w:p>
            <w:pPr>
              <w:pStyle w:val="TableParagraph"/>
              <w:spacing w:before="108"/>
              <w:ind w:left="16"/>
              <w:jc w:val="center"/>
              <w:rPr>
                <w:sz w:val="20"/>
              </w:rPr>
            </w:pPr>
            <w:r>
              <w:rPr>
                <w:w w:val="99"/>
                <w:sz w:val="20"/>
              </w:rPr>
              <w:t>X</w:t>
            </w:r>
          </w:p>
        </w:tc>
        <w:tc>
          <w:tcPr>
            <w:tcW w:w="566" w:type="dxa"/>
            <w:tcBorders>
              <w:top w:val="single" w:sz="17" w:space="0" w:color="EC7C30"/>
              <w:left w:val="nil"/>
              <w:bottom w:val="single" w:sz="8" w:space="0" w:color="EC7C30"/>
              <w:right w:val="nil"/>
            </w:tcBorders>
          </w:tcPr>
          <w:p>
            <w:pPr>
              <w:pStyle w:val="TableParagraph"/>
              <w:spacing w:before="108"/>
              <w:ind w:left="105"/>
              <w:rPr>
                <w:sz w:val="20"/>
              </w:rPr>
            </w:pPr>
            <w:r>
              <w:rPr>
                <w:w w:val="99"/>
                <w:sz w:val="20"/>
              </w:rPr>
              <w:t>-</w:t>
            </w:r>
          </w:p>
        </w:tc>
        <w:tc>
          <w:tcPr>
            <w:tcW w:w="566" w:type="dxa"/>
            <w:tcBorders>
              <w:top w:val="single" w:sz="17" w:space="0" w:color="EC7C30"/>
              <w:left w:val="nil"/>
              <w:bottom w:val="single" w:sz="8" w:space="0" w:color="EC7C30"/>
              <w:right w:val="nil"/>
            </w:tcBorders>
          </w:tcPr>
          <w:p>
            <w:pPr>
              <w:pStyle w:val="TableParagraph"/>
              <w:spacing w:before="108"/>
              <w:ind w:left="108"/>
              <w:rPr>
                <w:sz w:val="20"/>
              </w:rPr>
            </w:pPr>
            <w:r>
              <w:rPr>
                <w:w w:val="99"/>
                <w:sz w:val="20"/>
              </w:rPr>
              <w:t>X</w:t>
            </w:r>
          </w:p>
        </w:tc>
        <w:tc>
          <w:tcPr>
            <w:tcW w:w="284" w:type="dxa"/>
            <w:tcBorders>
              <w:top w:val="single" w:sz="17" w:space="0" w:color="EC7C30"/>
              <w:left w:val="nil"/>
              <w:bottom w:val="single" w:sz="8" w:space="0" w:color="EC7C30"/>
              <w:right w:val="nil"/>
            </w:tcBorders>
          </w:tcPr>
          <w:p>
            <w:pPr>
              <w:pStyle w:val="TableParagraph"/>
              <w:spacing w:before="108"/>
              <w:ind w:left="76"/>
              <w:jc w:val="center"/>
              <w:rPr>
                <w:sz w:val="20"/>
              </w:rPr>
            </w:pPr>
            <w:r>
              <w:rPr>
                <w:w w:val="99"/>
                <w:sz w:val="20"/>
              </w:rPr>
              <w:t>X</w:t>
            </w:r>
          </w:p>
        </w:tc>
        <w:tc>
          <w:tcPr>
            <w:tcW w:w="456" w:type="dxa"/>
            <w:tcBorders>
              <w:top w:val="single" w:sz="17" w:space="0" w:color="EC7C30"/>
              <w:left w:val="nil"/>
              <w:bottom w:val="single" w:sz="8" w:space="0" w:color="EC7C30"/>
              <w:right w:val="nil"/>
            </w:tcBorders>
          </w:tcPr>
          <w:p>
            <w:pPr>
              <w:pStyle w:val="TableParagraph"/>
              <w:spacing w:before="108"/>
              <w:ind w:left="107"/>
              <w:rPr>
                <w:sz w:val="20"/>
              </w:rPr>
            </w:pPr>
            <w:r>
              <w:rPr>
                <w:sz w:val="20"/>
              </w:rPr>
              <w:t>11</w:t>
            </w:r>
          </w:p>
        </w:tc>
        <w:tc>
          <w:tcPr>
            <w:tcW w:w="454" w:type="dxa"/>
            <w:tcBorders>
              <w:top w:val="single" w:sz="17" w:space="0" w:color="EC7C30"/>
              <w:left w:val="nil"/>
              <w:bottom w:val="single" w:sz="8" w:space="0" w:color="EC7C30"/>
              <w:right w:val="nil"/>
            </w:tcBorders>
          </w:tcPr>
          <w:p>
            <w:pPr>
              <w:pStyle w:val="TableParagraph"/>
              <w:spacing w:before="108"/>
              <w:ind w:right="140"/>
              <w:jc w:val="center"/>
              <w:rPr>
                <w:sz w:val="20"/>
              </w:rPr>
            </w:pPr>
            <w:r>
              <w:rPr>
                <w:w w:val="99"/>
                <w:sz w:val="20"/>
              </w:rPr>
              <w:t>8</w:t>
            </w:r>
          </w:p>
        </w:tc>
        <w:tc>
          <w:tcPr>
            <w:tcW w:w="454" w:type="dxa"/>
            <w:tcBorders>
              <w:top w:val="single" w:sz="17" w:space="0" w:color="EC7C30"/>
              <w:left w:val="nil"/>
              <w:bottom w:val="single" w:sz="8" w:space="0" w:color="EC7C30"/>
              <w:right w:val="nil"/>
            </w:tcBorders>
          </w:tcPr>
          <w:p>
            <w:pPr>
              <w:pStyle w:val="TableParagraph"/>
              <w:spacing w:before="108"/>
              <w:ind w:left="105"/>
              <w:rPr>
                <w:sz w:val="20"/>
              </w:rPr>
            </w:pPr>
            <w:r>
              <w:rPr>
                <w:sz w:val="20"/>
              </w:rPr>
              <w:t>15</w:t>
            </w:r>
          </w:p>
        </w:tc>
        <w:tc>
          <w:tcPr>
            <w:tcW w:w="454" w:type="dxa"/>
            <w:tcBorders>
              <w:top w:val="single" w:sz="17" w:space="0" w:color="EC7C30"/>
              <w:left w:val="nil"/>
              <w:bottom w:val="single" w:sz="8" w:space="0" w:color="EC7C30"/>
              <w:right w:val="nil"/>
            </w:tcBorders>
          </w:tcPr>
          <w:p>
            <w:pPr>
              <w:pStyle w:val="TableParagraph"/>
              <w:spacing w:before="108"/>
              <w:ind w:left="107"/>
              <w:rPr>
                <w:sz w:val="20"/>
              </w:rPr>
            </w:pPr>
            <w:r>
              <w:rPr>
                <w:w w:val="99"/>
                <w:sz w:val="20"/>
              </w:rPr>
              <w:t>9</w:t>
            </w:r>
          </w:p>
        </w:tc>
        <w:tc>
          <w:tcPr>
            <w:tcW w:w="454" w:type="dxa"/>
            <w:tcBorders>
              <w:top w:val="single" w:sz="17" w:space="0" w:color="EC7C30"/>
              <w:left w:val="nil"/>
              <w:bottom w:val="single" w:sz="8" w:space="0" w:color="EC7C30"/>
              <w:right w:val="nil"/>
            </w:tcBorders>
          </w:tcPr>
          <w:p>
            <w:pPr>
              <w:pStyle w:val="TableParagraph"/>
              <w:spacing w:before="108"/>
              <w:ind w:right="136"/>
              <w:jc w:val="center"/>
              <w:rPr>
                <w:sz w:val="20"/>
              </w:rPr>
            </w:pPr>
            <w:r>
              <w:rPr>
                <w:w w:val="99"/>
                <w:sz w:val="20"/>
              </w:rPr>
              <w:t>7</w:t>
            </w:r>
          </w:p>
        </w:tc>
        <w:tc>
          <w:tcPr>
            <w:tcW w:w="454" w:type="dxa"/>
            <w:tcBorders>
              <w:top w:val="single" w:sz="17" w:space="0" w:color="EC7C30"/>
              <w:left w:val="nil"/>
              <w:bottom w:val="single" w:sz="8" w:space="0" w:color="EC7C30"/>
              <w:right w:val="nil"/>
            </w:tcBorders>
          </w:tcPr>
          <w:p>
            <w:pPr>
              <w:pStyle w:val="TableParagraph"/>
              <w:spacing w:before="108"/>
              <w:ind w:left="108"/>
              <w:rPr>
                <w:sz w:val="20"/>
              </w:rPr>
            </w:pPr>
            <w:r>
              <w:rPr>
                <w:sz w:val="20"/>
              </w:rPr>
              <w:t>12</w:t>
            </w:r>
          </w:p>
        </w:tc>
        <w:tc>
          <w:tcPr>
            <w:tcW w:w="456" w:type="dxa"/>
            <w:tcBorders>
              <w:top w:val="single" w:sz="17" w:space="0" w:color="EC7C30"/>
              <w:left w:val="nil"/>
              <w:bottom w:val="single" w:sz="8" w:space="0" w:color="EC7C30"/>
              <w:right w:val="nil"/>
            </w:tcBorders>
          </w:tcPr>
          <w:p>
            <w:pPr>
              <w:pStyle w:val="TableParagraph"/>
              <w:spacing w:before="108"/>
              <w:ind w:right="138"/>
              <w:jc w:val="center"/>
              <w:rPr>
                <w:sz w:val="20"/>
              </w:rPr>
            </w:pPr>
            <w:r>
              <w:rPr>
                <w:w w:val="99"/>
                <w:sz w:val="20"/>
              </w:rPr>
              <w:t>5</w:t>
            </w:r>
          </w:p>
        </w:tc>
        <w:tc>
          <w:tcPr>
            <w:tcW w:w="454" w:type="dxa"/>
            <w:tcBorders>
              <w:top w:val="single" w:sz="17" w:space="0" w:color="EC7C30"/>
              <w:left w:val="nil"/>
              <w:bottom w:val="single" w:sz="8" w:space="0" w:color="EC7C30"/>
              <w:right w:val="nil"/>
            </w:tcBorders>
          </w:tcPr>
          <w:p>
            <w:pPr>
              <w:pStyle w:val="TableParagraph"/>
              <w:spacing w:before="108"/>
              <w:ind w:right="140"/>
              <w:jc w:val="center"/>
              <w:rPr>
                <w:sz w:val="20"/>
              </w:rPr>
            </w:pPr>
            <w:r>
              <w:rPr>
                <w:w w:val="99"/>
                <w:sz w:val="20"/>
              </w:rPr>
              <w:t>9</w:t>
            </w:r>
          </w:p>
        </w:tc>
        <w:tc>
          <w:tcPr>
            <w:tcW w:w="454" w:type="dxa"/>
            <w:tcBorders>
              <w:top w:val="single" w:sz="17" w:space="0" w:color="EC7C30"/>
              <w:left w:val="nil"/>
              <w:bottom w:val="single" w:sz="8" w:space="0" w:color="EC7C30"/>
              <w:right w:val="nil"/>
            </w:tcBorders>
          </w:tcPr>
          <w:p>
            <w:pPr>
              <w:pStyle w:val="TableParagraph"/>
              <w:spacing w:before="108"/>
              <w:ind w:left="106"/>
              <w:rPr>
                <w:sz w:val="20"/>
              </w:rPr>
            </w:pPr>
            <w:r>
              <w:rPr>
                <w:sz w:val="20"/>
              </w:rPr>
              <w:t>10</w:t>
            </w:r>
          </w:p>
        </w:tc>
        <w:tc>
          <w:tcPr>
            <w:tcW w:w="454" w:type="dxa"/>
            <w:tcBorders>
              <w:top w:val="single" w:sz="17" w:space="0" w:color="EC7C30"/>
              <w:left w:val="nil"/>
              <w:bottom w:val="single" w:sz="8" w:space="0" w:color="EC7C30"/>
              <w:right w:val="nil"/>
            </w:tcBorders>
          </w:tcPr>
          <w:p>
            <w:pPr>
              <w:pStyle w:val="TableParagraph"/>
              <w:spacing w:before="108"/>
              <w:ind w:right="136"/>
              <w:jc w:val="center"/>
              <w:rPr>
                <w:sz w:val="20"/>
              </w:rPr>
            </w:pPr>
            <w:r>
              <w:rPr>
                <w:w w:val="99"/>
                <w:sz w:val="20"/>
              </w:rPr>
              <w:t>6</w:t>
            </w:r>
          </w:p>
        </w:tc>
        <w:tc>
          <w:tcPr>
            <w:tcW w:w="454" w:type="dxa"/>
            <w:tcBorders>
              <w:top w:val="single" w:sz="17" w:space="0" w:color="EC7C30"/>
              <w:left w:val="nil"/>
              <w:bottom w:val="single" w:sz="8" w:space="0" w:color="EC7C30"/>
              <w:right w:val="nil"/>
            </w:tcBorders>
          </w:tcPr>
          <w:p>
            <w:pPr>
              <w:pStyle w:val="TableParagraph"/>
              <w:spacing w:before="108"/>
              <w:ind w:right="136"/>
              <w:jc w:val="center"/>
              <w:rPr>
                <w:sz w:val="20"/>
              </w:rPr>
            </w:pPr>
            <w:r>
              <w:rPr>
                <w:w w:val="99"/>
                <w:sz w:val="20"/>
              </w:rPr>
              <w:t>5</w:t>
            </w:r>
          </w:p>
        </w:tc>
        <w:tc>
          <w:tcPr>
            <w:tcW w:w="454" w:type="dxa"/>
            <w:tcBorders>
              <w:top w:val="single" w:sz="17" w:space="0" w:color="EC7C30"/>
              <w:left w:val="nil"/>
              <w:bottom w:val="single" w:sz="8" w:space="0" w:color="EC7C30"/>
              <w:right w:val="nil"/>
            </w:tcBorders>
          </w:tcPr>
          <w:p>
            <w:pPr>
              <w:pStyle w:val="TableParagraph"/>
              <w:spacing w:before="108"/>
              <w:ind w:left="107"/>
              <w:rPr>
                <w:sz w:val="20"/>
              </w:rPr>
            </w:pPr>
            <w:r>
              <w:rPr>
                <w:sz w:val="20"/>
              </w:rPr>
              <w:t>12</w:t>
            </w:r>
          </w:p>
        </w:tc>
        <w:tc>
          <w:tcPr>
            <w:tcW w:w="456" w:type="dxa"/>
            <w:tcBorders>
              <w:top w:val="single" w:sz="17" w:space="0" w:color="EC7C30"/>
              <w:left w:val="nil"/>
              <w:bottom w:val="single" w:sz="8" w:space="0" w:color="EC7C30"/>
              <w:right w:val="nil"/>
            </w:tcBorders>
          </w:tcPr>
          <w:p>
            <w:pPr>
              <w:pStyle w:val="TableParagraph"/>
              <w:spacing w:before="108"/>
              <w:ind w:right="138"/>
              <w:jc w:val="center"/>
              <w:rPr>
                <w:sz w:val="20"/>
              </w:rPr>
            </w:pPr>
            <w:r>
              <w:rPr>
                <w:w w:val="99"/>
                <w:sz w:val="20"/>
              </w:rPr>
              <w:t>7</w:t>
            </w:r>
          </w:p>
        </w:tc>
        <w:tc>
          <w:tcPr>
            <w:tcW w:w="454" w:type="dxa"/>
            <w:tcBorders>
              <w:top w:val="single" w:sz="17" w:space="0" w:color="EC7C30"/>
              <w:left w:val="nil"/>
              <w:bottom w:val="single" w:sz="8" w:space="0" w:color="EC7C30"/>
              <w:right w:val="nil"/>
            </w:tcBorders>
          </w:tcPr>
          <w:p>
            <w:pPr>
              <w:pStyle w:val="TableParagraph"/>
              <w:spacing w:before="108"/>
              <w:ind w:left="68" w:right="106"/>
              <w:jc w:val="center"/>
              <w:rPr>
                <w:sz w:val="20"/>
              </w:rPr>
            </w:pPr>
            <w:r>
              <w:rPr>
                <w:sz w:val="20"/>
              </w:rPr>
              <w:t>11</w:t>
            </w:r>
          </w:p>
        </w:tc>
        <w:tc>
          <w:tcPr>
            <w:tcW w:w="454" w:type="dxa"/>
            <w:tcBorders>
              <w:top w:val="single" w:sz="17" w:space="0" w:color="EC7C30"/>
              <w:left w:val="nil"/>
              <w:bottom w:val="single" w:sz="8" w:space="0" w:color="EC7C30"/>
              <w:right w:val="nil"/>
            </w:tcBorders>
          </w:tcPr>
          <w:p>
            <w:pPr>
              <w:pStyle w:val="TableParagraph"/>
              <w:spacing w:before="108"/>
              <w:ind w:left="105"/>
              <w:rPr>
                <w:sz w:val="20"/>
              </w:rPr>
            </w:pPr>
            <w:r>
              <w:rPr>
                <w:w w:val="99"/>
                <w:sz w:val="20"/>
              </w:rPr>
              <w:t>5</w:t>
            </w:r>
          </w:p>
        </w:tc>
        <w:tc>
          <w:tcPr>
            <w:tcW w:w="454" w:type="dxa"/>
            <w:tcBorders>
              <w:top w:val="single" w:sz="17" w:space="0" w:color="EC7C30"/>
              <w:left w:val="nil"/>
              <w:bottom w:val="single" w:sz="8" w:space="0" w:color="EC7C30"/>
              <w:right w:val="nil"/>
            </w:tcBorders>
          </w:tcPr>
          <w:p>
            <w:pPr>
              <w:pStyle w:val="TableParagraph"/>
              <w:spacing w:before="108"/>
              <w:ind w:right="136"/>
              <w:jc w:val="center"/>
              <w:rPr>
                <w:sz w:val="20"/>
              </w:rPr>
            </w:pPr>
            <w:r>
              <w:rPr>
                <w:w w:val="99"/>
                <w:sz w:val="20"/>
              </w:rPr>
              <w:t>6</w:t>
            </w:r>
          </w:p>
        </w:tc>
        <w:tc>
          <w:tcPr>
            <w:tcW w:w="454" w:type="dxa"/>
            <w:tcBorders>
              <w:top w:val="single" w:sz="17" w:space="0" w:color="EC7C30"/>
              <w:left w:val="nil"/>
              <w:bottom w:val="single" w:sz="8" w:space="0" w:color="EC7C30"/>
              <w:right w:val="nil"/>
            </w:tcBorders>
          </w:tcPr>
          <w:p>
            <w:pPr>
              <w:pStyle w:val="TableParagraph"/>
              <w:spacing w:before="108"/>
              <w:ind w:left="107"/>
              <w:rPr>
                <w:sz w:val="20"/>
              </w:rPr>
            </w:pPr>
            <w:r>
              <w:rPr>
                <w:w w:val="99"/>
                <w:sz w:val="20"/>
              </w:rPr>
              <w:t>8</w:t>
            </w:r>
          </w:p>
        </w:tc>
        <w:tc>
          <w:tcPr>
            <w:tcW w:w="454" w:type="dxa"/>
            <w:tcBorders>
              <w:top w:val="single" w:sz="17" w:space="0" w:color="EC7C30"/>
              <w:left w:val="nil"/>
              <w:bottom w:val="single" w:sz="8" w:space="0" w:color="EC7C30"/>
              <w:right w:val="nil"/>
            </w:tcBorders>
          </w:tcPr>
          <w:p>
            <w:pPr>
              <w:pStyle w:val="TableParagraph"/>
              <w:spacing w:before="108"/>
              <w:ind w:left="107"/>
              <w:rPr>
                <w:sz w:val="20"/>
              </w:rPr>
            </w:pPr>
            <w:r>
              <w:rPr>
                <w:sz w:val="20"/>
              </w:rPr>
              <w:t>10</w:t>
            </w:r>
          </w:p>
        </w:tc>
        <w:tc>
          <w:tcPr>
            <w:tcW w:w="456" w:type="dxa"/>
            <w:tcBorders>
              <w:top w:val="single" w:sz="17" w:space="0" w:color="EC7C30"/>
              <w:left w:val="nil"/>
              <w:bottom w:val="single" w:sz="8" w:space="0" w:color="EC7C30"/>
              <w:right w:val="nil"/>
            </w:tcBorders>
          </w:tcPr>
          <w:p>
            <w:pPr>
              <w:pStyle w:val="TableParagraph"/>
              <w:spacing w:before="108"/>
              <w:ind w:right="138"/>
              <w:jc w:val="center"/>
              <w:rPr>
                <w:sz w:val="20"/>
              </w:rPr>
            </w:pPr>
            <w:r>
              <w:rPr>
                <w:w w:val="99"/>
                <w:sz w:val="20"/>
              </w:rPr>
              <w:t>6</w:t>
            </w:r>
          </w:p>
        </w:tc>
        <w:tc>
          <w:tcPr>
            <w:tcW w:w="454" w:type="dxa"/>
            <w:tcBorders>
              <w:top w:val="single" w:sz="17" w:space="0" w:color="EC7C30"/>
              <w:left w:val="nil"/>
              <w:bottom w:val="single" w:sz="8" w:space="0" w:color="EC7C30"/>
              <w:right w:val="nil"/>
            </w:tcBorders>
          </w:tcPr>
          <w:p>
            <w:pPr>
              <w:pStyle w:val="TableParagraph"/>
              <w:spacing w:before="108"/>
              <w:ind w:left="105"/>
              <w:rPr>
                <w:sz w:val="20"/>
              </w:rPr>
            </w:pPr>
            <w:r>
              <w:rPr>
                <w:w w:val="99"/>
                <w:sz w:val="20"/>
              </w:rPr>
              <w:t>8</w:t>
            </w:r>
          </w:p>
        </w:tc>
        <w:tc>
          <w:tcPr>
            <w:tcW w:w="454" w:type="dxa"/>
            <w:tcBorders>
              <w:top w:val="single" w:sz="17" w:space="0" w:color="EC7C30"/>
              <w:left w:val="nil"/>
              <w:bottom w:val="single" w:sz="8" w:space="0" w:color="EC7C30"/>
              <w:right w:val="nil"/>
            </w:tcBorders>
          </w:tcPr>
          <w:p>
            <w:pPr>
              <w:pStyle w:val="TableParagraph"/>
              <w:spacing w:before="108"/>
              <w:ind w:left="105"/>
              <w:rPr>
                <w:sz w:val="20"/>
              </w:rPr>
            </w:pPr>
            <w:r>
              <w:rPr>
                <w:sz w:val="20"/>
              </w:rPr>
              <w:t>28</w:t>
            </w:r>
          </w:p>
        </w:tc>
        <w:tc>
          <w:tcPr>
            <w:tcW w:w="454" w:type="dxa"/>
            <w:tcBorders>
              <w:top w:val="single" w:sz="17" w:space="0" w:color="EC7C30"/>
              <w:left w:val="nil"/>
              <w:bottom w:val="single" w:sz="8" w:space="0" w:color="EC7C30"/>
              <w:right w:val="nil"/>
            </w:tcBorders>
          </w:tcPr>
          <w:p>
            <w:pPr>
              <w:pStyle w:val="TableParagraph"/>
              <w:spacing w:before="108"/>
              <w:ind w:left="72" w:right="106"/>
              <w:jc w:val="center"/>
              <w:rPr>
                <w:sz w:val="20"/>
              </w:rPr>
            </w:pPr>
            <w:r>
              <w:rPr>
                <w:sz w:val="20"/>
              </w:rPr>
              <w:t>13</w:t>
            </w:r>
          </w:p>
        </w:tc>
        <w:tc>
          <w:tcPr>
            <w:tcW w:w="626" w:type="dxa"/>
            <w:tcBorders>
              <w:top w:val="single" w:sz="17" w:space="0" w:color="EC7C30"/>
              <w:left w:val="nil"/>
              <w:bottom w:val="single" w:sz="8" w:space="0" w:color="EC7C30"/>
              <w:right w:val="nil"/>
            </w:tcBorders>
          </w:tcPr>
          <w:p>
            <w:pPr>
              <w:pStyle w:val="TableParagraph"/>
              <w:spacing w:before="108"/>
              <w:ind w:left="90" w:right="196"/>
              <w:jc w:val="center"/>
              <w:rPr>
                <w:sz w:val="20"/>
              </w:rPr>
            </w:pPr>
            <w:r>
              <w:rPr>
                <w:sz w:val="20"/>
              </w:rPr>
              <w:t>211</w:t>
            </w:r>
          </w:p>
        </w:tc>
      </w:tr>
      <w:tr>
        <w:trPr>
          <w:trHeight w:val="481" w:hRule="exact"/>
        </w:trPr>
        <w:tc>
          <w:tcPr>
            <w:tcW w:w="1536" w:type="dxa"/>
            <w:tcBorders>
              <w:top w:val="single" w:sz="8" w:space="0" w:color="EC7C30"/>
              <w:left w:val="nil"/>
              <w:bottom w:val="single" w:sz="8" w:space="0" w:color="EC7C30"/>
              <w:right w:val="nil"/>
            </w:tcBorders>
          </w:tcPr>
          <w:p>
            <w:pPr>
              <w:pStyle w:val="TableParagraph"/>
              <w:spacing w:before="109"/>
              <w:ind w:left="115"/>
              <w:rPr>
                <w:sz w:val="20"/>
              </w:rPr>
            </w:pPr>
            <w:r>
              <w:rPr>
                <w:sz w:val="20"/>
              </w:rPr>
              <w:t>Gurupi</w:t>
            </w:r>
          </w:p>
        </w:tc>
        <w:tc>
          <w:tcPr>
            <w:tcW w:w="965" w:type="dxa"/>
            <w:tcBorders>
              <w:top w:val="single" w:sz="8" w:space="0" w:color="EC7C30"/>
              <w:left w:val="nil"/>
              <w:bottom w:val="single" w:sz="8" w:space="0" w:color="EC7C30"/>
              <w:right w:val="nil"/>
            </w:tcBorders>
          </w:tcPr>
          <w:p>
            <w:pPr>
              <w:pStyle w:val="TableParagraph"/>
              <w:spacing w:before="0"/>
              <w:ind w:left="107" w:right="126"/>
              <w:rPr>
                <w:sz w:val="20"/>
              </w:rPr>
            </w:pPr>
            <w:r>
              <w:rPr>
                <w:sz w:val="20"/>
              </w:rPr>
              <w:t>2223 de 26/06/15</w:t>
            </w:r>
          </w:p>
        </w:tc>
        <w:tc>
          <w:tcPr>
            <w:tcW w:w="564" w:type="dxa"/>
            <w:tcBorders>
              <w:top w:val="single" w:sz="8" w:space="0" w:color="EC7C30"/>
              <w:left w:val="nil"/>
              <w:bottom w:val="single" w:sz="8" w:space="0" w:color="EC7C30"/>
              <w:right w:val="nil"/>
            </w:tcBorders>
          </w:tcPr>
          <w:p>
            <w:pPr>
              <w:pStyle w:val="TableParagraph"/>
              <w:spacing w:before="109"/>
              <w:ind w:left="105"/>
              <w:rPr>
                <w:sz w:val="20"/>
              </w:rPr>
            </w:pPr>
            <w:r>
              <w:rPr>
                <w:sz w:val="20"/>
              </w:rPr>
              <w:t>15</w:t>
            </w:r>
          </w:p>
        </w:tc>
        <w:tc>
          <w:tcPr>
            <w:tcW w:w="569" w:type="dxa"/>
            <w:tcBorders>
              <w:top w:val="single" w:sz="8" w:space="0" w:color="EC7C30"/>
              <w:left w:val="nil"/>
              <w:bottom w:val="single" w:sz="8" w:space="0" w:color="EC7C30"/>
              <w:right w:val="nil"/>
            </w:tcBorders>
          </w:tcPr>
          <w:p>
            <w:pPr>
              <w:pStyle w:val="TableParagraph"/>
              <w:spacing w:before="109"/>
              <w:ind w:left="107"/>
              <w:rPr>
                <w:sz w:val="20"/>
              </w:rPr>
            </w:pPr>
            <w:r>
              <w:rPr>
                <w:sz w:val="20"/>
              </w:rPr>
              <w:t>21</w:t>
            </w:r>
          </w:p>
        </w:tc>
        <w:tc>
          <w:tcPr>
            <w:tcW w:w="338" w:type="dxa"/>
            <w:tcBorders>
              <w:top w:val="single" w:sz="8" w:space="0" w:color="EC7C30"/>
              <w:left w:val="nil"/>
              <w:bottom w:val="single" w:sz="8" w:space="0" w:color="EC7C30"/>
              <w:right w:val="nil"/>
            </w:tcBorders>
          </w:tcPr>
          <w:p>
            <w:pPr>
              <w:pStyle w:val="TableParagraph"/>
              <w:spacing w:before="109"/>
              <w:ind w:right="58"/>
              <w:jc w:val="center"/>
              <w:rPr>
                <w:sz w:val="20"/>
              </w:rPr>
            </w:pPr>
            <w:r>
              <w:rPr>
                <w:w w:val="99"/>
                <w:sz w:val="20"/>
              </w:rPr>
              <w:t>-</w:t>
            </w:r>
          </w:p>
        </w:tc>
        <w:tc>
          <w:tcPr>
            <w:tcW w:w="566" w:type="dxa"/>
            <w:tcBorders>
              <w:top w:val="single" w:sz="8" w:space="0" w:color="EC7C30"/>
              <w:left w:val="nil"/>
              <w:bottom w:val="single" w:sz="8" w:space="0" w:color="EC7C30"/>
              <w:right w:val="nil"/>
            </w:tcBorders>
          </w:tcPr>
          <w:p>
            <w:pPr>
              <w:pStyle w:val="TableParagraph"/>
              <w:spacing w:before="109"/>
              <w:ind w:left="105"/>
              <w:rPr>
                <w:sz w:val="20"/>
              </w:rPr>
            </w:pPr>
            <w:r>
              <w:rPr>
                <w:w w:val="99"/>
                <w:sz w:val="20"/>
              </w:rPr>
              <w:t>-</w:t>
            </w:r>
          </w:p>
        </w:tc>
        <w:tc>
          <w:tcPr>
            <w:tcW w:w="566" w:type="dxa"/>
            <w:tcBorders>
              <w:top w:val="single" w:sz="8" w:space="0" w:color="EC7C30"/>
              <w:left w:val="nil"/>
              <w:bottom w:val="single" w:sz="8" w:space="0" w:color="EC7C30"/>
              <w:right w:val="nil"/>
            </w:tcBorders>
          </w:tcPr>
          <w:p>
            <w:pPr>
              <w:pStyle w:val="TableParagraph"/>
              <w:spacing w:before="109"/>
              <w:ind w:left="108"/>
              <w:rPr>
                <w:sz w:val="20"/>
              </w:rPr>
            </w:pPr>
            <w:r>
              <w:rPr>
                <w:w w:val="99"/>
                <w:sz w:val="20"/>
              </w:rPr>
              <w:t>-</w:t>
            </w:r>
          </w:p>
        </w:tc>
        <w:tc>
          <w:tcPr>
            <w:tcW w:w="284" w:type="dxa"/>
            <w:tcBorders>
              <w:top w:val="single" w:sz="8" w:space="0" w:color="EC7C30"/>
              <w:left w:val="nil"/>
              <w:bottom w:val="single" w:sz="8" w:space="0" w:color="EC7C30"/>
              <w:right w:val="nil"/>
            </w:tcBorders>
          </w:tcPr>
          <w:p>
            <w:pPr>
              <w:pStyle w:val="TableParagraph"/>
              <w:spacing w:before="109"/>
              <w:ind w:right="1"/>
              <w:jc w:val="center"/>
              <w:rPr>
                <w:sz w:val="20"/>
              </w:rPr>
            </w:pPr>
            <w:r>
              <w:rPr>
                <w:w w:val="99"/>
                <w:sz w:val="20"/>
              </w:rPr>
              <w:t>-</w:t>
            </w:r>
          </w:p>
        </w:tc>
        <w:tc>
          <w:tcPr>
            <w:tcW w:w="456" w:type="dxa"/>
            <w:tcBorders>
              <w:top w:val="single" w:sz="8" w:space="0" w:color="EC7C30"/>
              <w:left w:val="nil"/>
              <w:bottom w:val="single" w:sz="8" w:space="0" w:color="EC7C30"/>
              <w:right w:val="nil"/>
            </w:tcBorders>
          </w:tcPr>
          <w:p>
            <w:pPr>
              <w:pStyle w:val="TableParagraph"/>
              <w:spacing w:before="109"/>
              <w:ind w:left="107"/>
              <w:rPr>
                <w:sz w:val="20"/>
              </w:rPr>
            </w:pPr>
            <w:r>
              <w:rPr>
                <w:sz w:val="20"/>
              </w:rPr>
              <w:t>20</w:t>
            </w:r>
          </w:p>
        </w:tc>
        <w:tc>
          <w:tcPr>
            <w:tcW w:w="454" w:type="dxa"/>
            <w:tcBorders>
              <w:top w:val="single" w:sz="8" w:space="0" w:color="EC7C30"/>
              <w:left w:val="nil"/>
              <w:bottom w:val="single" w:sz="8" w:space="0" w:color="EC7C30"/>
              <w:right w:val="nil"/>
            </w:tcBorders>
          </w:tcPr>
          <w:p>
            <w:pPr>
              <w:pStyle w:val="TableParagraph"/>
              <w:spacing w:before="109"/>
              <w:ind w:left="68" w:right="106"/>
              <w:jc w:val="center"/>
              <w:rPr>
                <w:sz w:val="20"/>
              </w:rPr>
            </w:pPr>
            <w:r>
              <w:rPr>
                <w:sz w:val="20"/>
              </w:rPr>
              <w:t>27</w:t>
            </w:r>
          </w:p>
        </w:tc>
        <w:tc>
          <w:tcPr>
            <w:tcW w:w="454" w:type="dxa"/>
            <w:tcBorders>
              <w:top w:val="single" w:sz="8" w:space="0" w:color="EC7C30"/>
              <w:left w:val="nil"/>
              <w:bottom w:val="single" w:sz="8" w:space="0" w:color="EC7C30"/>
              <w:right w:val="nil"/>
            </w:tcBorders>
          </w:tcPr>
          <w:p>
            <w:pPr>
              <w:pStyle w:val="TableParagraph"/>
              <w:spacing w:before="109"/>
              <w:ind w:left="105"/>
              <w:rPr>
                <w:sz w:val="20"/>
              </w:rPr>
            </w:pPr>
            <w:r>
              <w:rPr>
                <w:w w:val="99"/>
                <w:sz w:val="20"/>
              </w:rPr>
              <w:t>4</w:t>
            </w:r>
          </w:p>
        </w:tc>
        <w:tc>
          <w:tcPr>
            <w:tcW w:w="454" w:type="dxa"/>
            <w:tcBorders>
              <w:top w:val="single" w:sz="8" w:space="0" w:color="EC7C30"/>
              <w:left w:val="nil"/>
              <w:bottom w:val="single" w:sz="8" w:space="0" w:color="EC7C30"/>
              <w:right w:val="nil"/>
            </w:tcBorders>
          </w:tcPr>
          <w:p>
            <w:pPr>
              <w:pStyle w:val="TableParagraph"/>
              <w:spacing w:before="109"/>
              <w:ind w:left="107"/>
              <w:rPr>
                <w:sz w:val="20"/>
              </w:rPr>
            </w:pPr>
            <w:r>
              <w:rPr>
                <w:w w:val="99"/>
                <w:sz w:val="20"/>
              </w:rPr>
              <w:t>7</w:t>
            </w:r>
          </w:p>
        </w:tc>
        <w:tc>
          <w:tcPr>
            <w:tcW w:w="454" w:type="dxa"/>
            <w:tcBorders>
              <w:top w:val="single" w:sz="8" w:space="0" w:color="EC7C30"/>
              <w:left w:val="nil"/>
              <w:bottom w:val="single" w:sz="8" w:space="0" w:color="EC7C30"/>
              <w:right w:val="nil"/>
            </w:tcBorders>
          </w:tcPr>
          <w:p>
            <w:pPr>
              <w:pStyle w:val="TableParagraph"/>
              <w:spacing w:before="109"/>
              <w:ind w:left="72" w:right="106"/>
              <w:jc w:val="center"/>
              <w:rPr>
                <w:sz w:val="20"/>
              </w:rPr>
            </w:pPr>
            <w:r>
              <w:rPr>
                <w:sz w:val="20"/>
              </w:rPr>
              <w:t>15</w:t>
            </w:r>
          </w:p>
        </w:tc>
        <w:tc>
          <w:tcPr>
            <w:tcW w:w="454" w:type="dxa"/>
            <w:tcBorders>
              <w:top w:val="single" w:sz="8" w:space="0" w:color="EC7C30"/>
              <w:left w:val="nil"/>
              <w:bottom w:val="single" w:sz="8" w:space="0" w:color="EC7C30"/>
              <w:right w:val="nil"/>
            </w:tcBorders>
          </w:tcPr>
          <w:p>
            <w:pPr>
              <w:pStyle w:val="TableParagraph"/>
              <w:spacing w:before="109"/>
              <w:ind w:left="108"/>
              <w:rPr>
                <w:sz w:val="20"/>
              </w:rPr>
            </w:pPr>
            <w:r>
              <w:rPr>
                <w:w w:val="99"/>
                <w:sz w:val="20"/>
              </w:rPr>
              <w:t>6</w:t>
            </w:r>
          </w:p>
        </w:tc>
        <w:tc>
          <w:tcPr>
            <w:tcW w:w="456" w:type="dxa"/>
            <w:tcBorders>
              <w:top w:val="single" w:sz="8" w:space="0" w:color="EC7C30"/>
              <w:left w:val="nil"/>
              <w:bottom w:val="single" w:sz="8" w:space="0" w:color="EC7C30"/>
              <w:right w:val="nil"/>
            </w:tcBorders>
          </w:tcPr>
          <w:p>
            <w:pPr>
              <w:pStyle w:val="TableParagraph"/>
              <w:spacing w:before="109"/>
              <w:ind w:left="90" w:right="126"/>
              <w:jc w:val="center"/>
              <w:rPr>
                <w:sz w:val="20"/>
              </w:rPr>
            </w:pPr>
            <w:r>
              <w:rPr>
                <w:sz w:val="20"/>
              </w:rPr>
              <w:t>16</w:t>
            </w:r>
          </w:p>
        </w:tc>
        <w:tc>
          <w:tcPr>
            <w:tcW w:w="454" w:type="dxa"/>
            <w:tcBorders>
              <w:top w:val="single" w:sz="8" w:space="0" w:color="EC7C30"/>
              <w:left w:val="nil"/>
              <w:bottom w:val="single" w:sz="8" w:space="0" w:color="EC7C30"/>
              <w:right w:val="nil"/>
            </w:tcBorders>
          </w:tcPr>
          <w:p>
            <w:pPr>
              <w:pStyle w:val="TableParagraph"/>
              <w:spacing w:before="109"/>
              <w:ind w:right="140"/>
              <w:jc w:val="center"/>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9"/>
              <w:ind w:left="106"/>
              <w:rPr>
                <w:sz w:val="20"/>
              </w:rPr>
            </w:pPr>
            <w:r>
              <w:rPr>
                <w:w w:val="99"/>
                <w:sz w:val="20"/>
              </w:rPr>
              <w:t>2</w:t>
            </w:r>
          </w:p>
        </w:tc>
        <w:tc>
          <w:tcPr>
            <w:tcW w:w="454" w:type="dxa"/>
            <w:tcBorders>
              <w:top w:val="single" w:sz="8" w:space="0" w:color="EC7C30"/>
              <w:left w:val="nil"/>
              <w:bottom w:val="single" w:sz="8" w:space="0" w:color="EC7C30"/>
              <w:right w:val="nil"/>
            </w:tcBorders>
          </w:tcPr>
          <w:p>
            <w:pPr>
              <w:pStyle w:val="TableParagraph"/>
              <w:spacing w:before="109"/>
              <w:ind w:right="136"/>
              <w:jc w:val="center"/>
              <w:rPr>
                <w:sz w:val="20"/>
              </w:rPr>
            </w:pPr>
            <w:r>
              <w:rPr>
                <w:w w:val="99"/>
                <w:sz w:val="20"/>
              </w:rPr>
              <w:t>8</w:t>
            </w:r>
          </w:p>
        </w:tc>
        <w:tc>
          <w:tcPr>
            <w:tcW w:w="454" w:type="dxa"/>
            <w:tcBorders>
              <w:top w:val="single" w:sz="8" w:space="0" w:color="EC7C30"/>
              <w:left w:val="nil"/>
              <w:bottom w:val="single" w:sz="8" w:space="0" w:color="EC7C30"/>
              <w:right w:val="nil"/>
            </w:tcBorders>
          </w:tcPr>
          <w:p>
            <w:pPr>
              <w:pStyle w:val="TableParagraph"/>
              <w:spacing w:before="109"/>
              <w:ind w:right="136"/>
              <w:jc w:val="center"/>
              <w:rPr>
                <w:sz w:val="20"/>
              </w:rPr>
            </w:pPr>
            <w:r>
              <w:rPr>
                <w:w w:val="99"/>
                <w:sz w:val="20"/>
              </w:rPr>
              <w:t>4</w:t>
            </w:r>
          </w:p>
        </w:tc>
        <w:tc>
          <w:tcPr>
            <w:tcW w:w="454" w:type="dxa"/>
            <w:tcBorders>
              <w:top w:val="single" w:sz="8" w:space="0" w:color="EC7C30"/>
              <w:left w:val="nil"/>
              <w:bottom w:val="single" w:sz="8" w:space="0" w:color="EC7C30"/>
              <w:right w:val="nil"/>
            </w:tcBorders>
          </w:tcPr>
          <w:p>
            <w:pPr>
              <w:pStyle w:val="TableParagraph"/>
              <w:spacing w:before="109"/>
              <w:ind w:left="107"/>
              <w:rPr>
                <w:sz w:val="20"/>
              </w:rPr>
            </w:pPr>
            <w:r>
              <w:rPr>
                <w:w w:val="99"/>
                <w:sz w:val="20"/>
              </w:rPr>
              <w:t>3</w:t>
            </w:r>
          </w:p>
        </w:tc>
        <w:tc>
          <w:tcPr>
            <w:tcW w:w="456" w:type="dxa"/>
            <w:tcBorders>
              <w:top w:val="single" w:sz="8" w:space="0" w:color="EC7C30"/>
              <w:left w:val="nil"/>
              <w:bottom w:val="single" w:sz="8" w:space="0" w:color="EC7C30"/>
              <w:right w:val="nil"/>
            </w:tcBorders>
          </w:tcPr>
          <w:p>
            <w:pPr>
              <w:pStyle w:val="TableParagraph"/>
              <w:spacing w:before="109"/>
              <w:ind w:right="138"/>
              <w:jc w:val="center"/>
              <w:rPr>
                <w:sz w:val="20"/>
              </w:rPr>
            </w:pPr>
            <w:r>
              <w:rPr>
                <w:w w:val="99"/>
                <w:sz w:val="20"/>
              </w:rPr>
              <w:t>8</w:t>
            </w:r>
          </w:p>
        </w:tc>
        <w:tc>
          <w:tcPr>
            <w:tcW w:w="454" w:type="dxa"/>
            <w:tcBorders>
              <w:top w:val="single" w:sz="8" w:space="0" w:color="EC7C30"/>
              <w:left w:val="nil"/>
              <w:bottom w:val="single" w:sz="8" w:space="0" w:color="EC7C30"/>
              <w:right w:val="nil"/>
            </w:tcBorders>
          </w:tcPr>
          <w:p>
            <w:pPr>
              <w:pStyle w:val="TableParagraph"/>
              <w:spacing w:before="109"/>
              <w:ind w:right="140"/>
              <w:jc w:val="center"/>
              <w:rPr>
                <w:sz w:val="20"/>
              </w:rPr>
            </w:pPr>
            <w:r>
              <w:rPr>
                <w:w w:val="99"/>
                <w:sz w:val="20"/>
              </w:rPr>
              <w:t>3</w:t>
            </w:r>
          </w:p>
        </w:tc>
        <w:tc>
          <w:tcPr>
            <w:tcW w:w="454" w:type="dxa"/>
            <w:tcBorders>
              <w:top w:val="single" w:sz="8" w:space="0" w:color="EC7C30"/>
              <w:left w:val="nil"/>
              <w:bottom w:val="single" w:sz="8" w:space="0" w:color="EC7C30"/>
              <w:right w:val="nil"/>
            </w:tcBorders>
          </w:tcPr>
          <w:p>
            <w:pPr>
              <w:pStyle w:val="TableParagraph"/>
              <w:spacing w:before="109"/>
              <w:ind w:left="105"/>
              <w:rPr>
                <w:sz w:val="20"/>
              </w:rPr>
            </w:pPr>
            <w:r>
              <w:rPr>
                <w:w w:val="99"/>
                <w:sz w:val="20"/>
              </w:rPr>
              <w:t>7</w:t>
            </w:r>
          </w:p>
        </w:tc>
        <w:tc>
          <w:tcPr>
            <w:tcW w:w="454" w:type="dxa"/>
            <w:tcBorders>
              <w:top w:val="single" w:sz="8" w:space="0" w:color="EC7C30"/>
              <w:left w:val="nil"/>
              <w:bottom w:val="single" w:sz="8" w:space="0" w:color="EC7C30"/>
              <w:right w:val="nil"/>
            </w:tcBorders>
          </w:tcPr>
          <w:p>
            <w:pPr>
              <w:pStyle w:val="TableParagraph"/>
              <w:spacing w:before="109"/>
              <w:ind w:left="72" w:right="106"/>
              <w:jc w:val="center"/>
              <w:rPr>
                <w:sz w:val="20"/>
              </w:rPr>
            </w:pPr>
            <w:r>
              <w:rPr>
                <w:sz w:val="20"/>
              </w:rPr>
              <w:t>13</w:t>
            </w:r>
          </w:p>
        </w:tc>
        <w:tc>
          <w:tcPr>
            <w:tcW w:w="454" w:type="dxa"/>
            <w:tcBorders>
              <w:top w:val="single" w:sz="8" w:space="0" w:color="EC7C30"/>
              <w:left w:val="nil"/>
              <w:bottom w:val="single" w:sz="8" w:space="0" w:color="EC7C30"/>
              <w:right w:val="nil"/>
            </w:tcBorders>
          </w:tcPr>
          <w:p>
            <w:pPr>
              <w:pStyle w:val="TableParagraph"/>
              <w:spacing w:before="109"/>
              <w:ind w:left="107"/>
              <w:rPr>
                <w:sz w:val="20"/>
              </w:rPr>
            </w:pPr>
            <w:r>
              <w:rPr>
                <w:sz w:val="20"/>
              </w:rPr>
              <w:t>16</w:t>
            </w:r>
          </w:p>
        </w:tc>
        <w:tc>
          <w:tcPr>
            <w:tcW w:w="454" w:type="dxa"/>
            <w:tcBorders>
              <w:top w:val="single" w:sz="8" w:space="0" w:color="EC7C30"/>
              <w:left w:val="nil"/>
              <w:bottom w:val="single" w:sz="8" w:space="0" w:color="EC7C30"/>
              <w:right w:val="nil"/>
            </w:tcBorders>
          </w:tcPr>
          <w:p>
            <w:pPr>
              <w:pStyle w:val="TableParagraph"/>
              <w:spacing w:before="109"/>
              <w:ind w:left="107"/>
              <w:rPr>
                <w:sz w:val="20"/>
              </w:rPr>
            </w:pPr>
            <w:r>
              <w:rPr>
                <w:w w:val="99"/>
                <w:sz w:val="20"/>
              </w:rPr>
              <w:t>9</w:t>
            </w:r>
          </w:p>
        </w:tc>
        <w:tc>
          <w:tcPr>
            <w:tcW w:w="456" w:type="dxa"/>
            <w:tcBorders>
              <w:top w:val="single" w:sz="8" w:space="0" w:color="EC7C30"/>
              <w:left w:val="nil"/>
              <w:bottom w:val="single" w:sz="8" w:space="0" w:color="EC7C30"/>
              <w:right w:val="nil"/>
            </w:tcBorders>
          </w:tcPr>
          <w:p>
            <w:pPr>
              <w:pStyle w:val="TableParagraph"/>
              <w:spacing w:before="109"/>
              <w:ind w:left="90" w:right="126"/>
              <w:jc w:val="center"/>
              <w:rPr>
                <w:sz w:val="20"/>
              </w:rPr>
            </w:pPr>
            <w:r>
              <w:rPr>
                <w:sz w:val="20"/>
              </w:rPr>
              <w:t>18</w:t>
            </w:r>
          </w:p>
        </w:tc>
        <w:tc>
          <w:tcPr>
            <w:tcW w:w="454" w:type="dxa"/>
            <w:tcBorders>
              <w:top w:val="single" w:sz="8" w:space="0" w:color="EC7C30"/>
              <w:left w:val="nil"/>
              <w:bottom w:val="single" w:sz="8" w:space="0" w:color="EC7C30"/>
              <w:right w:val="nil"/>
            </w:tcBorders>
          </w:tcPr>
          <w:p>
            <w:pPr>
              <w:pStyle w:val="TableParagraph"/>
              <w:spacing w:before="109"/>
              <w:ind w:left="105"/>
              <w:rPr>
                <w:sz w:val="20"/>
              </w:rPr>
            </w:pPr>
            <w:r>
              <w:rPr>
                <w:sz w:val="20"/>
              </w:rPr>
              <w:t>19</w:t>
            </w:r>
          </w:p>
        </w:tc>
        <w:tc>
          <w:tcPr>
            <w:tcW w:w="454" w:type="dxa"/>
            <w:tcBorders>
              <w:top w:val="single" w:sz="8" w:space="0" w:color="EC7C30"/>
              <w:left w:val="nil"/>
              <w:bottom w:val="single" w:sz="8" w:space="0" w:color="EC7C30"/>
              <w:right w:val="nil"/>
            </w:tcBorders>
          </w:tcPr>
          <w:p>
            <w:pPr>
              <w:pStyle w:val="TableParagraph"/>
              <w:spacing w:before="109"/>
              <w:ind w:left="105"/>
              <w:rPr>
                <w:sz w:val="20"/>
              </w:rPr>
            </w:pPr>
            <w:r>
              <w:rPr>
                <w:sz w:val="20"/>
              </w:rPr>
              <w:t>13</w:t>
            </w:r>
          </w:p>
        </w:tc>
        <w:tc>
          <w:tcPr>
            <w:tcW w:w="454" w:type="dxa"/>
            <w:tcBorders>
              <w:top w:val="single" w:sz="8" w:space="0" w:color="EC7C30"/>
              <w:left w:val="nil"/>
              <w:bottom w:val="single" w:sz="8" w:space="0" w:color="EC7C30"/>
              <w:right w:val="nil"/>
            </w:tcBorders>
          </w:tcPr>
          <w:p>
            <w:pPr>
              <w:pStyle w:val="TableParagraph"/>
              <w:spacing w:before="109"/>
              <w:ind w:right="169"/>
              <w:jc w:val="center"/>
              <w:rPr>
                <w:sz w:val="20"/>
              </w:rPr>
            </w:pPr>
            <w:r>
              <w:rPr>
                <w:w w:val="99"/>
                <w:sz w:val="20"/>
              </w:rPr>
              <w:t>-</w:t>
            </w:r>
          </w:p>
        </w:tc>
        <w:tc>
          <w:tcPr>
            <w:tcW w:w="626" w:type="dxa"/>
            <w:tcBorders>
              <w:top w:val="single" w:sz="8" w:space="0" w:color="EC7C30"/>
              <w:left w:val="nil"/>
              <w:bottom w:val="single" w:sz="8" w:space="0" w:color="EC7C30"/>
              <w:right w:val="nil"/>
            </w:tcBorders>
          </w:tcPr>
          <w:p>
            <w:pPr>
              <w:pStyle w:val="TableParagraph"/>
              <w:spacing w:before="109"/>
              <w:ind w:left="90" w:right="196"/>
              <w:jc w:val="center"/>
              <w:rPr>
                <w:sz w:val="20"/>
              </w:rPr>
            </w:pPr>
            <w:r>
              <w:rPr>
                <w:sz w:val="20"/>
              </w:rPr>
              <w:t>227</w:t>
            </w:r>
          </w:p>
        </w:tc>
      </w:tr>
      <w:tr>
        <w:trPr>
          <w:trHeight w:val="480" w:hRule="exact"/>
        </w:trPr>
        <w:tc>
          <w:tcPr>
            <w:tcW w:w="1536" w:type="dxa"/>
            <w:tcBorders>
              <w:top w:val="single" w:sz="8" w:space="0" w:color="EC7C30"/>
              <w:left w:val="nil"/>
              <w:bottom w:val="single" w:sz="8" w:space="0" w:color="EC7C30"/>
              <w:right w:val="nil"/>
            </w:tcBorders>
          </w:tcPr>
          <w:p>
            <w:pPr>
              <w:pStyle w:val="TableParagraph"/>
              <w:spacing w:before="108"/>
              <w:ind w:left="115"/>
              <w:rPr>
                <w:sz w:val="20"/>
              </w:rPr>
            </w:pPr>
            <w:r>
              <w:rPr>
                <w:sz w:val="20"/>
              </w:rPr>
              <w:t>Centenário</w:t>
            </w:r>
          </w:p>
        </w:tc>
        <w:tc>
          <w:tcPr>
            <w:tcW w:w="965" w:type="dxa"/>
            <w:tcBorders>
              <w:top w:val="single" w:sz="8" w:space="0" w:color="EC7C30"/>
              <w:left w:val="nil"/>
              <w:bottom w:val="single" w:sz="8" w:space="0" w:color="EC7C30"/>
              <w:right w:val="nil"/>
            </w:tcBorders>
          </w:tcPr>
          <w:p>
            <w:pPr>
              <w:pStyle w:val="TableParagraph"/>
              <w:spacing w:before="0"/>
              <w:ind w:left="107" w:right="126"/>
              <w:rPr>
                <w:sz w:val="20"/>
              </w:rPr>
            </w:pPr>
            <w:r>
              <w:rPr>
                <w:sz w:val="20"/>
              </w:rPr>
              <w:t>371 de 05/06/15</w:t>
            </w:r>
          </w:p>
        </w:tc>
        <w:tc>
          <w:tcPr>
            <w:tcW w:w="564" w:type="dxa"/>
            <w:tcBorders>
              <w:top w:val="single" w:sz="8" w:space="0" w:color="EC7C30"/>
              <w:left w:val="nil"/>
              <w:bottom w:val="single" w:sz="8" w:space="0" w:color="EC7C30"/>
              <w:right w:val="nil"/>
            </w:tcBorders>
          </w:tcPr>
          <w:p>
            <w:pPr>
              <w:pStyle w:val="TableParagraph"/>
              <w:spacing w:before="108"/>
              <w:ind w:left="105"/>
              <w:rPr>
                <w:sz w:val="20"/>
              </w:rPr>
            </w:pPr>
            <w:r>
              <w:rPr>
                <w:sz w:val="20"/>
              </w:rPr>
              <w:t>14</w:t>
            </w:r>
          </w:p>
        </w:tc>
        <w:tc>
          <w:tcPr>
            <w:tcW w:w="569" w:type="dxa"/>
            <w:tcBorders>
              <w:top w:val="single" w:sz="8" w:space="0" w:color="EC7C30"/>
              <w:left w:val="nil"/>
              <w:bottom w:val="single" w:sz="8" w:space="0" w:color="EC7C30"/>
              <w:right w:val="nil"/>
            </w:tcBorders>
          </w:tcPr>
          <w:p>
            <w:pPr>
              <w:pStyle w:val="TableParagraph"/>
              <w:spacing w:before="108"/>
              <w:ind w:left="107"/>
              <w:rPr>
                <w:sz w:val="20"/>
              </w:rPr>
            </w:pPr>
            <w:r>
              <w:rPr>
                <w:sz w:val="20"/>
              </w:rPr>
              <w:t>22</w:t>
            </w:r>
          </w:p>
        </w:tc>
        <w:tc>
          <w:tcPr>
            <w:tcW w:w="338" w:type="dxa"/>
            <w:tcBorders>
              <w:top w:val="single" w:sz="8" w:space="0" w:color="EC7C30"/>
              <w:left w:val="nil"/>
              <w:bottom w:val="single" w:sz="8" w:space="0" w:color="EC7C30"/>
              <w:right w:val="nil"/>
            </w:tcBorders>
          </w:tcPr>
          <w:p>
            <w:pPr>
              <w:pStyle w:val="TableParagraph"/>
              <w:spacing w:before="108"/>
              <w:ind w:left="16"/>
              <w:jc w:val="center"/>
              <w:rPr>
                <w:sz w:val="20"/>
              </w:rPr>
            </w:pPr>
            <w:r>
              <w:rPr>
                <w:w w:val="99"/>
                <w:sz w:val="20"/>
              </w:rPr>
              <w:t>X</w:t>
            </w:r>
          </w:p>
        </w:tc>
        <w:tc>
          <w:tcPr>
            <w:tcW w:w="566"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w:t>
            </w:r>
          </w:p>
        </w:tc>
        <w:tc>
          <w:tcPr>
            <w:tcW w:w="566" w:type="dxa"/>
            <w:tcBorders>
              <w:top w:val="single" w:sz="8" w:space="0" w:color="EC7C30"/>
              <w:left w:val="nil"/>
              <w:bottom w:val="single" w:sz="8" w:space="0" w:color="EC7C30"/>
              <w:right w:val="nil"/>
            </w:tcBorders>
          </w:tcPr>
          <w:p>
            <w:pPr>
              <w:pStyle w:val="TableParagraph"/>
              <w:spacing w:before="108"/>
              <w:ind w:left="108"/>
              <w:rPr>
                <w:sz w:val="20"/>
              </w:rPr>
            </w:pPr>
            <w:r>
              <w:rPr>
                <w:w w:val="99"/>
                <w:sz w:val="20"/>
              </w:rPr>
              <w:t>X</w:t>
            </w:r>
          </w:p>
        </w:tc>
        <w:tc>
          <w:tcPr>
            <w:tcW w:w="284" w:type="dxa"/>
            <w:tcBorders>
              <w:top w:val="single" w:sz="8" w:space="0" w:color="EC7C30"/>
              <w:left w:val="nil"/>
              <w:bottom w:val="single" w:sz="8" w:space="0" w:color="EC7C30"/>
              <w:right w:val="nil"/>
            </w:tcBorders>
          </w:tcPr>
          <w:p>
            <w:pPr>
              <w:pStyle w:val="TableParagraph"/>
              <w:spacing w:before="108"/>
              <w:ind w:left="76"/>
              <w:jc w:val="center"/>
              <w:rPr>
                <w:sz w:val="20"/>
              </w:rPr>
            </w:pPr>
            <w:r>
              <w:rPr>
                <w:w w:val="99"/>
                <w:sz w:val="20"/>
              </w:rPr>
              <w:t>X</w:t>
            </w:r>
          </w:p>
        </w:tc>
        <w:tc>
          <w:tcPr>
            <w:tcW w:w="456" w:type="dxa"/>
            <w:tcBorders>
              <w:top w:val="single" w:sz="8" w:space="0" w:color="EC7C30"/>
              <w:left w:val="nil"/>
              <w:bottom w:val="single" w:sz="8" w:space="0" w:color="EC7C30"/>
              <w:right w:val="nil"/>
            </w:tcBorders>
          </w:tcPr>
          <w:p>
            <w:pPr>
              <w:pStyle w:val="TableParagraph"/>
              <w:spacing w:before="108"/>
              <w:ind w:left="107"/>
              <w:rPr>
                <w:sz w:val="20"/>
              </w:rPr>
            </w:pPr>
            <w:r>
              <w:rPr>
                <w:sz w:val="20"/>
              </w:rPr>
              <w:t>12</w:t>
            </w:r>
          </w:p>
        </w:tc>
        <w:tc>
          <w:tcPr>
            <w:tcW w:w="454" w:type="dxa"/>
            <w:tcBorders>
              <w:top w:val="single" w:sz="8" w:space="0" w:color="EC7C30"/>
              <w:left w:val="nil"/>
              <w:bottom w:val="single" w:sz="8" w:space="0" w:color="EC7C30"/>
              <w:right w:val="nil"/>
            </w:tcBorders>
          </w:tcPr>
          <w:p>
            <w:pPr>
              <w:pStyle w:val="TableParagraph"/>
              <w:spacing w:before="108"/>
              <w:ind w:right="140"/>
              <w:jc w:val="center"/>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sz w:val="20"/>
              </w:rPr>
              <w:t>16</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sz w:val="20"/>
              </w:rPr>
              <w:t>19</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7</w:t>
            </w:r>
          </w:p>
        </w:tc>
        <w:tc>
          <w:tcPr>
            <w:tcW w:w="454" w:type="dxa"/>
            <w:tcBorders>
              <w:top w:val="single" w:sz="8" w:space="0" w:color="EC7C30"/>
              <w:left w:val="nil"/>
              <w:bottom w:val="single" w:sz="8" w:space="0" w:color="EC7C30"/>
              <w:right w:val="nil"/>
            </w:tcBorders>
          </w:tcPr>
          <w:p>
            <w:pPr>
              <w:pStyle w:val="TableParagraph"/>
              <w:spacing w:before="108"/>
              <w:ind w:left="108"/>
              <w:rPr>
                <w:sz w:val="20"/>
              </w:rPr>
            </w:pPr>
            <w:r>
              <w:rPr>
                <w:w w:val="99"/>
                <w:sz w:val="20"/>
              </w:rPr>
              <w:t>4</w:t>
            </w:r>
          </w:p>
        </w:tc>
        <w:tc>
          <w:tcPr>
            <w:tcW w:w="456" w:type="dxa"/>
            <w:tcBorders>
              <w:top w:val="single" w:sz="8" w:space="0" w:color="EC7C30"/>
              <w:left w:val="nil"/>
              <w:bottom w:val="single" w:sz="8" w:space="0" w:color="EC7C30"/>
              <w:right w:val="nil"/>
            </w:tcBorders>
          </w:tcPr>
          <w:p>
            <w:pPr>
              <w:pStyle w:val="TableParagraph"/>
              <w:spacing w:before="108"/>
              <w:ind w:right="138"/>
              <w:jc w:val="center"/>
              <w:rPr>
                <w:sz w:val="20"/>
              </w:rPr>
            </w:pPr>
            <w:r>
              <w:rPr>
                <w:w w:val="99"/>
                <w:sz w:val="20"/>
              </w:rPr>
              <w:t>5</w:t>
            </w:r>
          </w:p>
        </w:tc>
        <w:tc>
          <w:tcPr>
            <w:tcW w:w="454" w:type="dxa"/>
            <w:tcBorders>
              <w:top w:val="single" w:sz="8" w:space="0" w:color="EC7C30"/>
              <w:left w:val="nil"/>
              <w:bottom w:val="single" w:sz="8" w:space="0" w:color="EC7C30"/>
              <w:right w:val="nil"/>
            </w:tcBorders>
          </w:tcPr>
          <w:p>
            <w:pPr>
              <w:pStyle w:val="TableParagraph"/>
              <w:spacing w:before="108"/>
              <w:ind w:right="140"/>
              <w:jc w:val="center"/>
              <w:rPr>
                <w:sz w:val="20"/>
              </w:rPr>
            </w:pPr>
            <w:r>
              <w:rPr>
                <w:w w:val="99"/>
                <w:sz w:val="20"/>
              </w:rPr>
              <w:t>7</w:t>
            </w:r>
          </w:p>
        </w:tc>
        <w:tc>
          <w:tcPr>
            <w:tcW w:w="454" w:type="dxa"/>
            <w:tcBorders>
              <w:top w:val="single" w:sz="8" w:space="0" w:color="EC7C30"/>
              <w:left w:val="nil"/>
              <w:bottom w:val="single" w:sz="8" w:space="0" w:color="EC7C30"/>
              <w:right w:val="nil"/>
            </w:tcBorders>
          </w:tcPr>
          <w:p>
            <w:pPr>
              <w:pStyle w:val="TableParagraph"/>
              <w:spacing w:before="108"/>
              <w:ind w:left="106"/>
              <w:rPr>
                <w:sz w:val="20"/>
              </w:rPr>
            </w:pPr>
            <w:r>
              <w:rPr>
                <w:w w:val="99"/>
                <w:sz w:val="20"/>
              </w:rPr>
              <w:t>8</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2</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8</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w w:val="99"/>
                <w:sz w:val="20"/>
              </w:rPr>
              <w:t>7</w:t>
            </w:r>
          </w:p>
        </w:tc>
        <w:tc>
          <w:tcPr>
            <w:tcW w:w="456" w:type="dxa"/>
            <w:tcBorders>
              <w:top w:val="single" w:sz="8" w:space="0" w:color="EC7C30"/>
              <w:left w:val="nil"/>
              <w:bottom w:val="single" w:sz="8" w:space="0" w:color="EC7C30"/>
              <w:right w:val="nil"/>
            </w:tcBorders>
          </w:tcPr>
          <w:p>
            <w:pPr>
              <w:pStyle w:val="TableParagraph"/>
              <w:spacing w:before="108"/>
              <w:ind w:left="90" w:right="126"/>
              <w:jc w:val="center"/>
              <w:rPr>
                <w:sz w:val="20"/>
              </w:rPr>
            </w:pPr>
            <w:r>
              <w:rPr>
                <w:sz w:val="20"/>
              </w:rPr>
              <w:t>12</w:t>
            </w:r>
          </w:p>
        </w:tc>
        <w:tc>
          <w:tcPr>
            <w:tcW w:w="454" w:type="dxa"/>
            <w:tcBorders>
              <w:top w:val="single" w:sz="8" w:space="0" w:color="EC7C30"/>
              <w:left w:val="nil"/>
              <w:bottom w:val="single" w:sz="8" w:space="0" w:color="EC7C30"/>
              <w:right w:val="nil"/>
            </w:tcBorders>
          </w:tcPr>
          <w:p>
            <w:pPr>
              <w:pStyle w:val="TableParagraph"/>
              <w:spacing w:before="108"/>
              <w:ind w:left="68" w:right="106"/>
              <w:jc w:val="center"/>
              <w:rPr>
                <w:sz w:val="20"/>
              </w:rPr>
            </w:pPr>
            <w:r>
              <w:rPr>
                <w:sz w:val="20"/>
              </w:rPr>
              <w:t>15</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8</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sz w:val="20"/>
              </w:rPr>
              <w:t>11</w:t>
            </w:r>
          </w:p>
        </w:tc>
        <w:tc>
          <w:tcPr>
            <w:tcW w:w="456" w:type="dxa"/>
            <w:tcBorders>
              <w:top w:val="single" w:sz="8" w:space="0" w:color="EC7C30"/>
              <w:left w:val="nil"/>
              <w:bottom w:val="single" w:sz="8" w:space="0" w:color="EC7C30"/>
              <w:right w:val="nil"/>
            </w:tcBorders>
          </w:tcPr>
          <w:p>
            <w:pPr>
              <w:pStyle w:val="TableParagraph"/>
              <w:spacing w:before="108"/>
              <w:ind w:right="138"/>
              <w:jc w:val="center"/>
              <w:rPr>
                <w:sz w:val="20"/>
              </w:rPr>
            </w:pPr>
            <w:r>
              <w:rPr>
                <w:w w:val="99"/>
                <w:sz w:val="20"/>
              </w:rPr>
              <w:t>6</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8</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sz w:val="20"/>
              </w:rPr>
              <w:t>36</w:t>
            </w:r>
          </w:p>
        </w:tc>
        <w:tc>
          <w:tcPr>
            <w:tcW w:w="454" w:type="dxa"/>
            <w:tcBorders>
              <w:top w:val="single" w:sz="8" w:space="0" w:color="EC7C30"/>
              <w:left w:val="nil"/>
              <w:bottom w:val="single" w:sz="8" w:space="0" w:color="EC7C30"/>
              <w:right w:val="nil"/>
            </w:tcBorders>
          </w:tcPr>
          <w:p>
            <w:pPr>
              <w:pStyle w:val="TableParagraph"/>
              <w:spacing w:before="108"/>
              <w:ind w:left="72" w:right="106"/>
              <w:jc w:val="center"/>
              <w:rPr>
                <w:sz w:val="20"/>
              </w:rPr>
            </w:pPr>
            <w:r>
              <w:rPr>
                <w:sz w:val="20"/>
              </w:rPr>
              <w:t>22</w:t>
            </w:r>
          </w:p>
        </w:tc>
        <w:tc>
          <w:tcPr>
            <w:tcW w:w="626" w:type="dxa"/>
            <w:tcBorders>
              <w:top w:val="single" w:sz="8" w:space="0" w:color="EC7C30"/>
              <w:left w:val="nil"/>
              <w:bottom w:val="single" w:sz="8" w:space="0" w:color="EC7C30"/>
              <w:right w:val="nil"/>
            </w:tcBorders>
          </w:tcPr>
          <w:p>
            <w:pPr>
              <w:pStyle w:val="TableParagraph"/>
              <w:spacing w:before="108"/>
              <w:ind w:left="90" w:right="196"/>
              <w:jc w:val="center"/>
              <w:rPr>
                <w:sz w:val="20"/>
              </w:rPr>
            </w:pPr>
            <w:r>
              <w:rPr>
                <w:sz w:val="20"/>
              </w:rPr>
              <w:t>240</w:t>
            </w:r>
          </w:p>
        </w:tc>
      </w:tr>
      <w:tr>
        <w:trPr>
          <w:trHeight w:val="480" w:hRule="exact"/>
        </w:trPr>
        <w:tc>
          <w:tcPr>
            <w:tcW w:w="1536" w:type="dxa"/>
            <w:tcBorders>
              <w:top w:val="single" w:sz="8" w:space="0" w:color="EC7C30"/>
              <w:left w:val="nil"/>
              <w:bottom w:val="single" w:sz="8" w:space="0" w:color="EC7C30"/>
              <w:right w:val="nil"/>
            </w:tcBorders>
          </w:tcPr>
          <w:p>
            <w:pPr>
              <w:pStyle w:val="TableParagraph"/>
              <w:spacing w:before="108"/>
              <w:ind w:left="115"/>
              <w:rPr>
                <w:sz w:val="20"/>
              </w:rPr>
            </w:pPr>
            <w:r>
              <w:rPr>
                <w:sz w:val="20"/>
              </w:rPr>
              <w:t>Itacajá</w:t>
            </w:r>
          </w:p>
        </w:tc>
        <w:tc>
          <w:tcPr>
            <w:tcW w:w="965" w:type="dxa"/>
            <w:tcBorders>
              <w:top w:val="single" w:sz="8" w:space="0" w:color="EC7C30"/>
              <w:left w:val="nil"/>
              <w:bottom w:val="single" w:sz="8" w:space="0" w:color="EC7C30"/>
              <w:right w:val="nil"/>
            </w:tcBorders>
          </w:tcPr>
          <w:p>
            <w:pPr>
              <w:pStyle w:val="TableParagraph"/>
              <w:spacing w:before="0"/>
              <w:ind w:left="107" w:right="126"/>
              <w:rPr>
                <w:sz w:val="20"/>
              </w:rPr>
            </w:pPr>
            <w:r>
              <w:rPr>
                <w:sz w:val="20"/>
              </w:rPr>
              <w:t>472 de 25/05/15</w:t>
            </w:r>
          </w:p>
        </w:tc>
        <w:tc>
          <w:tcPr>
            <w:tcW w:w="564" w:type="dxa"/>
            <w:tcBorders>
              <w:top w:val="single" w:sz="8" w:space="0" w:color="EC7C30"/>
              <w:left w:val="nil"/>
              <w:bottom w:val="single" w:sz="8" w:space="0" w:color="EC7C30"/>
              <w:right w:val="nil"/>
            </w:tcBorders>
          </w:tcPr>
          <w:p>
            <w:pPr>
              <w:pStyle w:val="TableParagraph"/>
              <w:spacing w:before="108"/>
              <w:ind w:left="105"/>
              <w:rPr>
                <w:sz w:val="20"/>
              </w:rPr>
            </w:pPr>
            <w:r>
              <w:rPr>
                <w:sz w:val="20"/>
              </w:rPr>
              <w:t>13</w:t>
            </w:r>
          </w:p>
        </w:tc>
        <w:tc>
          <w:tcPr>
            <w:tcW w:w="569" w:type="dxa"/>
            <w:tcBorders>
              <w:top w:val="single" w:sz="8" w:space="0" w:color="EC7C30"/>
              <w:left w:val="nil"/>
              <w:bottom w:val="single" w:sz="8" w:space="0" w:color="EC7C30"/>
              <w:right w:val="nil"/>
            </w:tcBorders>
          </w:tcPr>
          <w:p>
            <w:pPr>
              <w:pStyle w:val="TableParagraph"/>
              <w:spacing w:before="108"/>
              <w:ind w:left="107"/>
              <w:rPr>
                <w:sz w:val="20"/>
              </w:rPr>
            </w:pPr>
            <w:r>
              <w:rPr>
                <w:sz w:val="20"/>
              </w:rPr>
              <w:t>22</w:t>
            </w:r>
          </w:p>
        </w:tc>
        <w:tc>
          <w:tcPr>
            <w:tcW w:w="338" w:type="dxa"/>
            <w:tcBorders>
              <w:top w:val="single" w:sz="8" w:space="0" w:color="EC7C30"/>
              <w:left w:val="nil"/>
              <w:bottom w:val="single" w:sz="8" w:space="0" w:color="EC7C30"/>
              <w:right w:val="nil"/>
            </w:tcBorders>
          </w:tcPr>
          <w:p>
            <w:pPr>
              <w:pStyle w:val="TableParagraph"/>
              <w:spacing w:before="108"/>
              <w:ind w:right="58"/>
              <w:jc w:val="center"/>
              <w:rPr>
                <w:sz w:val="20"/>
              </w:rPr>
            </w:pPr>
            <w:r>
              <w:rPr>
                <w:w w:val="99"/>
                <w:sz w:val="20"/>
              </w:rPr>
              <w:t>-</w:t>
            </w:r>
          </w:p>
        </w:tc>
        <w:tc>
          <w:tcPr>
            <w:tcW w:w="566"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w:t>
            </w:r>
          </w:p>
        </w:tc>
        <w:tc>
          <w:tcPr>
            <w:tcW w:w="566" w:type="dxa"/>
            <w:tcBorders>
              <w:top w:val="single" w:sz="8" w:space="0" w:color="EC7C30"/>
              <w:left w:val="nil"/>
              <w:bottom w:val="single" w:sz="8" w:space="0" w:color="EC7C30"/>
              <w:right w:val="nil"/>
            </w:tcBorders>
          </w:tcPr>
          <w:p>
            <w:pPr>
              <w:pStyle w:val="TableParagraph"/>
              <w:spacing w:before="108"/>
              <w:ind w:left="108"/>
              <w:rPr>
                <w:sz w:val="20"/>
              </w:rPr>
            </w:pPr>
            <w:r>
              <w:rPr>
                <w:w w:val="99"/>
                <w:sz w:val="20"/>
              </w:rPr>
              <w:t>X</w:t>
            </w:r>
          </w:p>
        </w:tc>
        <w:tc>
          <w:tcPr>
            <w:tcW w:w="284" w:type="dxa"/>
            <w:tcBorders>
              <w:top w:val="single" w:sz="8" w:space="0" w:color="EC7C30"/>
              <w:left w:val="nil"/>
              <w:bottom w:val="single" w:sz="8" w:space="0" w:color="EC7C30"/>
              <w:right w:val="nil"/>
            </w:tcBorders>
          </w:tcPr>
          <w:p>
            <w:pPr>
              <w:pStyle w:val="TableParagraph"/>
              <w:spacing w:before="108"/>
              <w:ind w:left="76"/>
              <w:jc w:val="center"/>
              <w:rPr>
                <w:sz w:val="20"/>
              </w:rPr>
            </w:pPr>
            <w:r>
              <w:rPr>
                <w:w w:val="99"/>
                <w:sz w:val="20"/>
              </w:rPr>
              <w:t>X</w:t>
            </w:r>
          </w:p>
        </w:tc>
        <w:tc>
          <w:tcPr>
            <w:tcW w:w="456" w:type="dxa"/>
            <w:tcBorders>
              <w:top w:val="single" w:sz="8" w:space="0" w:color="EC7C30"/>
              <w:left w:val="nil"/>
              <w:bottom w:val="single" w:sz="8" w:space="0" w:color="EC7C30"/>
              <w:right w:val="nil"/>
            </w:tcBorders>
          </w:tcPr>
          <w:p>
            <w:pPr>
              <w:pStyle w:val="TableParagraph"/>
              <w:spacing w:before="108"/>
              <w:ind w:left="107"/>
              <w:rPr>
                <w:sz w:val="20"/>
              </w:rPr>
            </w:pPr>
            <w:r>
              <w:rPr>
                <w:sz w:val="20"/>
              </w:rPr>
              <w:t>24</w:t>
            </w:r>
          </w:p>
        </w:tc>
        <w:tc>
          <w:tcPr>
            <w:tcW w:w="454" w:type="dxa"/>
            <w:tcBorders>
              <w:top w:val="single" w:sz="8" w:space="0" w:color="EC7C30"/>
              <w:left w:val="nil"/>
              <w:bottom w:val="single" w:sz="8" w:space="0" w:color="EC7C30"/>
              <w:right w:val="nil"/>
            </w:tcBorders>
          </w:tcPr>
          <w:p>
            <w:pPr>
              <w:pStyle w:val="TableParagraph"/>
              <w:spacing w:before="108"/>
              <w:ind w:left="68" w:right="106"/>
              <w:jc w:val="center"/>
              <w:rPr>
                <w:sz w:val="20"/>
              </w:rPr>
            </w:pPr>
            <w:r>
              <w:rPr>
                <w:sz w:val="20"/>
              </w:rPr>
              <w:t>13</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sz w:val="20"/>
              </w:rPr>
              <w:t>24</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sz w:val="20"/>
              </w:rPr>
              <w:t>22</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7</w:t>
            </w:r>
          </w:p>
        </w:tc>
        <w:tc>
          <w:tcPr>
            <w:tcW w:w="454" w:type="dxa"/>
            <w:tcBorders>
              <w:top w:val="single" w:sz="8" w:space="0" w:color="EC7C30"/>
              <w:left w:val="nil"/>
              <w:bottom w:val="single" w:sz="8" w:space="0" w:color="EC7C30"/>
              <w:right w:val="nil"/>
            </w:tcBorders>
          </w:tcPr>
          <w:p>
            <w:pPr>
              <w:pStyle w:val="TableParagraph"/>
              <w:spacing w:before="108"/>
              <w:ind w:left="108"/>
              <w:rPr>
                <w:sz w:val="20"/>
              </w:rPr>
            </w:pPr>
            <w:r>
              <w:rPr>
                <w:sz w:val="20"/>
              </w:rPr>
              <w:t>20</w:t>
            </w:r>
          </w:p>
        </w:tc>
        <w:tc>
          <w:tcPr>
            <w:tcW w:w="456" w:type="dxa"/>
            <w:tcBorders>
              <w:top w:val="single" w:sz="8" w:space="0" w:color="EC7C30"/>
              <w:left w:val="nil"/>
              <w:bottom w:val="single" w:sz="8" w:space="0" w:color="EC7C30"/>
              <w:right w:val="nil"/>
            </w:tcBorders>
          </w:tcPr>
          <w:p>
            <w:pPr>
              <w:pStyle w:val="TableParagraph"/>
              <w:spacing w:before="108"/>
              <w:ind w:right="138"/>
              <w:jc w:val="center"/>
              <w:rPr>
                <w:sz w:val="20"/>
              </w:rPr>
            </w:pPr>
            <w:r>
              <w:rPr>
                <w:w w:val="99"/>
                <w:sz w:val="20"/>
              </w:rPr>
              <w:t>7</w:t>
            </w:r>
          </w:p>
        </w:tc>
        <w:tc>
          <w:tcPr>
            <w:tcW w:w="454" w:type="dxa"/>
            <w:tcBorders>
              <w:top w:val="single" w:sz="8" w:space="0" w:color="EC7C30"/>
              <w:left w:val="nil"/>
              <w:bottom w:val="single" w:sz="8" w:space="0" w:color="EC7C30"/>
              <w:right w:val="nil"/>
            </w:tcBorders>
          </w:tcPr>
          <w:p>
            <w:pPr>
              <w:pStyle w:val="TableParagraph"/>
              <w:spacing w:before="108"/>
              <w:ind w:left="68" w:right="106"/>
              <w:jc w:val="center"/>
              <w:rPr>
                <w:sz w:val="20"/>
              </w:rPr>
            </w:pPr>
            <w:r>
              <w:rPr>
                <w:sz w:val="20"/>
              </w:rPr>
              <w:t>11</w:t>
            </w:r>
          </w:p>
        </w:tc>
        <w:tc>
          <w:tcPr>
            <w:tcW w:w="454" w:type="dxa"/>
            <w:tcBorders>
              <w:top w:val="single" w:sz="8" w:space="0" w:color="EC7C30"/>
              <w:left w:val="nil"/>
              <w:bottom w:val="single" w:sz="8" w:space="0" w:color="EC7C30"/>
              <w:right w:val="nil"/>
            </w:tcBorders>
          </w:tcPr>
          <w:p>
            <w:pPr>
              <w:pStyle w:val="TableParagraph"/>
              <w:spacing w:before="108"/>
              <w:ind w:left="106"/>
              <w:rPr>
                <w:sz w:val="20"/>
              </w:rPr>
            </w:pPr>
            <w:r>
              <w:rPr>
                <w:sz w:val="20"/>
              </w:rPr>
              <w:t>11</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w w:val="99"/>
                <w:sz w:val="20"/>
              </w:rPr>
              <w:t>7</w:t>
            </w:r>
          </w:p>
        </w:tc>
        <w:tc>
          <w:tcPr>
            <w:tcW w:w="456" w:type="dxa"/>
            <w:tcBorders>
              <w:top w:val="single" w:sz="8" w:space="0" w:color="EC7C30"/>
              <w:left w:val="nil"/>
              <w:bottom w:val="single" w:sz="8" w:space="0" w:color="EC7C30"/>
              <w:right w:val="nil"/>
            </w:tcBorders>
          </w:tcPr>
          <w:p>
            <w:pPr>
              <w:pStyle w:val="TableParagraph"/>
              <w:spacing w:before="108"/>
              <w:ind w:left="90" w:right="126"/>
              <w:jc w:val="center"/>
              <w:rPr>
                <w:sz w:val="20"/>
              </w:rPr>
            </w:pPr>
            <w:r>
              <w:rPr>
                <w:sz w:val="20"/>
              </w:rPr>
              <w:t>13</w:t>
            </w:r>
          </w:p>
        </w:tc>
        <w:tc>
          <w:tcPr>
            <w:tcW w:w="454" w:type="dxa"/>
            <w:tcBorders>
              <w:top w:val="single" w:sz="8" w:space="0" w:color="EC7C30"/>
              <w:left w:val="nil"/>
              <w:bottom w:val="single" w:sz="8" w:space="0" w:color="EC7C30"/>
              <w:right w:val="nil"/>
            </w:tcBorders>
          </w:tcPr>
          <w:p>
            <w:pPr>
              <w:pStyle w:val="TableParagraph"/>
              <w:spacing w:before="108"/>
              <w:ind w:left="68" w:right="106"/>
              <w:jc w:val="center"/>
              <w:rPr>
                <w:sz w:val="20"/>
              </w:rPr>
            </w:pPr>
            <w:r>
              <w:rPr>
                <w:sz w:val="20"/>
              </w:rPr>
              <w:t>16</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8</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sz w:val="20"/>
              </w:rPr>
              <w:t>11</w:t>
            </w:r>
          </w:p>
        </w:tc>
        <w:tc>
          <w:tcPr>
            <w:tcW w:w="456" w:type="dxa"/>
            <w:tcBorders>
              <w:top w:val="single" w:sz="8" w:space="0" w:color="EC7C30"/>
              <w:left w:val="nil"/>
              <w:bottom w:val="single" w:sz="8" w:space="0" w:color="EC7C30"/>
              <w:right w:val="nil"/>
            </w:tcBorders>
          </w:tcPr>
          <w:p>
            <w:pPr>
              <w:pStyle w:val="TableParagraph"/>
              <w:spacing w:before="108"/>
              <w:ind w:left="90" w:right="126"/>
              <w:jc w:val="center"/>
              <w:rPr>
                <w:sz w:val="20"/>
              </w:rPr>
            </w:pPr>
            <w:r>
              <w:rPr>
                <w:sz w:val="20"/>
              </w:rPr>
              <w:t>10</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sz w:val="20"/>
              </w:rPr>
              <w:t>10</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sz w:val="20"/>
              </w:rPr>
              <w:t>45</w:t>
            </w:r>
          </w:p>
        </w:tc>
        <w:tc>
          <w:tcPr>
            <w:tcW w:w="454" w:type="dxa"/>
            <w:tcBorders>
              <w:top w:val="single" w:sz="8" w:space="0" w:color="EC7C30"/>
              <w:left w:val="nil"/>
              <w:bottom w:val="single" w:sz="8" w:space="0" w:color="EC7C30"/>
              <w:right w:val="nil"/>
            </w:tcBorders>
          </w:tcPr>
          <w:p>
            <w:pPr>
              <w:pStyle w:val="TableParagraph"/>
              <w:spacing w:before="108"/>
              <w:ind w:left="72" w:right="106"/>
              <w:jc w:val="center"/>
              <w:rPr>
                <w:sz w:val="20"/>
              </w:rPr>
            </w:pPr>
            <w:r>
              <w:rPr>
                <w:sz w:val="20"/>
              </w:rPr>
              <w:t>23</w:t>
            </w:r>
          </w:p>
        </w:tc>
        <w:tc>
          <w:tcPr>
            <w:tcW w:w="626" w:type="dxa"/>
            <w:tcBorders>
              <w:top w:val="single" w:sz="8" w:space="0" w:color="EC7C30"/>
              <w:left w:val="nil"/>
              <w:bottom w:val="single" w:sz="8" w:space="0" w:color="EC7C30"/>
              <w:right w:val="nil"/>
            </w:tcBorders>
          </w:tcPr>
          <w:p>
            <w:pPr>
              <w:pStyle w:val="TableParagraph"/>
              <w:spacing w:before="108"/>
              <w:ind w:left="90" w:right="196"/>
              <w:jc w:val="center"/>
              <w:rPr>
                <w:sz w:val="20"/>
              </w:rPr>
            </w:pPr>
            <w:r>
              <w:rPr>
                <w:sz w:val="20"/>
              </w:rPr>
              <w:t>318</w:t>
            </w:r>
          </w:p>
        </w:tc>
      </w:tr>
      <w:tr>
        <w:trPr>
          <w:trHeight w:val="480" w:hRule="exact"/>
        </w:trPr>
        <w:tc>
          <w:tcPr>
            <w:tcW w:w="1536" w:type="dxa"/>
            <w:tcBorders>
              <w:top w:val="single" w:sz="8" w:space="0" w:color="EC7C30"/>
              <w:left w:val="nil"/>
              <w:bottom w:val="single" w:sz="8" w:space="0" w:color="EC7C30"/>
              <w:right w:val="nil"/>
            </w:tcBorders>
          </w:tcPr>
          <w:p>
            <w:pPr>
              <w:pStyle w:val="TableParagraph"/>
              <w:spacing w:before="108"/>
              <w:ind w:left="115"/>
              <w:rPr>
                <w:sz w:val="20"/>
              </w:rPr>
            </w:pPr>
            <w:r>
              <w:rPr>
                <w:sz w:val="20"/>
              </w:rPr>
              <w:t>Novo Alegre</w:t>
            </w:r>
          </w:p>
        </w:tc>
        <w:tc>
          <w:tcPr>
            <w:tcW w:w="965" w:type="dxa"/>
            <w:tcBorders>
              <w:top w:val="single" w:sz="8" w:space="0" w:color="EC7C30"/>
              <w:left w:val="nil"/>
              <w:bottom w:val="single" w:sz="8" w:space="0" w:color="EC7C30"/>
              <w:right w:val="nil"/>
            </w:tcBorders>
          </w:tcPr>
          <w:p>
            <w:pPr>
              <w:pStyle w:val="TableParagraph"/>
              <w:spacing w:before="0"/>
              <w:ind w:left="107" w:right="126"/>
              <w:rPr>
                <w:sz w:val="20"/>
              </w:rPr>
            </w:pPr>
            <w:r>
              <w:rPr>
                <w:sz w:val="20"/>
              </w:rPr>
              <w:t>250 de 18/06/15</w:t>
            </w:r>
          </w:p>
        </w:tc>
        <w:tc>
          <w:tcPr>
            <w:tcW w:w="564" w:type="dxa"/>
            <w:tcBorders>
              <w:top w:val="single" w:sz="8" w:space="0" w:color="EC7C30"/>
              <w:left w:val="nil"/>
              <w:bottom w:val="single" w:sz="8" w:space="0" w:color="EC7C30"/>
              <w:right w:val="nil"/>
            </w:tcBorders>
          </w:tcPr>
          <w:p>
            <w:pPr>
              <w:pStyle w:val="TableParagraph"/>
              <w:spacing w:before="108"/>
              <w:ind w:left="105"/>
              <w:rPr>
                <w:sz w:val="20"/>
              </w:rPr>
            </w:pPr>
            <w:r>
              <w:rPr>
                <w:sz w:val="20"/>
              </w:rPr>
              <w:t>12</w:t>
            </w:r>
          </w:p>
        </w:tc>
        <w:tc>
          <w:tcPr>
            <w:tcW w:w="569" w:type="dxa"/>
            <w:tcBorders>
              <w:top w:val="single" w:sz="8" w:space="0" w:color="EC7C30"/>
              <w:left w:val="nil"/>
              <w:bottom w:val="single" w:sz="8" w:space="0" w:color="EC7C30"/>
              <w:right w:val="nil"/>
            </w:tcBorders>
          </w:tcPr>
          <w:p>
            <w:pPr>
              <w:pStyle w:val="TableParagraph"/>
              <w:spacing w:before="108"/>
              <w:ind w:left="107"/>
              <w:rPr>
                <w:sz w:val="20"/>
              </w:rPr>
            </w:pPr>
            <w:r>
              <w:rPr>
                <w:sz w:val="20"/>
              </w:rPr>
              <w:t>22</w:t>
            </w:r>
          </w:p>
        </w:tc>
        <w:tc>
          <w:tcPr>
            <w:tcW w:w="338" w:type="dxa"/>
            <w:tcBorders>
              <w:top w:val="single" w:sz="8" w:space="0" w:color="EC7C30"/>
              <w:left w:val="nil"/>
              <w:bottom w:val="single" w:sz="8" w:space="0" w:color="EC7C30"/>
              <w:right w:val="nil"/>
            </w:tcBorders>
          </w:tcPr>
          <w:p>
            <w:pPr>
              <w:pStyle w:val="TableParagraph"/>
              <w:spacing w:before="108"/>
              <w:ind w:left="16"/>
              <w:jc w:val="center"/>
              <w:rPr>
                <w:sz w:val="20"/>
              </w:rPr>
            </w:pPr>
            <w:r>
              <w:rPr>
                <w:w w:val="99"/>
                <w:sz w:val="20"/>
              </w:rPr>
              <w:t>X</w:t>
            </w:r>
          </w:p>
        </w:tc>
        <w:tc>
          <w:tcPr>
            <w:tcW w:w="566"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X</w:t>
            </w:r>
          </w:p>
        </w:tc>
        <w:tc>
          <w:tcPr>
            <w:tcW w:w="566" w:type="dxa"/>
            <w:tcBorders>
              <w:top w:val="single" w:sz="8" w:space="0" w:color="EC7C30"/>
              <w:left w:val="nil"/>
              <w:bottom w:val="single" w:sz="8" w:space="0" w:color="EC7C30"/>
              <w:right w:val="nil"/>
            </w:tcBorders>
          </w:tcPr>
          <w:p>
            <w:pPr>
              <w:pStyle w:val="TableParagraph"/>
              <w:spacing w:before="108"/>
              <w:ind w:left="108"/>
              <w:rPr>
                <w:sz w:val="20"/>
              </w:rPr>
            </w:pPr>
            <w:r>
              <w:rPr>
                <w:w w:val="99"/>
                <w:sz w:val="20"/>
              </w:rPr>
              <w:t>X</w:t>
            </w:r>
          </w:p>
        </w:tc>
        <w:tc>
          <w:tcPr>
            <w:tcW w:w="284" w:type="dxa"/>
            <w:tcBorders>
              <w:top w:val="single" w:sz="8" w:space="0" w:color="EC7C30"/>
              <w:left w:val="nil"/>
              <w:bottom w:val="single" w:sz="8" w:space="0" w:color="EC7C30"/>
              <w:right w:val="nil"/>
            </w:tcBorders>
          </w:tcPr>
          <w:p>
            <w:pPr>
              <w:pStyle w:val="TableParagraph"/>
              <w:spacing w:before="108"/>
              <w:ind w:left="76"/>
              <w:jc w:val="center"/>
              <w:rPr>
                <w:sz w:val="20"/>
              </w:rPr>
            </w:pPr>
            <w:r>
              <w:rPr>
                <w:w w:val="99"/>
                <w:sz w:val="20"/>
              </w:rPr>
              <w:t>X</w:t>
            </w:r>
          </w:p>
        </w:tc>
        <w:tc>
          <w:tcPr>
            <w:tcW w:w="456" w:type="dxa"/>
            <w:tcBorders>
              <w:top w:val="single" w:sz="8" w:space="0" w:color="EC7C30"/>
              <w:left w:val="nil"/>
              <w:bottom w:val="single" w:sz="8" w:space="0" w:color="EC7C30"/>
              <w:right w:val="nil"/>
            </w:tcBorders>
          </w:tcPr>
          <w:p>
            <w:pPr>
              <w:pStyle w:val="TableParagraph"/>
              <w:spacing w:before="108"/>
              <w:ind w:left="107"/>
              <w:rPr>
                <w:sz w:val="20"/>
              </w:rPr>
            </w:pPr>
            <w:r>
              <w:rPr>
                <w:sz w:val="20"/>
              </w:rPr>
              <w:t>14</w:t>
            </w:r>
          </w:p>
        </w:tc>
        <w:tc>
          <w:tcPr>
            <w:tcW w:w="454" w:type="dxa"/>
            <w:tcBorders>
              <w:top w:val="single" w:sz="8" w:space="0" w:color="EC7C30"/>
              <w:left w:val="nil"/>
              <w:bottom w:val="single" w:sz="8" w:space="0" w:color="EC7C30"/>
              <w:right w:val="nil"/>
            </w:tcBorders>
          </w:tcPr>
          <w:p>
            <w:pPr>
              <w:pStyle w:val="TableParagraph"/>
              <w:spacing w:before="108"/>
              <w:ind w:left="68" w:right="106"/>
              <w:jc w:val="center"/>
              <w:rPr>
                <w:sz w:val="20"/>
              </w:rPr>
            </w:pPr>
            <w:r>
              <w:rPr>
                <w:sz w:val="20"/>
              </w:rPr>
              <w:t>15</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sz w:val="20"/>
              </w:rPr>
              <w:t>18</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sz w:val="20"/>
              </w:rPr>
              <w:t>15</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4</w:t>
            </w:r>
          </w:p>
        </w:tc>
        <w:tc>
          <w:tcPr>
            <w:tcW w:w="454" w:type="dxa"/>
            <w:tcBorders>
              <w:top w:val="single" w:sz="8" w:space="0" w:color="EC7C30"/>
              <w:left w:val="nil"/>
              <w:bottom w:val="single" w:sz="8" w:space="0" w:color="EC7C30"/>
              <w:right w:val="nil"/>
            </w:tcBorders>
          </w:tcPr>
          <w:p>
            <w:pPr>
              <w:pStyle w:val="TableParagraph"/>
              <w:spacing w:before="108"/>
              <w:ind w:left="108"/>
              <w:rPr>
                <w:sz w:val="20"/>
              </w:rPr>
            </w:pPr>
            <w:r>
              <w:rPr>
                <w:sz w:val="20"/>
              </w:rPr>
              <w:t>17</w:t>
            </w:r>
          </w:p>
        </w:tc>
        <w:tc>
          <w:tcPr>
            <w:tcW w:w="456" w:type="dxa"/>
            <w:tcBorders>
              <w:top w:val="single" w:sz="8" w:space="0" w:color="EC7C30"/>
              <w:left w:val="nil"/>
              <w:bottom w:val="single" w:sz="8" w:space="0" w:color="EC7C30"/>
              <w:right w:val="nil"/>
            </w:tcBorders>
          </w:tcPr>
          <w:p>
            <w:pPr>
              <w:pStyle w:val="TableParagraph"/>
              <w:spacing w:before="108"/>
              <w:ind w:right="138"/>
              <w:jc w:val="center"/>
              <w:rPr>
                <w:sz w:val="20"/>
              </w:rPr>
            </w:pPr>
            <w:r>
              <w:rPr>
                <w:w w:val="99"/>
                <w:sz w:val="20"/>
              </w:rPr>
              <w:t>3</w:t>
            </w:r>
          </w:p>
        </w:tc>
        <w:tc>
          <w:tcPr>
            <w:tcW w:w="454" w:type="dxa"/>
            <w:tcBorders>
              <w:top w:val="single" w:sz="8" w:space="0" w:color="EC7C30"/>
              <w:left w:val="nil"/>
              <w:bottom w:val="single" w:sz="8" w:space="0" w:color="EC7C30"/>
              <w:right w:val="nil"/>
            </w:tcBorders>
          </w:tcPr>
          <w:p>
            <w:pPr>
              <w:pStyle w:val="TableParagraph"/>
              <w:spacing w:before="108"/>
              <w:ind w:left="68" w:right="106"/>
              <w:jc w:val="center"/>
              <w:rPr>
                <w:sz w:val="20"/>
              </w:rPr>
            </w:pPr>
            <w:r>
              <w:rPr>
                <w:sz w:val="20"/>
              </w:rPr>
              <w:t>11</w:t>
            </w:r>
          </w:p>
        </w:tc>
        <w:tc>
          <w:tcPr>
            <w:tcW w:w="454" w:type="dxa"/>
            <w:tcBorders>
              <w:top w:val="single" w:sz="8" w:space="0" w:color="EC7C30"/>
              <w:left w:val="nil"/>
              <w:bottom w:val="single" w:sz="8" w:space="0" w:color="EC7C30"/>
              <w:right w:val="nil"/>
            </w:tcBorders>
          </w:tcPr>
          <w:p>
            <w:pPr>
              <w:pStyle w:val="TableParagraph"/>
              <w:spacing w:before="108"/>
              <w:ind w:left="106"/>
              <w:rPr>
                <w:sz w:val="20"/>
              </w:rPr>
            </w:pPr>
            <w:r>
              <w:rPr>
                <w:w w:val="99"/>
                <w:sz w:val="20"/>
              </w:rPr>
              <w:t>6</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8</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w w:val="99"/>
                <w:sz w:val="20"/>
              </w:rPr>
              <w:t>7</w:t>
            </w:r>
          </w:p>
        </w:tc>
        <w:tc>
          <w:tcPr>
            <w:tcW w:w="456" w:type="dxa"/>
            <w:tcBorders>
              <w:top w:val="single" w:sz="8" w:space="0" w:color="EC7C30"/>
              <w:left w:val="nil"/>
              <w:bottom w:val="single" w:sz="8" w:space="0" w:color="EC7C30"/>
              <w:right w:val="nil"/>
            </w:tcBorders>
          </w:tcPr>
          <w:p>
            <w:pPr>
              <w:pStyle w:val="TableParagraph"/>
              <w:spacing w:before="108"/>
              <w:ind w:right="138"/>
              <w:jc w:val="center"/>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8"/>
              <w:ind w:left="68" w:right="106"/>
              <w:jc w:val="center"/>
              <w:rPr>
                <w:sz w:val="20"/>
              </w:rPr>
            </w:pPr>
            <w:r>
              <w:rPr>
                <w:sz w:val="20"/>
              </w:rPr>
              <w:t>10</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4</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5</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w w:val="99"/>
                <w:sz w:val="20"/>
              </w:rPr>
              <w:t>6</w:t>
            </w:r>
          </w:p>
        </w:tc>
        <w:tc>
          <w:tcPr>
            <w:tcW w:w="456" w:type="dxa"/>
            <w:tcBorders>
              <w:top w:val="single" w:sz="8" w:space="0" w:color="EC7C30"/>
              <w:left w:val="nil"/>
              <w:bottom w:val="single" w:sz="8" w:space="0" w:color="EC7C30"/>
              <w:right w:val="nil"/>
            </w:tcBorders>
          </w:tcPr>
          <w:p>
            <w:pPr>
              <w:pStyle w:val="TableParagraph"/>
              <w:spacing w:before="108"/>
              <w:ind w:right="138"/>
              <w:jc w:val="center"/>
              <w:rPr>
                <w:sz w:val="20"/>
              </w:rPr>
            </w:pPr>
            <w:r>
              <w:rPr>
                <w:w w:val="99"/>
                <w:sz w:val="20"/>
              </w:rPr>
              <w:t>8</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5</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sz w:val="20"/>
              </w:rPr>
              <w:t>43</w:t>
            </w:r>
          </w:p>
        </w:tc>
        <w:tc>
          <w:tcPr>
            <w:tcW w:w="454" w:type="dxa"/>
            <w:tcBorders>
              <w:top w:val="single" w:sz="8" w:space="0" w:color="EC7C30"/>
              <w:left w:val="nil"/>
              <w:bottom w:val="single" w:sz="8" w:space="0" w:color="EC7C30"/>
              <w:right w:val="nil"/>
            </w:tcBorders>
          </w:tcPr>
          <w:p>
            <w:pPr>
              <w:pStyle w:val="TableParagraph"/>
              <w:spacing w:before="108"/>
              <w:ind w:left="72" w:right="106"/>
              <w:jc w:val="center"/>
              <w:rPr>
                <w:sz w:val="20"/>
              </w:rPr>
            </w:pPr>
            <w:r>
              <w:rPr>
                <w:sz w:val="20"/>
              </w:rPr>
              <w:t>35</w:t>
            </w:r>
          </w:p>
        </w:tc>
        <w:tc>
          <w:tcPr>
            <w:tcW w:w="626" w:type="dxa"/>
            <w:tcBorders>
              <w:top w:val="single" w:sz="8" w:space="0" w:color="EC7C30"/>
              <w:left w:val="nil"/>
              <w:bottom w:val="single" w:sz="8" w:space="0" w:color="EC7C30"/>
              <w:right w:val="nil"/>
            </w:tcBorders>
          </w:tcPr>
          <w:p>
            <w:pPr>
              <w:pStyle w:val="TableParagraph"/>
              <w:spacing w:before="108"/>
              <w:ind w:left="90" w:right="196"/>
              <w:jc w:val="center"/>
              <w:rPr>
                <w:sz w:val="20"/>
              </w:rPr>
            </w:pPr>
            <w:r>
              <w:rPr>
                <w:sz w:val="20"/>
              </w:rPr>
              <w:t>261</w:t>
            </w:r>
          </w:p>
        </w:tc>
      </w:tr>
      <w:tr>
        <w:trPr>
          <w:trHeight w:val="480" w:hRule="exact"/>
        </w:trPr>
        <w:tc>
          <w:tcPr>
            <w:tcW w:w="1536" w:type="dxa"/>
            <w:tcBorders>
              <w:top w:val="single" w:sz="8" w:space="0" w:color="EC7C30"/>
              <w:left w:val="nil"/>
              <w:bottom w:val="single" w:sz="8" w:space="0" w:color="EC7C30"/>
              <w:right w:val="nil"/>
            </w:tcBorders>
          </w:tcPr>
          <w:p>
            <w:pPr>
              <w:pStyle w:val="TableParagraph"/>
              <w:spacing w:before="0"/>
              <w:ind w:left="115" w:right="279"/>
              <w:rPr>
                <w:sz w:val="20"/>
              </w:rPr>
            </w:pPr>
            <w:r>
              <w:rPr>
                <w:sz w:val="20"/>
              </w:rPr>
              <w:t>Rio da </w:t>
            </w:r>
            <w:r>
              <w:rPr>
                <w:w w:val="95"/>
                <w:sz w:val="20"/>
              </w:rPr>
              <w:t>Conceição</w:t>
            </w:r>
          </w:p>
        </w:tc>
        <w:tc>
          <w:tcPr>
            <w:tcW w:w="965" w:type="dxa"/>
            <w:tcBorders>
              <w:top w:val="single" w:sz="8" w:space="0" w:color="EC7C30"/>
              <w:left w:val="nil"/>
              <w:bottom w:val="single" w:sz="8" w:space="0" w:color="EC7C30"/>
              <w:right w:val="nil"/>
            </w:tcBorders>
          </w:tcPr>
          <w:p>
            <w:pPr>
              <w:pStyle w:val="TableParagraph"/>
              <w:spacing w:before="0"/>
              <w:ind w:left="107" w:right="126"/>
              <w:rPr>
                <w:sz w:val="20"/>
              </w:rPr>
            </w:pPr>
            <w:r>
              <w:rPr>
                <w:sz w:val="20"/>
              </w:rPr>
              <w:t>317 de 23/06/15</w:t>
            </w:r>
          </w:p>
        </w:tc>
        <w:tc>
          <w:tcPr>
            <w:tcW w:w="564" w:type="dxa"/>
            <w:tcBorders>
              <w:top w:val="single" w:sz="8" w:space="0" w:color="EC7C30"/>
              <w:left w:val="nil"/>
              <w:bottom w:val="single" w:sz="8" w:space="0" w:color="EC7C30"/>
              <w:right w:val="nil"/>
            </w:tcBorders>
          </w:tcPr>
          <w:p>
            <w:pPr>
              <w:pStyle w:val="TableParagraph"/>
              <w:spacing w:before="108"/>
              <w:ind w:left="105"/>
              <w:rPr>
                <w:sz w:val="20"/>
              </w:rPr>
            </w:pPr>
            <w:r>
              <w:rPr>
                <w:sz w:val="20"/>
              </w:rPr>
              <w:t>14</w:t>
            </w:r>
          </w:p>
        </w:tc>
        <w:tc>
          <w:tcPr>
            <w:tcW w:w="569" w:type="dxa"/>
            <w:tcBorders>
              <w:top w:val="single" w:sz="8" w:space="0" w:color="EC7C30"/>
              <w:left w:val="nil"/>
              <w:bottom w:val="single" w:sz="8" w:space="0" w:color="EC7C30"/>
              <w:right w:val="nil"/>
            </w:tcBorders>
          </w:tcPr>
          <w:p>
            <w:pPr>
              <w:pStyle w:val="TableParagraph"/>
              <w:spacing w:before="108"/>
              <w:ind w:left="107"/>
              <w:rPr>
                <w:sz w:val="20"/>
              </w:rPr>
            </w:pPr>
            <w:r>
              <w:rPr>
                <w:sz w:val="20"/>
              </w:rPr>
              <w:t>21</w:t>
            </w:r>
          </w:p>
        </w:tc>
        <w:tc>
          <w:tcPr>
            <w:tcW w:w="338" w:type="dxa"/>
            <w:tcBorders>
              <w:top w:val="single" w:sz="8" w:space="0" w:color="EC7C30"/>
              <w:left w:val="nil"/>
              <w:bottom w:val="single" w:sz="8" w:space="0" w:color="EC7C30"/>
              <w:right w:val="nil"/>
            </w:tcBorders>
          </w:tcPr>
          <w:p>
            <w:pPr>
              <w:pStyle w:val="TableParagraph"/>
              <w:spacing w:before="108"/>
              <w:ind w:right="58"/>
              <w:jc w:val="center"/>
              <w:rPr>
                <w:sz w:val="20"/>
              </w:rPr>
            </w:pPr>
            <w:r>
              <w:rPr>
                <w:w w:val="99"/>
                <w:sz w:val="20"/>
              </w:rPr>
              <w:t>-</w:t>
            </w:r>
          </w:p>
        </w:tc>
        <w:tc>
          <w:tcPr>
            <w:tcW w:w="566"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w:t>
            </w:r>
          </w:p>
        </w:tc>
        <w:tc>
          <w:tcPr>
            <w:tcW w:w="566" w:type="dxa"/>
            <w:tcBorders>
              <w:top w:val="single" w:sz="8" w:space="0" w:color="EC7C30"/>
              <w:left w:val="nil"/>
              <w:bottom w:val="single" w:sz="8" w:space="0" w:color="EC7C30"/>
              <w:right w:val="nil"/>
            </w:tcBorders>
          </w:tcPr>
          <w:p>
            <w:pPr>
              <w:pStyle w:val="TableParagraph"/>
              <w:spacing w:before="108"/>
              <w:ind w:left="108"/>
              <w:rPr>
                <w:sz w:val="20"/>
              </w:rPr>
            </w:pPr>
            <w:r>
              <w:rPr>
                <w:w w:val="99"/>
                <w:sz w:val="20"/>
              </w:rPr>
              <w:t>-</w:t>
            </w:r>
          </w:p>
        </w:tc>
        <w:tc>
          <w:tcPr>
            <w:tcW w:w="284" w:type="dxa"/>
            <w:tcBorders>
              <w:top w:val="single" w:sz="8" w:space="0" w:color="EC7C30"/>
              <w:left w:val="nil"/>
              <w:bottom w:val="single" w:sz="8" w:space="0" w:color="EC7C30"/>
              <w:right w:val="nil"/>
            </w:tcBorders>
          </w:tcPr>
          <w:p>
            <w:pPr>
              <w:pStyle w:val="TableParagraph"/>
              <w:spacing w:before="108"/>
              <w:ind w:right="1"/>
              <w:jc w:val="center"/>
              <w:rPr>
                <w:sz w:val="20"/>
              </w:rPr>
            </w:pPr>
            <w:r>
              <w:rPr>
                <w:w w:val="99"/>
                <w:sz w:val="20"/>
              </w:rPr>
              <w:t>-</w:t>
            </w:r>
          </w:p>
        </w:tc>
        <w:tc>
          <w:tcPr>
            <w:tcW w:w="456" w:type="dxa"/>
            <w:tcBorders>
              <w:top w:val="single" w:sz="8" w:space="0" w:color="EC7C30"/>
              <w:left w:val="nil"/>
              <w:bottom w:val="single" w:sz="8" w:space="0" w:color="EC7C30"/>
              <w:right w:val="nil"/>
            </w:tcBorders>
          </w:tcPr>
          <w:p>
            <w:pPr>
              <w:pStyle w:val="TableParagraph"/>
              <w:spacing w:before="108"/>
              <w:ind w:left="107"/>
              <w:rPr>
                <w:sz w:val="20"/>
              </w:rPr>
            </w:pPr>
            <w:r>
              <w:rPr>
                <w:sz w:val="20"/>
              </w:rPr>
              <w:t>15</w:t>
            </w:r>
          </w:p>
        </w:tc>
        <w:tc>
          <w:tcPr>
            <w:tcW w:w="454" w:type="dxa"/>
            <w:tcBorders>
              <w:top w:val="single" w:sz="8" w:space="0" w:color="EC7C30"/>
              <w:left w:val="nil"/>
              <w:bottom w:val="single" w:sz="8" w:space="0" w:color="EC7C30"/>
              <w:right w:val="nil"/>
            </w:tcBorders>
          </w:tcPr>
          <w:p>
            <w:pPr>
              <w:pStyle w:val="TableParagraph"/>
              <w:spacing w:before="108"/>
              <w:ind w:left="68" w:right="106"/>
              <w:jc w:val="center"/>
              <w:rPr>
                <w:sz w:val="20"/>
              </w:rPr>
            </w:pPr>
            <w:r>
              <w:rPr>
                <w:sz w:val="20"/>
              </w:rPr>
              <w:t>18</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sz w:val="20"/>
              </w:rPr>
              <w:t>13</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sz w:val="20"/>
              </w:rPr>
              <w:t>19</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7</w:t>
            </w:r>
          </w:p>
        </w:tc>
        <w:tc>
          <w:tcPr>
            <w:tcW w:w="454" w:type="dxa"/>
            <w:tcBorders>
              <w:top w:val="single" w:sz="8" w:space="0" w:color="EC7C30"/>
              <w:left w:val="nil"/>
              <w:bottom w:val="single" w:sz="8" w:space="0" w:color="EC7C30"/>
              <w:right w:val="nil"/>
            </w:tcBorders>
          </w:tcPr>
          <w:p>
            <w:pPr>
              <w:pStyle w:val="TableParagraph"/>
              <w:spacing w:before="108"/>
              <w:ind w:left="108"/>
              <w:rPr>
                <w:sz w:val="20"/>
              </w:rPr>
            </w:pPr>
            <w:r>
              <w:rPr>
                <w:sz w:val="20"/>
              </w:rPr>
              <w:t>14</w:t>
            </w:r>
          </w:p>
        </w:tc>
        <w:tc>
          <w:tcPr>
            <w:tcW w:w="456" w:type="dxa"/>
            <w:tcBorders>
              <w:top w:val="single" w:sz="8" w:space="0" w:color="EC7C30"/>
              <w:left w:val="nil"/>
              <w:bottom w:val="single" w:sz="8" w:space="0" w:color="EC7C30"/>
              <w:right w:val="nil"/>
            </w:tcBorders>
          </w:tcPr>
          <w:p>
            <w:pPr>
              <w:pStyle w:val="TableParagraph"/>
              <w:spacing w:before="108"/>
              <w:ind w:left="90" w:right="126"/>
              <w:jc w:val="center"/>
              <w:rPr>
                <w:sz w:val="20"/>
              </w:rPr>
            </w:pPr>
            <w:r>
              <w:rPr>
                <w:sz w:val="20"/>
              </w:rPr>
              <w:t>31</w:t>
            </w:r>
          </w:p>
        </w:tc>
        <w:tc>
          <w:tcPr>
            <w:tcW w:w="454" w:type="dxa"/>
            <w:tcBorders>
              <w:top w:val="single" w:sz="8" w:space="0" w:color="EC7C30"/>
              <w:left w:val="nil"/>
              <w:bottom w:val="single" w:sz="8" w:space="0" w:color="EC7C30"/>
              <w:right w:val="nil"/>
            </w:tcBorders>
          </w:tcPr>
          <w:p>
            <w:pPr>
              <w:pStyle w:val="TableParagraph"/>
              <w:spacing w:before="108"/>
              <w:ind w:right="140"/>
              <w:jc w:val="center"/>
              <w:rPr>
                <w:sz w:val="20"/>
              </w:rPr>
            </w:pPr>
            <w:r>
              <w:rPr>
                <w:w w:val="99"/>
                <w:sz w:val="20"/>
              </w:rPr>
              <w:t>6</w:t>
            </w:r>
          </w:p>
        </w:tc>
        <w:tc>
          <w:tcPr>
            <w:tcW w:w="454" w:type="dxa"/>
            <w:tcBorders>
              <w:top w:val="single" w:sz="8" w:space="0" w:color="EC7C30"/>
              <w:left w:val="nil"/>
              <w:bottom w:val="single" w:sz="8" w:space="0" w:color="EC7C30"/>
              <w:right w:val="nil"/>
            </w:tcBorders>
          </w:tcPr>
          <w:p>
            <w:pPr>
              <w:pStyle w:val="TableParagraph"/>
              <w:spacing w:before="108"/>
              <w:ind w:left="106"/>
              <w:rPr>
                <w:sz w:val="20"/>
              </w:rPr>
            </w:pPr>
            <w:r>
              <w:rPr>
                <w:sz w:val="20"/>
              </w:rPr>
              <w:t>10</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7</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w w:val="99"/>
                <w:sz w:val="20"/>
              </w:rPr>
              <w:t>3</w:t>
            </w:r>
          </w:p>
        </w:tc>
        <w:tc>
          <w:tcPr>
            <w:tcW w:w="456" w:type="dxa"/>
            <w:tcBorders>
              <w:top w:val="single" w:sz="8" w:space="0" w:color="EC7C30"/>
              <w:left w:val="nil"/>
              <w:bottom w:val="single" w:sz="8" w:space="0" w:color="EC7C30"/>
              <w:right w:val="nil"/>
            </w:tcBorders>
          </w:tcPr>
          <w:p>
            <w:pPr>
              <w:pStyle w:val="TableParagraph"/>
              <w:spacing w:before="108"/>
              <w:ind w:right="138"/>
              <w:jc w:val="center"/>
              <w:rPr>
                <w:sz w:val="20"/>
              </w:rPr>
            </w:pPr>
            <w:r>
              <w:rPr>
                <w:w w:val="99"/>
                <w:sz w:val="20"/>
              </w:rPr>
              <w:t>2</w:t>
            </w:r>
          </w:p>
        </w:tc>
        <w:tc>
          <w:tcPr>
            <w:tcW w:w="454" w:type="dxa"/>
            <w:tcBorders>
              <w:top w:val="single" w:sz="8" w:space="0" w:color="EC7C30"/>
              <w:left w:val="nil"/>
              <w:bottom w:val="single" w:sz="8" w:space="0" w:color="EC7C30"/>
              <w:right w:val="nil"/>
            </w:tcBorders>
          </w:tcPr>
          <w:p>
            <w:pPr>
              <w:pStyle w:val="TableParagraph"/>
              <w:spacing w:before="108"/>
              <w:ind w:right="140"/>
              <w:jc w:val="center"/>
              <w:rPr>
                <w:sz w:val="20"/>
              </w:rPr>
            </w:pPr>
            <w:r>
              <w:rPr>
                <w:w w:val="99"/>
                <w:sz w:val="20"/>
              </w:rPr>
              <w:t>5</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6</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5</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w w:val="99"/>
                <w:sz w:val="20"/>
              </w:rPr>
              <w:t>4</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w w:val="99"/>
                <w:sz w:val="20"/>
              </w:rPr>
              <w:t>6</w:t>
            </w:r>
          </w:p>
        </w:tc>
        <w:tc>
          <w:tcPr>
            <w:tcW w:w="456" w:type="dxa"/>
            <w:tcBorders>
              <w:top w:val="single" w:sz="8" w:space="0" w:color="EC7C30"/>
              <w:left w:val="nil"/>
              <w:bottom w:val="single" w:sz="8" w:space="0" w:color="EC7C30"/>
              <w:right w:val="nil"/>
            </w:tcBorders>
          </w:tcPr>
          <w:p>
            <w:pPr>
              <w:pStyle w:val="TableParagraph"/>
              <w:spacing w:before="108"/>
              <w:ind w:right="138"/>
              <w:jc w:val="center"/>
              <w:rPr>
                <w:sz w:val="20"/>
              </w:rPr>
            </w:pPr>
            <w:r>
              <w:rPr>
                <w:w w:val="99"/>
                <w:sz w:val="20"/>
              </w:rPr>
              <w:t>8</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2</w:t>
            </w:r>
          </w:p>
        </w:tc>
        <w:tc>
          <w:tcPr>
            <w:tcW w:w="454" w:type="dxa"/>
            <w:tcBorders>
              <w:top w:val="single" w:sz="8" w:space="0" w:color="EC7C30"/>
              <w:left w:val="nil"/>
              <w:bottom w:val="single" w:sz="8" w:space="0" w:color="EC7C30"/>
              <w:right w:val="nil"/>
            </w:tcBorders>
          </w:tcPr>
          <w:p>
            <w:pPr>
              <w:pStyle w:val="TableParagraph"/>
              <w:spacing w:before="108"/>
              <w:ind w:right="169"/>
              <w:jc w:val="center"/>
              <w:rPr>
                <w:sz w:val="20"/>
              </w:rPr>
            </w:pPr>
            <w:r>
              <w:rPr>
                <w:w w:val="99"/>
                <w:sz w:val="20"/>
              </w:rPr>
              <w:t>-</w:t>
            </w:r>
          </w:p>
        </w:tc>
        <w:tc>
          <w:tcPr>
            <w:tcW w:w="626" w:type="dxa"/>
            <w:tcBorders>
              <w:top w:val="single" w:sz="8" w:space="0" w:color="EC7C30"/>
              <w:left w:val="nil"/>
              <w:bottom w:val="single" w:sz="8" w:space="0" w:color="EC7C30"/>
              <w:right w:val="nil"/>
            </w:tcBorders>
          </w:tcPr>
          <w:p>
            <w:pPr>
              <w:pStyle w:val="TableParagraph"/>
              <w:spacing w:before="108"/>
              <w:ind w:left="90" w:right="196"/>
              <w:jc w:val="center"/>
              <w:rPr>
                <w:sz w:val="20"/>
              </w:rPr>
            </w:pPr>
            <w:r>
              <w:rPr>
                <w:sz w:val="20"/>
              </w:rPr>
              <w:t>199</w:t>
            </w:r>
          </w:p>
        </w:tc>
      </w:tr>
      <w:tr>
        <w:trPr>
          <w:trHeight w:val="480" w:hRule="exact"/>
        </w:trPr>
        <w:tc>
          <w:tcPr>
            <w:tcW w:w="1536" w:type="dxa"/>
            <w:tcBorders>
              <w:top w:val="single" w:sz="8" w:space="0" w:color="EC7C30"/>
              <w:left w:val="nil"/>
              <w:bottom w:val="single" w:sz="8" w:space="0" w:color="EC7C30"/>
              <w:right w:val="nil"/>
            </w:tcBorders>
          </w:tcPr>
          <w:p>
            <w:pPr>
              <w:pStyle w:val="TableParagraph"/>
              <w:spacing w:before="109"/>
              <w:ind w:left="115"/>
              <w:rPr>
                <w:sz w:val="20"/>
              </w:rPr>
            </w:pPr>
            <w:r>
              <w:rPr>
                <w:sz w:val="20"/>
              </w:rPr>
              <w:t>Tocantinópolis</w:t>
            </w:r>
          </w:p>
        </w:tc>
        <w:tc>
          <w:tcPr>
            <w:tcW w:w="965" w:type="dxa"/>
            <w:tcBorders>
              <w:top w:val="single" w:sz="8" w:space="0" w:color="EC7C30"/>
              <w:left w:val="nil"/>
              <w:bottom w:val="single" w:sz="8" w:space="0" w:color="EC7C30"/>
              <w:right w:val="nil"/>
            </w:tcBorders>
          </w:tcPr>
          <w:p>
            <w:pPr>
              <w:pStyle w:val="TableParagraph"/>
              <w:spacing w:before="0"/>
              <w:ind w:left="107" w:right="126"/>
              <w:rPr>
                <w:sz w:val="20"/>
              </w:rPr>
            </w:pPr>
            <w:r>
              <w:rPr>
                <w:sz w:val="20"/>
              </w:rPr>
              <w:t>963 de 19/06/15</w:t>
            </w:r>
          </w:p>
        </w:tc>
        <w:tc>
          <w:tcPr>
            <w:tcW w:w="564" w:type="dxa"/>
            <w:tcBorders>
              <w:top w:val="single" w:sz="8" w:space="0" w:color="EC7C30"/>
              <w:left w:val="nil"/>
              <w:bottom w:val="single" w:sz="8" w:space="0" w:color="EC7C30"/>
              <w:right w:val="nil"/>
            </w:tcBorders>
          </w:tcPr>
          <w:p>
            <w:pPr>
              <w:pStyle w:val="TableParagraph"/>
              <w:spacing w:before="109"/>
              <w:ind w:left="105"/>
              <w:rPr>
                <w:sz w:val="20"/>
              </w:rPr>
            </w:pPr>
            <w:r>
              <w:rPr>
                <w:w w:val="99"/>
                <w:sz w:val="20"/>
              </w:rPr>
              <w:t>5</w:t>
            </w:r>
          </w:p>
        </w:tc>
        <w:tc>
          <w:tcPr>
            <w:tcW w:w="569" w:type="dxa"/>
            <w:tcBorders>
              <w:top w:val="single" w:sz="8" w:space="0" w:color="EC7C30"/>
              <w:left w:val="nil"/>
              <w:bottom w:val="single" w:sz="8" w:space="0" w:color="EC7C30"/>
              <w:right w:val="nil"/>
            </w:tcBorders>
          </w:tcPr>
          <w:p>
            <w:pPr>
              <w:pStyle w:val="TableParagraph"/>
              <w:spacing w:before="109"/>
              <w:ind w:left="107"/>
              <w:rPr>
                <w:sz w:val="20"/>
              </w:rPr>
            </w:pPr>
            <w:r>
              <w:rPr>
                <w:sz w:val="20"/>
              </w:rPr>
              <w:t>22</w:t>
            </w:r>
          </w:p>
        </w:tc>
        <w:tc>
          <w:tcPr>
            <w:tcW w:w="338" w:type="dxa"/>
            <w:tcBorders>
              <w:top w:val="single" w:sz="8" w:space="0" w:color="EC7C30"/>
              <w:left w:val="nil"/>
              <w:bottom w:val="single" w:sz="8" w:space="0" w:color="EC7C30"/>
              <w:right w:val="nil"/>
            </w:tcBorders>
          </w:tcPr>
          <w:p>
            <w:pPr>
              <w:pStyle w:val="TableParagraph"/>
              <w:spacing w:before="109"/>
              <w:ind w:left="16"/>
              <w:jc w:val="center"/>
              <w:rPr>
                <w:sz w:val="20"/>
              </w:rPr>
            </w:pPr>
            <w:r>
              <w:rPr>
                <w:w w:val="99"/>
                <w:sz w:val="20"/>
              </w:rPr>
              <w:t>X</w:t>
            </w:r>
          </w:p>
        </w:tc>
        <w:tc>
          <w:tcPr>
            <w:tcW w:w="566" w:type="dxa"/>
            <w:tcBorders>
              <w:top w:val="single" w:sz="8" w:space="0" w:color="EC7C30"/>
              <w:left w:val="nil"/>
              <w:bottom w:val="single" w:sz="8" w:space="0" w:color="EC7C30"/>
              <w:right w:val="nil"/>
            </w:tcBorders>
          </w:tcPr>
          <w:p>
            <w:pPr>
              <w:pStyle w:val="TableParagraph"/>
              <w:spacing w:before="109"/>
              <w:ind w:left="105"/>
              <w:rPr>
                <w:sz w:val="20"/>
              </w:rPr>
            </w:pPr>
            <w:r>
              <w:rPr>
                <w:w w:val="99"/>
                <w:sz w:val="20"/>
              </w:rPr>
              <w:t>X</w:t>
            </w:r>
          </w:p>
        </w:tc>
        <w:tc>
          <w:tcPr>
            <w:tcW w:w="566" w:type="dxa"/>
            <w:tcBorders>
              <w:top w:val="single" w:sz="8" w:space="0" w:color="EC7C30"/>
              <w:left w:val="nil"/>
              <w:bottom w:val="single" w:sz="8" w:space="0" w:color="EC7C30"/>
              <w:right w:val="nil"/>
            </w:tcBorders>
          </w:tcPr>
          <w:p>
            <w:pPr>
              <w:pStyle w:val="TableParagraph"/>
              <w:spacing w:before="109"/>
              <w:ind w:left="108"/>
              <w:rPr>
                <w:sz w:val="20"/>
              </w:rPr>
            </w:pPr>
            <w:r>
              <w:rPr>
                <w:w w:val="99"/>
                <w:sz w:val="20"/>
              </w:rPr>
              <w:t>-</w:t>
            </w:r>
          </w:p>
        </w:tc>
        <w:tc>
          <w:tcPr>
            <w:tcW w:w="284" w:type="dxa"/>
            <w:tcBorders>
              <w:top w:val="single" w:sz="8" w:space="0" w:color="EC7C30"/>
              <w:left w:val="nil"/>
              <w:bottom w:val="single" w:sz="8" w:space="0" w:color="EC7C30"/>
              <w:right w:val="nil"/>
            </w:tcBorders>
          </w:tcPr>
          <w:p>
            <w:pPr>
              <w:pStyle w:val="TableParagraph"/>
              <w:spacing w:before="109"/>
              <w:ind w:right="1"/>
              <w:jc w:val="center"/>
              <w:rPr>
                <w:sz w:val="20"/>
              </w:rPr>
            </w:pPr>
            <w:r>
              <w:rPr>
                <w:w w:val="99"/>
                <w:sz w:val="20"/>
              </w:rPr>
              <w:t>-</w:t>
            </w:r>
          </w:p>
        </w:tc>
        <w:tc>
          <w:tcPr>
            <w:tcW w:w="456" w:type="dxa"/>
            <w:tcBorders>
              <w:top w:val="single" w:sz="8" w:space="0" w:color="EC7C30"/>
              <w:left w:val="nil"/>
              <w:bottom w:val="single" w:sz="8" w:space="0" w:color="EC7C30"/>
              <w:right w:val="nil"/>
            </w:tcBorders>
          </w:tcPr>
          <w:p>
            <w:pPr>
              <w:pStyle w:val="TableParagraph"/>
              <w:spacing w:before="109"/>
              <w:ind w:left="107"/>
              <w:rPr>
                <w:sz w:val="20"/>
              </w:rPr>
            </w:pPr>
            <w:r>
              <w:rPr>
                <w:sz w:val="20"/>
              </w:rPr>
              <w:t>19</w:t>
            </w:r>
          </w:p>
        </w:tc>
        <w:tc>
          <w:tcPr>
            <w:tcW w:w="454" w:type="dxa"/>
            <w:tcBorders>
              <w:top w:val="single" w:sz="8" w:space="0" w:color="EC7C30"/>
              <w:left w:val="nil"/>
              <w:bottom w:val="single" w:sz="8" w:space="0" w:color="EC7C30"/>
              <w:right w:val="nil"/>
            </w:tcBorders>
          </w:tcPr>
          <w:p>
            <w:pPr>
              <w:pStyle w:val="TableParagraph"/>
              <w:spacing w:before="109"/>
              <w:ind w:left="68" w:right="106"/>
              <w:jc w:val="center"/>
              <w:rPr>
                <w:sz w:val="20"/>
              </w:rPr>
            </w:pPr>
            <w:r>
              <w:rPr>
                <w:sz w:val="20"/>
              </w:rPr>
              <w:t>15</w:t>
            </w:r>
          </w:p>
        </w:tc>
        <w:tc>
          <w:tcPr>
            <w:tcW w:w="454" w:type="dxa"/>
            <w:tcBorders>
              <w:top w:val="single" w:sz="8" w:space="0" w:color="EC7C30"/>
              <w:left w:val="nil"/>
              <w:bottom w:val="single" w:sz="8" w:space="0" w:color="EC7C30"/>
              <w:right w:val="nil"/>
            </w:tcBorders>
          </w:tcPr>
          <w:p>
            <w:pPr>
              <w:pStyle w:val="TableParagraph"/>
              <w:spacing w:before="109"/>
              <w:ind w:left="105"/>
              <w:rPr>
                <w:sz w:val="20"/>
              </w:rPr>
            </w:pPr>
            <w:r>
              <w:rPr>
                <w:w w:val="99"/>
                <w:sz w:val="20"/>
              </w:rPr>
              <w:t>6</w:t>
            </w:r>
          </w:p>
        </w:tc>
        <w:tc>
          <w:tcPr>
            <w:tcW w:w="454" w:type="dxa"/>
            <w:tcBorders>
              <w:top w:val="single" w:sz="8" w:space="0" w:color="EC7C30"/>
              <w:left w:val="nil"/>
              <w:bottom w:val="single" w:sz="8" w:space="0" w:color="EC7C30"/>
              <w:right w:val="nil"/>
            </w:tcBorders>
          </w:tcPr>
          <w:p>
            <w:pPr>
              <w:pStyle w:val="TableParagraph"/>
              <w:spacing w:before="109"/>
              <w:ind w:left="107"/>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9"/>
              <w:ind w:right="136"/>
              <w:jc w:val="center"/>
              <w:rPr>
                <w:sz w:val="20"/>
              </w:rPr>
            </w:pPr>
            <w:r>
              <w:rPr>
                <w:w w:val="99"/>
                <w:sz w:val="20"/>
              </w:rPr>
              <w:t>8</w:t>
            </w:r>
          </w:p>
        </w:tc>
        <w:tc>
          <w:tcPr>
            <w:tcW w:w="454" w:type="dxa"/>
            <w:tcBorders>
              <w:top w:val="single" w:sz="8" w:space="0" w:color="EC7C30"/>
              <w:left w:val="nil"/>
              <w:bottom w:val="single" w:sz="8" w:space="0" w:color="EC7C30"/>
              <w:right w:val="nil"/>
            </w:tcBorders>
          </w:tcPr>
          <w:p>
            <w:pPr>
              <w:pStyle w:val="TableParagraph"/>
              <w:spacing w:before="109"/>
              <w:ind w:left="108"/>
              <w:rPr>
                <w:sz w:val="20"/>
              </w:rPr>
            </w:pPr>
            <w:r>
              <w:rPr>
                <w:sz w:val="20"/>
              </w:rPr>
              <w:t>21</w:t>
            </w:r>
          </w:p>
        </w:tc>
        <w:tc>
          <w:tcPr>
            <w:tcW w:w="456" w:type="dxa"/>
            <w:tcBorders>
              <w:top w:val="single" w:sz="8" w:space="0" w:color="EC7C30"/>
              <w:left w:val="nil"/>
              <w:bottom w:val="single" w:sz="8" w:space="0" w:color="EC7C30"/>
              <w:right w:val="nil"/>
            </w:tcBorders>
          </w:tcPr>
          <w:p>
            <w:pPr>
              <w:pStyle w:val="TableParagraph"/>
              <w:spacing w:before="109"/>
              <w:ind w:right="138"/>
              <w:jc w:val="center"/>
              <w:rPr>
                <w:sz w:val="20"/>
              </w:rPr>
            </w:pPr>
            <w:r>
              <w:rPr>
                <w:w w:val="99"/>
                <w:sz w:val="20"/>
              </w:rPr>
              <w:t>5</w:t>
            </w:r>
          </w:p>
        </w:tc>
        <w:tc>
          <w:tcPr>
            <w:tcW w:w="454" w:type="dxa"/>
            <w:tcBorders>
              <w:top w:val="single" w:sz="8" w:space="0" w:color="EC7C30"/>
              <w:left w:val="nil"/>
              <w:bottom w:val="single" w:sz="8" w:space="0" w:color="EC7C30"/>
              <w:right w:val="nil"/>
            </w:tcBorders>
          </w:tcPr>
          <w:p>
            <w:pPr>
              <w:pStyle w:val="TableParagraph"/>
              <w:spacing w:before="109"/>
              <w:ind w:left="68" w:right="106"/>
              <w:jc w:val="center"/>
              <w:rPr>
                <w:sz w:val="20"/>
              </w:rPr>
            </w:pPr>
            <w:r>
              <w:rPr>
                <w:sz w:val="20"/>
              </w:rPr>
              <w:t>10</w:t>
            </w:r>
          </w:p>
        </w:tc>
        <w:tc>
          <w:tcPr>
            <w:tcW w:w="454" w:type="dxa"/>
            <w:tcBorders>
              <w:top w:val="single" w:sz="8" w:space="0" w:color="EC7C30"/>
              <w:left w:val="nil"/>
              <w:bottom w:val="single" w:sz="8" w:space="0" w:color="EC7C30"/>
              <w:right w:val="nil"/>
            </w:tcBorders>
          </w:tcPr>
          <w:p>
            <w:pPr>
              <w:pStyle w:val="TableParagraph"/>
              <w:spacing w:before="109"/>
              <w:ind w:left="106"/>
              <w:rPr>
                <w:sz w:val="20"/>
              </w:rPr>
            </w:pPr>
            <w:r>
              <w:rPr>
                <w:sz w:val="20"/>
              </w:rPr>
              <w:t>10</w:t>
            </w:r>
          </w:p>
        </w:tc>
        <w:tc>
          <w:tcPr>
            <w:tcW w:w="454" w:type="dxa"/>
            <w:tcBorders>
              <w:top w:val="single" w:sz="8" w:space="0" w:color="EC7C30"/>
              <w:left w:val="nil"/>
              <w:bottom w:val="single" w:sz="8" w:space="0" w:color="EC7C30"/>
              <w:right w:val="nil"/>
            </w:tcBorders>
          </w:tcPr>
          <w:p>
            <w:pPr>
              <w:pStyle w:val="TableParagraph"/>
              <w:spacing w:before="109"/>
              <w:ind w:right="136"/>
              <w:jc w:val="center"/>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9"/>
              <w:ind w:right="136"/>
              <w:jc w:val="center"/>
              <w:rPr>
                <w:sz w:val="20"/>
              </w:rPr>
            </w:pPr>
            <w:r>
              <w:rPr>
                <w:w w:val="99"/>
                <w:sz w:val="20"/>
              </w:rPr>
              <w:t>6</w:t>
            </w:r>
          </w:p>
        </w:tc>
        <w:tc>
          <w:tcPr>
            <w:tcW w:w="454" w:type="dxa"/>
            <w:tcBorders>
              <w:top w:val="single" w:sz="8" w:space="0" w:color="EC7C30"/>
              <w:left w:val="nil"/>
              <w:bottom w:val="single" w:sz="8" w:space="0" w:color="EC7C30"/>
              <w:right w:val="nil"/>
            </w:tcBorders>
          </w:tcPr>
          <w:p>
            <w:pPr>
              <w:pStyle w:val="TableParagraph"/>
              <w:spacing w:before="109"/>
              <w:ind w:left="107"/>
              <w:rPr>
                <w:sz w:val="20"/>
              </w:rPr>
            </w:pPr>
            <w:r>
              <w:rPr>
                <w:w w:val="99"/>
                <w:sz w:val="20"/>
              </w:rPr>
              <w:t>6</w:t>
            </w:r>
          </w:p>
        </w:tc>
        <w:tc>
          <w:tcPr>
            <w:tcW w:w="456" w:type="dxa"/>
            <w:tcBorders>
              <w:top w:val="single" w:sz="8" w:space="0" w:color="EC7C30"/>
              <w:left w:val="nil"/>
              <w:bottom w:val="single" w:sz="8" w:space="0" w:color="EC7C30"/>
              <w:right w:val="nil"/>
            </w:tcBorders>
          </w:tcPr>
          <w:p>
            <w:pPr>
              <w:pStyle w:val="TableParagraph"/>
              <w:spacing w:before="109"/>
              <w:ind w:right="138"/>
              <w:jc w:val="center"/>
              <w:rPr>
                <w:sz w:val="20"/>
              </w:rPr>
            </w:pPr>
            <w:r>
              <w:rPr>
                <w:w w:val="99"/>
                <w:sz w:val="20"/>
              </w:rPr>
              <w:t>6</w:t>
            </w:r>
          </w:p>
        </w:tc>
        <w:tc>
          <w:tcPr>
            <w:tcW w:w="454" w:type="dxa"/>
            <w:tcBorders>
              <w:top w:val="single" w:sz="8" w:space="0" w:color="EC7C30"/>
              <w:left w:val="nil"/>
              <w:bottom w:val="single" w:sz="8" w:space="0" w:color="EC7C30"/>
              <w:right w:val="nil"/>
            </w:tcBorders>
          </w:tcPr>
          <w:p>
            <w:pPr>
              <w:pStyle w:val="TableParagraph"/>
              <w:spacing w:before="109"/>
              <w:ind w:right="140"/>
              <w:jc w:val="center"/>
              <w:rPr>
                <w:sz w:val="20"/>
              </w:rPr>
            </w:pPr>
            <w:r>
              <w:rPr>
                <w:w w:val="99"/>
                <w:sz w:val="20"/>
              </w:rPr>
              <w:t>2</w:t>
            </w:r>
          </w:p>
        </w:tc>
        <w:tc>
          <w:tcPr>
            <w:tcW w:w="454" w:type="dxa"/>
            <w:tcBorders>
              <w:top w:val="single" w:sz="8" w:space="0" w:color="EC7C30"/>
              <w:left w:val="nil"/>
              <w:bottom w:val="single" w:sz="8" w:space="0" w:color="EC7C30"/>
              <w:right w:val="nil"/>
            </w:tcBorders>
          </w:tcPr>
          <w:p>
            <w:pPr>
              <w:pStyle w:val="TableParagraph"/>
              <w:spacing w:before="109"/>
              <w:ind w:left="105"/>
              <w:rPr>
                <w:sz w:val="20"/>
              </w:rPr>
            </w:pPr>
            <w:r>
              <w:rPr>
                <w:w w:val="99"/>
                <w:sz w:val="20"/>
              </w:rPr>
              <w:t>6</w:t>
            </w:r>
          </w:p>
        </w:tc>
        <w:tc>
          <w:tcPr>
            <w:tcW w:w="454" w:type="dxa"/>
            <w:tcBorders>
              <w:top w:val="single" w:sz="8" w:space="0" w:color="EC7C30"/>
              <w:left w:val="nil"/>
              <w:bottom w:val="single" w:sz="8" w:space="0" w:color="EC7C30"/>
              <w:right w:val="nil"/>
            </w:tcBorders>
          </w:tcPr>
          <w:p>
            <w:pPr>
              <w:pStyle w:val="TableParagraph"/>
              <w:spacing w:before="109"/>
              <w:ind w:right="136"/>
              <w:jc w:val="center"/>
              <w:rPr>
                <w:sz w:val="20"/>
              </w:rPr>
            </w:pPr>
            <w:r>
              <w:rPr>
                <w:w w:val="99"/>
                <w:sz w:val="20"/>
              </w:rPr>
              <w:t>5</w:t>
            </w:r>
          </w:p>
        </w:tc>
        <w:tc>
          <w:tcPr>
            <w:tcW w:w="454" w:type="dxa"/>
            <w:tcBorders>
              <w:top w:val="single" w:sz="8" w:space="0" w:color="EC7C30"/>
              <w:left w:val="nil"/>
              <w:bottom w:val="single" w:sz="8" w:space="0" w:color="EC7C30"/>
              <w:right w:val="nil"/>
            </w:tcBorders>
          </w:tcPr>
          <w:p>
            <w:pPr>
              <w:pStyle w:val="TableParagraph"/>
              <w:spacing w:before="109"/>
              <w:ind w:left="107"/>
              <w:rPr>
                <w:sz w:val="20"/>
              </w:rPr>
            </w:pPr>
            <w:r>
              <w:rPr>
                <w:sz w:val="20"/>
              </w:rPr>
              <w:t>10</w:t>
            </w:r>
          </w:p>
        </w:tc>
        <w:tc>
          <w:tcPr>
            <w:tcW w:w="454" w:type="dxa"/>
            <w:tcBorders>
              <w:top w:val="single" w:sz="8" w:space="0" w:color="EC7C30"/>
              <w:left w:val="nil"/>
              <w:bottom w:val="single" w:sz="8" w:space="0" w:color="EC7C30"/>
              <w:right w:val="nil"/>
            </w:tcBorders>
          </w:tcPr>
          <w:p>
            <w:pPr>
              <w:pStyle w:val="TableParagraph"/>
              <w:spacing w:before="109"/>
              <w:ind w:left="107"/>
              <w:rPr>
                <w:sz w:val="20"/>
              </w:rPr>
            </w:pPr>
            <w:r>
              <w:rPr>
                <w:sz w:val="20"/>
              </w:rPr>
              <w:t>32</w:t>
            </w:r>
          </w:p>
        </w:tc>
        <w:tc>
          <w:tcPr>
            <w:tcW w:w="456" w:type="dxa"/>
            <w:tcBorders>
              <w:top w:val="single" w:sz="8" w:space="0" w:color="EC7C30"/>
              <w:left w:val="nil"/>
              <w:bottom w:val="single" w:sz="8" w:space="0" w:color="EC7C30"/>
              <w:right w:val="nil"/>
            </w:tcBorders>
          </w:tcPr>
          <w:p>
            <w:pPr>
              <w:pStyle w:val="TableParagraph"/>
              <w:spacing w:before="109"/>
              <w:ind w:right="138"/>
              <w:jc w:val="center"/>
              <w:rPr>
                <w:sz w:val="20"/>
              </w:rPr>
            </w:pPr>
            <w:r>
              <w:rPr>
                <w:w w:val="99"/>
                <w:sz w:val="20"/>
              </w:rPr>
              <w:t>5</w:t>
            </w:r>
          </w:p>
        </w:tc>
        <w:tc>
          <w:tcPr>
            <w:tcW w:w="454" w:type="dxa"/>
            <w:tcBorders>
              <w:top w:val="single" w:sz="8" w:space="0" w:color="EC7C30"/>
              <w:left w:val="nil"/>
              <w:bottom w:val="single" w:sz="8" w:space="0" w:color="EC7C30"/>
              <w:right w:val="nil"/>
            </w:tcBorders>
          </w:tcPr>
          <w:p>
            <w:pPr>
              <w:pStyle w:val="TableParagraph"/>
              <w:spacing w:before="109"/>
              <w:ind w:left="105"/>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9"/>
              <w:ind w:left="105"/>
              <w:rPr>
                <w:sz w:val="20"/>
              </w:rPr>
            </w:pPr>
            <w:r>
              <w:rPr>
                <w:sz w:val="20"/>
              </w:rPr>
              <w:t>10</w:t>
            </w:r>
          </w:p>
        </w:tc>
        <w:tc>
          <w:tcPr>
            <w:tcW w:w="454" w:type="dxa"/>
            <w:tcBorders>
              <w:top w:val="single" w:sz="8" w:space="0" w:color="EC7C30"/>
              <w:left w:val="nil"/>
              <w:bottom w:val="single" w:sz="8" w:space="0" w:color="EC7C30"/>
              <w:right w:val="nil"/>
            </w:tcBorders>
          </w:tcPr>
          <w:p>
            <w:pPr>
              <w:pStyle w:val="TableParagraph"/>
              <w:spacing w:before="109"/>
              <w:ind w:left="72" w:right="106"/>
              <w:jc w:val="center"/>
              <w:rPr>
                <w:sz w:val="20"/>
              </w:rPr>
            </w:pPr>
            <w:r>
              <w:rPr>
                <w:sz w:val="20"/>
              </w:rPr>
              <w:t>16</w:t>
            </w:r>
          </w:p>
        </w:tc>
        <w:tc>
          <w:tcPr>
            <w:tcW w:w="626" w:type="dxa"/>
            <w:tcBorders>
              <w:top w:val="single" w:sz="8" w:space="0" w:color="EC7C30"/>
              <w:left w:val="nil"/>
              <w:bottom w:val="single" w:sz="8" w:space="0" w:color="EC7C30"/>
              <w:right w:val="nil"/>
            </w:tcBorders>
          </w:tcPr>
          <w:p>
            <w:pPr>
              <w:pStyle w:val="TableParagraph"/>
              <w:spacing w:before="109"/>
              <w:ind w:left="90" w:right="196"/>
              <w:jc w:val="center"/>
              <w:rPr>
                <w:sz w:val="20"/>
              </w:rPr>
            </w:pPr>
            <w:r>
              <w:rPr>
                <w:sz w:val="20"/>
              </w:rPr>
              <w:t>225</w:t>
            </w:r>
          </w:p>
        </w:tc>
      </w:tr>
      <w:tr>
        <w:trPr>
          <w:trHeight w:val="480" w:hRule="exact"/>
        </w:trPr>
        <w:tc>
          <w:tcPr>
            <w:tcW w:w="1536" w:type="dxa"/>
            <w:tcBorders>
              <w:top w:val="single" w:sz="8" w:space="0" w:color="EC7C30"/>
              <w:left w:val="nil"/>
              <w:bottom w:val="single" w:sz="8" w:space="0" w:color="EC7C30"/>
              <w:right w:val="nil"/>
            </w:tcBorders>
          </w:tcPr>
          <w:p>
            <w:pPr>
              <w:pStyle w:val="TableParagraph"/>
              <w:spacing w:before="0"/>
              <w:ind w:left="115" w:right="279"/>
              <w:rPr>
                <w:sz w:val="20"/>
              </w:rPr>
            </w:pPr>
            <w:r>
              <w:rPr>
                <w:sz w:val="20"/>
              </w:rPr>
              <w:t>Sitio Novo do Tocantins</w:t>
            </w:r>
          </w:p>
        </w:tc>
        <w:tc>
          <w:tcPr>
            <w:tcW w:w="965" w:type="dxa"/>
            <w:tcBorders>
              <w:top w:val="single" w:sz="8" w:space="0" w:color="EC7C30"/>
              <w:left w:val="nil"/>
              <w:bottom w:val="single" w:sz="8" w:space="0" w:color="EC7C30"/>
              <w:right w:val="nil"/>
            </w:tcBorders>
          </w:tcPr>
          <w:p>
            <w:pPr>
              <w:pStyle w:val="TableParagraph"/>
              <w:spacing w:before="0"/>
              <w:ind w:left="107" w:right="126"/>
              <w:rPr>
                <w:sz w:val="20"/>
              </w:rPr>
            </w:pPr>
            <w:r>
              <w:rPr>
                <w:sz w:val="20"/>
              </w:rPr>
              <w:t>453 de 23/06/15</w:t>
            </w:r>
          </w:p>
        </w:tc>
        <w:tc>
          <w:tcPr>
            <w:tcW w:w="564" w:type="dxa"/>
            <w:tcBorders>
              <w:top w:val="single" w:sz="8" w:space="0" w:color="EC7C30"/>
              <w:left w:val="nil"/>
              <w:bottom w:val="single" w:sz="8" w:space="0" w:color="EC7C30"/>
              <w:right w:val="nil"/>
            </w:tcBorders>
          </w:tcPr>
          <w:p>
            <w:pPr>
              <w:pStyle w:val="TableParagraph"/>
              <w:spacing w:before="108"/>
              <w:ind w:left="105"/>
              <w:rPr>
                <w:sz w:val="20"/>
              </w:rPr>
            </w:pPr>
            <w:r>
              <w:rPr>
                <w:sz w:val="20"/>
              </w:rPr>
              <w:t>13</w:t>
            </w:r>
          </w:p>
        </w:tc>
        <w:tc>
          <w:tcPr>
            <w:tcW w:w="569" w:type="dxa"/>
            <w:tcBorders>
              <w:top w:val="single" w:sz="8" w:space="0" w:color="EC7C30"/>
              <w:left w:val="nil"/>
              <w:bottom w:val="single" w:sz="8" w:space="0" w:color="EC7C30"/>
              <w:right w:val="nil"/>
            </w:tcBorders>
          </w:tcPr>
          <w:p>
            <w:pPr>
              <w:pStyle w:val="TableParagraph"/>
              <w:spacing w:before="108"/>
              <w:ind w:left="107"/>
              <w:rPr>
                <w:sz w:val="20"/>
              </w:rPr>
            </w:pPr>
            <w:r>
              <w:rPr>
                <w:sz w:val="20"/>
              </w:rPr>
              <w:t>21</w:t>
            </w:r>
          </w:p>
        </w:tc>
        <w:tc>
          <w:tcPr>
            <w:tcW w:w="338" w:type="dxa"/>
            <w:tcBorders>
              <w:top w:val="single" w:sz="8" w:space="0" w:color="EC7C30"/>
              <w:left w:val="nil"/>
              <w:bottom w:val="single" w:sz="8" w:space="0" w:color="EC7C30"/>
              <w:right w:val="nil"/>
            </w:tcBorders>
          </w:tcPr>
          <w:p>
            <w:pPr>
              <w:pStyle w:val="TableParagraph"/>
              <w:spacing w:before="108"/>
              <w:ind w:right="58"/>
              <w:jc w:val="center"/>
              <w:rPr>
                <w:sz w:val="20"/>
              </w:rPr>
            </w:pPr>
            <w:r>
              <w:rPr>
                <w:w w:val="99"/>
                <w:sz w:val="20"/>
              </w:rPr>
              <w:t>-</w:t>
            </w:r>
          </w:p>
        </w:tc>
        <w:tc>
          <w:tcPr>
            <w:tcW w:w="566"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X</w:t>
            </w:r>
          </w:p>
        </w:tc>
        <w:tc>
          <w:tcPr>
            <w:tcW w:w="566" w:type="dxa"/>
            <w:tcBorders>
              <w:top w:val="single" w:sz="8" w:space="0" w:color="EC7C30"/>
              <w:left w:val="nil"/>
              <w:bottom w:val="single" w:sz="8" w:space="0" w:color="EC7C30"/>
              <w:right w:val="nil"/>
            </w:tcBorders>
          </w:tcPr>
          <w:p>
            <w:pPr>
              <w:pStyle w:val="TableParagraph"/>
              <w:spacing w:before="108"/>
              <w:ind w:left="108"/>
              <w:rPr>
                <w:sz w:val="20"/>
              </w:rPr>
            </w:pPr>
            <w:r>
              <w:rPr>
                <w:w w:val="99"/>
                <w:sz w:val="20"/>
              </w:rPr>
              <w:t>X</w:t>
            </w:r>
          </w:p>
        </w:tc>
        <w:tc>
          <w:tcPr>
            <w:tcW w:w="284" w:type="dxa"/>
            <w:tcBorders>
              <w:top w:val="single" w:sz="8" w:space="0" w:color="EC7C30"/>
              <w:left w:val="nil"/>
              <w:bottom w:val="single" w:sz="8" w:space="0" w:color="EC7C30"/>
              <w:right w:val="nil"/>
            </w:tcBorders>
          </w:tcPr>
          <w:p>
            <w:pPr>
              <w:pStyle w:val="TableParagraph"/>
              <w:spacing w:before="108"/>
              <w:ind w:left="76"/>
              <w:jc w:val="center"/>
              <w:rPr>
                <w:sz w:val="20"/>
              </w:rPr>
            </w:pPr>
            <w:r>
              <w:rPr>
                <w:w w:val="99"/>
                <w:sz w:val="20"/>
              </w:rPr>
              <w:t>X</w:t>
            </w:r>
          </w:p>
        </w:tc>
        <w:tc>
          <w:tcPr>
            <w:tcW w:w="456" w:type="dxa"/>
            <w:tcBorders>
              <w:top w:val="single" w:sz="8" w:space="0" w:color="EC7C30"/>
              <w:left w:val="nil"/>
              <w:bottom w:val="single" w:sz="8" w:space="0" w:color="EC7C30"/>
              <w:right w:val="nil"/>
            </w:tcBorders>
          </w:tcPr>
          <w:p>
            <w:pPr>
              <w:pStyle w:val="TableParagraph"/>
              <w:spacing w:before="108"/>
              <w:ind w:left="107"/>
              <w:rPr>
                <w:sz w:val="20"/>
              </w:rPr>
            </w:pPr>
            <w:r>
              <w:rPr>
                <w:sz w:val="20"/>
              </w:rPr>
              <w:t>25</w:t>
            </w:r>
          </w:p>
        </w:tc>
        <w:tc>
          <w:tcPr>
            <w:tcW w:w="454" w:type="dxa"/>
            <w:tcBorders>
              <w:top w:val="single" w:sz="8" w:space="0" w:color="EC7C30"/>
              <w:left w:val="nil"/>
              <w:bottom w:val="single" w:sz="8" w:space="0" w:color="EC7C30"/>
              <w:right w:val="nil"/>
            </w:tcBorders>
          </w:tcPr>
          <w:p>
            <w:pPr>
              <w:pStyle w:val="TableParagraph"/>
              <w:spacing w:before="108"/>
              <w:ind w:left="68" w:right="106"/>
              <w:jc w:val="center"/>
              <w:rPr>
                <w:sz w:val="20"/>
              </w:rPr>
            </w:pPr>
            <w:r>
              <w:rPr>
                <w:sz w:val="20"/>
              </w:rPr>
              <w:t>18</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4</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sz w:val="20"/>
              </w:rPr>
              <w:t>23</w:t>
            </w:r>
          </w:p>
        </w:tc>
        <w:tc>
          <w:tcPr>
            <w:tcW w:w="454" w:type="dxa"/>
            <w:tcBorders>
              <w:top w:val="single" w:sz="8" w:space="0" w:color="EC7C30"/>
              <w:left w:val="nil"/>
              <w:bottom w:val="single" w:sz="8" w:space="0" w:color="EC7C30"/>
              <w:right w:val="nil"/>
            </w:tcBorders>
          </w:tcPr>
          <w:p>
            <w:pPr>
              <w:pStyle w:val="TableParagraph"/>
              <w:spacing w:before="108"/>
              <w:ind w:left="72" w:right="106"/>
              <w:jc w:val="center"/>
              <w:rPr>
                <w:sz w:val="20"/>
              </w:rPr>
            </w:pPr>
            <w:r>
              <w:rPr>
                <w:sz w:val="20"/>
              </w:rPr>
              <w:t>13</w:t>
            </w:r>
          </w:p>
        </w:tc>
        <w:tc>
          <w:tcPr>
            <w:tcW w:w="454" w:type="dxa"/>
            <w:tcBorders>
              <w:top w:val="single" w:sz="8" w:space="0" w:color="EC7C30"/>
              <w:left w:val="nil"/>
              <w:bottom w:val="single" w:sz="8" w:space="0" w:color="EC7C30"/>
              <w:right w:val="nil"/>
            </w:tcBorders>
          </w:tcPr>
          <w:p>
            <w:pPr>
              <w:pStyle w:val="TableParagraph"/>
              <w:spacing w:before="108"/>
              <w:ind w:left="108"/>
              <w:rPr>
                <w:sz w:val="20"/>
              </w:rPr>
            </w:pPr>
            <w:r>
              <w:rPr>
                <w:sz w:val="20"/>
              </w:rPr>
              <w:t>13</w:t>
            </w:r>
          </w:p>
        </w:tc>
        <w:tc>
          <w:tcPr>
            <w:tcW w:w="456" w:type="dxa"/>
            <w:tcBorders>
              <w:top w:val="single" w:sz="8" w:space="0" w:color="EC7C30"/>
              <w:left w:val="nil"/>
              <w:bottom w:val="single" w:sz="8" w:space="0" w:color="EC7C30"/>
              <w:right w:val="nil"/>
            </w:tcBorders>
          </w:tcPr>
          <w:p>
            <w:pPr>
              <w:pStyle w:val="TableParagraph"/>
              <w:spacing w:before="108"/>
              <w:ind w:left="90" w:right="126"/>
              <w:jc w:val="center"/>
              <w:rPr>
                <w:sz w:val="20"/>
              </w:rPr>
            </w:pPr>
            <w:r>
              <w:rPr>
                <w:sz w:val="20"/>
              </w:rPr>
              <w:t>30</w:t>
            </w:r>
          </w:p>
        </w:tc>
        <w:tc>
          <w:tcPr>
            <w:tcW w:w="454" w:type="dxa"/>
            <w:tcBorders>
              <w:top w:val="single" w:sz="8" w:space="0" w:color="EC7C30"/>
              <w:left w:val="nil"/>
              <w:bottom w:val="single" w:sz="8" w:space="0" w:color="EC7C30"/>
              <w:right w:val="nil"/>
            </w:tcBorders>
          </w:tcPr>
          <w:p>
            <w:pPr>
              <w:pStyle w:val="TableParagraph"/>
              <w:spacing w:before="108"/>
              <w:ind w:right="140"/>
              <w:jc w:val="center"/>
              <w:rPr>
                <w:sz w:val="20"/>
              </w:rPr>
            </w:pPr>
            <w:r>
              <w:rPr>
                <w:w w:val="99"/>
                <w:sz w:val="20"/>
              </w:rPr>
              <w:t>7</w:t>
            </w:r>
          </w:p>
        </w:tc>
        <w:tc>
          <w:tcPr>
            <w:tcW w:w="454" w:type="dxa"/>
            <w:tcBorders>
              <w:top w:val="single" w:sz="8" w:space="0" w:color="EC7C30"/>
              <w:left w:val="nil"/>
              <w:bottom w:val="single" w:sz="8" w:space="0" w:color="EC7C30"/>
              <w:right w:val="nil"/>
            </w:tcBorders>
          </w:tcPr>
          <w:p>
            <w:pPr>
              <w:pStyle w:val="TableParagraph"/>
              <w:spacing w:before="108"/>
              <w:ind w:left="106"/>
              <w:rPr>
                <w:sz w:val="20"/>
              </w:rPr>
            </w:pPr>
            <w:r>
              <w:rPr>
                <w:w w:val="99"/>
                <w:sz w:val="20"/>
              </w:rPr>
              <w:t>8</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8</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2</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w w:val="99"/>
                <w:sz w:val="20"/>
              </w:rPr>
              <w:t>2</w:t>
            </w:r>
          </w:p>
        </w:tc>
        <w:tc>
          <w:tcPr>
            <w:tcW w:w="456" w:type="dxa"/>
            <w:tcBorders>
              <w:top w:val="single" w:sz="8" w:space="0" w:color="EC7C30"/>
              <w:left w:val="nil"/>
              <w:bottom w:val="single" w:sz="8" w:space="0" w:color="EC7C30"/>
              <w:right w:val="nil"/>
            </w:tcBorders>
          </w:tcPr>
          <w:p>
            <w:pPr>
              <w:pStyle w:val="TableParagraph"/>
              <w:spacing w:before="108"/>
              <w:ind w:left="90" w:right="126"/>
              <w:jc w:val="center"/>
              <w:rPr>
                <w:sz w:val="20"/>
              </w:rPr>
            </w:pPr>
            <w:r>
              <w:rPr>
                <w:sz w:val="20"/>
              </w:rPr>
              <w:t>11</w:t>
            </w:r>
          </w:p>
        </w:tc>
        <w:tc>
          <w:tcPr>
            <w:tcW w:w="454" w:type="dxa"/>
            <w:tcBorders>
              <w:top w:val="single" w:sz="8" w:space="0" w:color="EC7C30"/>
              <w:left w:val="nil"/>
              <w:bottom w:val="single" w:sz="8" w:space="0" w:color="EC7C30"/>
              <w:right w:val="nil"/>
            </w:tcBorders>
          </w:tcPr>
          <w:p>
            <w:pPr>
              <w:pStyle w:val="TableParagraph"/>
              <w:spacing w:before="108"/>
              <w:ind w:left="68" w:right="106"/>
              <w:jc w:val="center"/>
              <w:rPr>
                <w:sz w:val="20"/>
              </w:rPr>
            </w:pPr>
            <w:r>
              <w:rPr>
                <w:sz w:val="20"/>
              </w:rPr>
              <w:t>10</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6</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3</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sz w:val="20"/>
              </w:rPr>
              <w:t>11</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sz w:val="20"/>
              </w:rPr>
              <w:t>10</w:t>
            </w:r>
          </w:p>
        </w:tc>
        <w:tc>
          <w:tcPr>
            <w:tcW w:w="456" w:type="dxa"/>
            <w:tcBorders>
              <w:top w:val="single" w:sz="8" w:space="0" w:color="EC7C30"/>
              <w:left w:val="nil"/>
              <w:bottom w:val="single" w:sz="8" w:space="0" w:color="EC7C30"/>
              <w:right w:val="nil"/>
            </w:tcBorders>
          </w:tcPr>
          <w:p>
            <w:pPr>
              <w:pStyle w:val="TableParagraph"/>
              <w:spacing w:before="108"/>
              <w:ind w:left="90" w:right="126"/>
              <w:jc w:val="center"/>
              <w:rPr>
                <w:sz w:val="20"/>
              </w:rPr>
            </w:pPr>
            <w:r>
              <w:rPr>
                <w:sz w:val="20"/>
              </w:rPr>
              <w:t>22</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sz w:val="20"/>
              </w:rPr>
              <w:t>13</w:t>
            </w:r>
          </w:p>
        </w:tc>
        <w:tc>
          <w:tcPr>
            <w:tcW w:w="454" w:type="dxa"/>
            <w:tcBorders>
              <w:top w:val="single" w:sz="8" w:space="0" w:color="EC7C30"/>
              <w:left w:val="nil"/>
              <w:bottom w:val="single" w:sz="8" w:space="0" w:color="EC7C30"/>
              <w:right w:val="nil"/>
            </w:tcBorders>
          </w:tcPr>
          <w:p>
            <w:pPr>
              <w:pStyle w:val="TableParagraph"/>
              <w:spacing w:before="108"/>
              <w:ind w:right="169"/>
              <w:jc w:val="center"/>
              <w:rPr>
                <w:sz w:val="20"/>
              </w:rPr>
            </w:pPr>
            <w:r>
              <w:rPr>
                <w:w w:val="99"/>
                <w:sz w:val="20"/>
              </w:rPr>
              <w:t>-</w:t>
            </w:r>
          </w:p>
        </w:tc>
        <w:tc>
          <w:tcPr>
            <w:tcW w:w="626" w:type="dxa"/>
            <w:tcBorders>
              <w:top w:val="single" w:sz="8" w:space="0" w:color="EC7C30"/>
              <w:left w:val="nil"/>
              <w:bottom w:val="single" w:sz="8" w:space="0" w:color="EC7C30"/>
              <w:right w:val="nil"/>
            </w:tcBorders>
          </w:tcPr>
          <w:p>
            <w:pPr>
              <w:pStyle w:val="TableParagraph"/>
              <w:spacing w:before="108"/>
              <w:ind w:left="90" w:right="196"/>
              <w:jc w:val="center"/>
              <w:rPr>
                <w:sz w:val="20"/>
              </w:rPr>
            </w:pPr>
            <w:r>
              <w:rPr>
                <w:sz w:val="20"/>
              </w:rPr>
              <w:t>248</w:t>
            </w:r>
          </w:p>
        </w:tc>
      </w:tr>
      <w:tr>
        <w:trPr>
          <w:trHeight w:val="480" w:hRule="exact"/>
        </w:trPr>
        <w:tc>
          <w:tcPr>
            <w:tcW w:w="1536" w:type="dxa"/>
            <w:tcBorders>
              <w:top w:val="single" w:sz="8" w:space="0" w:color="EC7C30"/>
              <w:left w:val="nil"/>
              <w:bottom w:val="single" w:sz="8" w:space="0" w:color="EC7C30"/>
              <w:right w:val="nil"/>
            </w:tcBorders>
          </w:tcPr>
          <w:p>
            <w:pPr>
              <w:pStyle w:val="TableParagraph"/>
              <w:spacing w:before="108"/>
              <w:ind w:left="115"/>
              <w:rPr>
                <w:sz w:val="20"/>
              </w:rPr>
            </w:pPr>
            <w:r>
              <w:rPr>
                <w:sz w:val="20"/>
              </w:rPr>
              <w:t>Itaguatins</w:t>
            </w:r>
          </w:p>
        </w:tc>
        <w:tc>
          <w:tcPr>
            <w:tcW w:w="965" w:type="dxa"/>
            <w:tcBorders>
              <w:top w:val="single" w:sz="8" w:space="0" w:color="EC7C30"/>
              <w:left w:val="nil"/>
              <w:bottom w:val="single" w:sz="8" w:space="0" w:color="EC7C30"/>
              <w:right w:val="nil"/>
            </w:tcBorders>
          </w:tcPr>
          <w:p>
            <w:pPr>
              <w:pStyle w:val="TableParagraph"/>
              <w:spacing w:before="0"/>
              <w:ind w:left="107" w:right="126"/>
              <w:rPr>
                <w:sz w:val="20"/>
              </w:rPr>
            </w:pPr>
            <w:r>
              <w:rPr>
                <w:sz w:val="20"/>
              </w:rPr>
              <w:t>189 de 15/06/15</w:t>
            </w:r>
          </w:p>
        </w:tc>
        <w:tc>
          <w:tcPr>
            <w:tcW w:w="564" w:type="dxa"/>
            <w:tcBorders>
              <w:top w:val="single" w:sz="8" w:space="0" w:color="EC7C30"/>
              <w:left w:val="nil"/>
              <w:bottom w:val="single" w:sz="8" w:space="0" w:color="EC7C30"/>
              <w:right w:val="nil"/>
            </w:tcBorders>
          </w:tcPr>
          <w:p>
            <w:pPr>
              <w:pStyle w:val="TableParagraph"/>
              <w:spacing w:before="108"/>
              <w:ind w:left="105"/>
              <w:rPr>
                <w:sz w:val="20"/>
              </w:rPr>
            </w:pPr>
            <w:r>
              <w:rPr>
                <w:sz w:val="20"/>
              </w:rPr>
              <w:t>13</w:t>
            </w:r>
          </w:p>
        </w:tc>
        <w:tc>
          <w:tcPr>
            <w:tcW w:w="569" w:type="dxa"/>
            <w:tcBorders>
              <w:top w:val="single" w:sz="8" w:space="0" w:color="EC7C30"/>
              <w:left w:val="nil"/>
              <w:bottom w:val="single" w:sz="8" w:space="0" w:color="EC7C30"/>
              <w:right w:val="nil"/>
            </w:tcBorders>
          </w:tcPr>
          <w:p>
            <w:pPr>
              <w:pStyle w:val="TableParagraph"/>
              <w:spacing w:before="108"/>
              <w:ind w:left="107"/>
              <w:rPr>
                <w:sz w:val="20"/>
              </w:rPr>
            </w:pPr>
            <w:r>
              <w:rPr>
                <w:sz w:val="20"/>
              </w:rPr>
              <w:t>21</w:t>
            </w:r>
          </w:p>
        </w:tc>
        <w:tc>
          <w:tcPr>
            <w:tcW w:w="338" w:type="dxa"/>
            <w:tcBorders>
              <w:top w:val="single" w:sz="8" w:space="0" w:color="EC7C30"/>
              <w:left w:val="nil"/>
              <w:bottom w:val="single" w:sz="8" w:space="0" w:color="EC7C30"/>
              <w:right w:val="nil"/>
            </w:tcBorders>
          </w:tcPr>
          <w:p>
            <w:pPr>
              <w:pStyle w:val="TableParagraph"/>
              <w:spacing w:before="108"/>
              <w:ind w:left="16"/>
              <w:jc w:val="center"/>
              <w:rPr>
                <w:sz w:val="20"/>
              </w:rPr>
            </w:pPr>
            <w:r>
              <w:rPr>
                <w:w w:val="99"/>
                <w:sz w:val="20"/>
              </w:rPr>
              <w:t>X</w:t>
            </w:r>
          </w:p>
        </w:tc>
        <w:tc>
          <w:tcPr>
            <w:tcW w:w="566"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w:t>
            </w:r>
          </w:p>
        </w:tc>
        <w:tc>
          <w:tcPr>
            <w:tcW w:w="566" w:type="dxa"/>
            <w:tcBorders>
              <w:top w:val="single" w:sz="8" w:space="0" w:color="EC7C30"/>
              <w:left w:val="nil"/>
              <w:bottom w:val="single" w:sz="8" w:space="0" w:color="EC7C30"/>
              <w:right w:val="nil"/>
            </w:tcBorders>
          </w:tcPr>
          <w:p>
            <w:pPr>
              <w:pStyle w:val="TableParagraph"/>
              <w:spacing w:before="108"/>
              <w:ind w:left="108"/>
              <w:rPr>
                <w:sz w:val="20"/>
              </w:rPr>
            </w:pPr>
            <w:r>
              <w:rPr>
                <w:w w:val="99"/>
                <w:sz w:val="20"/>
              </w:rPr>
              <w:t>X</w:t>
            </w:r>
          </w:p>
        </w:tc>
        <w:tc>
          <w:tcPr>
            <w:tcW w:w="284" w:type="dxa"/>
            <w:tcBorders>
              <w:top w:val="single" w:sz="8" w:space="0" w:color="EC7C30"/>
              <w:left w:val="nil"/>
              <w:bottom w:val="single" w:sz="8" w:space="0" w:color="EC7C30"/>
              <w:right w:val="nil"/>
            </w:tcBorders>
          </w:tcPr>
          <w:p>
            <w:pPr>
              <w:pStyle w:val="TableParagraph"/>
              <w:spacing w:before="108"/>
              <w:ind w:left="76"/>
              <w:jc w:val="center"/>
              <w:rPr>
                <w:sz w:val="20"/>
              </w:rPr>
            </w:pPr>
            <w:r>
              <w:rPr>
                <w:w w:val="99"/>
                <w:sz w:val="20"/>
              </w:rPr>
              <w:t>X</w:t>
            </w:r>
          </w:p>
        </w:tc>
        <w:tc>
          <w:tcPr>
            <w:tcW w:w="456" w:type="dxa"/>
            <w:tcBorders>
              <w:top w:val="single" w:sz="8" w:space="0" w:color="EC7C30"/>
              <w:left w:val="nil"/>
              <w:bottom w:val="single" w:sz="8" w:space="0" w:color="EC7C30"/>
              <w:right w:val="nil"/>
            </w:tcBorders>
          </w:tcPr>
          <w:p>
            <w:pPr>
              <w:pStyle w:val="TableParagraph"/>
              <w:spacing w:before="108"/>
              <w:ind w:left="107"/>
              <w:rPr>
                <w:sz w:val="20"/>
              </w:rPr>
            </w:pPr>
            <w:r>
              <w:rPr>
                <w:sz w:val="20"/>
              </w:rPr>
              <w:t>21</w:t>
            </w:r>
          </w:p>
        </w:tc>
        <w:tc>
          <w:tcPr>
            <w:tcW w:w="454" w:type="dxa"/>
            <w:tcBorders>
              <w:top w:val="single" w:sz="8" w:space="0" w:color="EC7C30"/>
              <w:left w:val="nil"/>
              <w:bottom w:val="single" w:sz="8" w:space="0" w:color="EC7C30"/>
              <w:right w:val="nil"/>
            </w:tcBorders>
          </w:tcPr>
          <w:p>
            <w:pPr>
              <w:pStyle w:val="TableParagraph"/>
              <w:spacing w:before="108"/>
              <w:ind w:left="68" w:right="106"/>
              <w:jc w:val="center"/>
              <w:rPr>
                <w:sz w:val="20"/>
              </w:rPr>
            </w:pPr>
            <w:r>
              <w:rPr>
                <w:sz w:val="20"/>
              </w:rPr>
              <w:t>17</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sz w:val="20"/>
              </w:rPr>
              <w:t>14</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sz w:val="20"/>
              </w:rPr>
              <w:t>20</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6</w:t>
            </w:r>
          </w:p>
        </w:tc>
        <w:tc>
          <w:tcPr>
            <w:tcW w:w="454" w:type="dxa"/>
            <w:tcBorders>
              <w:top w:val="single" w:sz="8" w:space="0" w:color="EC7C30"/>
              <w:left w:val="nil"/>
              <w:bottom w:val="single" w:sz="8" w:space="0" w:color="EC7C30"/>
              <w:right w:val="nil"/>
            </w:tcBorders>
          </w:tcPr>
          <w:p>
            <w:pPr>
              <w:pStyle w:val="TableParagraph"/>
              <w:spacing w:before="108"/>
              <w:ind w:left="108"/>
              <w:rPr>
                <w:sz w:val="20"/>
              </w:rPr>
            </w:pPr>
            <w:r>
              <w:rPr>
                <w:sz w:val="20"/>
              </w:rPr>
              <w:t>10</w:t>
            </w:r>
          </w:p>
        </w:tc>
        <w:tc>
          <w:tcPr>
            <w:tcW w:w="456" w:type="dxa"/>
            <w:tcBorders>
              <w:top w:val="single" w:sz="8" w:space="0" w:color="EC7C30"/>
              <w:left w:val="nil"/>
              <w:bottom w:val="single" w:sz="8" w:space="0" w:color="EC7C30"/>
              <w:right w:val="nil"/>
            </w:tcBorders>
          </w:tcPr>
          <w:p>
            <w:pPr>
              <w:pStyle w:val="TableParagraph"/>
              <w:spacing w:before="108"/>
              <w:ind w:left="90" w:right="126"/>
              <w:jc w:val="center"/>
              <w:rPr>
                <w:sz w:val="20"/>
              </w:rPr>
            </w:pPr>
            <w:r>
              <w:rPr>
                <w:sz w:val="20"/>
              </w:rPr>
              <w:t>37</w:t>
            </w:r>
          </w:p>
        </w:tc>
        <w:tc>
          <w:tcPr>
            <w:tcW w:w="454" w:type="dxa"/>
            <w:tcBorders>
              <w:top w:val="single" w:sz="8" w:space="0" w:color="EC7C30"/>
              <w:left w:val="nil"/>
              <w:bottom w:val="single" w:sz="8" w:space="0" w:color="EC7C30"/>
              <w:right w:val="nil"/>
            </w:tcBorders>
          </w:tcPr>
          <w:p>
            <w:pPr>
              <w:pStyle w:val="TableParagraph"/>
              <w:spacing w:before="108"/>
              <w:ind w:right="140"/>
              <w:jc w:val="center"/>
              <w:rPr>
                <w:sz w:val="20"/>
              </w:rPr>
            </w:pPr>
            <w:r>
              <w:rPr>
                <w:w w:val="99"/>
                <w:sz w:val="20"/>
              </w:rPr>
              <w:t>6</w:t>
            </w:r>
          </w:p>
        </w:tc>
        <w:tc>
          <w:tcPr>
            <w:tcW w:w="454" w:type="dxa"/>
            <w:tcBorders>
              <w:top w:val="single" w:sz="8" w:space="0" w:color="EC7C30"/>
              <w:left w:val="nil"/>
              <w:bottom w:val="single" w:sz="8" w:space="0" w:color="EC7C30"/>
              <w:right w:val="nil"/>
            </w:tcBorders>
          </w:tcPr>
          <w:p>
            <w:pPr>
              <w:pStyle w:val="TableParagraph"/>
              <w:spacing w:before="108"/>
              <w:ind w:left="106"/>
              <w:rPr>
                <w:sz w:val="20"/>
              </w:rPr>
            </w:pPr>
            <w:r>
              <w:rPr>
                <w:sz w:val="20"/>
              </w:rPr>
              <w:t>12</w:t>
            </w:r>
          </w:p>
        </w:tc>
        <w:tc>
          <w:tcPr>
            <w:tcW w:w="454" w:type="dxa"/>
            <w:tcBorders>
              <w:top w:val="single" w:sz="8" w:space="0" w:color="EC7C30"/>
              <w:left w:val="nil"/>
              <w:bottom w:val="single" w:sz="8" w:space="0" w:color="EC7C30"/>
              <w:right w:val="nil"/>
            </w:tcBorders>
          </w:tcPr>
          <w:p>
            <w:pPr>
              <w:pStyle w:val="TableParagraph"/>
              <w:spacing w:before="108"/>
              <w:ind w:left="72" w:right="106"/>
              <w:jc w:val="center"/>
              <w:rPr>
                <w:sz w:val="20"/>
              </w:rPr>
            </w:pPr>
            <w:r>
              <w:rPr>
                <w:sz w:val="20"/>
              </w:rPr>
              <w:t>11</w:t>
            </w:r>
          </w:p>
        </w:tc>
        <w:tc>
          <w:tcPr>
            <w:tcW w:w="454" w:type="dxa"/>
            <w:tcBorders>
              <w:top w:val="single" w:sz="8" w:space="0" w:color="EC7C30"/>
              <w:left w:val="nil"/>
              <w:bottom w:val="single" w:sz="8" w:space="0" w:color="EC7C30"/>
              <w:right w:val="nil"/>
            </w:tcBorders>
          </w:tcPr>
          <w:p>
            <w:pPr>
              <w:pStyle w:val="TableParagraph"/>
              <w:spacing w:before="108"/>
              <w:ind w:left="72" w:right="106"/>
              <w:jc w:val="center"/>
              <w:rPr>
                <w:sz w:val="20"/>
              </w:rPr>
            </w:pPr>
            <w:r>
              <w:rPr>
                <w:sz w:val="20"/>
              </w:rPr>
              <w:t>14</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sz w:val="20"/>
              </w:rPr>
              <w:t>21</w:t>
            </w:r>
          </w:p>
        </w:tc>
        <w:tc>
          <w:tcPr>
            <w:tcW w:w="456" w:type="dxa"/>
            <w:tcBorders>
              <w:top w:val="single" w:sz="8" w:space="0" w:color="EC7C30"/>
              <w:left w:val="nil"/>
              <w:bottom w:val="single" w:sz="8" w:space="0" w:color="EC7C30"/>
              <w:right w:val="nil"/>
            </w:tcBorders>
          </w:tcPr>
          <w:p>
            <w:pPr>
              <w:pStyle w:val="TableParagraph"/>
              <w:spacing w:before="108"/>
              <w:ind w:right="138"/>
              <w:jc w:val="center"/>
              <w:rPr>
                <w:sz w:val="20"/>
              </w:rPr>
            </w:pPr>
            <w:r>
              <w:rPr>
                <w:w w:val="99"/>
                <w:sz w:val="20"/>
              </w:rPr>
              <w:t>5</w:t>
            </w:r>
          </w:p>
        </w:tc>
        <w:tc>
          <w:tcPr>
            <w:tcW w:w="454" w:type="dxa"/>
            <w:tcBorders>
              <w:top w:val="single" w:sz="8" w:space="0" w:color="EC7C30"/>
              <w:left w:val="nil"/>
              <w:bottom w:val="single" w:sz="8" w:space="0" w:color="EC7C30"/>
              <w:right w:val="nil"/>
            </w:tcBorders>
          </w:tcPr>
          <w:p>
            <w:pPr>
              <w:pStyle w:val="TableParagraph"/>
              <w:spacing w:before="108"/>
              <w:ind w:left="68" w:right="106"/>
              <w:jc w:val="center"/>
              <w:rPr>
                <w:sz w:val="20"/>
              </w:rPr>
            </w:pPr>
            <w:r>
              <w:rPr>
                <w:sz w:val="20"/>
              </w:rPr>
              <w:t>19</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sz w:val="20"/>
              </w:rPr>
              <w:t>16</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w w:val="99"/>
                <w:sz w:val="20"/>
              </w:rPr>
              <w:t>4</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w w:val="99"/>
                <w:sz w:val="20"/>
              </w:rPr>
              <w:t>9</w:t>
            </w:r>
          </w:p>
        </w:tc>
        <w:tc>
          <w:tcPr>
            <w:tcW w:w="456" w:type="dxa"/>
            <w:tcBorders>
              <w:top w:val="single" w:sz="8" w:space="0" w:color="EC7C30"/>
              <w:left w:val="nil"/>
              <w:bottom w:val="single" w:sz="8" w:space="0" w:color="EC7C30"/>
              <w:right w:val="nil"/>
            </w:tcBorders>
          </w:tcPr>
          <w:p>
            <w:pPr>
              <w:pStyle w:val="TableParagraph"/>
              <w:spacing w:before="108"/>
              <w:ind w:right="138"/>
              <w:jc w:val="center"/>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sz w:val="20"/>
              </w:rPr>
              <w:t>13</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2</w:t>
            </w:r>
          </w:p>
        </w:tc>
        <w:tc>
          <w:tcPr>
            <w:tcW w:w="454" w:type="dxa"/>
            <w:tcBorders>
              <w:top w:val="single" w:sz="8" w:space="0" w:color="EC7C30"/>
              <w:left w:val="nil"/>
              <w:bottom w:val="single" w:sz="8" w:space="0" w:color="EC7C30"/>
              <w:right w:val="nil"/>
            </w:tcBorders>
          </w:tcPr>
          <w:p>
            <w:pPr>
              <w:pStyle w:val="TableParagraph"/>
              <w:spacing w:before="108"/>
              <w:ind w:right="169"/>
              <w:jc w:val="center"/>
              <w:rPr>
                <w:sz w:val="20"/>
              </w:rPr>
            </w:pPr>
            <w:r>
              <w:rPr>
                <w:w w:val="99"/>
                <w:sz w:val="20"/>
              </w:rPr>
              <w:t>-</w:t>
            </w:r>
          </w:p>
        </w:tc>
        <w:tc>
          <w:tcPr>
            <w:tcW w:w="626" w:type="dxa"/>
            <w:tcBorders>
              <w:top w:val="single" w:sz="8" w:space="0" w:color="EC7C30"/>
              <w:left w:val="nil"/>
              <w:bottom w:val="single" w:sz="8" w:space="0" w:color="EC7C30"/>
              <w:right w:val="nil"/>
            </w:tcBorders>
          </w:tcPr>
          <w:p>
            <w:pPr>
              <w:pStyle w:val="TableParagraph"/>
              <w:spacing w:before="108"/>
              <w:ind w:left="90" w:right="196"/>
              <w:jc w:val="center"/>
              <w:rPr>
                <w:sz w:val="20"/>
              </w:rPr>
            </w:pPr>
            <w:r>
              <w:rPr>
                <w:sz w:val="20"/>
              </w:rPr>
              <w:t>275</w:t>
            </w:r>
          </w:p>
        </w:tc>
      </w:tr>
      <w:tr>
        <w:trPr>
          <w:trHeight w:val="480" w:hRule="exact"/>
        </w:trPr>
        <w:tc>
          <w:tcPr>
            <w:tcW w:w="1536" w:type="dxa"/>
            <w:tcBorders>
              <w:top w:val="single" w:sz="8" w:space="0" w:color="EC7C30"/>
              <w:left w:val="nil"/>
              <w:bottom w:val="single" w:sz="8" w:space="0" w:color="EC7C30"/>
              <w:right w:val="nil"/>
            </w:tcBorders>
          </w:tcPr>
          <w:p>
            <w:pPr>
              <w:pStyle w:val="TableParagraph"/>
              <w:spacing w:before="108"/>
              <w:ind w:left="115"/>
              <w:rPr>
                <w:sz w:val="20"/>
              </w:rPr>
            </w:pPr>
            <w:r>
              <w:rPr>
                <w:sz w:val="20"/>
              </w:rPr>
              <w:t>Natividade</w:t>
            </w:r>
          </w:p>
        </w:tc>
        <w:tc>
          <w:tcPr>
            <w:tcW w:w="965" w:type="dxa"/>
            <w:tcBorders>
              <w:top w:val="single" w:sz="8" w:space="0" w:color="EC7C30"/>
              <w:left w:val="nil"/>
              <w:bottom w:val="single" w:sz="8" w:space="0" w:color="EC7C30"/>
              <w:right w:val="nil"/>
            </w:tcBorders>
          </w:tcPr>
          <w:p>
            <w:pPr>
              <w:pStyle w:val="TableParagraph"/>
              <w:spacing w:before="0"/>
              <w:ind w:left="107" w:right="126"/>
              <w:rPr>
                <w:sz w:val="20"/>
              </w:rPr>
            </w:pPr>
            <w:r>
              <w:rPr>
                <w:sz w:val="20"/>
              </w:rPr>
              <w:t>44 de 19/06/15</w:t>
            </w:r>
          </w:p>
        </w:tc>
        <w:tc>
          <w:tcPr>
            <w:tcW w:w="564" w:type="dxa"/>
            <w:tcBorders>
              <w:top w:val="single" w:sz="8" w:space="0" w:color="EC7C30"/>
              <w:left w:val="nil"/>
              <w:bottom w:val="single" w:sz="8" w:space="0" w:color="EC7C30"/>
              <w:right w:val="nil"/>
            </w:tcBorders>
          </w:tcPr>
          <w:p>
            <w:pPr>
              <w:pStyle w:val="TableParagraph"/>
              <w:spacing w:before="108"/>
              <w:ind w:left="105"/>
              <w:rPr>
                <w:sz w:val="20"/>
              </w:rPr>
            </w:pPr>
            <w:r>
              <w:rPr>
                <w:sz w:val="20"/>
              </w:rPr>
              <w:t>13</w:t>
            </w:r>
          </w:p>
        </w:tc>
        <w:tc>
          <w:tcPr>
            <w:tcW w:w="569" w:type="dxa"/>
            <w:tcBorders>
              <w:top w:val="single" w:sz="8" w:space="0" w:color="EC7C30"/>
              <w:left w:val="nil"/>
              <w:bottom w:val="single" w:sz="8" w:space="0" w:color="EC7C30"/>
              <w:right w:val="nil"/>
            </w:tcBorders>
          </w:tcPr>
          <w:p>
            <w:pPr>
              <w:pStyle w:val="TableParagraph"/>
              <w:spacing w:before="108"/>
              <w:ind w:left="107"/>
              <w:rPr>
                <w:sz w:val="20"/>
              </w:rPr>
            </w:pPr>
            <w:r>
              <w:rPr>
                <w:sz w:val="20"/>
              </w:rPr>
              <w:t>22</w:t>
            </w:r>
          </w:p>
        </w:tc>
        <w:tc>
          <w:tcPr>
            <w:tcW w:w="338" w:type="dxa"/>
            <w:tcBorders>
              <w:top w:val="single" w:sz="8" w:space="0" w:color="EC7C30"/>
              <w:left w:val="nil"/>
              <w:bottom w:val="single" w:sz="8" w:space="0" w:color="EC7C30"/>
              <w:right w:val="nil"/>
            </w:tcBorders>
          </w:tcPr>
          <w:p>
            <w:pPr>
              <w:pStyle w:val="TableParagraph"/>
              <w:spacing w:before="108"/>
              <w:ind w:left="16"/>
              <w:jc w:val="center"/>
              <w:rPr>
                <w:sz w:val="20"/>
              </w:rPr>
            </w:pPr>
            <w:r>
              <w:rPr>
                <w:w w:val="99"/>
                <w:sz w:val="20"/>
              </w:rPr>
              <w:t>X</w:t>
            </w:r>
          </w:p>
        </w:tc>
        <w:tc>
          <w:tcPr>
            <w:tcW w:w="566"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X</w:t>
            </w:r>
          </w:p>
        </w:tc>
        <w:tc>
          <w:tcPr>
            <w:tcW w:w="566" w:type="dxa"/>
            <w:tcBorders>
              <w:top w:val="single" w:sz="8" w:space="0" w:color="EC7C30"/>
              <w:left w:val="nil"/>
              <w:bottom w:val="single" w:sz="8" w:space="0" w:color="EC7C30"/>
              <w:right w:val="nil"/>
            </w:tcBorders>
          </w:tcPr>
          <w:p>
            <w:pPr>
              <w:pStyle w:val="TableParagraph"/>
              <w:spacing w:before="108"/>
              <w:ind w:left="108"/>
              <w:rPr>
                <w:sz w:val="20"/>
              </w:rPr>
            </w:pPr>
            <w:r>
              <w:rPr>
                <w:w w:val="99"/>
                <w:sz w:val="20"/>
              </w:rPr>
              <w:t>X</w:t>
            </w:r>
          </w:p>
        </w:tc>
        <w:tc>
          <w:tcPr>
            <w:tcW w:w="284" w:type="dxa"/>
            <w:tcBorders>
              <w:top w:val="single" w:sz="8" w:space="0" w:color="EC7C30"/>
              <w:left w:val="nil"/>
              <w:bottom w:val="single" w:sz="8" w:space="0" w:color="EC7C30"/>
              <w:right w:val="nil"/>
            </w:tcBorders>
          </w:tcPr>
          <w:p>
            <w:pPr>
              <w:pStyle w:val="TableParagraph"/>
              <w:spacing w:before="108"/>
              <w:ind w:left="76"/>
              <w:jc w:val="center"/>
              <w:rPr>
                <w:sz w:val="20"/>
              </w:rPr>
            </w:pPr>
            <w:r>
              <w:rPr>
                <w:w w:val="99"/>
                <w:sz w:val="20"/>
              </w:rPr>
              <w:t>X</w:t>
            </w:r>
          </w:p>
        </w:tc>
        <w:tc>
          <w:tcPr>
            <w:tcW w:w="456" w:type="dxa"/>
            <w:tcBorders>
              <w:top w:val="single" w:sz="8" w:space="0" w:color="EC7C30"/>
              <w:left w:val="nil"/>
              <w:bottom w:val="single" w:sz="8" w:space="0" w:color="EC7C30"/>
              <w:right w:val="nil"/>
            </w:tcBorders>
          </w:tcPr>
          <w:p>
            <w:pPr>
              <w:pStyle w:val="TableParagraph"/>
              <w:spacing w:before="108"/>
              <w:ind w:left="107"/>
              <w:rPr>
                <w:sz w:val="20"/>
              </w:rPr>
            </w:pPr>
            <w:r>
              <w:rPr>
                <w:sz w:val="20"/>
              </w:rPr>
              <w:t>20</w:t>
            </w:r>
          </w:p>
        </w:tc>
        <w:tc>
          <w:tcPr>
            <w:tcW w:w="454" w:type="dxa"/>
            <w:tcBorders>
              <w:top w:val="single" w:sz="8" w:space="0" w:color="EC7C30"/>
              <w:left w:val="nil"/>
              <w:bottom w:val="single" w:sz="8" w:space="0" w:color="EC7C30"/>
              <w:right w:val="nil"/>
            </w:tcBorders>
          </w:tcPr>
          <w:p>
            <w:pPr>
              <w:pStyle w:val="TableParagraph"/>
              <w:spacing w:before="108"/>
              <w:ind w:right="140"/>
              <w:jc w:val="center"/>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sz w:val="20"/>
              </w:rPr>
              <w:t>16</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8</w:t>
            </w:r>
          </w:p>
        </w:tc>
        <w:tc>
          <w:tcPr>
            <w:tcW w:w="454" w:type="dxa"/>
            <w:tcBorders>
              <w:top w:val="single" w:sz="8" w:space="0" w:color="EC7C30"/>
              <w:left w:val="nil"/>
              <w:bottom w:val="single" w:sz="8" w:space="0" w:color="EC7C30"/>
              <w:right w:val="nil"/>
            </w:tcBorders>
          </w:tcPr>
          <w:p>
            <w:pPr>
              <w:pStyle w:val="TableParagraph"/>
              <w:spacing w:before="108"/>
              <w:ind w:left="108"/>
              <w:rPr>
                <w:sz w:val="20"/>
              </w:rPr>
            </w:pPr>
            <w:r>
              <w:rPr>
                <w:sz w:val="20"/>
              </w:rPr>
              <w:t>18</w:t>
            </w:r>
          </w:p>
        </w:tc>
        <w:tc>
          <w:tcPr>
            <w:tcW w:w="456" w:type="dxa"/>
            <w:tcBorders>
              <w:top w:val="single" w:sz="8" w:space="0" w:color="EC7C30"/>
              <w:left w:val="nil"/>
              <w:bottom w:val="single" w:sz="8" w:space="0" w:color="EC7C30"/>
              <w:right w:val="nil"/>
            </w:tcBorders>
          </w:tcPr>
          <w:p>
            <w:pPr>
              <w:pStyle w:val="TableParagraph"/>
              <w:spacing w:before="108"/>
              <w:ind w:right="138"/>
              <w:jc w:val="center"/>
              <w:rPr>
                <w:sz w:val="20"/>
              </w:rPr>
            </w:pPr>
            <w:r>
              <w:rPr>
                <w:w w:val="99"/>
                <w:sz w:val="20"/>
              </w:rPr>
              <w:t>5</w:t>
            </w:r>
          </w:p>
        </w:tc>
        <w:tc>
          <w:tcPr>
            <w:tcW w:w="454" w:type="dxa"/>
            <w:tcBorders>
              <w:top w:val="single" w:sz="8" w:space="0" w:color="EC7C30"/>
              <w:left w:val="nil"/>
              <w:bottom w:val="single" w:sz="8" w:space="0" w:color="EC7C30"/>
              <w:right w:val="nil"/>
            </w:tcBorders>
          </w:tcPr>
          <w:p>
            <w:pPr>
              <w:pStyle w:val="TableParagraph"/>
              <w:spacing w:before="108"/>
              <w:ind w:left="68" w:right="106"/>
              <w:jc w:val="center"/>
              <w:rPr>
                <w:sz w:val="20"/>
              </w:rPr>
            </w:pPr>
            <w:r>
              <w:rPr>
                <w:sz w:val="20"/>
              </w:rPr>
              <w:t>10</w:t>
            </w:r>
          </w:p>
        </w:tc>
        <w:tc>
          <w:tcPr>
            <w:tcW w:w="454" w:type="dxa"/>
            <w:tcBorders>
              <w:top w:val="single" w:sz="8" w:space="0" w:color="EC7C30"/>
              <w:left w:val="nil"/>
              <w:bottom w:val="single" w:sz="8" w:space="0" w:color="EC7C30"/>
              <w:right w:val="nil"/>
            </w:tcBorders>
          </w:tcPr>
          <w:p>
            <w:pPr>
              <w:pStyle w:val="TableParagraph"/>
              <w:spacing w:before="108"/>
              <w:ind w:left="106"/>
              <w:rPr>
                <w:sz w:val="20"/>
              </w:rPr>
            </w:pPr>
            <w:r>
              <w:rPr>
                <w:w w:val="99"/>
                <w:sz w:val="20"/>
              </w:rPr>
              <w:t>9</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7</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7</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w w:val="99"/>
                <w:sz w:val="20"/>
              </w:rPr>
              <w:t>4</w:t>
            </w:r>
          </w:p>
        </w:tc>
        <w:tc>
          <w:tcPr>
            <w:tcW w:w="456" w:type="dxa"/>
            <w:tcBorders>
              <w:top w:val="single" w:sz="8" w:space="0" w:color="EC7C30"/>
              <w:left w:val="nil"/>
              <w:bottom w:val="single" w:sz="8" w:space="0" w:color="EC7C30"/>
              <w:right w:val="nil"/>
            </w:tcBorders>
          </w:tcPr>
          <w:p>
            <w:pPr>
              <w:pStyle w:val="TableParagraph"/>
              <w:spacing w:before="108"/>
              <w:ind w:left="90" w:right="126"/>
              <w:jc w:val="center"/>
              <w:rPr>
                <w:sz w:val="20"/>
              </w:rPr>
            </w:pPr>
            <w:r>
              <w:rPr>
                <w:sz w:val="20"/>
              </w:rPr>
              <w:t>10</w:t>
            </w:r>
          </w:p>
        </w:tc>
        <w:tc>
          <w:tcPr>
            <w:tcW w:w="454" w:type="dxa"/>
            <w:tcBorders>
              <w:top w:val="single" w:sz="8" w:space="0" w:color="EC7C30"/>
              <w:left w:val="nil"/>
              <w:bottom w:val="single" w:sz="8" w:space="0" w:color="EC7C30"/>
              <w:right w:val="nil"/>
            </w:tcBorders>
          </w:tcPr>
          <w:p>
            <w:pPr>
              <w:pStyle w:val="TableParagraph"/>
              <w:spacing w:before="108"/>
              <w:ind w:left="68" w:right="106"/>
              <w:jc w:val="center"/>
              <w:rPr>
                <w:sz w:val="20"/>
              </w:rPr>
            </w:pPr>
            <w:r>
              <w:rPr>
                <w:sz w:val="20"/>
              </w:rPr>
              <w:t>11</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3</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4</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w w:val="99"/>
                <w:sz w:val="20"/>
              </w:rPr>
              <w:t>7</w:t>
            </w:r>
          </w:p>
        </w:tc>
        <w:tc>
          <w:tcPr>
            <w:tcW w:w="454" w:type="dxa"/>
            <w:tcBorders>
              <w:top w:val="single" w:sz="8" w:space="0" w:color="EC7C30"/>
              <w:left w:val="nil"/>
              <w:bottom w:val="single" w:sz="8" w:space="0" w:color="EC7C30"/>
              <w:right w:val="nil"/>
            </w:tcBorders>
          </w:tcPr>
          <w:p>
            <w:pPr>
              <w:pStyle w:val="TableParagraph"/>
              <w:spacing w:before="108"/>
              <w:ind w:left="107"/>
              <w:rPr>
                <w:sz w:val="20"/>
              </w:rPr>
            </w:pPr>
            <w:r>
              <w:rPr>
                <w:w w:val="99"/>
                <w:sz w:val="20"/>
              </w:rPr>
              <w:t>5</w:t>
            </w:r>
          </w:p>
        </w:tc>
        <w:tc>
          <w:tcPr>
            <w:tcW w:w="456" w:type="dxa"/>
            <w:tcBorders>
              <w:top w:val="single" w:sz="8" w:space="0" w:color="EC7C30"/>
              <w:left w:val="nil"/>
              <w:bottom w:val="single" w:sz="8" w:space="0" w:color="EC7C30"/>
              <w:right w:val="nil"/>
            </w:tcBorders>
          </w:tcPr>
          <w:p>
            <w:pPr>
              <w:pStyle w:val="TableParagraph"/>
              <w:spacing w:before="108"/>
              <w:ind w:right="138"/>
              <w:jc w:val="center"/>
              <w:rPr>
                <w:sz w:val="20"/>
              </w:rPr>
            </w:pPr>
            <w:r>
              <w:rPr>
                <w:w w:val="99"/>
                <w:sz w:val="20"/>
              </w:rPr>
              <w:t>7</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w w:val="99"/>
                <w:sz w:val="20"/>
              </w:rPr>
              <w:t>6</w:t>
            </w:r>
          </w:p>
        </w:tc>
        <w:tc>
          <w:tcPr>
            <w:tcW w:w="454" w:type="dxa"/>
            <w:tcBorders>
              <w:top w:val="single" w:sz="8" w:space="0" w:color="EC7C30"/>
              <w:left w:val="nil"/>
              <w:bottom w:val="single" w:sz="8" w:space="0" w:color="EC7C30"/>
              <w:right w:val="nil"/>
            </w:tcBorders>
          </w:tcPr>
          <w:p>
            <w:pPr>
              <w:pStyle w:val="TableParagraph"/>
              <w:spacing w:before="108"/>
              <w:ind w:left="105"/>
              <w:rPr>
                <w:sz w:val="20"/>
              </w:rPr>
            </w:pPr>
            <w:r>
              <w:rPr>
                <w:sz w:val="20"/>
              </w:rPr>
              <w:t>31</w:t>
            </w:r>
          </w:p>
        </w:tc>
        <w:tc>
          <w:tcPr>
            <w:tcW w:w="454" w:type="dxa"/>
            <w:tcBorders>
              <w:top w:val="single" w:sz="8" w:space="0" w:color="EC7C30"/>
              <w:left w:val="nil"/>
              <w:bottom w:val="single" w:sz="8" w:space="0" w:color="EC7C30"/>
              <w:right w:val="nil"/>
            </w:tcBorders>
          </w:tcPr>
          <w:p>
            <w:pPr>
              <w:pStyle w:val="TableParagraph"/>
              <w:spacing w:before="108"/>
              <w:ind w:right="136"/>
              <w:jc w:val="center"/>
              <w:rPr>
                <w:sz w:val="20"/>
              </w:rPr>
            </w:pPr>
            <w:r>
              <w:rPr>
                <w:w w:val="99"/>
                <w:sz w:val="20"/>
              </w:rPr>
              <w:t>8</w:t>
            </w:r>
          </w:p>
        </w:tc>
        <w:tc>
          <w:tcPr>
            <w:tcW w:w="626" w:type="dxa"/>
            <w:tcBorders>
              <w:top w:val="single" w:sz="8" w:space="0" w:color="EC7C30"/>
              <w:left w:val="nil"/>
              <w:bottom w:val="single" w:sz="8" w:space="0" w:color="EC7C30"/>
              <w:right w:val="nil"/>
            </w:tcBorders>
          </w:tcPr>
          <w:p>
            <w:pPr>
              <w:pStyle w:val="TableParagraph"/>
              <w:spacing w:before="108"/>
              <w:ind w:left="90" w:right="196"/>
              <w:jc w:val="center"/>
              <w:rPr>
                <w:sz w:val="20"/>
              </w:rPr>
            </w:pPr>
            <w:r>
              <w:rPr>
                <w:sz w:val="20"/>
              </w:rPr>
              <w:t>214</w:t>
            </w:r>
          </w:p>
        </w:tc>
      </w:tr>
    </w:tbl>
    <w:p>
      <w:pPr>
        <w:spacing w:before="0"/>
        <w:ind w:left="1118" w:right="0" w:firstLine="0"/>
        <w:jc w:val="left"/>
        <w:rPr>
          <w:sz w:val="20"/>
        </w:rPr>
      </w:pPr>
      <w:r>
        <w:rPr>
          <w:sz w:val="20"/>
        </w:rPr>
        <w:t>Fonte: Adaires Rodrigues de Sousa (2015).</w:t>
      </w:r>
    </w:p>
    <w:p>
      <w:pPr>
        <w:spacing w:after="0"/>
        <w:jc w:val="left"/>
        <w:rPr>
          <w:sz w:val="20"/>
        </w:rPr>
        <w:sectPr>
          <w:headerReference w:type="default" r:id="rId114"/>
          <w:pgSz w:w="16840" w:h="11910" w:orient="landscape"/>
          <w:pgMar w:header="0" w:footer="0" w:top="660" w:bottom="280" w:left="300" w:right="280"/>
        </w:sectPr>
      </w:pPr>
    </w:p>
    <w:p>
      <w:pPr>
        <w:spacing w:before="26"/>
        <w:ind w:left="0" w:right="116" w:firstLine="0"/>
        <w:jc w:val="right"/>
        <w:rPr>
          <w:rFonts w:ascii="Calibri"/>
          <w:sz w:val="22"/>
        </w:rPr>
      </w:pPr>
      <w:r>
        <w:rPr>
          <w:rFonts w:ascii="Calibri"/>
          <w:sz w:val="22"/>
        </w:rPr>
        <w:t>138</w:t>
      </w:r>
    </w:p>
    <w:p>
      <w:pPr>
        <w:pStyle w:val="BodyText"/>
        <w:rPr>
          <w:rFonts w:ascii="Calibri"/>
          <w:sz w:val="22"/>
        </w:rPr>
      </w:pPr>
    </w:p>
    <w:p>
      <w:pPr>
        <w:pStyle w:val="BodyText"/>
        <w:rPr>
          <w:rFonts w:ascii="Calibri"/>
          <w:sz w:val="22"/>
        </w:rPr>
      </w:pPr>
    </w:p>
    <w:p>
      <w:pPr>
        <w:pStyle w:val="BodyText"/>
        <w:spacing w:before="9"/>
        <w:rPr>
          <w:rFonts w:ascii="Calibri"/>
          <w:sz w:val="25"/>
        </w:rPr>
      </w:pPr>
    </w:p>
    <w:p>
      <w:pPr>
        <w:pStyle w:val="BodyText"/>
        <w:spacing w:line="360" w:lineRule="auto"/>
        <w:ind w:left="102" w:right="115" w:firstLine="851"/>
        <w:jc w:val="both"/>
      </w:pPr>
      <w:r>
        <w:rPr/>
        <w:t>Da tabela ‗Formatação com mais de 20 metas e seções em 10 PMEs‘, apreendemos que, no que diz respeito ao número de metas e estratégias, os dez Planos não se alinham ao PNE 2014-2024, pois quatro possuem 21 metas e seis 22.</w:t>
      </w:r>
    </w:p>
    <w:p>
      <w:pPr>
        <w:pStyle w:val="BodyText"/>
        <w:spacing w:line="360" w:lineRule="auto" w:before="5"/>
        <w:ind w:left="102" w:right="119" w:firstLine="851"/>
        <w:jc w:val="both"/>
      </w:pPr>
      <w:r>
        <w:rPr/>
        <w:t>Nas Leis, o alinhamento se dá em dois PMEs, tendo em vista os catorze  artigos, como no PNE. Em um PME, a Lei possui quinze artigos e, nas demais sete, variam entre cinco e treze</w:t>
      </w:r>
      <w:r>
        <w:rPr>
          <w:spacing w:val="-9"/>
        </w:rPr>
        <w:t> </w:t>
      </w:r>
      <w:r>
        <w:rPr/>
        <w:t>artigos.</w:t>
      </w:r>
    </w:p>
    <w:p>
      <w:pPr>
        <w:pStyle w:val="BodyText"/>
        <w:spacing w:line="360" w:lineRule="auto" w:before="3"/>
        <w:ind w:left="102" w:right="121" w:firstLine="851"/>
        <w:jc w:val="both"/>
      </w:pPr>
      <w:r>
        <w:rPr/>
        <w:t>Quanto as seções, nos PMEs agrupados na Tabela, dois estão formatados com as seções Lei, metas e estratégias. Os oito demais apresentam, de forma aleatória, desde uma a até quatro seções.</w:t>
      </w:r>
    </w:p>
    <w:p>
      <w:pPr>
        <w:spacing w:after="0" w:line="360" w:lineRule="auto"/>
        <w:jc w:val="both"/>
        <w:sectPr>
          <w:headerReference w:type="default" r:id="rId115"/>
          <w:pgSz w:w="11910" w:h="16840"/>
          <w:pgMar w:header="0" w:footer="0" w:top="660" w:bottom="280" w:left="1600" w:right="1580"/>
        </w:sectPr>
      </w:pPr>
    </w:p>
    <w:p>
      <w:pPr>
        <w:pStyle w:val="BodyText"/>
        <w:rPr>
          <w:sz w:val="20"/>
        </w:rPr>
      </w:pPr>
    </w:p>
    <w:p>
      <w:pPr>
        <w:pStyle w:val="BodyText"/>
        <w:rPr>
          <w:sz w:val="20"/>
        </w:rPr>
      </w:pPr>
    </w:p>
    <w:p>
      <w:pPr>
        <w:pStyle w:val="BodyText"/>
        <w:spacing w:before="2"/>
        <w:rPr>
          <w:sz w:val="23"/>
        </w:rPr>
      </w:pPr>
    </w:p>
    <w:p>
      <w:pPr>
        <w:pStyle w:val="BodyText"/>
        <w:spacing w:after="46"/>
        <w:ind w:left="558"/>
      </w:pPr>
      <w:r>
        <w:rPr>
          <w:b/>
        </w:rPr>
        <w:t>Tabela 4 </w:t>
      </w:r>
      <w:r>
        <w:rPr/>
        <w:t>Formatação de PMEs no Tocantins com menos de 20 metas e seções.</w:t>
      </w:r>
    </w:p>
    <w:tbl>
      <w:tblPr>
        <w:tblW w:w="0" w:type="auto"/>
        <w:jc w:val="left"/>
        <w:tblInd w:w="121" w:type="dxa"/>
        <w:tblBorders>
          <w:top w:val="single" w:sz="17" w:space="0" w:color="4F81BC"/>
          <w:left w:val="single" w:sz="17" w:space="0" w:color="4F81BC"/>
          <w:bottom w:val="single" w:sz="17" w:space="0" w:color="4F81BC"/>
          <w:right w:val="single" w:sz="17" w:space="0" w:color="4F81BC"/>
          <w:insideH w:val="single" w:sz="17" w:space="0" w:color="4F81BC"/>
          <w:insideV w:val="single" w:sz="17" w:space="0" w:color="4F81BC"/>
        </w:tblBorders>
        <w:tblLayout w:type="fixed"/>
        <w:tblCellMar>
          <w:top w:w="0" w:type="dxa"/>
          <w:left w:w="0" w:type="dxa"/>
          <w:bottom w:w="0" w:type="dxa"/>
          <w:right w:w="0" w:type="dxa"/>
        </w:tblCellMar>
        <w:tblLook w:val="01E0"/>
      </w:tblPr>
      <w:tblGrid>
        <w:gridCol w:w="1928"/>
        <w:gridCol w:w="1020"/>
        <w:gridCol w:w="566"/>
        <w:gridCol w:w="569"/>
        <w:gridCol w:w="336"/>
        <w:gridCol w:w="457"/>
        <w:gridCol w:w="566"/>
        <w:gridCol w:w="283"/>
        <w:gridCol w:w="454"/>
        <w:gridCol w:w="454"/>
        <w:gridCol w:w="456"/>
        <w:gridCol w:w="454"/>
        <w:gridCol w:w="454"/>
        <w:gridCol w:w="454"/>
        <w:gridCol w:w="454"/>
        <w:gridCol w:w="454"/>
        <w:gridCol w:w="456"/>
        <w:gridCol w:w="454"/>
        <w:gridCol w:w="454"/>
        <w:gridCol w:w="454"/>
        <w:gridCol w:w="454"/>
        <w:gridCol w:w="454"/>
        <w:gridCol w:w="457"/>
        <w:gridCol w:w="454"/>
        <w:gridCol w:w="454"/>
        <w:gridCol w:w="454"/>
        <w:gridCol w:w="454"/>
        <w:gridCol w:w="622"/>
      </w:tblGrid>
      <w:tr>
        <w:trPr>
          <w:trHeight w:val="1178" w:hRule="exact"/>
        </w:trPr>
        <w:tc>
          <w:tcPr>
            <w:tcW w:w="1928" w:type="dxa"/>
            <w:tcBorders>
              <w:left w:val="single" w:sz="8" w:space="0" w:color="4F81BC"/>
              <w:right w:val="single" w:sz="8" w:space="0" w:color="4F81BC"/>
            </w:tcBorders>
          </w:tcPr>
          <w:p>
            <w:pPr>
              <w:pStyle w:val="TableParagraph"/>
              <w:spacing w:before="0"/>
              <w:rPr>
                <w:sz w:val="22"/>
              </w:rPr>
            </w:pPr>
          </w:p>
          <w:p>
            <w:pPr>
              <w:pStyle w:val="TableParagraph"/>
              <w:spacing w:before="194"/>
              <w:ind w:left="537"/>
              <w:rPr>
                <w:sz w:val="20"/>
              </w:rPr>
            </w:pPr>
            <w:r>
              <w:rPr>
                <w:sz w:val="20"/>
              </w:rPr>
              <w:t>Município</w:t>
            </w:r>
          </w:p>
        </w:tc>
        <w:tc>
          <w:tcPr>
            <w:tcW w:w="1020" w:type="dxa"/>
            <w:tcBorders>
              <w:top w:val="single" w:sz="17" w:space="0" w:color="5B9BD4"/>
              <w:left w:val="single" w:sz="8" w:space="0" w:color="4F81BC"/>
              <w:bottom w:val="single" w:sz="17" w:space="0" w:color="5B9BD4"/>
              <w:right w:val="single" w:sz="8" w:space="0" w:color="5B9BD4"/>
            </w:tcBorders>
            <w:textDirection w:val="btLr"/>
          </w:tcPr>
          <w:p>
            <w:pPr>
              <w:pStyle w:val="TableParagraph"/>
              <w:spacing w:before="0"/>
              <w:rPr>
                <w:sz w:val="23"/>
              </w:rPr>
            </w:pPr>
          </w:p>
          <w:p>
            <w:pPr>
              <w:pStyle w:val="TableParagraph"/>
              <w:spacing w:line="247" w:lineRule="auto" w:before="0"/>
              <w:ind w:left="112" w:right="499"/>
              <w:rPr>
                <w:sz w:val="20"/>
              </w:rPr>
            </w:pPr>
            <w:r>
              <w:rPr>
                <w:w w:val="99"/>
                <w:sz w:val="20"/>
              </w:rPr>
              <w:t>Lei</w:t>
            </w:r>
            <w:r>
              <w:rPr>
                <w:sz w:val="20"/>
              </w:rPr>
              <w:t> </w:t>
            </w:r>
            <w:r>
              <w:rPr>
                <w:spacing w:val="1"/>
                <w:w w:val="99"/>
                <w:sz w:val="20"/>
              </w:rPr>
              <w:t>d</w:t>
            </w:r>
            <w:r>
              <w:rPr>
                <w:w w:val="99"/>
                <w:sz w:val="20"/>
              </w:rPr>
              <w:t>o </w:t>
            </w:r>
            <w:r>
              <w:rPr>
                <w:w w:val="99"/>
                <w:sz w:val="20"/>
              </w:rPr>
              <w:t>PME</w:t>
            </w:r>
          </w:p>
        </w:tc>
        <w:tc>
          <w:tcPr>
            <w:tcW w:w="566"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line="244" w:lineRule="auto" w:before="39"/>
              <w:ind w:left="112" w:right="416"/>
              <w:rPr>
                <w:sz w:val="20"/>
              </w:rPr>
            </w:pPr>
            <w:r>
              <w:rPr>
                <w:w w:val="99"/>
                <w:sz w:val="20"/>
              </w:rPr>
              <w:t>Nº</w:t>
            </w:r>
            <w:r>
              <w:rPr>
                <w:sz w:val="20"/>
              </w:rPr>
              <w:t> </w:t>
            </w:r>
            <w:r>
              <w:rPr>
                <w:spacing w:val="1"/>
                <w:w w:val="99"/>
                <w:sz w:val="20"/>
              </w:rPr>
              <w:t>d</w:t>
            </w:r>
            <w:r>
              <w:rPr>
                <w:w w:val="99"/>
                <w:sz w:val="20"/>
              </w:rPr>
              <w:t>e </w:t>
            </w:r>
            <w:r>
              <w:rPr>
                <w:w w:val="99"/>
                <w:sz w:val="20"/>
              </w:rPr>
              <w:t>Ar</w:t>
            </w:r>
            <w:r>
              <w:rPr>
                <w:w w:val="99"/>
                <w:sz w:val="20"/>
              </w:rPr>
              <w:t>tig</w:t>
            </w:r>
            <w:r>
              <w:rPr>
                <w:spacing w:val="1"/>
                <w:w w:val="99"/>
                <w:sz w:val="20"/>
              </w:rPr>
              <w:t>o</w:t>
            </w:r>
            <w:r>
              <w:rPr>
                <w:w w:val="99"/>
                <w:sz w:val="20"/>
              </w:rPr>
              <w:t>s</w:t>
            </w:r>
          </w:p>
        </w:tc>
        <w:tc>
          <w:tcPr>
            <w:tcW w:w="569"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line="244" w:lineRule="auto" w:before="39"/>
              <w:ind w:left="112" w:right="528"/>
              <w:rPr>
                <w:sz w:val="20"/>
              </w:rPr>
            </w:pPr>
            <w:r>
              <w:rPr>
                <w:w w:val="99"/>
                <w:sz w:val="20"/>
              </w:rPr>
              <w:t>Nº</w:t>
            </w:r>
            <w:r>
              <w:rPr>
                <w:sz w:val="20"/>
              </w:rPr>
              <w:t> </w:t>
            </w:r>
            <w:r>
              <w:rPr>
                <w:spacing w:val="1"/>
                <w:w w:val="99"/>
                <w:sz w:val="20"/>
              </w:rPr>
              <w:t>d</w:t>
            </w:r>
            <w:r>
              <w:rPr>
                <w:w w:val="99"/>
                <w:sz w:val="20"/>
              </w:rPr>
              <w:t>e </w:t>
            </w:r>
            <w:r>
              <w:rPr>
                <w:w w:val="99"/>
                <w:sz w:val="20"/>
              </w:rPr>
              <w:t>Metas</w:t>
            </w:r>
          </w:p>
        </w:tc>
        <w:tc>
          <w:tcPr>
            <w:tcW w:w="336"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41"/>
              <w:ind w:left="-1"/>
              <w:rPr>
                <w:sz w:val="20"/>
              </w:rPr>
            </w:pPr>
            <w:r>
              <w:rPr>
                <w:spacing w:val="-1"/>
                <w:w w:val="99"/>
                <w:sz w:val="20"/>
              </w:rPr>
              <w:t>C</w:t>
            </w:r>
            <w:r>
              <w:rPr>
                <w:spacing w:val="1"/>
                <w:w w:val="99"/>
                <w:sz w:val="20"/>
              </w:rPr>
              <w:t>o</w:t>
            </w:r>
            <w:r>
              <w:rPr>
                <w:w w:val="99"/>
                <w:sz w:val="20"/>
              </w:rPr>
              <w:t>m</w:t>
            </w:r>
            <w:r>
              <w:rPr>
                <w:w w:val="99"/>
                <w:sz w:val="20"/>
              </w:rPr>
              <w:t>i</w:t>
            </w:r>
            <w:r>
              <w:rPr>
                <w:spacing w:val="-1"/>
                <w:w w:val="99"/>
                <w:sz w:val="20"/>
              </w:rPr>
              <w:t>s</w:t>
            </w:r>
            <w:r>
              <w:rPr>
                <w:spacing w:val="-1"/>
                <w:w w:val="99"/>
                <w:sz w:val="20"/>
              </w:rPr>
              <w:t>s</w:t>
            </w:r>
            <w:r>
              <w:rPr>
                <w:w w:val="99"/>
                <w:sz w:val="20"/>
              </w:rPr>
              <w:t>ão</w:t>
            </w:r>
          </w:p>
        </w:tc>
        <w:tc>
          <w:tcPr>
            <w:tcW w:w="457"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line="211" w:lineRule="exact" w:before="0"/>
              <w:ind w:left="-1"/>
              <w:rPr>
                <w:sz w:val="20"/>
              </w:rPr>
            </w:pPr>
            <w:r>
              <w:rPr>
                <w:w w:val="99"/>
                <w:sz w:val="20"/>
              </w:rPr>
              <w:t>E</w:t>
            </w:r>
            <w:r>
              <w:rPr>
                <w:spacing w:val="1"/>
                <w:w w:val="99"/>
                <w:sz w:val="20"/>
              </w:rPr>
              <w:t>qu</w:t>
            </w:r>
            <w:r>
              <w:rPr>
                <w:w w:val="99"/>
                <w:sz w:val="20"/>
              </w:rPr>
              <w:t>ipe</w:t>
            </w:r>
          </w:p>
          <w:p>
            <w:pPr>
              <w:pStyle w:val="TableParagraph"/>
              <w:spacing w:before="8"/>
              <w:ind w:left="-1"/>
              <w:rPr>
                <w:sz w:val="20"/>
              </w:rPr>
            </w:pPr>
            <w:r>
              <w:rPr>
                <w:w w:val="99"/>
                <w:sz w:val="20"/>
              </w:rPr>
              <w:t>Téc</w:t>
            </w:r>
            <w:r>
              <w:rPr>
                <w:spacing w:val="1"/>
                <w:w w:val="99"/>
                <w:sz w:val="20"/>
              </w:rPr>
              <w:t>n</w:t>
            </w:r>
            <w:r>
              <w:rPr>
                <w:w w:val="99"/>
                <w:sz w:val="20"/>
              </w:rPr>
              <w:t>ica</w:t>
            </w:r>
          </w:p>
        </w:tc>
        <w:tc>
          <w:tcPr>
            <w:tcW w:w="566"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line="244" w:lineRule="auto" w:before="36"/>
              <w:ind w:left="-1" w:right="136"/>
              <w:rPr>
                <w:sz w:val="20"/>
              </w:rPr>
            </w:pPr>
            <w:r>
              <w:rPr>
                <w:w w:val="99"/>
                <w:sz w:val="20"/>
              </w:rPr>
              <w:t>Hi</w:t>
            </w:r>
            <w:r>
              <w:rPr>
                <w:spacing w:val="-1"/>
                <w:w w:val="99"/>
                <w:sz w:val="20"/>
              </w:rPr>
              <w:t>s</w:t>
            </w:r>
            <w:r>
              <w:rPr>
                <w:w w:val="99"/>
                <w:sz w:val="20"/>
              </w:rPr>
              <w:t>tórico</w:t>
            </w:r>
            <w:r>
              <w:rPr>
                <w:spacing w:val="1"/>
                <w:sz w:val="20"/>
              </w:rPr>
              <w:t> </w:t>
            </w:r>
            <w:r>
              <w:rPr>
                <w:spacing w:val="1"/>
                <w:w w:val="99"/>
                <w:sz w:val="20"/>
              </w:rPr>
              <w:t>d</w:t>
            </w:r>
            <w:r>
              <w:rPr>
                <w:w w:val="99"/>
                <w:sz w:val="20"/>
              </w:rPr>
              <w:t>o </w:t>
            </w:r>
            <w:r>
              <w:rPr>
                <w:w w:val="99"/>
                <w:sz w:val="20"/>
              </w:rPr>
              <w:t>M</w:t>
            </w:r>
            <w:r>
              <w:rPr>
                <w:spacing w:val="1"/>
                <w:w w:val="99"/>
                <w:sz w:val="20"/>
              </w:rPr>
              <w:t>u</w:t>
            </w:r>
            <w:r>
              <w:rPr>
                <w:spacing w:val="1"/>
                <w:w w:val="99"/>
                <w:sz w:val="20"/>
              </w:rPr>
              <w:t>n</w:t>
            </w:r>
            <w:r>
              <w:rPr>
                <w:w w:val="99"/>
                <w:sz w:val="20"/>
              </w:rPr>
              <w:t>icí</w:t>
            </w:r>
            <w:r>
              <w:rPr>
                <w:spacing w:val="1"/>
                <w:w w:val="99"/>
                <w:sz w:val="20"/>
              </w:rPr>
              <w:t>p</w:t>
            </w:r>
            <w:r>
              <w:rPr>
                <w:w w:val="99"/>
                <w:sz w:val="20"/>
              </w:rPr>
              <w:t>io</w:t>
            </w:r>
          </w:p>
        </w:tc>
        <w:tc>
          <w:tcPr>
            <w:tcW w:w="283"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15"/>
              <w:ind w:left="-1"/>
              <w:rPr>
                <w:sz w:val="20"/>
              </w:rPr>
            </w:pPr>
            <w:r>
              <w:rPr>
                <w:w w:val="99"/>
                <w:sz w:val="20"/>
              </w:rPr>
              <w:t>Dia</w:t>
            </w:r>
            <w:r>
              <w:rPr>
                <w:spacing w:val="1"/>
                <w:w w:val="99"/>
                <w:sz w:val="20"/>
              </w:rPr>
              <w:t>gnó</w:t>
            </w:r>
            <w:r>
              <w:rPr>
                <w:spacing w:val="-1"/>
                <w:w w:val="99"/>
                <w:sz w:val="20"/>
              </w:rPr>
              <w:t>s</w:t>
            </w:r>
            <w:r>
              <w:rPr>
                <w:w w:val="99"/>
                <w:sz w:val="20"/>
              </w:rPr>
              <w:t>tico</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1</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2</w:t>
            </w:r>
          </w:p>
        </w:tc>
        <w:tc>
          <w:tcPr>
            <w:tcW w:w="456"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101"/>
              <w:ind w:left="-1"/>
              <w:rPr>
                <w:sz w:val="20"/>
              </w:rPr>
            </w:pPr>
            <w:r>
              <w:rPr>
                <w:w w:val="99"/>
                <w:sz w:val="20"/>
              </w:rPr>
              <w:t>Me</w:t>
            </w:r>
            <w:r>
              <w:rPr>
                <w:w w:val="99"/>
                <w:sz w:val="20"/>
              </w:rPr>
              <w:t>ta</w:t>
            </w:r>
            <w:r>
              <w:rPr>
                <w:sz w:val="20"/>
              </w:rPr>
              <w:t> </w:t>
            </w:r>
            <w:r>
              <w:rPr>
                <w:w w:val="99"/>
                <w:sz w:val="20"/>
              </w:rPr>
              <w:t>3</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4</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5</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6</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7</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8</w:t>
            </w:r>
          </w:p>
        </w:tc>
        <w:tc>
          <w:tcPr>
            <w:tcW w:w="456"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101"/>
              <w:ind w:left="-1"/>
              <w:rPr>
                <w:sz w:val="20"/>
              </w:rPr>
            </w:pPr>
            <w:r>
              <w:rPr>
                <w:w w:val="99"/>
                <w:sz w:val="20"/>
              </w:rPr>
              <w:t>Me</w:t>
            </w:r>
            <w:r>
              <w:rPr>
                <w:w w:val="99"/>
                <w:sz w:val="20"/>
              </w:rPr>
              <w:t>ta</w:t>
            </w:r>
            <w:r>
              <w:rPr>
                <w:sz w:val="20"/>
              </w:rPr>
              <w:t> </w:t>
            </w:r>
            <w:r>
              <w:rPr>
                <w:w w:val="99"/>
                <w:sz w:val="20"/>
              </w:rPr>
              <w:t>9</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0</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1</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2</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3</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4</w:t>
            </w:r>
          </w:p>
        </w:tc>
        <w:tc>
          <w:tcPr>
            <w:tcW w:w="457"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102"/>
              <w:ind w:left="-1"/>
              <w:rPr>
                <w:sz w:val="20"/>
              </w:rPr>
            </w:pPr>
            <w:r>
              <w:rPr>
                <w:w w:val="99"/>
                <w:sz w:val="20"/>
              </w:rPr>
              <w:t>Me</w:t>
            </w:r>
            <w:r>
              <w:rPr>
                <w:w w:val="99"/>
                <w:sz w:val="20"/>
              </w:rPr>
              <w:t>ta</w:t>
            </w:r>
            <w:r>
              <w:rPr>
                <w:sz w:val="20"/>
              </w:rPr>
              <w:t> </w:t>
            </w:r>
            <w:r>
              <w:rPr>
                <w:spacing w:val="1"/>
                <w:w w:val="99"/>
                <w:sz w:val="20"/>
              </w:rPr>
              <w:t>1</w:t>
            </w:r>
            <w:r>
              <w:rPr>
                <w:w w:val="99"/>
                <w:sz w:val="20"/>
              </w:rPr>
              <w:t>5</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6</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7</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8</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9</w:t>
            </w:r>
          </w:p>
        </w:tc>
        <w:tc>
          <w:tcPr>
            <w:tcW w:w="622"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line="244" w:lineRule="auto" w:before="65"/>
              <w:ind w:left="-1" w:right="254"/>
              <w:rPr>
                <w:sz w:val="20"/>
              </w:rPr>
            </w:pPr>
            <w:r>
              <w:rPr>
                <w:w w:val="99"/>
                <w:sz w:val="20"/>
              </w:rPr>
              <w:t>T</w:t>
            </w:r>
            <w:r>
              <w:rPr>
                <w:spacing w:val="1"/>
                <w:w w:val="99"/>
                <w:sz w:val="20"/>
              </w:rPr>
              <w:t>o</w:t>
            </w:r>
            <w:r>
              <w:rPr>
                <w:w w:val="99"/>
                <w:sz w:val="20"/>
              </w:rPr>
              <w:t>tal</w:t>
            </w:r>
            <w:r>
              <w:rPr>
                <w:sz w:val="20"/>
              </w:rPr>
              <w:t> </w:t>
            </w:r>
            <w:r>
              <w:rPr>
                <w:spacing w:val="1"/>
                <w:w w:val="99"/>
                <w:sz w:val="20"/>
              </w:rPr>
              <w:t>d</w:t>
            </w:r>
            <w:r>
              <w:rPr>
                <w:w w:val="99"/>
                <w:sz w:val="20"/>
              </w:rPr>
              <w:t>e E</w:t>
            </w:r>
            <w:r>
              <w:rPr>
                <w:spacing w:val="-1"/>
                <w:w w:val="99"/>
                <w:sz w:val="20"/>
              </w:rPr>
              <w:t>s</w:t>
            </w:r>
            <w:r>
              <w:rPr>
                <w:w w:val="99"/>
                <w:sz w:val="20"/>
              </w:rPr>
              <w:t>traté</w:t>
            </w:r>
            <w:r>
              <w:rPr>
                <w:spacing w:val="1"/>
                <w:w w:val="99"/>
                <w:sz w:val="20"/>
              </w:rPr>
              <w:t>g</w:t>
            </w:r>
            <w:r>
              <w:rPr>
                <w:w w:val="99"/>
                <w:sz w:val="20"/>
              </w:rPr>
              <w:t>ias</w:t>
            </w:r>
          </w:p>
        </w:tc>
      </w:tr>
    </w:tbl>
    <w:p>
      <w:pPr>
        <w:spacing w:after="0" w:line="244" w:lineRule="auto"/>
        <w:rPr>
          <w:sz w:val="20"/>
        </w:rPr>
        <w:sectPr>
          <w:headerReference w:type="default" r:id="rId116"/>
          <w:pgSz w:w="16840" w:h="11910" w:orient="landscape"/>
          <w:pgMar w:header="749" w:footer="0" w:top="960" w:bottom="280" w:left="860" w:right="740"/>
          <w:pgNumType w:start="13"/>
        </w:sectPr>
      </w:pPr>
    </w:p>
    <w:p>
      <w:pPr>
        <w:spacing w:before="111"/>
        <w:ind w:left="239" w:right="0" w:firstLine="0"/>
        <w:jc w:val="left"/>
        <w:rPr>
          <w:sz w:val="20"/>
        </w:rPr>
      </w:pPr>
      <w:r>
        <w:rPr>
          <w:sz w:val="20"/>
        </w:rPr>
        <w:t>Araguaçu</w:t>
      </w:r>
    </w:p>
    <w:p>
      <w:pPr>
        <w:spacing w:before="135"/>
        <w:ind w:left="239" w:right="-18" w:firstLine="0"/>
        <w:jc w:val="left"/>
        <w:rPr>
          <w:sz w:val="20"/>
        </w:rPr>
      </w:pPr>
      <w:r>
        <w:rPr>
          <w:sz w:val="20"/>
        </w:rPr>
        <w:t>Bandeirantes</w:t>
      </w:r>
      <w:r>
        <w:rPr>
          <w:spacing w:val="-5"/>
          <w:sz w:val="20"/>
        </w:rPr>
        <w:t> </w:t>
      </w:r>
      <w:r>
        <w:rPr>
          <w:sz w:val="20"/>
        </w:rPr>
        <w:t>do Tocantins</w:t>
      </w:r>
    </w:p>
    <w:p>
      <w:pPr>
        <w:spacing w:line="501" w:lineRule="auto" w:before="134"/>
        <w:ind w:left="239" w:right="0" w:firstLine="0"/>
        <w:jc w:val="left"/>
        <w:rPr>
          <w:sz w:val="20"/>
        </w:rPr>
      </w:pPr>
      <w:r>
        <w:rPr>
          <w:sz w:val="20"/>
        </w:rPr>
        <w:t>Itapiratins Palmeirante </w:t>
      </w:r>
      <w:r>
        <w:rPr>
          <w:w w:val="95"/>
          <w:sz w:val="20"/>
        </w:rPr>
        <w:t>Palmeirópolis </w:t>
      </w:r>
      <w:r>
        <w:rPr>
          <w:sz w:val="20"/>
        </w:rPr>
        <w:t>Dueré</w:t>
      </w:r>
    </w:p>
    <w:p>
      <w:pPr>
        <w:spacing w:line="501" w:lineRule="auto" w:before="8"/>
        <w:ind w:left="239" w:right="705" w:firstLine="0"/>
        <w:jc w:val="left"/>
        <w:rPr>
          <w:sz w:val="20"/>
        </w:rPr>
      </w:pPr>
      <w:r>
        <w:rPr>
          <w:sz w:val="20"/>
        </w:rPr>
        <w:t>Peixe Jau Aurora</w:t>
      </w:r>
    </w:p>
    <w:p>
      <w:pPr>
        <w:spacing w:before="8"/>
        <w:ind w:left="239" w:right="0" w:firstLine="0"/>
        <w:jc w:val="left"/>
        <w:rPr>
          <w:sz w:val="20"/>
        </w:rPr>
      </w:pPr>
      <w:r>
        <w:rPr>
          <w:sz w:val="20"/>
        </w:rPr>
        <w:t>Bom Jesus</w:t>
      </w:r>
    </w:p>
    <w:p>
      <w:pPr>
        <w:spacing w:line="168" w:lineRule="exact" w:before="0"/>
        <w:ind w:left="239" w:right="0" w:firstLine="0"/>
        <w:jc w:val="left"/>
        <w:rPr>
          <w:sz w:val="20"/>
        </w:rPr>
      </w:pPr>
      <w:r>
        <w:rPr/>
        <w:br w:type="column"/>
      </w:r>
      <w:r>
        <w:rPr>
          <w:sz w:val="20"/>
        </w:rPr>
        <w:t>580 de</w:t>
      </w:r>
    </w:p>
    <w:p>
      <w:pPr>
        <w:tabs>
          <w:tab w:pos="1259" w:val="left" w:leader="none"/>
          <w:tab w:pos="1825" w:val="left" w:leader="none"/>
          <w:tab w:pos="2391" w:val="left" w:leader="none"/>
          <w:tab w:pos="3184" w:val="left" w:leader="none"/>
          <w:tab w:pos="3753" w:val="left" w:leader="none"/>
          <w:tab w:pos="4490" w:val="left" w:leader="none"/>
          <w:tab w:pos="4943" w:val="left" w:leader="none"/>
          <w:tab w:pos="5397" w:val="left" w:leader="none"/>
          <w:tab w:pos="5853" w:val="left" w:leader="none"/>
          <w:tab w:pos="6306" w:val="left" w:leader="none"/>
          <w:tab w:pos="6760" w:val="left" w:leader="none"/>
          <w:tab w:pos="7214" w:val="left" w:leader="none"/>
          <w:tab w:pos="7668" w:val="left" w:leader="none"/>
          <w:tab w:pos="8121" w:val="left" w:leader="none"/>
          <w:tab w:pos="8577" w:val="left" w:leader="none"/>
          <w:tab w:pos="9031" w:val="left" w:leader="none"/>
          <w:tab w:pos="9484" w:val="left" w:leader="none"/>
          <w:tab w:pos="9938" w:val="left" w:leader="none"/>
          <w:tab w:pos="10392" w:val="left" w:leader="none"/>
          <w:tab w:pos="10846" w:val="left" w:leader="none"/>
          <w:tab w:pos="11302" w:val="left" w:leader="none"/>
          <w:tab w:pos="11755" w:val="left" w:leader="none"/>
          <w:tab w:pos="12209" w:val="left" w:leader="none"/>
          <w:tab w:pos="12663" w:val="left" w:leader="none"/>
        </w:tabs>
        <w:spacing w:line="293" w:lineRule="exact" w:before="0"/>
        <w:ind w:left="239" w:right="0" w:firstLine="0"/>
        <w:jc w:val="left"/>
        <w:rPr>
          <w:sz w:val="20"/>
        </w:rPr>
      </w:pPr>
      <w:r>
        <w:rPr/>
        <w:pict>
          <v:group style="position:absolute;margin-left:49.060001pt;margin-top:14.726434pt;width:749.7pt;height:1pt;mso-position-horizontal-relative:page;mso-position-vertical-relative:paragraph;z-index:-362008" coordorigin="981,295" coordsize="14994,20">
            <v:line style="position:absolute" from="991,305" to="2919,305" stroked="true" strokeweight=".95999pt" strokecolor="#5b9bd4">
              <v:stroke dashstyle="solid"/>
            </v:line>
            <v:line style="position:absolute" from="2919,305" to="2938,305" stroked="true" strokeweight=".95999pt" strokecolor="#5b9bd4">
              <v:stroke dashstyle="solid"/>
            </v:line>
            <v:line style="position:absolute" from="2938,305" to="3939,305" stroked="true" strokeweight=".95999pt" strokecolor="#5b9bd4">
              <v:stroke dashstyle="solid"/>
            </v:line>
            <v:line style="position:absolute" from="3939,305" to="3958,305" stroked="true" strokeweight=".95999pt" strokecolor="#5b9bd4">
              <v:stroke dashstyle="solid"/>
            </v:line>
            <v:line style="position:absolute" from="3958,305" to="4505,305" stroked="true" strokeweight=".95999pt" strokecolor="#5b9bd4">
              <v:stroke dashstyle="solid"/>
            </v:line>
            <v:line style="position:absolute" from="4505,305" to="4524,305" stroked="true" strokeweight=".95999pt" strokecolor="#5b9bd4">
              <v:stroke dashstyle="solid"/>
            </v:line>
            <v:line style="position:absolute" from="4524,305" to="5074,305" stroked="true" strokeweight=".95999pt" strokecolor="#5b9bd4">
              <v:stroke dashstyle="solid"/>
            </v:line>
            <v:line style="position:absolute" from="5074,305" to="5093,305" stroked="true" strokeweight=".95999pt" strokecolor="#5b9bd4">
              <v:stroke dashstyle="solid"/>
            </v:line>
            <v:line style="position:absolute" from="5093,305" to="5410,305" stroked="true" strokeweight=".95999pt" strokecolor="#5b9bd4">
              <v:stroke dashstyle="solid"/>
            </v:line>
            <v:line style="position:absolute" from="5410,305" to="5429,305" stroked="true" strokeweight=".95999pt" strokecolor="#5b9bd4">
              <v:stroke dashstyle="solid"/>
            </v:line>
            <v:line style="position:absolute" from="5429,305" to="5866,305" stroked="true" strokeweight=".95999pt" strokecolor="#5b9bd4">
              <v:stroke dashstyle="solid"/>
            </v:line>
            <v:line style="position:absolute" from="5867,305" to="5886,305" stroked="true" strokeweight=".95999pt" strokecolor="#5b9bd4">
              <v:stroke dashstyle="solid"/>
            </v:line>
            <v:line style="position:absolute" from="5886,305" to="6433,305" stroked="true" strokeweight=".95999pt" strokecolor="#5b9bd4">
              <v:stroke dashstyle="solid"/>
            </v:line>
            <v:line style="position:absolute" from="6433,305" to="6452,305" stroked="true" strokeweight=".95999pt" strokecolor="#5b9bd4">
              <v:stroke dashstyle="solid"/>
            </v:line>
            <v:line style="position:absolute" from="6452,305" to="6716,305" stroked="true" strokeweight=".95999pt" strokecolor="#5b9bd4">
              <v:stroke dashstyle="solid"/>
            </v:line>
            <v:line style="position:absolute" from="6716,305" to="6735,305" stroked="true" strokeweight=".95999pt" strokecolor="#5b9bd4">
              <v:stroke dashstyle="solid"/>
            </v:line>
            <v:line style="position:absolute" from="6735,305" to="7170,305" stroked="true" strokeweight=".95999pt" strokecolor="#5b9bd4">
              <v:stroke dashstyle="solid"/>
            </v:line>
            <v:line style="position:absolute" from="7170,305" to="7189,305" stroked="true" strokeweight=".95999pt" strokecolor="#5b9bd4">
              <v:stroke dashstyle="solid"/>
            </v:line>
            <v:line style="position:absolute" from="7189,305" to="7623,305" stroked="true" strokeweight=".95999pt" strokecolor="#5b9bd4">
              <v:stroke dashstyle="solid"/>
            </v:line>
            <v:line style="position:absolute" from="7623,305" to="7643,305" stroked="true" strokeweight=".95999pt" strokecolor="#5b9bd4">
              <v:stroke dashstyle="solid"/>
            </v:line>
            <v:line style="position:absolute" from="7643,305" to="8079,305" stroked="true" strokeweight=".95999pt" strokecolor="#5b9bd4">
              <v:stroke dashstyle="solid"/>
            </v:line>
            <v:line style="position:absolute" from="8079,305" to="8099,305" stroked="true" strokeweight=".95999pt" strokecolor="#5b9bd4">
              <v:stroke dashstyle="solid"/>
            </v:line>
            <v:line style="position:absolute" from="8099,305" to="8533,305" stroked="true" strokeweight=".95999pt" strokecolor="#5b9bd4">
              <v:stroke dashstyle="solid"/>
            </v:line>
            <v:line style="position:absolute" from="8533,305" to="8552,305" stroked="true" strokeweight=".95999pt" strokecolor="#5b9bd4">
              <v:stroke dashstyle="solid"/>
            </v:line>
            <v:line style="position:absolute" from="8552,305" to="8987,305" stroked="true" strokeweight=".95999pt" strokecolor="#5b9bd4">
              <v:stroke dashstyle="solid"/>
            </v:line>
            <v:line style="position:absolute" from="8987,305" to="9006,305" stroked="true" strokeweight=".95999pt" strokecolor="#5b9bd4">
              <v:stroke dashstyle="solid"/>
            </v:line>
            <v:line style="position:absolute" from="9006,305" to="9440,305" stroked="true" strokeweight=".95999pt" strokecolor="#5b9bd4">
              <v:stroke dashstyle="solid"/>
            </v:line>
            <v:line style="position:absolute" from="9440,305" to="9459,305" stroked="true" strokeweight=".95999pt" strokecolor="#5b9bd4">
              <v:stroke dashstyle="solid"/>
            </v:line>
            <v:line style="position:absolute" from="9459,305" to="9894,305" stroked="true" strokeweight=".95999pt" strokecolor="#5b9bd4">
              <v:stroke dashstyle="solid"/>
            </v:line>
            <v:line style="position:absolute" from="9894,305" to="9913,305" stroked="true" strokeweight=".95999pt" strokecolor="#5b9bd4">
              <v:stroke dashstyle="solid"/>
            </v:line>
            <v:line style="position:absolute" from="9913,305" to="10348,305" stroked="true" strokeweight=".95999pt" strokecolor="#5b9bd4">
              <v:stroke dashstyle="solid"/>
            </v:line>
            <v:line style="position:absolute" from="10348,305" to="10367,305" stroked="true" strokeweight=".95999pt" strokecolor="#5b9bd4">
              <v:stroke dashstyle="solid"/>
            </v:line>
            <v:line style="position:absolute" from="10367,305" to="10804,305" stroked="true" strokeweight=".95999pt" strokecolor="#5b9bd4">
              <v:stroke dashstyle="solid"/>
            </v:line>
            <v:line style="position:absolute" from="10804,305" to="10823,305" stroked="true" strokeweight=".95999pt" strokecolor="#5b9bd4">
              <v:stroke dashstyle="solid"/>
            </v:line>
            <v:line style="position:absolute" from="10823,305" to="11257,305" stroked="true" strokeweight=".95999pt" strokecolor="#5b9bd4">
              <v:stroke dashstyle="solid"/>
            </v:line>
            <v:line style="position:absolute" from="11257,305" to="11277,305" stroked="true" strokeweight=".95999pt" strokecolor="#5b9bd4">
              <v:stroke dashstyle="solid"/>
            </v:line>
            <v:line style="position:absolute" from="11277,305" to="11711,305" stroked="true" strokeweight=".95999pt" strokecolor="#5b9bd4">
              <v:stroke dashstyle="solid"/>
            </v:line>
            <v:line style="position:absolute" from="11711,305" to="11730,305" stroked="true" strokeweight=".95999pt" strokecolor="#5b9bd4">
              <v:stroke dashstyle="solid"/>
            </v:line>
            <v:line style="position:absolute" from="11730,305" to="12165,305" stroked="true" strokeweight=".95999pt" strokecolor="#5b9bd4">
              <v:stroke dashstyle="solid"/>
            </v:line>
            <v:line style="position:absolute" from="12165,305" to="12184,305" stroked="true" strokeweight=".95999pt" strokecolor="#5b9bd4">
              <v:stroke dashstyle="solid"/>
            </v:line>
            <v:line style="position:absolute" from="12184,305" to="12618,305" stroked="true" strokeweight=".95999pt" strokecolor="#5b9bd4">
              <v:stroke dashstyle="solid"/>
            </v:line>
            <v:line style="position:absolute" from="12618,305" to="12637,305" stroked="true" strokeweight=".95999pt" strokecolor="#5b9bd4">
              <v:stroke dashstyle="solid"/>
            </v:line>
            <v:line style="position:absolute" from="12637,305" to="13072,305" stroked="true" strokeweight=".95999pt" strokecolor="#5b9bd4">
              <v:stroke dashstyle="solid"/>
            </v:line>
            <v:line style="position:absolute" from="13072,305" to="13091,305" stroked="true" strokeweight=".95999pt" strokecolor="#5b9bd4">
              <v:stroke dashstyle="solid"/>
            </v:line>
            <v:line style="position:absolute" from="13091,305" to="13528,305" stroked="true" strokeweight=".95999pt" strokecolor="#5b9bd4">
              <v:stroke dashstyle="solid"/>
            </v:line>
            <v:line style="position:absolute" from="13528,305" to="13548,305" stroked="true" strokeweight=".95999pt" strokecolor="#5b9bd4">
              <v:stroke dashstyle="solid"/>
            </v:line>
            <v:line style="position:absolute" from="13548,305" to="13982,305" stroked="true" strokeweight=".95999pt" strokecolor="#5b9bd4">
              <v:stroke dashstyle="solid"/>
            </v:line>
            <v:line style="position:absolute" from="13982,305" to="14001,305" stroked="true" strokeweight=".95999pt" strokecolor="#5b9bd4">
              <v:stroke dashstyle="solid"/>
            </v:line>
            <v:line style="position:absolute" from="14001,305" to="14436,305" stroked="true" strokeweight=".95999pt" strokecolor="#5b9bd4">
              <v:stroke dashstyle="solid"/>
            </v:line>
            <v:line style="position:absolute" from="14436,305" to="14455,305" stroked="true" strokeweight=".95999pt" strokecolor="#5b9bd4">
              <v:stroke dashstyle="solid"/>
            </v:line>
            <v:line style="position:absolute" from="14455,305" to="14889,305" stroked="true" strokeweight=".95999pt" strokecolor="#5b9bd4">
              <v:stroke dashstyle="solid"/>
            </v:line>
            <v:line style="position:absolute" from="14889,305" to="14908,305" stroked="true" strokeweight=".95999pt" strokecolor="#5b9bd4">
              <v:stroke dashstyle="solid"/>
            </v:line>
            <v:line style="position:absolute" from="14908,305" to="15343,305" stroked="true" strokeweight=".95999pt" strokecolor="#5b9bd4">
              <v:stroke dashstyle="solid"/>
            </v:line>
            <v:line style="position:absolute" from="15343,305" to="15362,305" stroked="true" strokeweight=".95999pt" strokecolor="#5b9bd4">
              <v:stroke dashstyle="solid"/>
            </v:line>
            <v:line style="position:absolute" from="15362,305" to="15964,305" stroked="true" strokeweight=".95999pt" strokecolor="#5b9bd4">
              <v:stroke dashstyle="solid"/>
            </v:line>
            <w10:wrap type="none"/>
          </v:group>
        </w:pict>
      </w:r>
      <w:r>
        <w:rPr>
          <w:position w:val="-11"/>
          <w:sz w:val="20"/>
        </w:rPr>
        <w:t>16/06/15</w:t>
        <w:tab/>
      </w:r>
      <w:r>
        <w:rPr>
          <w:sz w:val="20"/>
        </w:rPr>
        <w:t>14</w:t>
        <w:tab/>
        <w:t>18</w:t>
        <w:tab/>
        <w:t>X  </w:t>
      </w:r>
      <w:r>
        <w:rPr>
          <w:spacing w:val="43"/>
          <w:sz w:val="20"/>
        </w:rPr>
        <w:t> </w:t>
      </w:r>
      <w:r>
        <w:rPr>
          <w:sz w:val="20"/>
        </w:rPr>
        <w:t>X</w:t>
        <w:tab/>
        <w:t>X</w:t>
        <w:tab/>
        <w:t>X </w:t>
      </w:r>
      <w:r>
        <w:rPr>
          <w:spacing w:val="38"/>
          <w:sz w:val="20"/>
        </w:rPr>
        <w:t> </w:t>
      </w:r>
      <w:r>
        <w:rPr>
          <w:sz w:val="20"/>
        </w:rPr>
        <w:t>13</w:t>
        <w:tab/>
        <w:t>6</w:t>
        <w:tab/>
        <w:t>10</w:t>
        <w:tab/>
        <w:t>7</w:t>
        <w:tab/>
        <w:t>6</w:t>
        <w:tab/>
        <w:t>9</w:t>
        <w:tab/>
        <w:t>2</w:t>
        <w:tab/>
        <w:t>8</w:t>
        <w:tab/>
        <w:t>10</w:t>
        <w:tab/>
        <w:t>6</w:t>
        <w:tab/>
        <w:t>11</w:t>
        <w:tab/>
        <w:t>6</w:t>
        <w:tab/>
        <w:t>6</w:t>
        <w:tab/>
        <w:t>5</w:t>
        <w:tab/>
        <w:t>7</w:t>
        <w:tab/>
        <w:t>6</w:t>
        <w:tab/>
        <w:t>18</w:t>
        <w:tab/>
        <w:t>12</w:t>
        <w:tab/>
        <w:t>-</w:t>
        <w:tab/>
        <w:t>148</w:t>
      </w:r>
    </w:p>
    <w:p>
      <w:pPr>
        <w:spacing w:line="173" w:lineRule="exact" w:before="15"/>
        <w:ind w:left="239" w:right="0" w:firstLine="0"/>
        <w:jc w:val="left"/>
        <w:rPr>
          <w:sz w:val="20"/>
        </w:rPr>
      </w:pPr>
      <w:r>
        <w:rPr>
          <w:sz w:val="20"/>
        </w:rPr>
        <w:t>405 de</w:t>
      </w:r>
    </w:p>
    <w:p>
      <w:pPr>
        <w:tabs>
          <w:tab w:pos="1259" w:val="left" w:leader="none"/>
          <w:tab w:pos="1825" w:val="left" w:leader="none"/>
          <w:tab w:pos="2391" w:val="left" w:leader="none"/>
          <w:tab w:pos="3184" w:val="left" w:leader="none"/>
          <w:tab w:pos="3753" w:val="left" w:leader="none"/>
          <w:tab w:pos="4490" w:val="left" w:leader="none"/>
          <w:tab w:pos="4943" w:val="left" w:leader="none"/>
          <w:tab w:pos="5397" w:val="left" w:leader="none"/>
          <w:tab w:pos="5853" w:val="left" w:leader="none"/>
          <w:tab w:pos="6306" w:val="left" w:leader="none"/>
          <w:tab w:pos="6760" w:val="left" w:leader="none"/>
          <w:tab w:pos="7214" w:val="left" w:leader="none"/>
          <w:tab w:pos="7668" w:val="left" w:leader="none"/>
          <w:tab w:pos="8121" w:val="left" w:leader="none"/>
          <w:tab w:pos="8577" w:val="left" w:leader="none"/>
          <w:tab w:pos="9031" w:val="left" w:leader="none"/>
          <w:tab w:pos="9484" w:val="left" w:leader="none"/>
          <w:tab w:pos="9938" w:val="left" w:leader="none"/>
          <w:tab w:pos="10392" w:val="left" w:leader="none"/>
          <w:tab w:pos="10846" w:val="left" w:leader="none"/>
          <w:tab w:pos="11302" w:val="left" w:leader="none"/>
          <w:tab w:pos="11755" w:val="left" w:leader="none"/>
          <w:tab w:pos="12209" w:val="left" w:leader="none"/>
          <w:tab w:pos="12663" w:val="left" w:leader="none"/>
        </w:tabs>
        <w:spacing w:line="293" w:lineRule="exact" w:before="0"/>
        <w:ind w:left="239" w:right="0" w:firstLine="0"/>
        <w:jc w:val="left"/>
        <w:rPr>
          <w:sz w:val="20"/>
        </w:rPr>
      </w:pPr>
      <w:r>
        <w:rPr/>
        <w:pict>
          <v:group style="position:absolute;margin-left:49.060001pt;margin-top:14.726435pt;width:749.7pt;height:1pt;mso-position-horizontal-relative:page;mso-position-vertical-relative:paragraph;z-index:-361984" coordorigin="981,295" coordsize="14994,20">
            <v:line style="position:absolute" from="991,305" to="2919,305" stroked="true" strokeweight=".95999pt" strokecolor="#5b9bd4">
              <v:stroke dashstyle="solid"/>
            </v:line>
            <v:line style="position:absolute" from="2919,305" to="2938,305" stroked="true" strokeweight=".95999pt" strokecolor="#5b9bd4">
              <v:stroke dashstyle="solid"/>
            </v:line>
            <v:line style="position:absolute" from="2938,305" to="3939,305" stroked="true" strokeweight=".95999pt" strokecolor="#5b9bd4">
              <v:stroke dashstyle="solid"/>
            </v:line>
            <v:line style="position:absolute" from="3939,305" to="3958,305" stroked="true" strokeweight=".95999pt" strokecolor="#5b9bd4">
              <v:stroke dashstyle="solid"/>
            </v:line>
            <v:line style="position:absolute" from="3958,305" to="4505,305" stroked="true" strokeweight=".95999pt" strokecolor="#5b9bd4">
              <v:stroke dashstyle="solid"/>
            </v:line>
            <v:line style="position:absolute" from="4505,305" to="4524,305" stroked="true" strokeweight=".95999pt" strokecolor="#5b9bd4">
              <v:stroke dashstyle="solid"/>
            </v:line>
            <v:line style="position:absolute" from="4524,305" to="5074,305" stroked="true" strokeweight=".95999pt" strokecolor="#5b9bd4">
              <v:stroke dashstyle="solid"/>
            </v:line>
            <v:line style="position:absolute" from="5074,305" to="5093,305" stroked="true" strokeweight=".95999pt" strokecolor="#5b9bd4">
              <v:stroke dashstyle="solid"/>
            </v:line>
            <v:line style="position:absolute" from="5093,305" to="5410,305" stroked="true" strokeweight=".95999pt" strokecolor="#5b9bd4">
              <v:stroke dashstyle="solid"/>
            </v:line>
            <v:line style="position:absolute" from="5410,305" to="5429,305" stroked="true" strokeweight=".95999pt" strokecolor="#5b9bd4">
              <v:stroke dashstyle="solid"/>
            </v:line>
            <v:line style="position:absolute" from="5429,305" to="5866,305" stroked="true" strokeweight=".95999pt" strokecolor="#5b9bd4">
              <v:stroke dashstyle="solid"/>
            </v:line>
            <v:line style="position:absolute" from="5867,305" to="5886,305" stroked="true" strokeweight=".95999pt" strokecolor="#5b9bd4">
              <v:stroke dashstyle="solid"/>
            </v:line>
            <v:line style="position:absolute" from="5886,305" to="6433,305" stroked="true" strokeweight=".95999pt" strokecolor="#5b9bd4">
              <v:stroke dashstyle="solid"/>
            </v:line>
            <v:line style="position:absolute" from="6433,305" to="6452,305" stroked="true" strokeweight=".95999pt" strokecolor="#5b9bd4">
              <v:stroke dashstyle="solid"/>
            </v:line>
            <v:line style="position:absolute" from="6452,305" to="6716,305" stroked="true" strokeweight=".95999pt" strokecolor="#5b9bd4">
              <v:stroke dashstyle="solid"/>
            </v:line>
            <v:line style="position:absolute" from="6716,305" to="6735,305" stroked="true" strokeweight=".95999pt" strokecolor="#5b9bd4">
              <v:stroke dashstyle="solid"/>
            </v:line>
            <v:line style="position:absolute" from="6735,305" to="7170,305" stroked="true" strokeweight=".95999pt" strokecolor="#5b9bd4">
              <v:stroke dashstyle="solid"/>
            </v:line>
            <v:line style="position:absolute" from="7170,305" to="7189,305" stroked="true" strokeweight=".95999pt" strokecolor="#5b9bd4">
              <v:stroke dashstyle="solid"/>
            </v:line>
            <v:line style="position:absolute" from="7189,305" to="7623,305" stroked="true" strokeweight=".95999pt" strokecolor="#5b9bd4">
              <v:stroke dashstyle="solid"/>
            </v:line>
            <v:line style="position:absolute" from="7623,305" to="7643,305" stroked="true" strokeweight=".95999pt" strokecolor="#5b9bd4">
              <v:stroke dashstyle="solid"/>
            </v:line>
            <v:line style="position:absolute" from="7643,305" to="8079,305" stroked="true" strokeweight=".95999pt" strokecolor="#5b9bd4">
              <v:stroke dashstyle="solid"/>
            </v:line>
            <v:line style="position:absolute" from="8079,305" to="8099,305" stroked="true" strokeweight=".95999pt" strokecolor="#5b9bd4">
              <v:stroke dashstyle="solid"/>
            </v:line>
            <v:line style="position:absolute" from="8099,305" to="8533,305" stroked="true" strokeweight=".95999pt" strokecolor="#5b9bd4">
              <v:stroke dashstyle="solid"/>
            </v:line>
            <v:line style="position:absolute" from="8533,305" to="8552,305" stroked="true" strokeweight=".95999pt" strokecolor="#5b9bd4">
              <v:stroke dashstyle="solid"/>
            </v:line>
            <v:line style="position:absolute" from="8552,305" to="8987,305" stroked="true" strokeweight=".95999pt" strokecolor="#5b9bd4">
              <v:stroke dashstyle="solid"/>
            </v:line>
            <v:line style="position:absolute" from="8987,305" to="9006,305" stroked="true" strokeweight=".95999pt" strokecolor="#5b9bd4">
              <v:stroke dashstyle="solid"/>
            </v:line>
            <v:line style="position:absolute" from="9006,305" to="9440,305" stroked="true" strokeweight=".95999pt" strokecolor="#5b9bd4">
              <v:stroke dashstyle="solid"/>
            </v:line>
            <v:line style="position:absolute" from="9440,305" to="9459,305" stroked="true" strokeweight=".95999pt" strokecolor="#5b9bd4">
              <v:stroke dashstyle="solid"/>
            </v:line>
            <v:line style="position:absolute" from="9459,305" to="9894,305" stroked="true" strokeweight=".95999pt" strokecolor="#5b9bd4">
              <v:stroke dashstyle="solid"/>
            </v:line>
            <v:line style="position:absolute" from="9894,305" to="9913,305" stroked="true" strokeweight=".95999pt" strokecolor="#5b9bd4">
              <v:stroke dashstyle="solid"/>
            </v:line>
            <v:line style="position:absolute" from="9913,305" to="10348,305" stroked="true" strokeweight=".95999pt" strokecolor="#5b9bd4">
              <v:stroke dashstyle="solid"/>
            </v:line>
            <v:line style="position:absolute" from="10348,305" to="10367,305" stroked="true" strokeweight=".95999pt" strokecolor="#5b9bd4">
              <v:stroke dashstyle="solid"/>
            </v:line>
            <v:line style="position:absolute" from="10367,305" to="10804,305" stroked="true" strokeweight=".95999pt" strokecolor="#5b9bd4">
              <v:stroke dashstyle="solid"/>
            </v:line>
            <v:line style="position:absolute" from="10804,305" to="10823,305" stroked="true" strokeweight=".95999pt" strokecolor="#5b9bd4">
              <v:stroke dashstyle="solid"/>
            </v:line>
            <v:line style="position:absolute" from="10823,305" to="11257,305" stroked="true" strokeweight=".95999pt" strokecolor="#5b9bd4">
              <v:stroke dashstyle="solid"/>
            </v:line>
            <v:line style="position:absolute" from="11257,305" to="11277,305" stroked="true" strokeweight=".95999pt" strokecolor="#5b9bd4">
              <v:stroke dashstyle="solid"/>
            </v:line>
            <v:line style="position:absolute" from="11277,305" to="11711,305" stroked="true" strokeweight=".95999pt" strokecolor="#5b9bd4">
              <v:stroke dashstyle="solid"/>
            </v:line>
            <v:line style="position:absolute" from="11711,305" to="11730,305" stroked="true" strokeweight=".95999pt" strokecolor="#5b9bd4">
              <v:stroke dashstyle="solid"/>
            </v:line>
            <v:line style="position:absolute" from="11730,305" to="12165,305" stroked="true" strokeweight=".95999pt" strokecolor="#5b9bd4">
              <v:stroke dashstyle="solid"/>
            </v:line>
            <v:line style="position:absolute" from="12165,305" to="12184,305" stroked="true" strokeweight=".95999pt" strokecolor="#5b9bd4">
              <v:stroke dashstyle="solid"/>
            </v:line>
            <v:line style="position:absolute" from="12184,305" to="12618,305" stroked="true" strokeweight=".95999pt" strokecolor="#5b9bd4">
              <v:stroke dashstyle="solid"/>
            </v:line>
            <v:line style="position:absolute" from="12618,305" to="12637,305" stroked="true" strokeweight=".95999pt" strokecolor="#5b9bd4">
              <v:stroke dashstyle="solid"/>
            </v:line>
            <v:line style="position:absolute" from="12637,305" to="13072,305" stroked="true" strokeweight=".95999pt" strokecolor="#5b9bd4">
              <v:stroke dashstyle="solid"/>
            </v:line>
            <v:line style="position:absolute" from="13072,305" to="13091,305" stroked="true" strokeweight=".95999pt" strokecolor="#5b9bd4">
              <v:stroke dashstyle="solid"/>
            </v:line>
            <v:line style="position:absolute" from="13091,305" to="13528,305" stroked="true" strokeweight=".95999pt" strokecolor="#5b9bd4">
              <v:stroke dashstyle="solid"/>
            </v:line>
            <v:line style="position:absolute" from="13528,305" to="13548,305" stroked="true" strokeweight=".95999pt" strokecolor="#5b9bd4">
              <v:stroke dashstyle="solid"/>
            </v:line>
            <v:line style="position:absolute" from="13548,305" to="13982,305" stroked="true" strokeweight=".95999pt" strokecolor="#5b9bd4">
              <v:stroke dashstyle="solid"/>
            </v:line>
            <v:line style="position:absolute" from="13982,305" to="14001,305" stroked="true" strokeweight=".95999pt" strokecolor="#5b9bd4">
              <v:stroke dashstyle="solid"/>
            </v:line>
            <v:line style="position:absolute" from="14001,305" to="14436,305" stroked="true" strokeweight=".95999pt" strokecolor="#5b9bd4">
              <v:stroke dashstyle="solid"/>
            </v:line>
            <v:line style="position:absolute" from="14436,305" to="14455,305" stroked="true" strokeweight=".95999pt" strokecolor="#5b9bd4">
              <v:stroke dashstyle="solid"/>
            </v:line>
            <v:line style="position:absolute" from="14455,305" to="14889,305" stroked="true" strokeweight=".95999pt" strokecolor="#5b9bd4">
              <v:stroke dashstyle="solid"/>
            </v:line>
            <v:line style="position:absolute" from="14889,305" to="14908,305" stroked="true" strokeweight=".95999pt" strokecolor="#5b9bd4">
              <v:stroke dashstyle="solid"/>
            </v:line>
            <v:line style="position:absolute" from="14908,305" to="15343,305" stroked="true" strokeweight=".95999pt" strokecolor="#5b9bd4">
              <v:stroke dashstyle="solid"/>
            </v:line>
            <v:line style="position:absolute" from="15343,305" to="15362,305" stroked="true" strokeweight=".95999pt" strokecolor="#5b9bd4">
              <v:stroke dashstyle="solid"/>
            </v:line>
            <v:line style="position:absolute" from="15362,305" to="15964,305" stroked="true" strokeweight=".95999pt" strokecolor="#5b9bd4">
              <v:stroke dashstyle="solid"/>
            </v:line>
            <w10:wrap type="none"/>
          </v:group>
        </w:pict>
      </w:r>
      <w:r>
        <w:rPr>
          <w:position w:val="-11"/>
          <w:sz w:val="20"/>
        </w:rPr>
        <w:t>22/06/15</w:t>
        <w:tab/>
      </w:r>
      <w:r>
        <w:rPr>
          <w:sz w:val="20"/>
        </w:rPr>
        <w:t>12</w:t>
        <w:tab/>
        <w:t>17</w:t>
        <w:tab/>
        <w:t>X  </w:t>
      </w:r>
      <w:r>
        <w:rPr>
          <w:spacing w:val="43"/>
          <w:sz w:val="20"/>
        </w:rPr>
        <w:t> </w:t>
      </w:r>
      <w:r>
        <w:rPr>
          <w:sz w:val="20"/>
        </w:rPr>
        <w:t>X</w:t>
        <w:tab/>
        <w:t>X</w:t>
        <w:tab/>
        <w:t>X </w:t>
      </w:r>
      <w:r>
        <w:rPr>
          <w:spacing w:val="38"/>
          <w:sz w:val="20"/>
        </w:rPr>
        <w:t> </w:t>
      </w:r>
      <w:r>
        <w:rPr>
          <w:sz w:val="20"/>
        </w:rPr>
        <w:t>13</w:t>
        <w:tab/>
        <w:t>9</w:t>
        <w:tab/>
        <w:t>14</w:t>
        <w:tab/>
        <w:t>6</w:t>
        <w:tab/>
        <w:t>17</w:t>
        <w:tab/>
        <w:t>5</w:t>
        <w:tab/>
        <w:t>11</w:t>
        <w:tab/>
        <w:t>9</w:t>
        <w:tab/>
        <w:t>9</w:t>
        <w:tab/>
        <w:t>6</w:t>
        <w:tab/>
        <w:t>6</w:t>
        <w:tab/>
        <w:t>6</w:t>
        <w:tab/>
        <w:t>12</w:t>
        <w:tab/>
        <w:t>10</w:t>
        <w:tab/>
        <w:t>9</w:t>
        <w:tab/>
        <w:t>32</w:t>
        <w:tab/>
        <w:t>19</w:t>
        <w:tab/>
        <w:t>-</w:t>
        <w:tab/>
        <w:t>-</w:t>
        <w:tab/>
        <w:t>193</w:t>
      </w:r>
    </w:p>
    <w:p>
      <w:pPr>
        <w:spacing w:line="173" w:lineRule="exact" w:before="15"/>
        <w:ind w:left="239" w:right="0" w:firstLine="0"/>
        <w:jc w:val="left"/>
        <w:rPr>
          <w:sz w:val="20"/>
        </w:rPr>
      </w:pPr>
      <w:r>
        <w:rPr>
          <w:sz w:val="20"/>
        </w:rPr>
        <w:t>348 de</w:t>
      </w:r>
    </w:p>
    <w:p>
      <w:pPr>
        <w:tabs>
          <w:tab w:pos="1259" w:val="left" w:leader="none"/>
          <w:tab w:pos="1825" w:val="left" w:leader="none"/>
          <w:tab w:pos="2391" w:val="left" w:leader="none"/>
          <w:tab w:pos="3184" w:val="left" w:leader="none"/>
          <w:tab w:pos="3753" w:val="left" w:leader="none"/>
          <w:tab w:pos="4036" w:val="left" w:leader="none"/>
          <w:tab w:pos="4490" w:val="left" w:leader="none"/>
          <w:tab w:pos="4943" w:val="left" w:leader="none"/>
          <w:tab w:pos="5397" w:val="left" w:leader="none"/>
          <w:tab w:pos="5853" w:val="left" w:leader="none"/>
          <w:tab w:pos="6306" w:val="left" w:leader="none"/>
          <w:tab w:pos="6760" w:val="left" w:leader="none"/>
          <w:tab w:pos="7214" w:val="left" w:leader="none"/>
          <w:tab w:pos="7668" w:val="left" w:leader="none"/>
          <w:tab w:pos="8121" w:val="left" w:leader="none"/>
          <w:tab w:pos="12663" w:val="left" w:leader="hyphen"/>
        </w:tabs>
        <w:spacing w:line="293" w:lineRule="exact" w:before="0"/>
        <w:ind w:left="239" w:right="0" w:firstLine="0"/>
        <w:jc w:val="left"/>
        <w:rPr>
          <w:sz w:val="20"/>
        </w:rPr>
      </w:pPr>
      <w:r>
        <w:rPr/>
        <w:pict>
          <v:group style="position:absolute;margin-left:49.060001pt;margin-top:14.726435pt;width:749.7pt;height:1pt;mso-position-horizontal-relative:page;mso-position-vertical-relative:paragraph;z-index:-361960" coordorigin="981,295" coordsize="14994,20">
            <v:line style="position:absolute" from="991,305" to="2919,305" stroked="true" strokeweight=".95999pt" strokecolor="#5b9bd4">
              <v:stroke dashstyle="solid"/>
            </v:line>
            <v:line style="position:absolute" from="2919,305" to="2938,305" stroked="true" strokeweight=".95999pt" strokecolor="#5b9bd4">
              <v:stroke dashstyle="solid"/>
            </v:line>
            <v:line style="position:absolute" from="2938,305" to="3939,305" stroked="true" strokeweight=".95999pt" strokecolor="#5b9bd4">
              <v:stroke dashstyle="solid"/>
            </v:line>
            <v:line style="position:absolute" from="3939,305" to="3958,305" stroked="true" strokeweight=".95999pt" strokecolor="#5b9bd4">
              <v:stroke dashstyle="solid"/>
            </v:line>
            <v:line style="position:absolute" from="3958,305" to="4505,305" stroked="true" strokeweight=".95999pt" strokecolor="#5b9bd4">
              <v:stroke dashstyle="solid"/>
            </v:line>
            <v:line style="position:absolute" from="4505,305" to="4524,305" stroked="true" strokeweight=".95999pt" strokecolor="#5b9bd4">
              <v:stroke dashstyle="solid"/>
            </v:line>
            <v:line style="position:absolute" from="4524,305" to="5074,305" stroked="true" strokeweight=".95999pt" strokecolor="#5b9bd4">
              <v:stroke dashstyle="solid"/>
            </v:line>
            <v:line style="position:absolute" from="5074,305" to="5093,305" stroked="true" strokeweight=".95999pt" strokecolor="#5b9bd4">
              <v:stroke dashstyle="solid"/>
            </v:line>
            <v:line style="position:absolute" from="5093,305" to="5410,305" stroked="true" strokeweight=".95999pt" strokecolor="#5b9bd4">
              <v:stroke dashstyle="solid"/>
            </v:line>
            <v:line style="position:absolute" from="5410,305" to="5429,305" stroked="true" strokeweight=".95999pt" strokecolor="#5b9bd4">
              <v:stroke dashstyle="solid"/>
            </v:line>
            <v:line style="position:absolute" from="5429,305" to="5866,305" stroked="true" strokeweight=".95999pt" strokecolor="#5b9bd4">
              <v:stroke dashstyle="solid"/>
            </v:line>
            <v:line style="position:absolute" from="5867,305" to="5886,305" stroked="true" strokeweight=".95999pt" strokecolor="#5b9bd4">
              <v:stroke dashstyle="solid"/>
            </v:line>
            <v:line style="position:absolute" from="5886,305" to="6433,305" stroked="true" strokeweight=".95999pt" strokecolor="#5b9bd4">
              <v:stroke dashstyle="solid"/>
            </v:line>
            <v:line style="position:absolute" from="6433,305" to="6452,305" stroked="true" strokeweight=".95999pt" strokecolor="#5b9bd4">
              <v:stroke dashstyle="solid"/>
            </v:line>
            <v:line style="position:absolute" from="6452,305" to="6716,305" stroked="true" strokeweight=".95999pt" strokecolor="#5b9bd4">
              <v:stroke dashstyle="solid"/>
            </v:line>
            <v:line style="position:absolute" from="6716,305" to="6735,305" stroked="true" strokeweight=".95999pt" strokecolor="#5b9bd4">
              <v:stroke dashstyle="solid"/>
            </v:line>
            <v:line style="position:absolute" from="6735,305" to="7170,305" stroked="true" strokeweight=".95999pt" strokecolor="#5b9bd4">
              <v:stroke dashstyle="solid"/>
            </v:line>
            <v:line style="position:absolute" from="7170,305" to="7189,305" stroked="true" strokeweight=".95999pt" strokecolor="#5b9bd4">
              <v:stroke dashstyle="solid"/>
            </v:line>
            <v:line style="position:absolute" from="7189,305" to="7623,305" stroked="true" strokeweight=".95999pt" strokecolor="#5b9bd4">
              <v:stroke dashstyle="solid"/>
            </v:line>
            <v:line style="position:absolute" from="7623,305" to="7643,305" stroked="true" strokeweight=".95999pt" strokecolor="#5b9bd4">
              <v:stroke dashstyle="solid"/>
            </v:line>
            <v:line style="position:absolute" from="7643,305" to="8079,305" stroked="true" strokeweight=".95999pt" strokecolor="#5b9bd4">
              <v:stroke dashstyle="solid"/>
            </v:line>
            <v:line style="position:absolute" from="8079,305" to="8099,305" stroked="true" strokeweight=".95999pt" strokecolor="#5b9bd4">
              <v:stroke dashstyle="solid"/>
            </v:line>
            <v:line style="position:absolute" from="8099,305" to="8533,305" stroked="true" strokeweight=".95999pt" strokecolor="#5b9bd4">
              <v:stroke dashstyle="solid"/>
            </v:line>
            <v:line style="position:absolute" from="8533,305" to="8552,305" stroked="true" strokeweight=".95999pt" strokecolor="#5b9bd4">
              <v:stroke dashstyle="solid"/>
            </v:line>
            <v:line style="position:absolute" from="8552,305" to="8987,305" stroked="true" strokeweight=".95999pt" strokecolor="#5b9bd4">
              <v:stroke dashstyle="solid"/>
            </v:line>
            <v:line style="position:absolute" from="8987,305" to="9006,305" stroked="true" strokeweight=".95999pt" strokecolor="#5b9bd4">
              <v:stroke dashstyle="solid"/>
            </v:line>
            <v:line style="position:absolute" from="9006,305" to="9440,305" stroked="true" strokeweight=".95999pt" strokecolor="#5b9bd4">
              <v:stroke dashstyle="solid"/>
            </v:line>
            <v:line style="position:absolute" from="9440,305" to="9459,305" stroked="true" strokeweight=".95999pt" strokecolor="#5b9bd4">
              <v:stroke dashstyle="solid"/>
            </v:line>
            <v:line style="position:absolute" from="9459,305" to="9894,305" stroked="true" strokeweight=".95999pt" strokecolor="#5b9bd4">
              <v:stroke dashstyle="solid"/>
            </v:line>
            <v:line style="position:absolute" from="9894,305" to="9913,305" stroked="true" strokeweight=".95999pt" strokecolor="#5b9bd4">
              <v:stroke dashstyle="solid"/>
            </v:line>
            <v:line style="position:absolute" from="9913,305" to="10348,305" stroked="true" strokeweight=".95999pt" strokecolor="#5b9bd4">
              <v:stroke dashstyle="solid"/>
            </v:line>
            <v:line style="position:absolute" from="10348,305" to="10367,305" stroked="true" strokeweight=".95999pt" strokecolor="#5b9bd4">
              <v:stroke dashstyle="solid"/>
            </v:line>
            <v:line style="position:absolute" from="10367,305" to="10804,305" stroked="true" strokeweight=".95999pt" strokecolor="#5b9bd4">
              <v:stroke dashstyle="solid"/>
            </v:line>
            <v:line style="position:absolute" from="10804,305" to="10823,305" stroked="true" strokeweight=".95999pt" strokecolor="#5b9bd4">
              <v:stroke dashstyle="solid"/>
            </v:line>
            <v:line style="position:absolute" from="10823,305" to="11257,305" stroked="true" strokeweight=".95999pt" strokecolor="#5b9bd4">
              <v:stroke dashstyle="solid"/>
            </v:line>
            <v:line style="position:absolute" from="11257,305" to="11277,305" stroked="true" strokeweight=".95999pt" strokecolor="#5b9bd4">
              <v:stroke dashstyle="solid"/>
            </v:line>
            <v:line style="position:absolute" from="11277,305" to="11711,305" stroked="true" strokeweight=".95999pt" strokecolor="#5b9bd4">
              <v:stroke dashstyle="solid"/>
            </v:line>
            <v:line style="position:absolute" from="11711,305" to="11730,305" stroked="true" strokeweight=".95999pt" strokecolor="#5b9bd4">
              <v:stroke dashstyle="solid"/>
            </v:line>
            <v:line style="position:absolute" from="11730,305" to="12165,305" stroked="true" strokeweight=".95999pt" strokecolor="#5b9bd4">
              <v:stroke dashstyle="solid"/>
            </v:line>
            <v:line style="position:absolute" from="12165,305" to="12184,305" stroked="true" strokeweight=".95999pt" strokecolor="#5b9bd4">
              <v:stroke dashstyle="solid"/>
            </v:line>
            <v:line style="position:absolute" from="12184,305" to="12618,305" stroked="true" strokeweight=".95999pt" strokecolor="#5b9bd4">
              <v:stroke dashstyle="solid"/>
            </v:line>
            <v:line style="position:absolute" from="12618,305" to="12637,305" stroked="true" strokeweight=".95999pt" strokecolor="#5b9bd4">
              <v:stroke dashstyle="solid"/>
            </v:line>
            <v:line style="position:absolute" from="12637,305" to="13072,305" stroked="true" strokeweight=".95999pt" strokecolor="#5b9bd4">
              <v:stroke dashstyle="solid"/>
            </v:line>
            <v:line style="position:absolute" from="13072,305" to="13091,305" stroked="true" strokeweight=".95999pt" strokecolor="#5b9bd4">
              <v:stroke dashstyle="solid"/>
            </v:line>
            <v:line style="position:absolute" from="13091,305" to="13528,305" stroked="true" strokeweight=".95999pt" strokecolor="#5b9bd4">
              <v:stroke dashstyle="solid"/>
            </v:line>
            <v:line style="position:absolute" from="13528,305" to="13548,305" stroked="true" strokeweight=".95999pt" strokecolor="#5b9bd4">
              <v:stroke dashstyle="solid"/>
            </v:line>
            <v:line style="position:absolute" from="13548,305" to="13982,305" stroked="true" strokeweight=".95999pt" strokecolor="#5b9bd4">
              <v:stroke dashstyle="solid"/>
            </v:line>
            <v:line style="position:absolute" from="13982,305" to="14001,305" stroked="true" strokeweight=".95999pt" strokecolor="#5b9bd4">
              <v:stroke dashstyle="solid"/>
            </v:line>
            <v:line style="position:absolute" from="14001,305" to="14436,305" stroked="true" strokeweight=".95999pt" strokecolor="#5b9bd4">
              <v:stroke dashstyle="solid"/>
            </v:line>
            <v:line style="position:absolute" from="14436,305" to="14455,305" stroked="true" strokeweight=".95999pt" strokecolor="#5b9bd4">
              <v:stroke dashstyle="solid"/>
            </v:line>
            <v:line style="position:absolute" from="14455,305" to="14889,305" stroked="true" strokeweight=".95999pt" strokecolor="#5b9bd4">
              <v:stroke dashstyle="solid"/>
            </v:line>
            <v:line style="position:absolute" from="14889,305" to="14908,305" stroked="true" strokeweight=".95999pt" strokecolor="#5b9bd4">
              <v:stroke dashstyle="solid"/>
            </v:line>
            <v:line style="position:absolute" from="14908,305" to="15343,305" stroked="true" strokeweight=".95999pt" strokecolor="#5b9bd4">
              <v:stroke dashstyle="solid"/>
            </v:line>
            <v:line style="position:absolute" from="15343,305" to="15362,305" stroked="true" strokeweight=".95999pt" strokecolor="#5b9bd4">
              <v:stroke dashstyle="solid"/>
            </v:line>
            <v:line style="position:absolute" from="15362,305" to="15964,305" stroked="true" strokeweight=".95999pt" strokecolor="#5b9bd4">
              <v:stroke dashstyle="solid"/>
            </v:line>
            <w10:wrap type="none"/>
          </v:group>
        </w:pict>
      </w:r>
      <w:r>
        <w:rPr>
          <w:position w:val="-11"/>
          <w:sz w:val="20"/>
        </w:rPr>
        <w:t>15/06/15</w:t>
        <w:tab/>
      </w:r>
      <w:r>
        <w:rPr>
          <w:sz w:val="20"/>
        </w:rPr>
        <w:t>7</w:t>
        <w:tab/>
        <w:t>10</w:t>
        <w:tab/>
        <w:t>X  </w:t>
      </w:r>
      <w:r>
        <w:rPr>
          <w:spacing w:val="43"/>
          <w:sz w:val="20"/>
        </w:rPr>
        <w:t> </w:t>
      </w:r>
      <w:r>
        <w:rPr>
          <w:sz w:val="20"/>
        </w:rPr>
        <w:t>-</w:t>
        <w:tab/>
        <w:t>-</w:t>
        <w:tab/>
        <w:t>-</w:t>
        <w:tab/>
        <w:t>11</w:t>
        <w:tab/>
        <w:t>11</w:t>
        <w:tab/>
        <w:t>3</w:t>
        <w:tab/>
        <w:t>4</w:t>
        <w:tab/>
        <w:t>6</w:t>
        <w:tab/>
        <w:t>7</w:t>
        <w:tab/>
        <w:t>1</w:t>
        <w:tab/>
        <w:t>1</w:t>
        <w:tab/>
        <w:t>2</w:t>
        <w:tab/>
        <w:t>2</w:t>
        <w:tab/>
        <w:t>48</w:t>
      </w:r>
    </w:p>
    <w:p>
      <w:pPr>
        <w:spacing w:line="173" w:lineRule="exact" w:before="15"/>
        <w:ind w:left="239" w:right="0" w:firstLine="0"/>
        <w:jc w:val="left"/>
        <w:rPr>
          <w:sz w:val="20"/>
        </w:rPr>
      </w:pPr>
      <w:r>
        <w:rPr>
          <w:sz w:val="20"/>
        </w:rPr>
        <w:t>218 de</w:t>
      </w:r>
    </w:p>
    <w:p>
      <w:pPr>
        <w:tabs>
          <w:tab w:pos="1259" w:val="left" w:leader="none"/>
          <w:tab w:pos="1825" w:val="left" w:leader="none"/>
          <w:tab w:pos="2391" w:val="left" w:leader="none"/>
          <w:tab w:pos="3184" w:val="left" w:leader="none"/>
          <w:tab w:pos="3753" w:val="left" w:leader="none"/>
          <w:tab w:pos="4490" w:val="left" w:leader="none"/>
          <w:tab w:pos="4943" w:val="left" w:leader="none"/>
          <w:tab w:pos="5397" w:val="left" w:leader="none"/>
          <w:tab w:pos="5853" w:val="left" w:leader="none"/>
          <w:tab w:pos="6306" w:val="left" w:leader="none"/>
          <w:tab w:pos="6760" w:val="left" w:leader="none"/>
          <w:tab w:pos="7214" w:val="left" w:leader="none"/>
          <w:tab w:pos="7668" w:val="left" w:leader="none"/>
          <w:tab w:pos="8121" w:val="left" w:leader="none"/>
          <w:tab w:pos="8577" w:val="left" w:leader="none"/>
          <w:tab w:pos="9031" w:val="left" w:leader="none"/>
          <w:tab w:pos="9484" w:val="left" w:leader="none"/>
          <w:tab w:pos="9938" w:val="left" w:leader="none"/>
          <w:tab w:pos="10392" w:val="left" w:leader="none"/>
          <w:tab w:pos="10846" w:val="left" w:leader="none"/>
          <w:tab w:pos="11302" w:val="left" w:leader="none"/>
          <w:tab w:pos="11755" w:val="left" w:leader="none"/>
          <w:tab w:pos="12209" w:val="left" w:leader="none"/>
          <w:tab w:pos="12663" w:val="left" w:leader="none"/>
        </w:tabs>
        <w:spacing w:line="293" w:lineRule="exact" w:before="0"/>
        <w:ind w:left="239" w:right="0" w:firstLine="0"/>
        <w:jc w:val="left"/>
        <w:rPr>
          <w:sz w:val="20"/>
        </w:rPr>
      </w:pPr>
      <w:r>
        <w:rPr/>
        <w:pict>
          <v:group style="position:absolute;margin-left:49.060001pt;margin-top:14.726435pt;width:749.7pt;height:1pt;mso-position-horizontal-relative:page;mso-position-vertical-relative:paragraph;z-index:-361936" coordorigin="981,295" coordsize="14994,20">
            <v:line style="position:absolute" from="991,305" to="2919,305" stroked="true" strokeweight=".95999pt" strokecolor="#5b9bd4">
              <v:stroke dashstyle="solid"/>
            </v:line>
            <v:line style="position:absolute" from="2919,305" to="2938,305" stroked="true" strokeweight=".95999pt" strokecolor="#5b9bd4">
              <v:stroke dashstyle="solid"/>
            </v:line>
            <v:line style="position:absolute" from="2938,305" to="3939,305" stroked="true" strokeweight=".95999pt" strokecolor="#5b9bd4">
              <v:stroke dashstyle="solid"/>
            </v:line>
            <v:line style="position:absolute" from="3939,305" to="3958,305" stroked="true" strokeweight=".95999pt" strokecolor="#5b9bd4">
              <v:stroke dashstyle="solid"/>
            </v:line>
            <v:line style="position:absolute" from="3958,305" to="4505,305" stroked="true" strokeweight=".95999pt" strokecolor="#5b9bd4">
              <v:stroke dashstyle="solid"/>
            </v:line>
            <v:line style="position:absolute" from="4505,305" to="4524,305" stroked="true" strokeweight=".95999pt" strokecolor="#5b9bd4">
              <v:stroke dashstyle="solid"/>
            </v:line>
            <v:line style="position:absolute" from="4524,305" to="5074,305" stroked="true" strokeweight=".95999pt" strokecolor="#5b9bd4">
              <v:stroke dashstyle="solid"/>
            </v:line>
            <v:line style="position:absolute" from="5074,305" to="5093,305" stroked="true" strokeweight=".95999pt" strokecolor="#5b9bd4">
              <v:stroke dashstyle="solid"/>
            </v:line>
            <v:line style="position:absolute" from="5093,305" to="5410,305" stroked="true" strokeweight=".95999pt" strokecolor="#5b9bd4">
              <v:stroke dashstyle="solid"/>
            </v:line>
            <v:line style="position:absolute" from="5410,305" to="5429,305" stroked="true" strokeweight=".95999pt" strokecolor="#5b9bd4">
              <v:stroke dashstyle="solid"/>
            </v:line>
            <v:line style="position:absolute" from="5429,305" to="5866,305" stroked="true" strokeweight=".95999pt" strokecolor="#5b9bd4">
              <v:stroke dashstyle="solid"/>
            </v:line>
            <v:line style="position:absolute" from="5867,305" to="5886,305" stroked="true" strokeweight=".95999pt" strokecolor="#5b9bd4">
              <v:stroke dashstyle="solid"/>
            </v:line>
            <v:line style="position:absolute" from="5886,305" to="6433,305" stroked="true" strokeweight=".95999pt" strokecolor="#5b9bd4">
              <v:stroke dashstyle="solid"/>
            </v:line>
            <v:line style="position:absolute" from="6433,305" to="6452,305" stroked="true" strokeweight=".95999pt" strokecolor="#5b9bd4">
              <v:stroke dashstyle="solid"/>
            </v:line>
            <v:line style="position:absolute" from="6452,305" to="6716,305" stroked="true" strokeweight=".95999pt" strokecolor="#5b9bd4">
              <v:stroke dashstyle="solid"/>
            </v:line>
            <v:line style="position:absolute" from="6716,305" to="6735,305" stroked="true" strokeweight=".95999pt" strokecolor="#5b9bd4">
              <v:stroke dashstyle="solid"/>
            </v:line>
            <v:line style="position:absolute" from="6735,305" to="7170,305" stroked="true" strokeweight=".95999pt" strokecolor="#5b9bd4">
              <v:stroke dashstyle="solid"/>
            </v:line>
            <v:line style="position:absolute" from="7170,305" to="7189,305" stroked="true" strokeweight=".95999pt" strokecolor="#5b9bd4">
              <v:stroke dashstyle="solid"/>
            </v:line>
            <v:line style="position:absolute" from="7189,305" to="7623,305" stroked="true" strokeweight=".95999pt" strokecolor="#5b9bd4">
              <v:stroke dashstyle="solid"/>
            </v:line>
            <v:line style="position:absolute" from="7623,305" to="7643,305" stroked="true" strokeweight=".95999pt" strokecolor="#5b9bd4">
              <v:stroke dashstyle="solid"/>
            </v:line>
            <v:line style="position:absolute" from="7643,305" to="8079,305" stroked="true" strokeweight=".95999pt" strokecolor="#5b9bd4">
              <v:stroke dashstyle="solid"/>
            </v:line>
            <v:line style="position:absolute" from="8079,305" to="8099,305" stroked="true" strokeweight=".95999pt" strokecolor="#5b9bd4">
              <v:stroke dashstyle="solid"/>
            </v:line>
            <v:line style="position:absolute" from="8099,305" to="8533,305" stroked="true" strokeweight=".95999pt" strokecolor="#5b9bd4">
              <v:stroke dashstyle="solid"/>
            </v:line>
            <v:line style="position:absolute" from="8533,305" to="8552,305" stroked="true" strokeweight=".95999pt" strokecolor="#5b9bd4">
              <v:stroke dashstyle="solid"/>
            </v:line>
            <v:line style="position:absolute" from="8552,305" to="8987,305" stroked="true" strokeweight=".95999pt" strokecolor="#5b9bd4">
              <v:stroke dashstyle="solid"/>
            </v:line>
            <v:line style="position:absolute" from="8987,305" to="9006,305" stroked="true" strokeweight=".95999pt" strokecolor="#5b9bd4">
              <v:stroke dashstyle="solid"/>
            </v:line>
            <v:line style="position:absolute" from="9006,305" to="9440,305" stroked="true" strokeweight=".95999pt" strokecolor="#5b9bd4">
              <v:stroke dashstyle="solid"/>
            </v:line>
            <v:line style="position:absolute" from="9440,305" to="9459,305" stroked="true" strokeweight=".95999pt" strokecolor="#5b9bd4">
              <v:stroke dashstyle="solid"/>
            </v:line>
            <v:line style="position:absolute" from="9459,305" to="9894,305" stroked="true" strokeweight=".95999pt" strokecolor="#5b9bd4">
              <v:stroke dashstyle="solid"/>
            </v:line>
            <v:line style="position:absolute" from="9894,305" to="9913,305" stroked="true" strokeweight=".95999pt" strokecolor="#5b9bd4">
              <v:stroke dashstyle="solid"/>
            </v:line>
            <v:line style="position:absolute" from="9913,305" to="10348,305" stroked="true" strokeweight=".95999pt" strokecolor="#5b9bd4">
              <v:stroke dashstyle="solid"/>
            </v:line>
            <v:line style="position:absolute" from="10348,305" to="10367,305" stroked="true" strokeweight=".95999pt" strokecolor="#5b9bd4">
              <v:stroke dashstyle="solid"/>
            </v:line>
            <v:line style="position:absolute" from="10367,305" to="10804,305" stroked="true" strokeweight=".95999pt" strokecolor="#5b9bd4">
              <v:stroke dashstyle="solid"/>
            </v:line>
            <v:line style="position:absolute" from="10804,305" to="10823,305" stroked="true" strokeweight=".95999pt" strokecolor="#5b9bd4">
              <v:stroke dashstyle="solid"/>
            </v:line>
            <v:line style="position:absolute" from="10823,305" to="11257,305" stroked="true" strokeweight=".95999pt" strokecolor="#5b9bd4">
              <v:stroke dashstyle="solid"/>
            </v:line>
            <v:line style="position:absolute" from="11257,305" to="11277,305" stroked="true" strokeweight=".95999pt" strokecolor="#5b9bd4">
              <v:stroke dashstyle="solid"/>
            </v:line>
            <v:line style="position:absolute" from="11277,305" to="11711,305" stroked="true" strokeweight=".95999pt" strokecolor="#5b9bd4">
              <v:stroke dashstyle="solid"/>
            </v:line>
            <v:line style="position:absolute" from="11711,305" to="11730,305" stroked="true" strokeweight=".95999pt" strokecolor="#5b9bd4">
              <v:stroke dashstyle="solid"/>
            </v:line>
            <v:line style="position:absolute" from="11730,305" to="12165,305" stroked="true" strokeweight=".95999pt" strokecolor="#5b9bd4">
              <v:stroke dashstyle="solid"/>
            </v:line>
            <v:line style="position:absolute" from="12165,305" to="12184,305" stroked="true" strokeweight=".95999pt" strokecolor="#5b9bd4">
              <v:stroke dashstyle="solid"/>
            </v:line>
            <v:line style="position:absolute" from="12184,305" to="12618,305" stroked="true" strokeweight=".95999pt" strokecolor="#5b9bd4">
              <v:stroke dashstyle="solid"/>
            </v:line>
            <v:line style="position:absolute" from="12618,305" to="12637,305" stroked="true" strokeweight=".95999pt" strokecolor="#5b9bd4">
              <v:stroke dashstyle="solid"/>
            </v:line>
            <v:line style="position:absolute" from="12637,305" to="13072,305" stroked="true" strokeweight=".95999pt" strokecolor="#5b9bd4">
              <v:stroke dashstyle="solid"/>
            </v:line>
            <v:line style="position:absolute" from="13072,305" to="13091,305" stroked="true" strokeweight=".95999pt" strokecolor="#5b9bd4">
              <v:stroke dashstyle="solid"/>
            </v:line>
            <v:line style="position:absolute" from="13091,305" to="13528,305" stroked="true" strokeweight=".95999pt" strokecolor="#5b9bd4">
              <v:stroke dashstyle="solid"/>
            </v:line>
            <v:line style="position:absolute" from="13528,305" to="13548,305" stroked="true" strokeweight=".95999pt" strokecolor="#5b9bd4">
              <v:stroke dashstyle="solid"/>
            </v:line>
            <v:line style="position:absolute" from="13548,305" to="13982,305" stroked="true" strokeweight=".95999pt" strokecolor="#5b9bd4">
              <v:stroke dashstyle="solid"/>
            </v:line>
            <v:line style="position:absolute" from="13982,305" to="14001,305" stroked="true" strokeweight=".95999pt" strokecolor="#5b9bd4">
              <v:stroke dashstyle="solid"/>
            </v:line>
            <v:line style="position:absolute" from="14001,305" to="14436,305" stroked="true" strokeweight=".95999pt" strokecolor="#5b9bd4">
              <v:stroke dashstyle="solid"/>
            </v:line>
            <v:line style="position:absolute" from="14436,305" to="14455,305" stroked="true" strokeweight=".95999pt" strokecolor="#5b9bd4">
              <v:stroke dashstyle="solid"/>
            </v:line>
            <v:line style="position:absolute" from="14455,305" to="14889,305" stroked="true" strokeweight=".95999pt" strokecolor="#5b9bd4">
              <v:stroke dashstyle="solid"/>
            </v:line>
            <v:line style="position:absolute" from="14889,305" to="14908,305" stroked="true" strokeweight=".95999pt" strokecolor="#5b9bd4">
              <v:stroke dashstyle="solid"/>
            </v:line>
            <v:line style="position:absolute" from="14908,305" to="15343,305" stroked="true" strokeweight=".95999pt" strokecolor="#5b9bd4">
              <v:stroke dashstyle="solid"/>
            </v:line>
            <v:line style="position:absolute" from="15343,305" to="15362,305" stroked="true" strokeweight=".95999pt" strokecolor="#5b9bd4">
              <v:stroke dashstyle="solid"/>
            </v:line>
            <v:line style="position:absolute" from="15362,305" to="15964,305" stroked="true" strokeweight=".95999pt" strokecolor="#5b9bd4">
              <v:stroke dashstyle="solid"/>
            </v:line>
            <w10:wrap type="none"/>
          </v:group>
        </w:pict>
      </w:r>
      <w:r>
        <w:rPr>
          <w:position w:val="-11"/>
          <w:sz w:val="20"/>
        </w:rPr>
        <w:t>18/06/15</w:t>
        <w:tab/>
      </w:r>
      <w:r>
        <w:rPr>
          <w:sz w:val="20"/>
        </w:rPr>
        <w:t>11</w:t>
        <w:tab/>
        <w:t>20</w:t>
        <w:tab/>
        <w:t>X  </w:t>
      </w:r>
      <w:r>
        <w:rPr>
          <w:spacing w:val="43"/>
          <w:sz w:val="20"/>
        </w:rPr>
        <w:t> </w:t>
      </w:r>
      <w:r>
        <w:rPr>
          <w:sz w:val="20"/>
        </w:rPr>
        <w:t>X</w:t>
        <w:tab/>
        <w:t>X</w:t>
        <w:tab/>
        <w:t>X </w:t>
      </w:r>
      <w:r>
        <w:rPr>
          <w:spacing w:val="38"/>
          <w:sz w:val="20"/>
        </w:rPr>
        <w:t> </w:t>
      </w:r>
      <w:r>
        <w:rPr>
          <w:sz w:val="20"/>
        </w:rPr>
        <w:t>12</w:t>
        <w:tab/>
        <w:t>14</w:t>
        <w:tab/>
        <w:t>9</w:t>
        <w:tab/>
        <w:t>15</w:t>
        <w:tab/>
        <w:t>7</w:t>
        <w:tab/>
        <w:t>9</w:t>
        <w:tab/>
        <w:t>22</w:t>
        <w:tab/>
        <w:t>6</w:t>
        <w:tab/>
        <w:t>7</w:t>
        <w:tab/>
        <w:t>7</w:t>
        <w:tab/>
        <w:t>7</w:t>
        <w:tab/>
        <w:t>15</w:t>
        <w:tab/>
        <w:t>1</w:t>
        <w:tab/>
        <w:t>2</w:t>
        <w:tab/>
        <w:t>10</w:t>
        <w:tab/>
        <w:t>4</w:t>
        <w:tab/>
        <w:t>3</w:t>
        <w:tab/>
        <w:t>10</w:t>
        <w:tab/>
        <w:t>6</w:t>
        <w:tab/>
        <w:t>166</w:t>
      </w:r>
    </w:p>
    <w:p>
      <w:pPr>
        <w:spacing w:line="173" w:lineRule="exact" w:before="15"/>
        <w:ind w:left="239" w:right="0" w:firstLine="0"/>
        <w:jc w:val="left"/>
        <w:rPr>
          <w:sz w:val="20"/>
        </w:rPr>
      </w:pPr>
      <w:r>
        <w:rPr>
          <w:sz w:val="20"/>
        </w:rPr>
        <w:t>343 de</w:t>
      </w:r>
    </w:p>
    <w:p>
      <w:pPr>
        <w:tabs>
          <w:tab w:pos="1259" w:val="left" w:leader="none"/>
          <w:tab w:pos="1825" w:val="left" w:leader="none"/>
          <w:tab w:pos="2391" w:val="left" w:leader="none"/>
          <w:tab w:pos="2730" w:val="left" w:leader="none"/>
          <w:tab w:pos="3184" w:val="left" w:leader="none"/>
          <w:tab w:pos="3753" w:val="left" w:leader="none"/>
          <w:tab w:pos="4490" w:val="left" w:leader="none"/>
          <w:tab w:pos="4943" w:val="left" w:leader="none"/>
          <w:tab w:pos="5397" w:val="left" w:leader="none"/>
          <w:tab w:pos="5853" w:val="left" w:leader="none"/>
          <w:tab w:pos="6306" w:val="left" w:leader="none"/>
          <w:tab w:pos="6760" w:val="left" w:leader="none"/>
          <w:tab w:pos="7214" w:val="left" w:leader="none"/>
          <w:tab w:pos="7668" w:val="left" w:leader="none"/>
          <w:tab w:pos="8121" w:val="left" w:leader="none"/>
          <w:tab w:pos="8577" w:val="left" w:leader="none"/>
          <w:tab w:pos="9031" w:val="left" w:leader="none"/>
          <w:tab w:pos="9484" w:val="left" w:leader="none"/>
          <w:tab w:pos="9938" w:val="left" w:leader="none"/>
          <w:tab w:pos="12663" w:val="left" w:leader="hyphen"/>
        </w:tabs>
        <w:spacing w:line="293" w:lineRule="exact" w:before="0"/>
        <w:ind w:left="239" w:right="0" w:firstLine="0"/>
        <w:jc w:val="left"/>
        <w:rPr>
          <w:sz w:val="20"/>
        </w:rPr>
      </w:pPr>
      <w:r>
        <w:rPr/>
        <w:pict>
          <v:group style="position:absolute;margin-left:49.060001pt;margin-top:14.726435pt;width:749.7pt;height:1pt;mso-position-horizontal-relative:page;mso-position-vertical-relative:paragraph;z-index:-361912" coordorigin="981,295" coordsize="14994,20">
            <v:line style="position:absolute" from="991,305" to="2919,305" stroked="true" strokeweight=".95999pt" strokecolor="#5b9bd4">
              <v:stroke dashstyle="solid"/>
            </v:line>
            <v:line style="position:absolute" from="2919,305" to="2938,305" stroked="true" strokeweight=".95999pt" strokecolor="#5b9bd4">
              <v:stroke dashstyle="solid"/>
            </v:line>
            <v:line style="position:absolute" from="2938,305" to="3939,305" stroked="true" strokeweight=".95999pt" strokecolor="#5b9bd4">
              <v:stroke dashstyle="solid"/>
            </v:line>
            <v:line style="position:absolute" from="3939,305" to="3958,305" stroked="true" strokeweight=".95999pt" strokecolor="#5b9bd4">
              <v:stroke dashstyle="solid"/>
            </v:line>
            <v:line style="position:absolute" from="3958,305" to="4505,305" stroked="true" strokeweight=".95999pt" strokecolor="#5b9bd4">
              <v:stroke dashstyle="solid"/>
            </v:line>
            <v:line style="position:absolute" from="4505,305" to="4524,305" stroked="true" strokeweight=".95999pt" strokecolor="#5b9bd4">
              <v:stroke dashstyle="solid"/>
            </v:line>
            <v:line style="position:absolute" from="4524,305" to="5074,305" stroked="true" strokeweight=".95999pt" strokecolor="#5b9bd4">
              <v:stroke dashstyle="solid"/>
            </v:line>
            <v:line style="position:absolute" from="5074,305" to="5093,305" stroked="true" strokeweight=".95999pt" strokecolor="#5b9bd4">
              <v:stroke dashstyle="solid"/>
            </v:line>
            <v:line style="position:absolute" from="5093,305" to="5410,305" stroked="true" strokeweight=".95999pt" strokecolor="#5b9bd4">
              <v:stroke dashstyle="solid"/>
            </v:line>
            <v:line style="position:absolute" from="5410,305" to="5429,305" stroked="true" strokeweight=".95999pt" strokecolor="#5b9bd4">
              <v:stroke dashstyle="solid"/>
            </v:line>
            <v:line style="position:absolute" from="5429,305" to="5866,305" stroked="true" strokeweight=".95999pt" strokecolor="#5b9bd4">
              <v:stroke dashstyle="solid"/>
            </v:line>
            <v:line style="position:absolute" from="5867,305" to="5886,305" stroked="true" strokeweight=".95999pt" strokecolor="#5b9bd4">
              <v:stroke dashstyle="solid"/>
            </v:line>
            <v:line style="position:absolute" from="5886,305" to="6433,305" stroked="true" strokeweight=".95999pt" strokecolor="#5b9bd4">
              <v:stroke dashstyle="solid"/>
            </v:line>
            <v:line style="position:absolute" from="6433,305" to="6452,305" stroked="true" strokeweight=".95999pt" strokecolor="#5b9bd4">
              <v:stroke dashstyle="solid"/>
            </v:line>
            <v:line style="position:absolute" from="6452,305" to="6716,305" stroked="true" strokeweight=".95999pt" strokecolor="#5b9bd4">
              <v:stroke dashstyle="solid"/>
            </v:line>
            <v:line style="position:absolute" from="6716,305" to="6735,305" stroked="true" strokeweight=".95999pt" strokecolor="#5b9bd4">
              <v:stroke dashstyle="solid"/>
            </v:line>
            <v:line style="position:absolute" from="6735,305" to="7170,305" stroked="true" strokeweight=".95999pt" strokecolor="#5b9bd4">
              <v:stroke dashstyle="solid"/>
            </v:line>
            <v:line style="position:absolute" from="7170,305" to="7189,305" stroked="true" strokeweight=".95999pt" strokecolor="#5b9bd4">
              <v:stroke dashstyle="solid"/>
            </v:line>
            <v:line style="position:absolute" from="7189,305" to="7623,305" stroked="true" strokeweight=".95999pt" strokecolor="#5b9bd4">
              <v:stroke dashstyle="solid"/>
            </v:line>
            <v:line style="position:absolute" from="7623,305" to="7643,305" stroked="true" strokeweight=".95999pt" strokecolor="#5b9bd4">
              <v:stroke dashstyle="solid"/>
            </v:line>
            <v:line style="position:absolute" from="7643,305" to="8079,305" stroked="true" strokeweight=".95999pt" strokecolor="#5b9bd4">
              <v:stroke dashstyle="solid"/>
            </v:line>
            <v:line style="position:absolute" from="8079,305" to="8099,305" stroked="true" strokeweight=".95999pt" strokecolor="#5b9bd4">
              <v:stroke dashstyle="solid"/>
            </v:line>
            <v:line style="position:absolute" from="8099,305" to="8533,305" stroked="true" strokeweight=".95999pt" strokecolor="#5b9bd4">
              <v:stroke dashstyle="solid"/>
            </v:line>
            <v:line style="position:absolute" from="8533,305" to="8552,305" stroked="true" strokeweight=".95999pt" strokecolor="#5b9bd4">
              <v:stroke dashstyle="solid"/>
            </v:line>
            <v:line style="position:absolute" from="8552,305" to="8987,305" stroked="true" strokeweight=".95999pt" strokecolor="#5b9bd4">
              <v:stroke dashstyle="solid"/>
            </v:line>
            <v:line style="position:absolute" from="8987,305" to="9006,305" stroked="true" strokeweight=".95999pt" strokecolor="#5b9bd4">
              <v:stroke dashstyle="solid"/>
            </v:line>
            <v:line style="position:absolute" from="9006,305" to="9440,305" stroked="true" strokeweight=".95999pt" strokecolor="#5b9bd4">
              <v:stroke dashstyle="solid"/>
            </v:line>
            <v:line style="position:absolute" from="9440,305" to="9459,305" stroked="true" strokeweight=".95999pt" strokecolor="#5b9bd4">
              <v:stroke dashstyle="solid"/>
            </v:line>
            <v:line style="position:absolute" from="9459,305" to="9894,305" stroked="true" strokeweight=".95999pt" strokecolor="#5b9bd4">
              <v:stroke dashstyle="solid"/>
            </v:line>
            <v:line style="position:absolute" from="9894,305" to="9913,305" stroked="true" strokeweight=".95999pt" strokecolor="#5b9bd4">
              <v:stroke dashstyle="solid"/>
            </v:line>
            <v:line style="position:absolute" from="9913,305" to="10348,305" stroked="true" strokeweight=".95999pt" strokecolor="#5b9bd4">
              <v:stroke dashstyle="solid"/>
            </v:line>
            <v:line style="position:absolute" from="10348,305" to="10367,305" stroked="true" strokeweight=".95999pt" strokecolor="#5b9bd4">
              <v:stroke dashstyle="solid"/>
            </v:line>
            <v:line style="position:absolute" from="10367,305" to="10804,305" stroked="true" strokeweight=".95999pt" strokecolor="#5b9bd4">
              <v:stroke dashstyle="solid"/>
            </v:line>
            <v:line style="position:absolute" from="10804,305" to="10823,305" stroked="true" strokeweight=".95999pt" strokecolor="#5b9bd4">
              <v:stroke dashstyle="solid"/>
            </v:line>
            <v:line style="position:absolute" from="10823,305" to="11257,305" stroked="true" strokeweight=".95999pt" strokecolor="#5b9bd4">
              <v:stroke dashstyle="solid"/>
            </v:line>
            <v:line style="position:absolute" from="11257,305" to="11277,305" stroked="true" strokeweight=".95999pt" strokecolor="#5b9bd4">
              <v:stroke dashstyle="solid"/>
            </v:line>
            <v:line style="position:absolute" from="11277,305" to="11711,305" stroked="true" strokeweight=".95999pt" strokecolor="#5b9bd4">
              <v:stroke dashstyle="solid"/>
            </v:line>
            <v:line style="position:absolute" from="11711,305" to="11730,305" stroked="true" strokeweight=".95999pt" strokecolor="#5b9bd4">
              <v:stroke dashstyle="solid"/>
            </v:line>
            <v:line style="position:absolute" from="11730,305" to="12165,305" stroked="true" strokeweight=".95999pt" strokecolor="#5b9bd4">
              <v:stroke dashstyle="solid"/>
            </v:line>
            <v:line style="position:absolute" from="12165,305" to="12184,305" stroked="true" strokeweight=".95999pt" strokecolor="#5b9bd4">
              <v:stroke dashstyle="solid"/>
            </v:line>
            <v:line style="position:absolute" from="12184,305" to="12618,305" stroked="true" strokeweight=".95999pt" strokecolor="#5b9bd4">
              <v:stroke dashstyle="solid"/>
            </v:line>
            <v:line style="position:absolute" from="12618,305" to="12637,305" stroked="true" strokeweight=".95999pt" strokecolor="#5b9bd4">
              <v:stroke dashstyle="solid"/>
            </v:line>
            <v:line style="position:absolute" from="12637,305" to="13072,305" stroked="true" strokeweight=".95999pt" strokecolor="#5b9bd4">
              <v:stroke dashstyle="solid"/>
            </v:line>
            <v:line style="position:absolute" from="13072,305" to="13091,305" stroked="true" strokeweight=".95999pt" strokecolor="#5b9bd4">
              <v:stroke dashstyle="solid"/>
            </v:line>
            <v:line style="position:absolute" from="13091,305" to="13528,305" stroked="true" strokeweight=".95999pt" strokecolor="#5b9bd4">
              <v:stroke dashstyle="solid"/>
            </v:line>
            <v:line style="position:absolute" from="13528,305" to="13548,305" stroked="true" strokeweight=".95999pt" strokecolor="#5b9bd4">
              <v:stroke dashstyle="solid"/>
            </v:line>
            <v:line style="position:absolute" from="13548,305" to="13982,305" stroked="true" strokeweight=".95999pt" strokecolor="#5b9bd4">
              <v:stroke dashstyle="solid"/>
            </v:line>
            <v:line style="position:absolute" from="13982,305" to="14001,305" stroked="true" strokeweight=".95999pt" strokecolor="#5b9bd4">
              <v:stroke dashstyle="solid"/>
            </v:line>
            <v:line style="position:absolute" from="14001,305" to="14436,305" stroked="true" strokeweight=".95999pt" strokecolor="#5b9bd4">
              <v:stroke dashstyle="solid"/>
            </v:line>
            <v:line style="position:absolute" from="14436,305" to="14455,305" stroked="true" strokeweight=".95999pt" strokecolor="#5b9bd4">
              <v:stroke dashstyle="solid"/>
            </v:line>
            <v:line style="position:absolute" from="14455,305" to="14889,305" stroked="true" strokeweight=".95999pt" strokecolor="#5b9bd4">
              <v:stroke dashstyle="solid"/>
            </v:line>
            <v:line style="position:absolute" from="14889,305" to="14908,305" stroked="true" strokeweight=".95999pt" strokecolor="#5b9bd4">
              <v:stroke dashstyle="solid"/>
            </v:line>
            <v:line style="position:absolute" from="14908,305" to="15343,305" stroked="true" strokeweight=".95999pt" strokecolor="#5b9bd4">
              <v:stroke dashstyle="solid"/>
            </v:line>
            <v:line style="position:absolute" from="15343,305" to="15362,305" stroked="true" strokeweight=".95999pt" strokecolor="#5b9bd4">
              <v:stroke dashstyle="solid"/>
            </v:line>
            <v:line style="position:absolute" from="15362,305" to="15964,305" stroked="true" strokeweight=".95999pt" strokecolor="#5b9bd4">
              <v:stroke dashstyle="solid"/>
            </v:line>
            <w10:wrap type="none"/>
          </v:group>
        </w:pict>
      </w:r>
      <w:r>
        <w:rPr>
          <w:position w:val="-11"/>
          <w:sz w:val="20"/>
        </w:rPr>
        <w:t>18/06/15</w:t>
        <w:tab/>
      </w:r>
      <w:r>
        <w:rPr>
          <w:sz w:val="20"/>
        </w:rPr>
        <w:t>13</w:t>
        <w:tab/>
        <w:t>14</w:t>
        <w:tab/>
        <w:t>-</w:t>
        <w:tab/>
        <w:t>-</w:t>
        <w:tab/>
        <w:t>X</w:t>
        <w:tab/>
        <w:t>X </w:t>
      </w:r>
      <w:r>
        <w:rPr>
          <w:spacing w:val="38"/>
          <w:sz w:val="20"/>
        </w:rPr>
        <w:t> </w:t>
      </w:r>
      <w:r>
        <w:rPr>
          <w:sz w:val="20"/>
        </w:rPr>
        <w:t>15</w:t>
        <w:tab/>
        <w:t>12</w:t>
        <w:tab/>
        <w:t>7</w:t>
        <w:tab/>
        <w:t>18</w:t>
        <w:tab/>
        <w:t>8</w:t>
        <w:tab/>
        <w:t>34</w:t>
        <w:tab/>
        <w:t>4</w:t>
        <w:tab/>
        <w:t>9</w:t>
        <w:tab/>
        <w:t>7</w:t>
        <w:tab/>
        <w:t>10</w:t>
        <w:tab/>
        <w:t>5</w:t>
        <w:tab/>
        <w:t>4</w:t>
        <w:tab/>
        <w:t>7</w:t>
        <w:tab/>
        <w:t>8</w:t>
        <w:tab/>
        <w:t>148</w:t>
      </w:r>
    </w:p>
    <w:p>
      <w:pPr>
        <w:spacing w:line="173" w:lineRule="exact" w:before="14"/>
        <w:ind w:left="239" w:right="0" w:firstLine="0"/>
        <w:jc w:val="left"/>
        <w:rPr>
          <w:sz w:val="20"/>
        </w:rPr>
      </w:pPr>
      <w:r>
        <w:rPr>
          <w:sz w:val="20"/>
        </w:rPr>
        <w:t>549 de</w:t>
      </w:r>
    </w:p>
    <w:p>
      <w:pPr>
        <w:tabs>
          <w:tab w:pos="1259" w:val="left" w:leader="none"/>
          <w:tab w:pos="1825" w:val="left" w:leader="none"/>
          <w:tab w:pos="2391" w:val="left" w:leader="none"/>
          <w:tab w:pos="3184" w:val="left" w:leader="none"/>
          <w:tab w:pos="3753" w:val="left" w:leader="none"/>
          <w:tab w:pos="4490" w:val="left" w:leader="none"/>
          <w:tab w:pos="4943" w:val="left" w:leader="none"/>
          <w:tab w:pos="5397" w:val="left" w:leader="none"/>
          <w:tab w:pos="5853" w:val="left" w:leader="none"/>
          <w:tab w:pos="6306" w:val="left" w:leader="none"/>
          <w:tab w:pos="6760" w:val="left" w:leader="none"/>
          <w:tab w:pos="7214" w:val="left" w:leader="none"/>
          <w:tab w:pos="7668" w:val="left" w:leader="none"/>
          <w:tab w:pos="8121" w:val="left" w:leader="none"/>
          <w:tab w:pos="8577" w:val="left" w:leader="none"/>
          <w:tab w:pos="9031" w:val="left" w:leader="none"/>
          <w:tab w:pos="9484" w:val="left" w:leader="none"/>
          <w:tab w:pos="9938" w:val="left" w:leader="none"/>
          <w:tab w:pos="10392" w:val="left" w:leader="none"/>
          <w:tab w:pos="10846" w:val="left" w:leader="none"/>
          <w:tab w:pos="11302" w:val="left" w:leader="none"/>
          <w:tab w:pos="11755" w:val="left" w:leader="none"/>
          <w:tab w:pos="12209" w:val="left" w:leader="none"/>
          <w:tab w:pos="12663" w:val="left" w:leader="none"/>
        </w:tabs>
        <w:spacing w:line="293" w:lineRule="exact" w:before="0"/>
        <w:ind w:left="239" w:right="0" w:firstLine="0"/>
        <w:jc w:val="left"/>
        <w:rPr>
          <w:sz w:val="20"/>
        </w:rPr>
      </w:pPr>
      <w:r>
        <w:rPr/>
        <w:pict>
          <v:group style="position:absolute;margin-left:49.060001pt;margin-top:14.726435pt;width:749.7pt;height:1pt;mso-position-horizontal-relative:page;mso-position-vertical-relative:paragraph;z-index:-361888" coordorigin="981,295" coordsize="14994,20">
            <v:line style="position:absolute" from="991,305" to="2919,305" stroked="true" strokeweight=".95999pt" strokecolor="#5b9bd4">
              <v:stroke dashstyle="solid"/>
            </v:line>
            <v:line style="position:absolute" from="2919,305" to="2938,305" stroked="true" strokeweight=".95999pt" strokecolor="#5b9bd4">
              <v:stroke dashstyle="solid"/>
            </v:line>
            <v:line style="position:absolute" from="2938,305" to="3939,305" stroked="true" strokeweight=".95999pt" strokecolor="#5b9bd4">
              <v:stroke dashstyle="solid"/>
            </v:line>
            <v:line style="position:absolute" from="3939,305" to="3958,305" stroked="true" strokeweight=".95999pt" strokecolor="#5b9bd4">
              <v:stroke dashstyle="solid"/>
            </v:line>
            <v:line style="position:absolute" from="3958,305" to="4505,305" stroked="true" strokeweight=".95999pt" strokecolor="#5b9bd4">
              <v:stroke dashstyle="solid"/>
            </v:line>
            <v:line style="position:absolute" from="4505,305" to="4524,305" stroked="true" strokeweight=".95999pt" strokecolor="#5b9bd4">
              <v:stroke dashstyle="solid"/>
            </v:line>
            <v:line style="position:absolute" from="4524,305" to="5074,305" stroked="true" strokeweight=".95999pt" strokecolor="#5b9bd4">
              <v:stroke dashstyle="solid"/>
            </v:line>
            <v:line style="position:absolute" from="5074,305" to="5093,305" stroked="true" strokeweight=".95999pt" strokecolor="#5b9bd4">
              <v:stroke dashstyle="solid"/>
            </v:line>
            <v:line style="position:absolute" from="5093,305" to="5410,305" stroked="true" strokeweight=".95999pt" strokecolor="#5b9bd4">
              <v:stroke dashstyle="solid"/>
            </v:line>
            <v:line style="position:absolute" from="5410,305" to="5429,305" stroked="true" strokeweight=".95999pt" strokecolor="#5b9bd4">
              <v:stroke dashstyle="solid"/>
            </v:line>
            <v:line style="position:absolute" from="5429,305" to="5866,305" stroked="true" strokeweight=".95999pt" strokecolor="#5b9bd4">
              <v:stroke dashstyle="solid"/>
            </v:line>
            <v:line style="position:absolute" from="5867,305" to="5886,305" stroked="true" strokeweight=".95999pt" strokecolor="#5b9bd4">
              <v:stroke dashstyle="solid"/>
            </v:line>
            <v:line style="position:absolute" from="5886,305" to="6433,305" stroked="true" strokeweight=".95999pt" strokecolor="#5b9bd4">
              <v:stroke dashstyle="solid"/>
            </v:line>
            <v:line style="position:absolute" from="6433,305" to="6452,305" stroked="true" strokeweight=".95999pt" strokecolor="#5b9bd4">
              <v:stroke dashstyle="solid"/>
            </v:line>
            <v:line style="position:absolute" from="6452,305" to="6716,305" stroked="true" strokeweight=".95999pt" strokecolor="#5b9bd4">
              <v:stroke dashstyle="solid"/>
            </v:line>
            <v:line style="position:absolute" from="6716,305" to="6735,305" stroked="true" strokeweight=".95999pt" strokecolor="#5b9bd4">
              <v:stroke dashstyle="solid"/>
            </v:line>
            <v:line style="position:absolute" from="6735,305" to="7170,305" stroked="true" strokeweight=".95999pt" strokecolor="#5b9bd4">
              <v:stroke dashstyle="solid"/>
            </v:line>
            <v:line style="position:absolute" from="7170,305" to="7189,305" stroked="true" strokeweight=".95999pt" strokecolor="#5b9bd4">
              <v:stroke dashstyle="solid"/>
            </v:line>
            <v:line style="position:absolute" from="7189,305" to="7623,305" stroked="true" strokeweight=".95999pt" strokecolor="#5b9bd4">
              <v:stroke dashstyle="solid"/>
            </v:line>
            <v:line style="position:absolute" from="7623,305" to="7643,305" stroked="true" strokeweight=".95999pt" strokecolor="#5b9bd4">
              <v:stroke dashstyle="solid"/>
            </v:line>
            <v:line style="position:absolute" from="7643,305" to="8079,305" stroked="true" strokeweight=".95999pt" strokecolor="#5b9bd4">
              <v:stroke dashstyle="solid"/>
            </v:line>
            <v:line style="position:absolute" from="8079,305" to="8099,305" stroked="true" strokeweight=".95999pt" strokecolor="#5b9bd4">
              <v:stroke dashstyle="solid"/>
            </v:line>
            <v:line style="position:absolute" from="8099,305" to="8533,305" stroked="true" strokeweight=".95999pt" strokecolor="#5b9bd4">
              <v:stroke dashstyle="solid"/>
            </v:line>
            <v:line style="position:absolute" from="8533,305" to="8552,305" stroked="true" strokeweight=".95999pt" strokecolor="#5b9bd4">
              <v:stroke dashstyle="solid"/>
            </v:line>
            <v:line style="position:absolute" from="8552,305" to="8987,305" stroked="true" strokeweight=".95999pt" strokecolor="#5b9bd4">
              <v:stroke dashstyle="solid"/>
            </v:line>
            <v:line style="position:absolute" from="8987,305" to="9006,305" stroked="true" strokeweight=".95999pt" strokecolor="#5b9bd4">
              <v:stroke dashstyle="solid"/>
            </v:line>
            <v:line style="position:absolute" from="9006,305" to="9440,305" stroked="true" strokeweight=".95999pt" strokecolor="#5b9bd4">
              <v:stroke dashstyle="solid"/>
            </v:line>
            <v:line style="position:absolute" from="9440,305" to="9459,305" stroked="true" strokeweight=".95999pt" strokecolor="#5b9bd4">
              <v:stroke dashstyle="solid"/>
            </v:line>
            <v:line style="position:absolute" from="9459,305" to="9894,305" stroked="true" strokeweight=".95999pt" strokecolor="#5b9bd4">
              <v:stroke dashstyle="solid"/>
            </v:line>
            <v:line style="position:absolute" from="9894,305" to="9913,305" stroked="true" strokeweight=".95999pt" strokecolor="#5b9bd4">
              <v:stroke dashstyle="solid"/>
            </v:line>
            <v:line style="position:absolute" from="9913,305" to="10348,305" stroked="true" strokeweight=".95999pt" strokecolor="#5b9bd4">
              <v:stroke dashstyle="solid"/>
            </v:line>
            <v:line style="position:absolute" from="10348,305" to="10367,305" stroked="true" strokeweight=".95999pt" strokecolor="#5b9bd4">
              <v:stroke dashstyle="solid"/>
            </v:line>
            <v:line style="position:absolute" from="10367,305" to="10804,305" stroked="true" strokeweight=".95999pt" strokecolor="#5b9bd4">
              <v:stroke dashstyle="solid"/>
            </v:line>
            <v:line style="position:absolute" from="10804,305" to="10823,305" stroked="true" strokeweight=".95999pt" strokecolor="#5b9bd4">
              <v:stroke dashstyle="solid"/>
            </v:line>
            <v:line style="position:absolute" from="10823,305" to="11257,305" stroked="true" strokeweight=".95999pt" strokecolor="#5b9bd4">
              <v:stroke dashstyle="solid"/>
            </v:line>
            <v:line style="position:absolute" from="11257,305" to="11277,305" stroked="true" strokeweight=".95999pt" strokecolor="#5b9bd4">
              <v:stroke dashstyle="solid"/>
            </v:line>
            <v:line style="position:absolute" from="11277,305" to="11711,305" stroked="true" strokeweight=".95999pt" strokecolor="#5b9bd4">
              <v:stroke dashstyle="solid"/>
            </v:line>
            <v:line style="position:absolute" from="11711,305" to="11730,305" stroked="true" strokeweight=".95999pt" strokecolor="#5b9bd4">
              <v:stroke dashstyle="solid"/>
            </v:line>
            <v:line style="position:absolute" from="11730,305" to="12165,305" stroked="true" strokeweight=".95999pt" strokecolor="#5b9bd4">
              <v:stroke dashstyle="solid"/>
            </v:line>
            <v:line style="position:absolute" from="12165,305" to="12184,305" stroked="true" strokeweight=".95999pt" strokecolor="#5b9bd4">
              <v:stroke dashstyle="solid"/>
            </v:line>
            <v:line style="position:absolute" from="12184,305" to="12618,305" stroked="true" strokeweight=".95999pt" strokecolor="#5b9bd4">
              <v:stroke dashstyle="solid"/>
            </v:line>
            <v:line style="position:absolute" from="12618,305" to="12637,305" stroked="true" strokeweight=".95999pt" strokecolor="#5b9bd4">
              <v:stroke dashstyle="solid"/>
            </v:line>
            <v:line style="position:absolute" from="12637,305" to="13072,305" stroked="true" strokeweight=".95999pt" strokecolor="#5b9bd4">
              <v:stroke dashstyle="solid"/>
            </v:line>
            <v:line style="position:absolute" from="13072,305" to="13091,305" stroked="true" strokeweight=".95999pt" strokecolor="#5b9bd4">
              <v:stroke dashstyle="solid"/>
            </v:line>
            <v:line style="position:absolute" from="13091,305" to="13528,305" stroked="true" strokeweight=".95999pt" strokecolor="#5b9bd4">
              <v:stroke dashstyle="solid"/>
            </v:line>
            <v:line style="position:absolute" from="13528,305" to="13548,305" stroked="true" strokeweight=".95999pt" strokecolor="#5b9bd4">
              <v:stroke dashstyle="solid"/>
            </v:line>
            <v:line style="position:absolute" from="13548,305" to="13982,305" stroked="true" strokeweight=".95999pt" strokecolor="#5b9bd4">
              <v:stroke dashstyle="solid"/>
            </v:line>
            <v:line style="position:absolute" from="13982,305" to="14001,305" stroked="true" strokeweight=".95999pt" strokecolor="#5b9bd4">
              <v:stroke dashstyle="solid"/>
            </v:line>
            <v:line style="position:absolute" from="14001,305" to="14436,305" stroked="true" strokeweight=".95999pt" strokecolor="#5b9bd4">
              <v:stroke dashstyle="solid"/>
            </v:line>
            <v:line style="position:absolute" from="14436,305" to="14455,305" stroked="true" strokeweight=".95999pt" strokecolor="#5b9bd4">
              <v:stroke dashstyle="solid"/>
            </v:line>
            <v:line style="position:absolute" from="14455,305" to="14889,305" stroked="true" strokeweight=".95999pt" strokecolor="#5b9bd4">
              <v:stroke dashstyle="solid"/>
            </v:line>
            <v:line style="position:absolute" from="14889,305" to="14908,305" stroked="true" strokeweight=".95999pt" strokecolor="#5b9bd4">
              <v:stroke dashstyle="solid"/>
            </v:line>
            <v:line style="position:absolute" from="14908,305" to="15343,305" stroked="true" strokeweight=".95999pt" strokecolor="#5b9bd4">
              <v:stroke dashstyle="solid"/>
            </v:line>
            <v:line style="position:absolute" from="15343,305" to="15362,305" stroked="true" strokeweight=".95999pt" strokecolor="#5b9bd4">
              <v:stroke dashstyle="solid"/>
            </v:line>
            <v:line style="position:absolute" from="15362,305" to="15964,305" stroked="true" strokeweight=".95999pt" strokecolor="#5b9bd4">
              <v:stroke dashstyle="solid"/>
            </v:line>
            <w10:wrap type="none"/>
          </v:group>
        </w:pict>
      </w:r>
      <w:r>
        <w:rPr>
          <w:position w:val="-11"/>
          <w:sz w:val="20"/>
        </w:rPr>
        <w:t>23/06/15</w:t>
        <w:tab/>
      </w:r>
      <w:r>
        <w:rPr>
          <w:sz w:val="20"/>
        </w:rPr>
        <w:t>8</w:t>
        <w:tab/>
        <w:t>16</w:t>
        <w:tab/>
        <w:t>X  </w:t>
      </w:r>
      <w:r>
        <w:rPr>
          <w:spacing w:val="43"/>
          <w:sz w:val="20"/>
        </w:rPr>
        <w:t> </w:t>
      </w:r>
      <w:r>
        <w:rPr>
          <w:sz w:val="20"/>
        </w:rPr>
        <w:t>X</w:t>
        <w:tab/>
        <w:t>X</w:t>
        <w:tab/>
        <w:t>X </w:t>
      </w:r>
      <w:r>
        <w:rPr>
          <w:spacing w:val="38"/>
          <w:sz w:val="20"/>
        </w:rPr>
        <w:t> </w:t>
      </w:r>
      <w:r>
        <w:rPr>
          <w:sz w:val="20"/>
        </w:rPr>
        <w:t>18</w:t>
        <w:tab/>
        <w:t>12</w:t>
        <w:tab/>
        <w:t>10</w:t>
        <w:tab/>
        <w:t>14</w:t>
        <w:tab/>
        <w:t>7</w:t>
        <w:tab/>
        <w:t>9</w:t>
        <w:tab/>
        <w:t>33</w:t>
        <w:tab/>
        <w:t>6</w:t>
        <w:tab/>
        <w:t>9</w:t>
        <w:tab/>
        <w:t>7</w:t>
        <w:tab/>
        <w:t>10</w:t>
        <w:tab/>
        <w:t>7</w:t>
        <w:tab/>
        <w:t>1</w:t>
        <w:tab/>
        <w:t>12</w:t>
        <w:tab/>
        <w:t>8</w:t>
        <w:tab/>
        <w:t>7</w:t>
        <w:tab/>
        <w:t>-</w:t>
        <w:tab/>
        <w:t>-</w:t>
        <w:tab/>
        <w:t>-</w:t>
        <w:tab/>
        <w:t>170</w:t>
      </w:r>
    </w:p>
    <w:p>
      <w:pPr>
        <w:spacing w:line="173" w:lineRule="exact" w:before="15"/>
        <w:ind w:left="239" w:right="0" w:firstLine="0"/>
        <w:jc w:val="left"/>
        <w:rPr>
          <w:sz w:val="20"/>
        </w:rPr>
      </w:pPr>
      <w:r>
        <w:rPr>
          <w:sz w:val="20"/>
        </w:rPr>
        <w:t>704 de</w:t>
      </w:r>
    </w:p>
    <w:p>
      <w:pPr>
        <w:tabs>
          <w:tab w:pos="1259" w:val="left" w:leader="none"/>
          <w:tab w:pos="1825" w:val="left" w:leader="none"/>
          <w:tab w:pos="2391" w:val="left" w:leader="none"/>
          <w:tab w:pos="3184" w:val="left" w:leader="none"/>
          <w:tab w:pos="3753" w:val="left" w:leader="none"/>
          <w:tab w:pos="4490" w:val="left" w:leader="none"/>
          <w:tab w:pos="4943" w:val="left" w:leader="none"/>
          <w:tab w:pos="5397" w:val="left" w:leader="none"/>
          <w:tab w:pos="5853" w:val="left" w:leader="none"/>
          <w:tab w:pos="6306" w:val="left" w:leader="none"/>
          <w:tab w:pos="6760" w:val="left" w:leader="none"/>
          <w:tab w:pos="7214" w:val="left" w:leader="none"/>
          <w:tab w:pos="7668" w:val="left" w:leader="none"/>
          <w:tab w:pos="8121" w:val="left" w:leader="none"/>
          <w:tab w:pos="8577" w:val="left" w:leader="none"/>
          <w:tab w:pos="9031" w:val="left" w:leader="none"/>
          <w:tab w:pos="9484" w:val="left" w:leader="none"/>
          <w:tab w:pos="9938" w:val="left" w:leader="none"/>
          <w:tab w:pos="10392" w:val="left" w:leader="none"/>
          <w:tab w:pos="10846" w:val="left" w:leader="none"/>
          <w:tab w:pos="11302" w:val="left" w:leader="none"/>
          <w:tab w:pos="11755" w:val="left" w:leader="none"/>
          <w:tab w:pos="12209" w:val="left" w:leader="none"/>
          <w:tab w:pos="12663" w:val="left" w:leader="none"/>
        </w:tabs>
        <w:spacing w:line="293" w:lineRule="exact" w:before="0"/>
        <w:ind w:left="239" w:right="0" w:firstLine="0"/>
        <w:jc w:val="left"/>
        <w:rPr>
          <w:sz w:val="20"/>
        </w:rPr>
      </w:pPr>
      <w:r>
        <w:rPr/>
        <w:pict>
          <v:group style="position:absolute;margin-left:49.060001pt;margin-top:14.73641pt;width:749.7pt;height:1pt;mso-position-horizontal-relative:page;mso-position-vertical-relative:paragraph;z-index:-361864" coordorigin="981,295" coordsize="14994,20">
            <v:line style="position:absolute" from="991,305" to="2919,305" stroked="true" strokeweight=".96002pt" strokecolor="#5b9bd4">
              <v:stroke dashstyle="solid"/>
            </v:line>
            <v:line style="position:absolute" from="2919,305" to="2938,305" stroked="true" strokeweight=".96002pt" strokecolor="#5b9bd4">
              <v:stroke dashstyle="solid"/>
            </v:line>
            <v:line style="position:absolute" from="2938,305" to="3939,305" stroked="true" strokeweight=".96002pt" strokecolor="#5b9bd4">
              <v:stroke dashstyle="solid"/>
            </v:line>
            <v:line style="position:absolute" from="3939,305" to="3958,305" stroked="true" strokeweight=".96002pt" strokecolor="#5b9bd4">
              <v:stroke dashstyle="solid"/>
            </v:line>
            <v:line style="position:absolute" from="3958,305" to="4505,305" stroked="true" strokeweight=".96002pt" strokecolor="#5b9bd4">
              <v:stroke dashstyle="solid"/>
            </v:line>
            <v:line style="position:absolute" from="4505,305" to="4524,305" stroked="true" strokeweight=".96002pt" strokecolor="#5b9bd4">
              <v:stroke dashstyle="solid"/>
            </v:line>
            <v:line style="position:absolute" from="4524,305" to="5074,305" stroked="true" strokeweight=".96002pt" strokecolor="#5b9bd4">
              <v:stroke dashstyle="solid"/>
            </v:line>
            <v:line style="position:absolute" from="5074,305" to="5093,305" stroked="true" strokeweight=".96002pt" strokecolor="#5b9bd4">
              <v:stroke dashstyle="solid"/>
            </v:line>
            <v:line style="position:absolute" from="5093,305" to="5410,305" stroked="true" strokeweight=".96002pt" strokecolor="#5b9bd4">
              <v:stroke dashstyle="solid"/>
            </v:line>
            <v:line style="position:absolute" from="5410,305" to="5429,305" stroked="true" strokeweight=".96002pt" strokecolor="#5b9bd4">
              <v:stroke dashstyle="solid"/>
            </v:line>
            <v:line style="position:absolute" from="5429,305" to="5866,305" stroked="true" strokeweight=".96002pt" strokecolor="#5b9bd4">
              <v:stroke dashstyle="solid"/>
            </v:line>
            <v:line style="position:absolute" from="5867,305" to="5886,305" stroked="true" strokeweight=".96002pt" strokecolor="#5b9bd4">
              <v:stroke dashstyle="solid"/>
            </v:line>
            <v:line style="position:absolute" from="5886,305" to="6433,305" stroked="true" strokeweight=".96002pt" strokecolor="#5b9bd4">
              <v:stroke dashstyle="solid"/>
            </v:line>
            <v:line style="position:absolute" from="6433,305" to="6452,305" stroked="true" strokeweight=".96002pt" strokecolor="#5b9bd4">
              <v:stroke dashstyle="solid"/>
            </v:line>
            <v:line style="position:absolute" from="6452,305" to="6716,305" stroked="true" strokeweight=".96002pt" strokecolor="#5b9bd4">
              <v:stroke dashstyle="solid"/>
            </v:line>
            <v:line style="position:absolute" from="6716,305" to="6735,305" stroked="true" strokeweight=".96002pt" strokecolor="#5b9bd4">
              <v:stroke dashstyle="solid"/>
            </v:line>
            <v:line style="position:absolute" from="6735,305" to="7170,305" stroked="true" strokeweight=".96002pt" strokecolor="#5b9bd4">
              <v:stroke dashstyle="solid"/>
            </v:line>
            <v:line style="position:absolute" from="7170,305" to="7189,305" stroked="true" strokeweight=".96002pt" strokecolor="#5b9bd4">
              <v:stroke dashstyle="solid"/>
            </v:line>
            <v:line style="position:absolute" from="7189,305" to="7623,305" stroked="true" strokeweight=".96002pt" strokecolor="#5b9bd4">
              <v:stroke dashstyle="solid"/>
            </v:line>
            <v:line style="position:absolute" from="7623,305" to="7643,305" stroked="true" strokeweight=".96002pt" strokecolor="#5b9bd4">
              <v:stroke dashstyle="solid"/>
            </v:line>
            <v:line style="position:absolute" from="7643,305" to="8079,305" stroked="true" strokeweight=".96002pt" strokecolor="#5b9bd4">
              <v:stroke dashstyle="solid"/>
            </v:line>
            <v:line style="position:absolute" from="8079,305" to="8099,305" stroked="true" strokeweight=".96002pt" strokecolor="#5b9bd4">
              <v:stroke dashstyle="solid"/>
            </v:line>
            <v:line style="position:absolute" from="8099,305" to="8533,305" stroked="true" strokeweight=".96002pt" strokecolor="#5b9bd4">
              <v:stroke dashstyle="solid"/>
            </v:line>
            <v:line style="position:absolute" from="8533,305" to="8552,305" stroked="true" strokeweight=".96002pt" strokecolor="#5b9bd4">
              <v:stroke dashstyle="solid"/>
            </v:line>
            <v:line style="position:absolute" from="8552,305" to="8987,305" stroked="true" strokeweight=".96002pt" strokecolor="#5b9bd4">
              <v:stroke dashstyle="solid"/>
            </v:line>
            <v:line style="position:absolute" from="8987,305" to="9006,305" stroked="true" strokeweight=".96002pt" strokecolor="#5b9bd4">
              <v:stroke dashstyle="solid"/>
            </v:line>
            <v:line style="position:absolute" from="9006,305" to="9440,305" stroked="true" strokeweight=".96002pt" strokecolor="#5b9bd4">
              <v:stroke dashstyle="solid"/>
            </v:line>
            <v:line style="position:absolute" from="9440,305" to="9459,305" stroked="true" strokeweight=".96002pt" strokecolor="#5b9bd4">
              <v:stroke dashstyle="solid"/>
            </v:line>
            <v:line style="position:absolute" from="9459,305" to="9894,305" stroked="true" strokeweight=".96002pt" strokecolor="#5b9bd4">
              <v:stroke dashstyle="solid"/>
            </v:line>
            <v:line style="position:absolute" from="9894,305" to="9913,305" stroked="true" strokeweight=".96002pt" strokecolor="#5b9bd4">
              <v:stroke dashstyle="solid"/>
            </v:line>
            <v:line style="position:absolute" from="9913,305" to="10348,305" stroked="true" strokeweight=".96002pt" strokecolor="#5b9bd4">
              <v:stroke dashstyle="solid"/>
            </v:line>
            <v:line style="position:absolute" from="10348,305" to="10367,305" stroked="true" strokeweight=".96002pt" strokecolor="#5b9bd4">
              <v:stroke dashstyle="solid"/>
            </v:line>
            <v:line style="position:absolute" from="10367,305" to="10804,305" stroked="true" strokeweight=".96002pt" strokecolor="#5b9bd4">
              <v:stroke dashstyle="solid"/>
            </v:line>
            <v:line style="position:absolute" from="10804,305" to="10823,305" stroked="true" strokeweight=".96002pt" strokecolor="#5b9bd4">
              <v:stroke dashstyle="solid"/>
            </v:line>
            <v:line style="position:absolute" from="10823,305" to="11257,305" stroked="true" strokeweight=".96002pt" strokecolor="#5b9bd4">
              <v:stroke dashstyle="solid"/>
            </v:line>
            <v:line style="position:absolute" from="11257,305" to="11277,305" stroked="true" strokeweight=".96002pt" strokecolor="#5b9bd4">
              <v:stroke dashstyle="solid"/>
            </v:line>
            <v:line style="position:absolute" from="11277,305" to="11711,305" stroked="true" strokeweight=".96002pt" strokecolor="#5b9bd4">
              <v:stroke dashstyle="solid"/>
            </v:line>
            <v:line style="position:absolute" from="11711,305" to="11730,305" stroked="true" strokeweight=".96002pt" strokecolor="#5b9bd4">
              <v:stroke dashstyle="solid"/>
            </v:line>
            <v:line style="position:absolute" from="11730,305" to="12165,305" stroked="true" strokeweight=".96002pt" strokecolor="#5b9bd4">
              <v:stroke dashstyle="solid"/>
            </v:line>
            <v:line style="position:absolute" from="12165,305" to="12184,305" stroked="true" strokeweight=".96002pt" strokecolor="#5b9bd4">
              <v:stroke dashstyle="solid"/>
            </v:line>
            <v:line style="position:absolute" from="12184,305" to="12618,305" stroked="true" strokeweight=".96002pt" strokecolor="#5b9bd4">
              <v:stroke dashstyle="solid"/>
            </v:line>
            <v:line style="position:absolute" from="12618,305" to="12637,305" stroked="true" strokeweight=".96002pt" strokecolor="#5b9bd4">
              <v:stroke dashstyle="solid"/>
            </v:line>
            <v:line style="position:absolute" from="12637,305" to="13072,305" stroked="true" strokeweight=".96002pt" strokecolor="#5b9bd4">
              <v:stroke dashstyle="solid"/>
            </v:line>
            <v:line style="position:absolute" from="13072,305" to="13091,305" stroked="true" strokeweight=".96002pt" strokecolor="#5b9bd4">
              <v:stroke dashstyle="solid"/>
            </v:line>
            <v:line style="position:absolute" from="13091,305" to="13528,305" stroked="true" strokeweight=".96002pt" strokecolor="#5b9bd4">
              <v:stroke dashstyle="solid"/>
            </v:line>
            <v:line style="position:absolute" from="13528,305" to="13548,305" stroked="true" strokeweight=".96002pt" strokecolor="#5b9bd4">
              <v:stroke dashstyle="solid"/>
            </v:line>
            <v:line style="position:absolute" from="13548,305" to="13982,305" stroked="true" strokeweight=".96002pt" strokecolor="#5b9bd4">
              <v:stroke dashstyle="solid"/>
            </v:line>
            <v:line style="position:absolute" from="13982,305" to="14001,305" stroked="true" strokeweight=".96002pt" strokecolor="#5b9bd4">
              <v:stroke dashstyle="solid"/>
            </v:line>
            <v:line style="position:absolute" from="14001,305" to="14436,305" stroked="true" strokeweight=".96002pt" strokecolor="#5b9bd4">
              <v:stroke dashstyle="solid"/>
            </v:line>
            <v:line style="position:absolute" from="14436,305" to="14455,305" stroked="true" strokeweight=".96002pt" strokecolor="#5b9bd4">
              <v:stroke dashstyle="solid"/>
            </v:line>
            <v:line style="position:absolute" from="14455,305" to="14889,305" stroked="true" strokeweight=".96002pt" strokecolor="#5b9bd4">
              <v:stroke dashstyle="solid"/>
            </v:line>
            <v:line style="position:absolute" from="14889,305" to="14908,305" stroked="true" strokeweight=".96002pt" strokecolor="#5b9bd4">
              <v:stroke dashstyle="solid"/>
            </v:line>
            <v:line style="position:absolute" from="14908,305" to="15343,305" stroked="true" strokeweight=".96002pt" strokecolor="#5b9bd4">
              <v:stroke dashstyle="solid"/>
            </v:line>
            <v:line style="position:absolute" from="15343,305" to="15362,305" stroked="true" strokeweight=".96002pt" strokecolor="#5b9bd4">
              <v:stroke dashstyle="solid"/>
            </v:line>
            <v:line style="position:absolute" from="15362,305" to="15964,305" stroked="true" strokeweight=".96002pt" strokecolor="#5b9bd4">
              <v:stroke dashstyle="solid"/>
            </v:line>
            <w10:wrap type="none"/>
          </v:group>
        </w:pict>
      </w:r>
      <w:r>
        <w:rPr>
          <w:position w:val="-11"/>
          <w:sz w:val="20"/>
        </w:rPr>
        <w:t>24/06/15</w:t>
        <w:tab/>
      </w:r>
      <w:r>
        <w:rPr>
          <w:sz w:val="20"/>
        </w:rPr>
        <w:t>13</w:t>
        <w:tab/>
        <w:t>16</w:t>
        <w:tab/>
        <w:t>X  </w:t>
      </w:r>
      <w:r>
        <w:rPr>
          <w:spacing w:val="43"/>
          <w:sz w:val="20"/>
        </w:rPr>
        <w:t> </w:t>
      </w:r>
      <w:r>
        <w:rPr>
          <w:sz w:val="20"/>
        </w:rPr>
        <w:t>X</w:t>
        <w:tab/>
        <w:t>X</w:t>
        <w:tab/>
        <w:t>X </w:t>
      </w:r>
      <w:r>
        <w:rPr>
          <w:spacing w:val="38"/>
          <w:sz w:val="20"/>
        </w:rPr>
        <w:t> </w:t>
      </w:r>
      <w:r>
        <w:rPr>
          <w:sz w:val="20"/>
        </w:rPr>
        <w:t>15</w:t>
        <w:tab/>
        <w:t>11</w:t>
        <w:tab/>
        <w:t>13</w:t>
        <w:tab/>
        <w:t>7</w:t>
        <w:tab/>
        <w:t>7</w:t>
        <w:tab/>
        <w:t>23</w:t>
        <w:tab/>
        <w:t>1</w:t>
        <w:tab/>
        <w:t>4</w:t>
        <w:tab/>
        <w:t>3</w:t>
        <w:tab/>
        <w:t>4</w:t>
        <w:tab/>
        <w:t>3</w:t>
        <w:tab/>
        <w:t>5</w:t>
        <w:tab/>
        <w:t>7</w:t>
        <w:tab/>
        <w:t>5</w:t>
        <w:tab/>
        <w:t>1</w:t>
        <w:tab/>
        <w:t>1</w:t>
        <w:tab/>
        <w:t>-</w:t>
        <w:tab/>
        <w:t>-</w:t>
        <w:tab/>
        <w:t>-</w:t>
        <w:tab/>
        <w:t>110</w:t>
      </w:r>
    </w:p>
    <w:p>
      <w:pPr>
        <w:spacing w:line="173" w:lineRule="exact" w:before="15"/>
        <w:ind w:left="239" w:right="0" w:firstLine="0"/>
        <w:jc w:val="left"/>
        <w:rPr>
          <w:sz w:val="20"/>
        </w:rPr>
      </w:pPr>
      <w:r>
        <w:rPr>
          <w:sz w:val="20"/>
        </w:rPr>
        <w:t>399 de</w:t>
      </w:r>
    </w:p>
    <w:p>
      <w:pPr>
        <w:tabs>
          <w:tab w:pos="1259" w:val="left" w:leader="none"/>
          <w:tab w:pos="1825" w:val="left" w:leader="none"/>
          <w:tab w:pos="2391" w:val="left" w:leader="none"/>
          <w:tab w:pos="2730" w:val="left" w:leader="none"/>
          <w:tab w:pos="3184" w:val="left" w:leader="none"/>
          <w:tab w:pos="3753" w:val="left" w:leader="none"/>
          <w:tab w:pos="4036" w:val="left" w:leader="none"/>
          <w:tab w:pos="4490" w:val="left" w:leader="none"/>
          <w:tab w:pos="4943" w:val="left" w:leader="none"/>
          <w:tab w:pos="5397" w:val="left" w:leader="none"/>
          <w:tab w:pos="5853" w:val="left" w:leader="none"/>
          <w:tab w:pos="6306" w:val="left" w:leader="none"/>
          <w:tab w:pos="6760" w:val="left" w:leader="none"/>
          <w:tab w:pos="7214" w:val="left" w:leader="none"/>
          <w:tab w:pos="7668" w:val="left" w:leader="none"/>
          <w:tab w:pos="8121" w:val="left" w:leader="none"/>
          <w:tab w:pos="8577" w:val="left" w:leader="none"/>
          <w:tab w:pos="9031" w:val="left" w:leader="none"/>
          <w:tab w:pos="9484" w:val="left" w:leader="none"/>
          <w:tab w:pos="9938" w:val="left" w:leader="none"/>
          <w:tab w:pos="10392" w:val="left" w:leader="none"/>
          <w:tab w:pos="10846" w:val="left" w:leader="none"/>
          <w:tab w:pos="11302" w:val="left" w:leader="none"/>
          <w:tab w:pos="11755" w:val="left" w:leader="none"/>
          <w:tab w:pos="12209" w:val="left" w:leader="none"/>
          <w:tab w:pos="12663" w:val="left" w:leader="none"/>
        </w:tabs>
        <w:spacing w:line="293" w:lineRule="exact" w:before="0"/>
        <w:ind w:left="239" w:right="0" w:firstLine="0"/>
        <w:jc w:val="left"/>
        <w:rPr>
          <w:sz w:val="20"/>
        </w:rPr>
      </w:pPr>
      <w:r>
        <w:rPr/>
        <w:pict>
          <v:group style="position:absolute;margin-left:49.060001pt;margin-top:14.726416pt;width:749.7pt;height:1pt;mso-position-horizontal-relative:page;mso-position-vertical-relative:paragraph;z-index:-361840" coordorigin="981,295" coordsize="14994,20">
            <v:line style="position:absolute" from="991,305" to="2919,305" stroked="true" strokeweight=".96002pt" strokecolor="#5b9bd4">
              <v:stroke dashstyle="solid"/>
            </v:line>
            <v:line style="position:absolute" from="2919,305" to="2938,305" stroked="true" strokeweight=".96002pt" strokecolor="#5b9bd4">
              <v:stroke dashstyle="solid"/>
            </v:line>
            <v:line style="position:absolute" from="2938,305" to="3939,305" stroked="true" strokeweight=".96002pt" strokecolor="#5b9bd4">
              <v:stroke dashstyle="solid"/>
            </v:line>
            <v:line style="position:absolute" from="3939,305" to="3958,305" stroked="true" strokeweight=".96002pt" strokecolor="#5b9bd4">
              <v:stroke dashstyle="solid"/>
            </v:line>
            <v:line style="position:absolute" from="3958,305" to="4505,305" stroked="true" strokeweight=".96002pt" strokecolor="#5b9bd4">
              <v:stroke dashstyle="solid"/>
            </v:line>
            <v:line style="position:absolute" from="4505,305" to="4524,305" stroked="true" strokeweight=".96002pt" strokecolor="#5b9bd4">
              <v:stroke dashstyle="solid"/>
            </v:line>
            <v:line style="position:absolute" from="4524,305" to="5074,305" stroked="true" strokeweight=".96002pt" strokecolor="#5b9bd4">
              <v:stroke dashstyle="solid"/>
            </v:line>
            <v:line style="position:absolute" from="5074,305" to="5093,305" stroked="true" strokeweight=".96002pt" strokecolor="#5b9bd4">
              <v:stroke dashstyle="solid"/>
            </v:line>
            <v:line style="position:absolute" from="5093,305" to="5410,305" stroked="true" strokeweight=".96002pt" strokecolor="#5b9bd4">
              <v:stroke dashstyle="solid"/>
            </v:line>
            <v:line style="position:absolute" from="5410,305" to="5429,305" stroked="true" strokeweight=".96002pt" strokecolor="#5b9bd4">
              <v:stroke dashstyle="solid"/>
            </v:line>
            <v:line style="position:absolute" from="5429,305" to="5866,305" stroked="true" strokeweight=".96002pt" strokecolor="#5b9bd4">
              <v:stroke dashstyle="solid"/>
            </v:line>
            <v:line style="position:absolute" from="5867,305" to="5886,305" stroked="true" strokeweight=".96002pt" strokecolor="#5b9bd4">
              <v:stroke dashstyle="solid"/>
            </v:line>
            <v:line style="position:absolute" from="5886,305" to="6433,305" stroked="true" strokeweight=".96002pt" strokecolor="#5b9bd4">
              <v:stroke dashstyle="solid"/>
            </v:line>
            <v:line style="position:absolute" from="6433,305" to="6452,305" stroked="true" strokeweight=".96002pt" strokecolor="#5b9bd4">
              <v:stroke dashstyle="solid"/>
            </v:line>
            <v:line style="position:absolute" from="6452,305" to="6716,305" stroked="true" strokeweight=".96002pt" strokecolor="#5b9bd4">
              <v:stroke dashstyle="solid"/>
            </v:line>
            <v:line style="position:absolute" from="6716,305" to="6735,305" stroked="true" strokeweight=".96002pt" strokecolor="#5b9bd4">
              <v:stroke dashstyle="solid"/>
            </v:line>
            <v:line style="position:absolute" from="6735,305" to="7170,305" stroked="true" strokeweight=".96002pt" strokecolor="#5b9bd4">
              <v:stroke dashstyle="solid"/>
            </v:line>
            <v:line style="position:absolute" from="7170,305" to="7189,305" stroked="true" strokeweight=".96002pt" strokecolor="#5b9bd4">
              <v:stroke dashstyle="solid"/>
            </v:line>
            <v:line style="position:absolute" from="7189,305" to="7623,305" stroked="true" strokeweight=".96002pt" strokecolor="#5b9bd4">
              <v:stroke dashstyle="solid"/>
            </v:line>
            <v:line style="position:absolute" from="7623,305" to="7643,305" stroked="true" strokeweight=".96002pt" strokecolor="#5b9bd4">
              <v:stroke dashstyle="solid"/>
            </v:line>
            <v:line style="position:absolute" from="7643,305" to="8079,305" stroked="true" strokeweight=".96002pt" strokecolor="#5b9bd4">
              <v:stroke dashstyle="solid"/>
            </v:line>
            <v:line style="position:absolute" from="8079,305" to="8099,305" stroked="true" strokeweight=".96002pt" strokecolor="#5b9bd4">
              <v:stroke dashstyle="solid"/>
            </v:line>
            <v:line style="position:absolute" from="8099,305" to="8533,305" stroked="true" strokeweight=".96002pt" strokecolor="#5b9bd4">
              <v:stroke dashstyle="solid"/>
            </v:line>
            <v:line style="position:absolute" from="8533,305" to="8552,305" stroked="true" strokeweight=".96002pt" strokecolor="#5b9bd4">
              <v:stroke dashstyle="solid"/>
            </v:line>
            <v:line style="position:absolute" from="8552,305" to="8987,305" stroked="true" strokeweight=".96002pt" strokecolor="#5b9bd4">
              <v:stroke dashstyle="solid"/>
            </v:line>
            <v:line style="position:absolute" from="8987,305" to="9006,305" stroked="true" strokeweight=".96002pt" strokecolor="#5b9bd4">
              <v:stroke dashstyle="solid"/>
            </v:line>
            <v:line style="position:absolute" from="9006,305" to="9440,305" stroked="true" strokeweight=".96002pt" strokecolor="#5b9bd4">
              <v:stroke dashstyle="solid"/>
            </v:line>
            <v:line style="position:absolute" from="9440,305" to="9459,305" stroked="true" strokeweight=".96002pt" strokecolor="#5b9bd4">
              <v:stroke dashstyle="solid"/>
            </v:line>
            <v:line style="position:absolute" from="9459,305" to="9894,305" stroked="true" strokeweight=".96002pt" strokecolor="#5b9bd4">
              <v:stroke dashstyle="solid"/>
            </v:line>
            <v:line style="position:absolute" from="9894,305" to="9913,305" stroked="true" strokeweight=".96002pt" strokecolor="#5b9bd4">
              <v:stroke dashstyle="solid"/>
            </v:line>
            <v:line style="position:absolute" from="9913,305" to="10348,305" stroked="true" strokeweight=".96002pt" strokecolor="#5b9bd4">
              <v:stroke dashstyle="solid"/>
            </v:line>
            <v:line style="position:absolute" from="10348,305" to="10367,305" stroked="true" strokeweight=".96002pt" strokecolor="#5b9bd4">
              <v:stroke dashstyle="solid"/>
            </v:line>
            <v:line style="position:absolute" from="10367,305" to="10804,305" stroked="true" strokeweight=".96002pt" strokecolor="#5b9bd4">
              <v:stroke dashstyle="solid"/>
            </v:line>
            <v:line style="position:absolute" from="10804,305" to="10823,305" stroked="true" strokeweight=".96002pt" strokecolor="#5b9bd4">
              <v:stroke dashstyle="solid"/>
            </v:line>
            <v:line style="position:absolute" from="10823,305" to="11257,305" stroked="true" strokeweight=".96002pt" strokecolor="#5b9bd4">
              <v:stroke dashstyle="solid"/>
            </v:line>
            <v:line style="position:absolute" from="11257,305" to="11277,305" stroked="true" strokeweight=".96002pt" strokecolor="#5b9bd4">
              <v:stroke dashstyle="solid"/>
            </v:line>
            <v:line style="position:absolute" from="11277,305" to="11711,305" stroked="true" strokeweight=".96002pt" strokecolor="#5b9bd4">
              <v:stroke dashstyle="solid"/>
            </v:line>
            <v:line style="position:absolute" from="11711,305" to="11730,305" stroked="true" strokeweight=".96002pt" strokecolor="#5b9bd4">
              <v:stroke dashstyle="solid"/>
            </v:line>
            <v:line style="position:absolute" from="11730,305" to="12165,305" stroked="true" strokeweight=".96002pt" strokecolor="#5b9bd4">
              <v:stroke dashstyle="solid"/>
            </v:line>
            <v:line style="position:absolute" from="12165,305" to="12184,305" stroked="true" strokeweight=".96002pt" strokecolor="#5b9bd4">
              <v:stroke dashstyle="solid"/>
            </v:line>
            <v:line style="position:absolute" from="12184,305" to="12618,305" stroked="true" strokeweight=".96002pt" strokecolor="#5b9bd4">
              <v:stroke dashstyle="solid"/>
            </v:line>
            <v:line style="position:absolute" from="12618,305" to="12637,305" stroked="true" strokeweight=".96002pt" strokecolor="#5b9bd4">
              <v:stroke dashstyle="solid"/>
            </v:line>
            <v:line style="position:absolute" from="12637,305" to="13072,305" stroked="true" strokeweight=".96002pt" strokecolor="#5b9bd4">
              <v:stroke dashstyle="solid"/>
            </v:line>
            <v:line style="position:absolute" from="13072,305" to="13091,305" stroked="true" strokeweight=".96002pt" strokecolor="#5b9bd4">
              <v:stroke dashstyle="solid"/>
            </v:line>
            <v:line style="position:absolute" from="13091,305" to="13528,305" stroked="true" strokeweight=".96002pt" strokecolor="#5b9bd4">
              <v:stroke dashstyle="solid"/>
            </v:line>
            <v:line style="position:absolute" from="13528,305" to="13548,305" stroked="true" strokeweight=".96002pt" strokecolor="#5b9bd4">
              <v:stroke dashstyle="solid"/>
            </v:line>
            <v:line style="position:absolute" from="13548,305" to="13982,305" stroked="true" strokeweight=".96002pt" strokecolor="#5b9bd4">
              <v:stroke dashstyle="solid"/>
            </v:line>
            <v:line style="position:absolute" from="13982,305" to="14001,305" stroked="true" strokeweight=".96002pt" strokecolor="#5b9bd4">
              <v:stroke dashstyle="solid"/>
            </v:line>
            <v:line style="position:absolute" from="14001,305" to="14436,305" stroked="true" strokeweight=".96002pt" strokecolor="#5b9bd4">
              <v:stroke dashstyle="solid"/>
            </v:line>
            <v:line style="position:absolute" from="14436,305" to="14455,305" stroked="true" strokeweight=".96002pt" strokecolor="#5b9bd4">
              <v:stroke dashstyle="solid"/>
            </v:line>
            <v:line style="position:absolute" from="14455,305" to="14889,305" stroked="true" strokeweight=".96002pt" strokecolor="#5b9bd4">
              <v:stroke dashstyle="solid"/>
            </v:line>
            <v:line style="position:absolute" from="14889,305" to="14908,305" stroked="true" strokeweight=".96002pt" strokecolor="#5b9bd4">
              <v:stroke dashstyle="solid"/>
            </v:line>
            <v:line style="position:absolute" from="14908,305" to="15343,305" stroked="true" strokeweight=".96002pt" strokecolor="#5b9bd4">
              <v:stroke dashstyle="solid"/>
            </v:line>
            <v:line style="position:absolute" from="15343,305" to="15362,305" stroked="true" strokeweight=".96002pt" strokecolor="#5b9bd4">
              <v:stroke dashstyle="solid"/>
            </v:line>
            <v:line style="position:absolute" from="15362,305" to="15964,305" stroked="true" strokeweight=".96002pt" strokecolor="#5b9bd4">
              <v:stroke dashstyle="solid"/>
            </v:line>
            <w10:wrap type="none"/>
          </v:group>
        </w:pict>
      </w:r>
      <w:r>
        <w:rPr>
          <w:position w:val="-11"/>
          <w:sz w:val="20"/>
        </w:rPr>
        <w:t>09/06/15</w:t>
        <w:tab/>
      </w:r>
      <w:r>
        <w:rPr>
          <w:sz w:val="20"/>
        </w:rPr>
        <w:t>8</w:t>
        <w:tab/>
        <w:t>15</w:t>
        <w:tab/>
        <w:t>-</w:t>
        <w:tab/>
        <w:t>-</w:t>
        <w:tab/>
        <w:t>-</w:t>
        <w:tab/>
        <w:t>-</w:t>
        <w:tab/>
        <w:t>17</w:t>
        <w:tab/>
        <w:t>12</w:t>
        <w:tab/>
        <w:t>12</w:t>
        <w:tab/>
        <w:t>7</w:t>
        <w:tab/>
        <w:t>5</w:t>
        <w:tab/>
        <w:t>20</w:t>
        <w:tab/>
        <w:t>4</w:t>
        <w:tab/>
        <w:t>6</w:t>
        <w:tab/>
        <w:t>3</w:t>
        <w:tab/>
        <w:t>4</w:t>
        <w:tab/>
        <w:t>6</w:t>
        <w:tab/>
        <w:t>4</w:t>
        <w:tab/>
        <w:t>1</w:t>
        <w:tab/>
        <w:t>4</w:t>
        <w:tab/>
        <w:t>5</w:t>
        <w:tab/>
        <w:t>-</w:t>
        <w:tab/>
        <w:t>-</w:t>
        <w:tab/>
        <w:t>-</w:t>
        <w:tab/>
        <w:t>-</w:t>
        <w:tab/>
        <w:t>110</w:t>
      </w:r>
    </w:p>
    <w:p>
      <w:pPr>
        <w:spacing w:line="173" w:lineRule="exact" w:before="15"/>
        <w:ind w:left="239" w:right="0" w:firstLine="0"/>
        <w:jc w:val="left"/>
        <w:rPr>
          <w:sz w:val="20"/>
        </w:rPr>
      </w:pPr>
      <w:r>
        <w:rPr>
          <w:sz w:val="20"/>
        </w:rPr>
        <w:t>120 de</w:t>
      </w:r>
    </w:p>
    <w:p>
      <w:pPr>
        <w:tabs>
          <w:tab w:pos="1259" w:val="left" w:leader="none"/>
          <w:tab w:pos="1825" w:val="left" w:leader="none"/>
          <w:tab w:pos="2391" w:val="left" w:leader="none"/>
          <w:tab w:pos="3184" w:val="left" w:leader="none"/>
          <w:tab w:pos="3753" w:val="left" w:leader="none"/>
          <w:tab w:pos="4490" w:val="left" w:leader="none"/>
          <w:tab w:pos="4943" w:val="left" w:leader="none"/>
          <w:tab w:pos="5397" w:val="left" w:leader="none"/>
          <w:tab w:pos="5853" w:val="left" w:leader="none"/>
          <w:tab w:pos="6306" w:val="left" w:leader="none"/>
          <w:tab w:pos="6760" w:val="left" w:leader="none"/>
          <w:tab w:pos="7214" w:val="left" w:leader="none"/>
          <w:tab w:pos="7668" w:val="left" w:leader="none"/>
          <w:tab w:pos="8121" w:val="left" w:leader="none"/>
          <w:tab w:pos="8577" w:val="left" w:leader="none"/>
          <w:tab w:pos="9031" w:val="left" w:leader="none"/>
          <w:tab w:pos="9484" w:val="left" w:leader="none"/>
          <w:tab w:pos="12663" w:val="left" w:leader="hyphen"/>
        </w:tabs>
        <w:spacing w:line="293" w:lineRule="exact" w:before="0"/>
        <w:ind w:left="239" w:right="0" w:firstLine="0"/>
        <w:jc w:val="left"/>
        <w:rPr>
          <w:sz w:val="20"/>
        </w:rPr>
      </w:pPr>
      <w:r>
        <w:rPr/>
        <w:pict>
          <v:group style="position:absolute;margin-left:49.060001pt;margin-top:14.726416pt;width:749.7pt;height:1pt;mso-position-horizontal-relative:page;mso-position-vertical-relative:paragraph;z-index:-361816" coordorigin="981,295" coordsize="14994,20">
            <v:line style="position:absolute" from="991,305" to="2919,305" stroked="true" strokeweight=".96002pt" strokecolor="#5b9bd4">
              <v:stroke dashstyle="solid"/>
            </v:line>
            <v:line style="position:absolute" from="2919,305" to="2938,305" stroked="true" strokeweight=".96002pt" strokecolor="#5b9bd4">
              <v:stroke dashstyle="solid"/>
            </v:line>
            <v:line style="position:absolute" from="2938,305" to="3939,305" stroked="true" strokeweight=".96002pt" strokecolor="#5b9bd4">
              <v:stroke dashstyle="solid"/>
            </v:line>
            <v:line style="position:absolute" from="3939,305" to="3958,305" stroked="true" strokeweight=".96002pt" strokecolor="#5b9bd4">
              <v:stroke dashstyle="solid"/>
            </v:line>
            <v:line style="position:absolute" from="3958,305" to="4505,305" stroked="true" strokeweight=".96002pt" strokecolor="#5b9bd4">
              <v:stroke dashstyle="solid"/>
            </v:line>
            <v:line style="position:absolute" from="4505,305" to="4524,305" stroked="true" strokeweight=".96002pt" strokecolor="#5b9bd4">
              <v:stroke dashstyle="solid"/>
            </v:line>
            <v:line style="position:absolute" from="4524,305" to="5074,305" stroked="true" strokeweight=".96002pt" strokecolor="#5b9bd4">
              <v:stroke dashstyle="solid"/>
            </v:line>
            <v:line style="position:absolute" from="5074,305" to="5093,305" stroked="true" strokeweight=".96002pt" strokecolor="#5b9bd4">
              <v:stroke dashstyle="solid"/>
            </v:line>
            <v:line style="position:absolute" from="5093,305" to="5410,305" stroked="true" strokeweight=".96002pt" strokecolor="#5b9bd4">
              <v:stroke dashstyle="solid"/>
            </v:line>
            <v:line style="position:absolute" from="5410,305" to="5429,305" stroked="true" strokeweight=".96002pt" strokecolor="#5b9bd4">
              <v:stroke dashstyle="solid"/>
            </v:line>
            <v:line style="position:absolute" from="5429,305" to="5866,305" stroked="true" strokeweight=".96002pt" strokecolor="#5b9bd4">
              <v:stroke dashstyle="solid"/>
            </v:line>
            <v:line style="position:absolute" from="5867,305" to="5886,305" stroked="true" strokeweight=".96002pt" strokecolor="#5b9bd4">
              <v:stroke dashstyle="solid"/>
            </v:line>
            <v:line style="position:absolute" from="5886,305" to="6433,305" stroked="true" strokeweight=".96002pt" strokecolor="#5b9bd4">
              <v:stroke dashstyle="solid"/>
            </v:line>
            <v:line style="position:absolute" from="6433,305" to="6452,305" stroked="true" strokeweight=".96002pt" strokecolor="#5b9bd4">
              <v:stroke dashstyle="solid"/>
            </v:line>
            <v:line style="position:absolute" from="6452,305" to="6716,305" stroked="true" strokeweight=".96002pt" strokecolor="#5b9bd4">
              <v:stroke dashstyle="solid"/>
            </v:line>
            <v:line style="position:absolute" from="6716,305" to="6735,305" stroked="true" strokeweight=".96002pt" strokecolor="#5b9bd4">
              <v:stroke dashstyle="solid"/>
            </v:line>
            <v:line style="position:absolute" from="6735,305" to="7170,305" stroked="true" strokeweight=".96002pt" strokecolor="#5b9bd4">
              <v:stroke dashstyle="solid"/>
            </v:line>
            <v:line style="position:absolute" from="7170,305" to="7189,305" stroked="true" strokeweight=".96002pt" strokecolor="#5b9bd4">
              <v:stroke dashstyle="solid"/>
            </v:line>
            <v:line style="position:absolute" from="7189,305" to="7623,305" stroked="true" strokeweight=".96002pt" strokecolor="#5b9bd4">
              <v:stroke dashstyle="solid"/>
            </v:line>
            <v:line style="position:absolute" from="7623,305" to="7643,305" stroked="true" strokeweight=".96002pt" strokecolor="#5b9bd4">
              <v:stroke dashstyle="solid"/>
            </v:line>
            <v:line style="position:absolute" from="7643,305" to="8079,305" stroked="true" strokeweight=".96002pt" strokecolor="#5b9bd4">
              <v:stroke dashstyle="solid"/>
            </v:line>
            <v:line style="position:absolute" from="8079,305" to="8099,305" stroked="true" strokeweight=".96002pt" strokecolor="#5b9bd4">
              <v:stroke dashstyle="solid"/>
            </v:line>
            <v:line style="position:absolute" from="8099,305" to="8533,305" stroked="true" strokeweight=".96002pt" strokecolor="#5b9bd4">
              <v:stroke dashstyle="solid"/>
            </v:line>
            <v:line style="position:absolute" from="8533,305" to="8552,305" stroked="true" strokeweight=".96002pt" strokecolor="#5b9bd4">
              <v:stroke dashstyle="solid"/>
            </v:line>
            <v:line style="position:absolute" from="8552,305" to="8987,305" stroked="true" strokeweight=".96002pt" strokecolor="#5b9bd4">
              <v:stroke dashstyle="solid"/>
            </v:line>
            <v:line style="position:absolute" from="8987,305" to="9006,305" stroked="true" strokeweight=".96002pt" strokecolor="#5b9bd4">
              <v:stroke dashstyle="solid"/>
            </v:line>
            <v:line style="position:absolute" from="9006,305" to="9440,305" stroked="true" strokeweight=".96002pt" strokecolor="#5b9bd4">
              <v:stroke dashstyle="solid"/>
            </v:line>
            <v:line style="position:absolute" from="9440,305" to="9459,305" stroked="true" strokeweight=".96002pt" strokecolor="#5b9bd4">
              <v:stroke dashstyle="solid"/>
            </v:line>
            <v:line style="position:absolute" from="9459,305" to="9894,305" stroked="true" strokeweight=".96002pt" strokecolor="#5b9bd4">
              <v:stroke dashstyle="solid"/>
            </v:line>
            <v:line style="position:absolute" from="9894,305" to="9913,305" stroked="true" strokeweight=".96002pt" strokecolor="#5b9bd4">
              <v:stroke dashstyle="solid"/>
            </v:line>
            <v:line style="position:absolute" from="9913,305" to="10348,305" stroked="true" strokeweight=".96002pt" strokecolor="#5b9bd4">
              <v:stroke dashstyle="solid"/>
            </v:line>
            <v:line style="position:absolute" from="10348,305" to="10367,305" stroked="true" strokeweight=".96002pt" strokecolor="#5b9bd4">
              <v:stroke dashstyle="solid"/>
            </v:line>
            <v:line style="position:absolute" from="10367,305" to="10804,305" stroked="true" strokeweight=".96002pt" strokecolor="#5b9bd4">
              <v:stroke dashstyle="solid"/>
            </v:line>
            <v:line style="position:absolute" from="10804,305" to="10823,305" stroked="true" strokeweight=".96002pt" strokecolor="#5b9bd4">
              <v:stroke dashstyle="solid"/>
            </v:line>
            <v:line style="position:absolute" from="10823,305" to="11257,305" stroked="true" strokeweight=".96002pt" strokecolor="#5b9bd4">
              <v:stroke dashstyle="solid"/>
            </v:line>
            <v:line style="position:absolute" from="11257,305" to="11277,305" stroked="true" strokeweight=".96002pt" strokecolor="#5b9bd4">
              <v:stroke dashstyle="solid"/>
            </v:line>
            <v:line style="position:absolute" from="11277,305" to="11711,305" stroked="true" strokeweight=".96002pt" strokecolor="#5b9bd4">
              <v:stroke dashstyle="solid"/>
            </v:line>
            <v:line style="position:absolute" from="11711,305" to="11730,305" stroked="true" strokeweight=".96002pt" strokecolor="#5b9bd4">
              <v:stroke dashstyle="solid"/>
            </v:line>
            <v:line style="position:absolute" from="11730,305" to="12165,305" stroked="true" strokeweight=".96002pt" strokecolor="#5b9bd4">
              <v:stroke dashstyle="solid"/>
            </v:line>
            <v:line style="position:absolute" from="12165,305" to="12184,305" stroked="true" strokeweight=".96002pt" strokecolor="#5b9bd4">
              <v:stroke dashstyle="solid"/>
            </v:line>
            <v:line style="position:absolute" from="12184,305" to="12618,305" stroked="true" strokeweight=".96002pt" strokecolor="#5b9bd4">
              <v:stroke dashstyle="solid"/>
            </v:line>
            <v:line style="position:absolute" from="12618,305" to="12637,305" stroked="true" strokeweight=".96002pt" strokecolor="#5b9bd4">
              <v:stroke dashstyle="solid"/>
            </v:line>
            <v:line style="position:absolute" from="12637,305" to="13072,305" stroked="true" strokeweight=".96002pt" strokecolor="#5b9bd4">
              <v:stroke dashstyle="solid"/>
            </v:line>
            <v:line style="position:absolute" from="13072,305" to="13091,305" stroked="true" strokeweight=".96002pt" strokecolor="#5b9bd4">
              <v:stroke dashstyle="solid"/>
            </v:line>
            <v:line style="position:absolute" from="13091,305" to="13528,305" stroked="true" strokeweight=".96002pt" strokecolor="#5b9bd4">
              <v:stroke dashstyle="solid"/>
            </v:line>
            <v:line style="position:absolute" from="13528,305" to="13548,305" stroked="true" strokeweight=".96002pt" strokecolor="#5b9bd4">
              <v:stroke dashstyle="solid"/>
            </v:line>
            <v:line style="position:absolute" from="13548,305" to="13982,305" stroked="true" strokeweight=".96002pt" strokecolor="#5b9bd4">
              <v:stroke dashstyle="solid"/>
            </v:line>
            <v:line style="position:absolute" from="13982,305" to="14001,305" stroked="true" strokeweight=".96002pt" strokecolor="#5b9bd4">
              <v:stroke dashstyle="solid"/>
            </v:line>
            <v:line style="position:absolute" from="14001,305" to="14436,305" stroked="true" strokeweight=".96002pt" strokecolor="#5b9bd4">
              <v:stroke dashstyle="solid"/>
            </v:line>
            <v:line style="position:absolute" from="14436,305" to="14455,305" stroked="true" strokeweight=".96002pt" strokecolor="#5b9bd4">
              <v:stroke dashstyle="solid"/>
            </v:line>
            <v:line style="position:absolute" from="14455,305" to="14889,305" stroked="true" strokeweight=".96002pt" strokecolor="#5b9bd4">
              <v:stroke dashstyle="solid"/>
            </v:line>
            <v:line style="position:absolute" from="14889,305" to="14908,305" stroked="true" strokeweight=".96002pt" strokecolor="#5b9bd4">
              <v:stroke dashstyle="solid"/>
            </v:line>
            <v:line style="position:absolute" from="14908,305" to="15343,305" stroked="true" strokeweight=".96002pt" strokecolor="#5b9bd4">
              <v:stroke dashstyle="solid"/>
            </v:line>
            <v:line style="position:absolute" from="15343,305" to="15362,305" stroked="true" strokeweight=".96002pt" strokecolor="#5b9bd4">
              <v:stroke dashstyle="solid"/>
            </v:line>
            <v:line style="position:absolute" from="15362,305" to="15964,305" stroked="true" strokeweight=".96002pt" strokecolor="#5b9bd4">
              <v:stroke dashstyle="solid"/>
            </v:line>
            <w10:wrap type="none"/>
          </v:group>
        </w:pict>
      </w:r>
      <w:r>
        <w:rPr>
          <w:position w:val="-11"/>
          <w:sz w:val="20"/>
        </w:rPr>
        <w:t>23/06/15</w:t>
        <w:tab/>
      </w:r>
      <w:r>
        <w:rPr>
          <w:sz w:val="20"/>
        </w:rPr>
        <w:t>13</w:t>
        <w:tab/>
        <w:t>13</w:t>
        <w:tab/>
        <w:t>X  </w:t>
      </w:r>
      <w:r>
        <w:rPr>
          <w:spacing w:val="43"/>
          <w:sz w:val="20"/>
        </w:rPr>
        <w:t> </w:t>
      </w:r>
      <w:r>
        <w:rPr>
          <w:sz w:val="20"/>
        </w:rPr>
        <w:t>-</w:t>
        <w:tab/>
        <w:t>X</w:t>
        <w:tab/>
        <w:t>X </w:t>
      </w:r>
      <w:r>
        <w:rPr>
          <w:spacing w:val="38"/>
          <w:sz w:val="20"/>
        </w:rPr>
        <w:t> </w:t>
      </w:r>
      <w:r>
        <w:rPr>
          <w:sz w:val="20"/>
        </w:rPr>
        <w:t>15</w:t>
        <w:tab/>
        <w:t>9</w:t>
        <w:tab/>
        <w:t>15</w:t>
        <w:tab/>
        <w:t>6</w:t>
        <w:tab/>
        <w:t>3</w:t>
        <w:tab/>
        <w:t>8</w:t>
        <w:tab/>
        <w:t>6</w:t>
        <w:tab/>
        <w:t>8</w:t>
        <w:tab/>
        <w:t>9</w:t>
        <w:tab/>
        <w:t>6</w:t>
        <w:tab/>
        <w:t>8</w:t>
        <w:tab/>
        <w:t>36</w:t>
        <w:tab/>
        <w:t>22</w:t>
        <w:tab/>
        <w:t>151</w:t>
      </w:r>
    </w:p>
    <w:p>
      <w:pPr>
        <w:spacing w:line="173" w:lineRule="exact" w:before="15"/>
        <w:ind w:left="239" w:right="0" w:firstLine="0"/>
        <w:jc w:val="left"/>
        <w:rPr>
          <w:sz w:val="20"/>
        </w:rPr>
      </w:pPr>
      <w:r>
        <w:rPr>
          <w:sz w:val="20"/>
        </w:rPr>
        <w:t>342 de</w:t>
      </w:r>
    </w:p>
    <w:p>
      <w:pPr>
        <w:tabs>
          <w:tab w:pos="1259" w:val="left" w:leader="none"/>
          <w:tab w:pos="1825" w:val="left" w:leader="none"/>
          <w:tab w:pos="2391" w:val="left" w:leader="none"/>
          <w:tab w:pos="3184" w:val="left" w:leader="none"/>
          <w:tab w:pos="3753" w:val="left" w:leader="none"/>
          <w:tab w:pos="4490" w:val="left" w:leader="none"/>
          <w:tab w:pos="4943" w:val="left" w:leader="none"/>
          <w:tab w:pos="5397" w:val="left" w:leader="none"/>
          <w:tab w:pos="5853" w:val="left" w:leader="none"/>
          <w:tab w:pos="6306" w:val="left" w:leader="none"/>
          <w:tab w:pos="6760" w:val="left" w:leader="none"/>
          <w:tab w:pos="7214" w:val="left" w:leader="none"/>
          <w:tab w:pos="7668" w:val="left" w:leader="none"/>
          <w:tab w:pos="8121" w:val="left" w:leader="none"/>
          <w:tab w:pos="8577" w:val="left" w:leader="none"/>
          <w:tab w:pos="9031" w:val="left" w:leader="none"/>
          <w:tab w:pos="9484" w:val="left" w:leader="none"/>
          <w:tab w:pos="9938" w:val="left" w:leader="none"/>
          <w:tab w:pos="10392" w:val="left" w:leader="none"/>
          <w:tab w:pos="10846" w:val="left" w:leader="none"/>
          <w:tab w:pos="11302" w:val="left" w:leader="none"/>
          <w:tab w:pos="11755" w:val="left" w:leader="none"/>
          <w:tab w:pos="12209" w:val="left" w:leader="none"/>
          <w:tab w:pos="12663" w:val="left" w:leader="none"/>
        </w:tabs>
        <w:spacing w:line="293" w:lineRule="exact" w:before="0"/>
        <w:ind w:left="239" w:right="0" w:firstLine="0"/>
        <w:jc w:val="left"/>
        <w:rPr>
          <w:sz w:val="20"/>
        </w:rPr>
      </w:pPr>
      <w:r>
        <w:rPr/>
        <w:pict>
          <v:group style="position:absolute;margin-left:49.060001pt;margin-top:14.606431pt;width:749.7pt;height:1pt;mso-position-horizontal-relative:page;mso-position-vertical-relative:paragraph;z-index:-361792" coordorigin="981,292" coordsize="14994,20">
            <v:line style="position:absolute" from="991,302" to="2919,302" stroked="true" strokeweight=".95999pt" strokecolor="#5b9bd4">
              <v:stroke dashstyle="solid"/>
            </v:line>
            <v:line style="position:absolute" from="2919,302" to="2938,302" stroked="true" strokeweight=".95999pt" strokecolor="#5b9bd4">
              <v:stroke dashstyle="solid"/>
            </v:line>
            <v:line style="position:absolute" from="2938,302" to="3939,302" stroked="true" strokeweight=".95999pt" strokecolor="#5b9bd4">
              <v:stroke dashstyle="solid"/>
            </v:line>
            <v:line style="position:absolute" from="3939,302" to="3958,302" stroked="true" strokeweight=".95999pt" strokecolor="#5b9bd4">
              <v:stroke dashstyle="solid"/>
            </v:line>
            <v:line style="position:absolute" from="3958,302" to="4505,302" stroked="true" strokeweight=".95999pt" strokecolor="#5b9bd4">
              <v:stroke dashstyle="solid"/>
            </v:line>
            <v:line style="position:absolute" from="4505,302" to="4524,302" stroked="true" strokeweight=".95999pt" strokecolor="#5b9bd4">
              <v:stroke dashstyle="solid"/>
            </v:line>
            <v:line style="position:absolute" from="4524,302" to="5074,302" stroked="true" strokeweight=".95999pt" strokecolor="#5b9bd4">
              <v:stroke dashstyle="solid"/>
            </v:line>
            <v:line style="position:absolute" from="5074,302" to="5093,302" stroked="true" strokeweight=".95999pt" strokecolor="#5b9bd4">
              <v:stroke dashstyle="solid"/>
            </v:line>
            <v:line style="position:absolute" from="5093,302" to="5410,302" stroked="true" strokeweight=".95999pt" strokecolor="#5b9bd4">
              <v:stroke dashstyle="solid"/>
            </v:line>
            <v:line style="position:absolute" from="5410,302" to="5429,302" stroked="true" strokeweight=".95999pt" strokecolor="#5b9bd4">
              <v:stroke dashstyle="solid"/>
            </v:line>
            <v:line style="position:absolute" from="5429,302" to="5866,302" stroked="true" strokeweight=".95999pt" strokecolor="#5b9bd4">
              <v:stroke dashstyle="solid"/>
            </v:line>
            <v:line style="position:absolute" from="5867,302" to="5886,302" stroked="true" strokeweight=".95999pt" strokecolor="#5b9bd4">
              <v:stroke dashstyle="solid"/>
            </v:line>
            <v:line style="position:absolute" from="5886,302" to="6433,302" stroked="true" strokeweight=".95999pt" strokecolor="#5b9bd4">
              <v:stroke dashstyle="solid"/>
            </v:line>
            <v:line style="position:absolute" from="6433,302" to="6452,302" stroked="true" strokeweight=".95999pt" strokecolor="#5b9bd4">
              <v:stroke dashstyle="solid"/>
            </v:line>
            <v:line style="position:absolute" from="6452,302" to="6716,302" stroked="true" strokeweight=".95999pt" strokecolor="#5b9bd4">
              <v:stroke dashstyle="solid"/>
            </v:line>
            <v:line style="position:absolute" from="6716,302" to="6735,302" stroked="true" strokeweight=".95999pt" strokecolor="#5b9bd4">
              <v:stroke dashstyle="solid"/>
            </v:line>
            <v:line style="position:absolute" from="6735,302" to="7170,302" stroked="true" strokeweight=".95999pt" strokecolor="#5b9bd4">
              <v:stroke dashstyle="solid"/>
            </v:line>
            <v:line style="position:absolute" from="7170,302" to="7189,302" stroked="true" strokeweight=".95999pt" strokecolor="#5b9bd4">
              <v:stroke dashstyle="solid"/>
            </v:line>
            <v:line style="position:absolute" from="7189,302" to="7623,302" stroked="true" strokeweight=".95999pt" strokecolor="#5b9bd4">
              <v:stroke dashstyle="solid"/>
            </v:line>
            <v:line style="position:absolute" from="7623,302" to="7643,302" stroked="true" strokeweight=".95999pt" strokecolor="#5b9bd4">
              <v:stroke dashstyle="solid"/>
            </v:line>
            <v:line style="position:absolute" from="7643,302" to="8079,302" stroked="true" strokeweight=".95999pt" strokecolor="#5b9bd4">
              <v:stroke dashstyle="solid"/>
            </v:line>
            <v:line style="position:absolute" from="8079,302" to="8099,302" stroked="true" strokeweight=".95999pt" strokecolor="#5b9bd4">
              <v:stroke dashstyle="solid"/>
            </v:line>
            <v:line style="position:absolute" from="8099,302" to="8533,302" stroked="true" strokeweight=".95999pt" strokecolor="#5b9bd4">
              <v:stroke dashstyle="solid"/>
            </v:line>
            <v:line style="position:absolute" from="8533,302" to="8552,302" stroked="true" strokeweight=".95999pt" strokecolor="#5b9bd4">
              <v:stroke dashstyle="solid"/>
            </v:line>
            <v:line style="position:absolute" from="8552,302" to="8987,302" stroked="true" strokeweight=".95999pt" strokecolor="#5b9bd4">
              <v:stroke dashstyle="solid"/>
            </v:line>
            <v:line style="position:absolute" from="8987,302" to="9006,302" stroked="true" strokeweight=".95999pt" strokecolor="#5b9bd4">
              <v:stroke dashstyle="solid"/>
            </v:line>
            <v:line style="position:absolute" from="9006,302" to="9440,302" stroked="true" strokeweight=".95999pt" strokecolor="#5b9bd4">
              <v:stroke dashstyle="solid"/>
            </v:line>
            <v:line style="position:absolute" from="9440,302" to="9459,302" stroked="true" strokeweight=".95999pt" strokecolor="#5b9bd4">
              <v:stroke dashstyle="solid"/>
            </v:line>
            <v:line style="position:absolute" from="9459,302" to="9894,302" stroked="true" strokeweight=".95999pt" strokecolor="#5b9bd4">
              <v:stroke dashstyle="solid"/>
            </v:line>
            <v:line style="position:absolute" from="9894,302" to="9913,302" stroked="true" strokeweight=".95999pt" strokecolor="#5b9bd4">
              <v:stroke dashstyle="solid"/>
            </v:line>
            <v:line style="position:absolute" from="9913,302" to="10348,302" stroked="true" strokeweight=".95999pt" strokecolor="#5b9bd4">
              <v:stroke dashstyle="solid"/>
            </v:line>
            <v:line style="position:absolute" from="10348,302" to="10367,302" stroked="true" strokeweight=".95999pt" strokecolor="#5b9bd4">
              <v:stroke dashstyle="solid"/>
            </v:line>
            <v:line style="position:absolute" from="10367,302" to="10804,302" stroked="true" strokeweight=".95999pt" strokecolor="#5b9bd4">
              <v:stroke dashstyle="solid"/>
            </v:line>
            <v:line style="position:absolute" from="10804,302" to="10823,302" stroked="true" strokeweight=".95999pt" strokecolor="#5b9bd4">
              <v:stroke dashstyle="solid"/>
            </v:line>
            <v:line style="position:absolute" from="10823,302" to="11257,302" stroked="true" strokeweight=".95999pt" strokecolor="#5b9bd4">
              <v:stroke dashstyle="solid"/>
            </v:line>
            <v:line style="position:absolute" from="11257,302" to="11277,302" stroked="true" strokeweight=".95999pt" strokecolor="#5b9bd4">
              <v:stroke dashstyle="solid"/>
            </v:line>
            <v:line style="position:absolute" from="11277,302" to="11711,302" stroked="true" strokeweight=".95999pt" strokecolor="#5b9bd4">
              <v:stroke dashstyle="solid"/>
            </v:line>
            <v:line style="position:absolute" from="11711,302" to="11730,302" stroked="true" strokeweight=".95999pt" strokecolor="#5b9bd4">
              <v:stroke dashstyle="solid"/>
            </v:line>
            <v:line style="position:absolute" from="11730,302" to="12165,302" stroked="true" strokeweight=".95999pt" strokecolor="#5b9bd4">
              <v:stroke dashstyle="solid"/>
            </v:line>
            <v:line style="position:absolute" from="12165,302" to="12184,302" stroked="true" strokeweight=".95999pt" strokecolor="#5b9bd4">
              <v:stroke dashstyle="solid"/>
            </v:line>
            <v:line style="position:absolute" from="12184,302" to="12618,302" stroked="true" strokeweight=".95999pt" strokecolor="#5b9bd4">
              <v:stroke dashstyle="solid"/>
            </v:line>
            <v:line style="position:absolute" from="12618,302" to="12637,302" stroked="true" strokeweight=".95999pt" strokecolor="#5b9bd4">
              <v:stroke dashstyle="solid"/>
            </v:line>
            <v:line style="position:absolute" from="12637,302" to="13072,302" stroked="true" strokeweight=".95999pt" strokecolor="#5b9bd4">
              <v:stroke dashstyle="solid"/>
            </v:line>
            <v:line style="position:absolute" from="13072,302" to="13091,302" stroked="true" strokeweight=".95999pt" strokecolor="#5b9bd4">
              <v:stroke dashstyle="solid"/>
            </v:line>
            <v:line style="position:absolute" from="13091,302" to="13528,302" stroked="true" strokeweight=".95999pt" strokecolor="#5b9bd4">
              <v:stroke dashstyle="solid"/>
            </v:line>
            <v:line style="position:absolute" from="13528,302" to="13548,302" stroked="true" strokeweight=".95999pt" strokecolor="#5b9bd4">
              <v:stroke dashstyle="solid"/>
            </v:line>
            <v:line style="position:absolute" from="13548,302" to="13982,302" stroked="true" strokeweight=".95999pt" strokecolor="#5b9bd4">
              <v:stroke dashstyle="solid"/>
            </v:line>
            <v:line style="position:absolute" from="13982,302" to="14001,302" stroked="true" strokeweight=".95999pt" strokecolor="#5b9bd4">
              <v:stroke dashstyle="solid"/>
            </v:line>
            <v:line style="position:absolute" from="14001,302" to="14436,302" stroked="true" strokeweight=".95999pt" strokecolor="#5b9bd4">
              <v:stroke dashstyle="solid"/>
            </v:line>
            <v:line style="position:absolute" from="14436,302" to="14455,302" stroked="true" strokeweight=".95999pt" strokecolor="#5b9bd4">
              <v:stroke dashstyle="solid"/>
            </v:line>
            <v:line style="position:absolute" from="14455,302" to="14889,302" stroked="true" strokeweight=".95999pt" strokecolor="#5b9bd4">
              <v:stroke dashstyle="solid"/>
            </v:line>
            <v:line style="position:absolute" from="14889,302" to="14908,302" stroked="true" strokeweight=".95999pt" strokecolor="#5b9bd4">
              <v:stroke dashstyle="solid"/>
            </v:line>
            <v:line style="position:absolute" from="14908,302" to="15343,302" stroked="true" strokeweight=".95999pt" strokecolor="#5b9bd4">
              <v:stroke dashstyle="solid"/>
            </v:line>
            <v:line style="position:absolute" from="15343,302" to="15362,302" stroked="true" strokeweight=".95999pt" strokecolor="#5b9bd4">
              <v:stroke dashstyle="solid"/>
            </v:line>
            <v:line style="position:absolute" from="15362,302" to="15964,302" stroked="true" strokeweight=".95999pt" strokecolor="#5b9bd4">
              <v:stroke dashstyle="solid"/>
            </v:line>
            <w10:wrap type="none"/>
          </v:group>
        </w:pict>
      </w:r>
      <w:r>
        <w:rPr>
          <w:position w:val="-11"/>
          <w:sz w:val="20"/>
        </w:rPr>
        <w:t>19/06/15</w:t>
        <w:tab/>
      </w:r>
      <w:r>
        <w:rPr>
          <w:sz w:val="20"/>
        </w:rPr>
        <w:t>12</w:t>
        <w:tab/>
        <w:t>18</w:t>
        <w:tab/>
        <w:t>X  </w:t>
      </w:r>
      <w:r>
        <w:rPr>
          <w:spacing w:val="43"/>
          <w:sz w:val="20"/>
        </w:rPr>
        <w:t> </w:t>
      </w:r>
      <w:r>
        <w:rPr>
          <w:sz w:val="20"/>
        </w:rPr>
        <w:t>X</w:t>
        <w:tab/>
        <w:t>X</w:t>
        <w:tab/>
        <w:t>X </w:t>
      </w:r>
      <w:r>
        <w:rPr>
          <w:spacing w:val="38"/>
          <w:sz w:val="20"/>
        </w:rPr>
        <w:t> </w:t>
      </w:r>
      <w:r>
        <w:rPr>
          <w:sz w:val="20"/>
        </w:rPr>
        <w:t>21</w:t>
        <w:tab/>
        <w:t>12</w:t>
        <w:tab/>
        <w:t>14</w:t>
        <w:tab/>
        <w:t>15</w:t>
        <w:tab/>
        <w:t>6</w:t>
        <w:tab/>
        <w:t>9</w:t>
        <w:tab/>
        <w:t>52</w:t>
        <w:tab/>
        <w:t>6</w:t>
        <w:tab/>
        <w:t>10</w:t>
        <w:tab/>
        <w:t>9</w:t>
        <w:tab/>
        <w:t>6</w:t>
        <w:tab/>
        <w:t>6</w:t>
        <w:tab/>
        <w:t>5</w:t>
        <w:tab/>
        <w:t>6</w:t>
        <w:tab/>
        <w:t>12</w:t>
        <w:tab/>
        <w:t>5</w:t>
        <w:tab/>
        <w:t>8</w:t>
        <w:tab/>
        <w:t>9</w:t>
        <w:tab/>
        <w:t>-</w:t>
        <w:tab/>
        <w:t>211</w:t>
      </w:r>
    </w:p>
    <w:p>
      <w:pPr>
        <w:spacing w:after="0" w:line="293" w:lineRule="exact"/>
        <w:jc w:val="left"/>
        <w:rPr>
          <w:sz w:val="20"/>
        </w:rPr>
        <w:sectPr>
          <w:type w:val="continuous"/>
          <w:pgSz w:w="16840" w:h="11910" w:orient="landscape"/>
          <w:pgMar w:top="1580" w:bottom="280" w:left="860" w:right="740"/>
          <w:cols w:num="2" w:equalWidth="0">
            <w:col w:w="1531" w:space="396"/>
            <w:col w:w="13313"/>
          </w:cols>
        </w:sectPr>
      </w:pPr>
    </w:p>
    <w:p>
      <w:pPr>
        <w:tabs>
          <w:tab w:pos="2166" w:val="left" w:leader="none"/>
          <w:tab w:pos="3186" w:val="left" w:leader="none"/>
          <w:tab w:pos="3753" w:val="left" w:leader="none"/>
          <w:tab w:pos="4319" w:val="left" w:leader="none"/>
          <w:tab w:pos="4657" w:val="left" w:leader="none"/>
          <w:tab w:pos="5112" w:val="left" w:leader="none"/>
          <w:tab w:pos="5680" w:val="left" w:leader="none"/>
          <w:tab w:pos="6417" w:val="left" w:leader="none"/>
          <w:tab w:pos="6871" w:val="left" w:leader="none"/>
          <w:tab w:pos="7324" w:val="left" w:leader="none"/>
          <w:tab w:pos="7780" w:val="left" w:leader="none"/>
          <w:tab w:pos="8234" w:val="left" w:leader="none"/>
          <w:tab w:pos="8688" w:val="left" w:leader="none"/>
          <w:tab w:pos="9142" w:val="left" w:leader="none"/>
          <w:tab w:pos="9595" w:val="left" w:leader="none"/>
          <w:tab w:pos="10049" w:val="left" w:leader="none"/>
          <w:tab w:pos="10505" w:val="left" w:leader="none"/>
          <w:tab w:pos="10958" w:val="left" w:leader="none"/>
          <w:tab w:pos="11412" w:val="left" w:leader="none"/>
          <w:tab w:pos="11866" w:val="left" w:leader="none"/>
          <w:tab w:pos="14893" w:val="right" w:leader="hyphen"/>
        </w:tabs>
        <w:spacing w:line="244" w:lineRule="exact" w:before="10"/>
        <w:ind w:left="239" w:right="0" w:firstLine="0"/>
        <w:jc w:val="left"/>
        <w:rPr>
          <w:sz w:val="20"/>
        </w:rPr>
      </w:pPr>
      <w:r>
        <w:rPr>
          <w:sz w:val="20"/>
        </w:rPr>
        <w:t>Lagoa</w:t>
      </w:r>
      <w:r>
        <w:rPr>
          <w:spacing w:val="-2"/>
          <w:sz w:val="20"/>
        </w:rPr>
        <w:t> </w:t>
      </w:r>
      <w:r>
        <w:rPr>
          <w:sz w:val="20"/>
        </w:rPr>
        <w:t>da</w:t>
      </w:r>
      <w:r>
        <w:rPr>
          <w:spacing w:val="-2"/>
          <w:sz w:val="20"/>
        </w:rPr>
        <w:t> </w:t>
      </w:r>
      <w:r>
        <w:rPr>
          <w:sz w:val="20"/>
        </w:rPr>
        <w:t>Confusão</w:t>
        <w:tab/>
      </w:r>
      <w:r>
        <w:rPr>
          <w:position w:val="12"/>
          <w:sz w:val="20"/>
        </w:rPr>
        <w:t>688</w:t>
      </w:r>
      <w:r>
        <w:rPr>
          <w:spacing w:val="1"/>
          <w:position w:val="12"/>
          <w:sz w:val="20"/>
        </w:rPr>
        <w:t> </w:t>
      </w:r>
      <w:r>
        <w:rPr>
          <w:position w:val="12"/>
          <w:sz w:val="20"/>
        </w:rPr>
        <w:t>de</w:t>
        <w:tab/>
      </w:r>
      <w:r>
        <w:rPr>
          <w:sz w:val="20"/>
        </w:rPr>
        <w:t>14</w:t>
        <w:tab/>
        <w:t>14</w:t>
        <w:tab/>
        <w:t>-</w:t>
        <w:tab/>
        <w:t>-</w:t>
        <w:tab/>
        <w:t>X</w:t>
        <w:tab/>
        <w:t>X </w:t>
      </w:r>
      <w:r>
        <w:rPr>
          <w:spacing w:val="38"/>
          <w:sz w:val="20"/>
        </w:rPr>
        <w:t> </w:t>
      </w:r>
      <w:r>
        <w:rPr>
          <w:sz w:val="20"/>
        </w:rPr>
        <w:t>12</w:t>
        <w:tab/>
        <w:t>14</w:t>
        <w:tab/>
        <w:t>7</w:t>
        <w:tab/>
        <w:t>14</w:t>
        <w:tab/>
        <w:t>15</w:t>
        <w:tab/>
        <w:t>9</w:t>
        <w:tab/>
        <w:t>37</w:t>
        <w:tab/>
        <w:t>11</w:t>
        <w:tab/>
        <w:t>23</w:t>
        <w:tab/>
        <w:t>10</w:t>
        <w:tab/>
        <w:t>8</w:t>
        <w:tab/>
        <w:t>7</w:t>
        <w:tab/>
        <w:t>12</w:t>
        <w:tab/>
        <w:t>9</w:t>
        <w:tab/>
        <w:t>188</w:t>
      </w:r>
    </w:p>
    <w:p>
      <w:pPr>
        <w:tabs>
          <w:tab w:pos="2166" w:val="left" w:leader="none"/>
          <w:tab w:pos="15104" w:val="left" w:leader="none"/>
        </w:tabs>
        <w:spacing w:line="221" w:lineRule="exact" w:before="0"/>
        <w:ind w:left="131" w:right="0" w:firstLine="0"/>
        <w:jc w:val="left"/>
        <w:rPr>
          <w:sz w:val="20"/>
        </w:rPr>
      </w:pPr>
      <w:r>
        <w:rPr>
          <w:w w:val="99"/>
          <w:sz w:val="20"/>
          <w:u w:val="single" w:color="5B9BD4"/>
        </w:rPr>
        <w:t> </w:t>
      </w:r>
      <w:r>
        <w:rPr>
          <w:sz w:val="20"/>
          <w:u w:val="single" w:color="5B9BD4"/>
        </w:rPr>
        <w:tab/>
        <w:t>15/06/15</w:t>
        <w:tab/>
      </w:r>
    </w:p>
    <w:p>
      <w:pPr>
        <w:spacing w:line="124" w:lineRule="exact" w:before="43"/>
        <w:ind w:left="2166" w:right="0" w:firstLine="0"/>
        <w:jc w:val="left"/>
        <w:rPr>
          <w:sz w:val="20"/>
        </w:rPr>
      </w:pPr>
      <w:r>
        <w:rPr>
          <w:sz w:val="20"/>
        </w:rPr>
        <w:t>1 de</w:t>
      </w:r>
    </w:p>
    <w:p>
      <w:pPr>
        <w:spacing w:after="0" w:line="124" w:lineRule="exact"/>
        <w:jc w:val="left"/>
        <w:rPr>
          <w:sz w:val="20"/>
        </w:rPr>
        <w:sectPr>
          <w:type w:val="continuous"/>
          <w:pgSz w:w="16840" w:h="11910" w:orient="landscape"/>
          <w:pgMar w:top="1580" w:bottom="280" w:left="860" w:right="740"/>
        </w:sectPr>
      </w:pPr>
    </w:p>
    <w:p>
      <w:pPr>
        <w:spacing w:line="220" w:lineRule="exact" w:before="0"/>
        <w:ind w:left="239" w:right="0" w:firstLine="0"/>
        <w:jc w:val="left"/>
        <w:rPr>
          <w:sz w:val="20"/>
        </w:rPr>
      </w:pPr>
      <w:r>
        <w:rPr>
          <w:sz w:val="20"/>
        </w:rPr>
        <w:t>Pedro</w:t>
      </w:r>
      <w:r>
        <w:rPr>
          <w:spacing w:val="-9"/>
          <w:sz w:val="20"/>
        </w:rPr>
        <w:t> </w:t>
      </w:r>
      <w:r>
        <w:rPr>
          <w:sz w:val="20"/>
        </w:rPr>
        <w:t>Afonso</w:t>
      </w:r>
    </w:p>
    <w:p>
      <w:pPr>
        <w:tabs>
          <w:tab w:pos="1259" w:val="left" w:leader="none"/>
          <w:tab w:pos="1825" w:val="left" w:leader="none"/>
          <w:tab w:pos="2391" w:val="left" w:leader="none"/>
          <w:tab w:pos="3184" w:val="left" w:leader="none"/>
          <w:tab w:pos="3753" w:val="left" w:leader="none"/>
          <w:tab w:pos="4490" w:val="left" w:leader="none"/>
          <w:tab w:pos="4943" w:val="left" w:leader="none"/>
          <w:tab w:pos="5397" w:val="left" w:leader="none"/>
          <w:tab w:pos="5853" w:val="left" w:leader="none"/>
          <w:tab w:pos="6306" w:val="left" w:leader="none"/>
          <w:tab w:pos="6760" w:val="left" w:leader="none"/>
          <w:tab w:pos="7214" w:val="left" w:leader="none"/>
          <w:tab w:pos="7668" w:val="left" w:leader="none"/>
          <w:tab w:pos="8121" w:val="left" w:leader="none"/>
          <w:tab w:pos="8577" w:val="left" w:leader="none"/>
          <w:tab w:pos="12965" w:val="right" w:leader="hyphen"/>
        </w:tabs>
        <w:spacing w:line="340" w:lineRule="exact" w:before="0"/>
        <w:ind w:left="239" w:right="0" w:firstLine="0"/>
        <w:jc w:val="left"/>
        <w:rPr>
          <w:sz w:val="20"/>
        </w:rPr>
      </w:pPr>
      <w:r>
        <w:rPr/>
        <w:br w:type="column"/>
      </w:r>
      <w:r>
        <w:rPr>
          <w:position w:val="-11"/>
          <w:sz w:val="20"/>
        </w:rPr>
        <w:t>27/05/15</w:t>
        <w:tab/>
      </w:r>
      <w:r>
        <w:rPr>
          <w:sz w:val="20"/>
        </w:rPr>
        <w:t>2</w:t>
        <w:tab/>
        <w:t>11</w:t>
        <w:tab/>
        <w:t>X  </w:t>
      </w:r>
      <w:r>
        <w:rPr>
          <w:spacing w:val="43"/>
          <w:sz w:val="20"/>
        </w:rPr>
        <w:t> </w:t>
      </w:r>
      <w:r>
        <w:rPr>
          <w:sz w:val="20"/>
        </w:rPr>
        <w:t>-</w:t>
        <w:tab/>
        <w:t>X</w:t>
        <w:tab/>
        <w:t>X </w:t>
      </w:r>
      <w:r>
        <w:rPr>
          <w:spacing w:val="38"/>
          <w:sz w:val="20"/>
        </w:rPr>
        <w:t> </w:t>
      </w:r>
      <w:r>
        <w:rPr>
          <w:sz w:val="20"/>
        </w:rPr>
        <w:t>11</w:t>
        <w:tab/>
        <w:t>20</w:t>
        <w:tab/>
        <w:t>10</w:t>
        <w:tab/>
        <w:t>18</w:t>
        <w:tab/>
        <w:t>18</w:t>
        <w:tab/>
        <w:t>3</w:t>
        <w:tab/>
        <w:t>11</w:t>
        <w:tab/>
        <w:t>13</w:t>
        <w:tab/>
        <w:t>15</w:t>
        <w:tab/>
        <w:t>12</w:t>
        <w:tab/>
        <w:t>10</w:t>
        <w:tab/>
        <w:t>141</w:t>
      </w:r>
    </w:p>
    <w:p>
      <w:pPr>
        <w:spacing w:after="0" w:line="340" w:lineRule="exact"/>
        <w:jc w:val="left"/>
        <w:rPr>
          <w:sz w:val="20"/>
        </w:rPr>
        <w:sectPr>
          <w:type w:val="continuous"/>
          <w:pgSz w:w="16840" w:h="11910" w:orient="landscape"/>
          <w:pgMar w:top="1580" w:bottom="280" w:left="860" w:right="740"/>
          <w:cols w:num="2" w:equalWidth="0">
            <w:col w:w="1341" w:space="586"/>
            <w:col w:w="13313"/>
          </w:cols>
        </w:sectPr>
      </w:pPr>
    </w:p>
    <w:p>
      <w:pPr>
        <w:tabs>
          <w:tab w:pos="2166" w:val="left" w:leader="none"/>
        </w:tabs>
        <w:spacing w:line="120" w:lineRule="auto" w:before="154"/>
        <w:ind w:left="2166" w:right="0" w:hanging="1928"/>
        <w:jc w:val="left"/>
        <w:rPr>
          <w:sz w:val="20"/>
        </w:rPr>
      </w:pPr>
      <w:r>
        <w:rPr/>
        <w:pict>
          <v:group style="position:absolute;margin-left:49.060001pt;margin-top:1.307976pt;width:749.7pt;height:1pt;mso-position-horizontal-relative:page;mso-position-vertical-relative:paragraph;z-index:4264" coordorigin="981,26" coordsize="14994,20">
            <v:line style="position:absolute" from="991,36" to="2919,36" stroked="true" strokeweight=".95999pt" strokecolor="#5b9bd4">
              <v:stroke dashstyle="solid"/>
            </v:line>
            <v:line style="position:absolute" from="2919,36" to="2938,36" stroked="true" strokeweight=".95999pt" strokecolor="#5b9bd4">
              <v:stroke dashstyle="solid"/>
            </v:line>
            <v:line style="position:absolute" from="2938,36" to="3939,36" stroked="true" strokeweight=".95999pt" strokecolor="#5b9bd4">
              <v:stroke dashstyle="solid"/>
            </v:line>
            <v:line style="position:absolute" from="3939,36" to="3958,36" stroked="true" strokeweight=".95999pt" strokecolor="#5b9bd4">
              <v:stroke dashstyle="solid"/>
            </v:line>
            <v:line style="position:absolute" from="3958,36" to="4505,36" stroked="true" strokeweight=".95999pt" strokecolor="#5b9bd4">
              <v:stroke dashstyle="solid"/>
            </v:line>
            <v:line style="position:absolute" from="4505,36" to="4524,36" stroked="true" strokeweight=".95999pt" strokecolor="#5b9bd4">
              <v:stroke dashstyle="solid"/>
            </v:line>
            <v:line style="position:absolute" from="4524,36" to="5074,36" stroked="true" strokeweight=".95999pt" strokecolor="#5b9bd4">
              <v:stroke dashstyle="solid"/>
            </v:line>
            <v:line style="position:absolute" from="5074,36" to="5093,36" stroked="true" strokeweight=".95999pt" strokecolor="#5b9bd4">
              <v:stroke dashstyle="solid"/>
            </v:line>
            <v:line style="position:absolute" from="5093,36" to="5410,36" stroked="true" strokeweight=".95999pt" strokecolor="#5b9bd4">
              <v:stroke dashstyle="solid"/>
            </v:line>
            <v:line style="position:absolute" from="5410,36" to="5429,36" stroked="true" strokeweight=".95999pt" strokecolor="#5b9bd4">
              <v:stroke dashstyle="solid"/>
            </v:line>
            <v:line style="position:absolute" from="5429,36" to="5866,36" stroked="true" strokeweight=".95999pt" strokecolor="#5b9bd4">
              <v:stroke dashstyle="solid"/>
            </v:line>
            <v:line style="position:absolute" from="5867,36" to="5886,36" stroked="true" strokeweight=".95999pt" strokecolor="#5b9bd4">
              <v:stroke dashstyle="solid"/>
            </v:line>
            <v:line style="position:absolute" from="5886,36" to="6433,36" stroked="true" strokeweight=".95999pt" strokecolor="#5b9bd4">
              <v:stroke dashstyle="solid"/>
            </v:line>
            <v:line style="position:absolute" from="6433,36" to="6452,36" stroked="true" strokeweight=".95999pt" strokecolor="#5b9bd4">
              <v:stroke dashstyle="solid"/>
            </v:line>
            <v:line style="position:absolute" from="6452,36" to="6716,36" stroked="true" strokeweight=".95999pt" strokecolor="#5b9bd4">
              <v:stroke dashstyle="solid"/>
            </v:line>
            <v:line style="position:absolute" from="6716,36" to="6735,36" stroked="true" strokeweight=".95999pt" strokecolor="#5b9bd4">
              <v:stroke dashstyle="solid"/>
            </v:line>
            <v:line style="position:absolute" from="6735,36" to="7170,36" stroked="true" strokeweight=".95999pt" strokecolor="#5b9bd4">
              <v:stroke dashstyle="solid"/>
            </v:line>
            <v:line style="position:absolute" from="7170,36" to="7189,36" stroked="true" strokeweight=".95999pt" strokecolor="#5b9bd4">
              <v:stroke dashstyle="solid"/>
            </v:line>
            <v:line style="position:absolute" from="7189,36" to="7623,36" stroked="true" strokeweight=".95999pt" strokecolor="#5b9bd4">
              <v:stroke dashstyle="solid"/>
            </v:line>
            <v:line style="position:absolute" from="7623,36" to="7643,36" stroked="true" strokeweight=".95999pt" strokecolor="#5b9bd4">
              <v:stroke dashstyle="solid"/>
            </v:line>
            <v:line style="position:absolute" from="7643,36" to="8079,36" stroked="true" strokeweight=".95999pt" strokecolor="#5b9bd4">
              <v:stroke dashstyle="solid"/>
            </v:line>
            <v:line style="position:absolute" from="8079,36" to="8099,36" stroked="true" strokeweight=".95999pt" strokecolor="#5b9bd4">
              <v:stroke dashstyle="solid"/>
            </v:line>
            <v:line style="position:absolute" from="8099,36" to="8533,36" stroked="true" strokeweight=".95999pt" strokecolor="#5b9bd4">
              <v:stroke dashstyle="solid"/>
            </v:line>
            <v:line style="position:absolute" from="8533,36" to="8552,36" stroked="true" strokeweight=".95999pt" strokecolor="#5b9bd4">
              <v:stroke dashstyle="solid"/>
            </v:line>
            <v:line style="position:absolute" from="8552,36" to="8987,36" stroked="true" strokeweight=".95999pt" strokecolor="#5b9bd4">
              <v:stroke dashstyle="solid"/>
            </v:line>
            <v:line style="position:absolute" from="8987,36" to="9006,36" stroked="true" strokeweight=".95999pt" strokecolor="#5b9bd4">
              <v:stroke dashstyle="solid"/>
            </v:line>
            <v:line style="position:absolute" from="9006,36" to="9440,36" stroked="true" strokeweight=".95999pt" strokecolor="#5b9bd4">
              <v:stroke dashstyle="solid"/>
            </v:line>
            <v:line style="position:absolute" from="9440,36" to="9459,36" stroked="true" strokeweight=".95999pt" strokecolor="#5b9bd4">
              <v:stroke dashstyle="solid"/>
            </v:line>
            <v:line style="position:absolute" from="9459,36" to="9894,36" stroked="true" strokeweight=".95999pt" strokecolor="#5b9bd4">
              <v:stroke dashstyle="solid"/>
            </v:line>
            <v:line style="position:absolute" from="9894,36" to="9913,36" stroked="true" strokeweight=".95999pt" strokecolor="#5b9bd4">
              <v:stroke dashstyle="solid"/>
            </v:line>
            <v:line style="position:absolute" from="9913,36" to="10348,36" stroked="true" strokeweight=".95999pt" strokecolor="#5b9bd4">
              <v:stroke dashstyle="solid"/>
            </v:line>
            <v:line style="position:absolute" from="10348,36" to="10367,36" stroked="true" strokeweight=".95999pt" strokecolor="#5b9bd4">
              <v:stroke dashstyle="solid"/>
            </v:line>
            <v:line style="position:absolute" from="10367,36" to="10804,36" stroked="true" strokeweight=".95999pt" strokecolor="#5b9bd4">
              <v:stroke dashstyle="solid"/>
            </v:line>
            <v:line style="position:absolute" from="10804,36" to="10823,36" stroked="true" strokeweight=".95999pt" strokecolor="#5b9bd4">
              <v:stroke dashstyle="solid"/>
            </v:line>
            <v:line style="position:absolute" from="10823,36" to="11257,36" stroked="true" strokeweight=".95999pt" strokecolor="#5b9bd4">
              <v:stroke dashstyle="solid"/>
            </v:line>
            <v:line style="position:absolute" from="11257,36" to="11277,36" stroked="true" strokeweight=".95999pt" strokecolor="#5b9bd4">
              <v:stroke dashstyle="solid"/>
            </v:line>
            <v:line style="position:absolute" from="11277,36" to="11711,36" stroked="true" strokeweight=".95999pt" strokecolor="#5b9bd4">
              <v:stroke dashstyle="solid"/>
            </v:line>
            <v:line style="position:absolute" from="11711,36" to="11730,36" stroked="true" strokeweight=".95999pt" strokecolor="#5b9bd4">
              <v:stroke dashstyle="solid"/>
            </v:line>
            <v:line style="position:absolute" from="11730,36" to="12165,36" stroked="true" strokeweight=".95999pt" strokecolor="#5b9bd4">
              <v:stroke dashstyle="solid"/>
            </v:line>
            <v:line style="position:absolute" from="12165,36" to="12184,36" stroked="true" strokeweight=".95999pt" strokecolor="#5b9bd4">
              <v:stroke dashstyle="solid"/>
            </v:line>
            <v:line style="position:absolute" from="12184,36" to="12618,36" stroked="true" strokeweight=".95999pt" strokecolor="#5b9bd4">
              <v:stroke dashstyle="solid"/>
            </v:line>
            <v:line style="position:absolute" from="12618,36" to="12637,36" stroked="true" strokeweight=".95999pt" strokecolor="#5b9bd4">
              <v:stroke dashstyle="solid"/>
            </v:line>
            <v:line style="position:absolute" from="12637,36" to="13072,36" stroked="true" strokeweight=".95999pt" strokecolor="#5b9bd4">
              <v:stroke dashstyle="solid"/>
            </v:line>
            <v:line style="position:absolute" from="13072,36" to="13091,36" stroked="true" strokeweight=".95999pt" strokecolor="#5b9bd4">
              <v:stroke dashstyle="solid"/>
            </v:line>
            <v:line style="position:absolute" from="13091,36" to="13528,36" stroked="true" strokeweight=".95999pt" strokecolor="#5b9bd4">
              <v:stroke dashstyle="solid"/>
            </v:line>
            <v:line style="position:absolute" from="13528,36" to="13548,36" stroked="true" strokeweight=".95999pt" strokecolor="#5b9bd4">
              <v:stroke dashstyle="solid"/>
            </v:line>
            <v:line style="position:absolute" from="13548,36" to="13982,36" stroked="true" strokeweight=".95999pt" strokecolor="#5b9bd4">
              <v:stroke dashstyle="solid"/>
            </v:line>
            <v:line style="position:absolute" from="13982,36" to="14001,36" stroked="true" strokeweight=".95999pt" strokecolor="#5b9bd4">
              <v:stroke dashstyle="solid"/>
            </v:line>
            <v:line style="position:absolute" from="14001,36" to="14436,36" stroked="true" strokeweight=".95999pt" strokecolor="#5b9bd4">
              <v:stroke dashstyle="solid"/>
            </v:line>
            <v:line style="position:absolute" from="14436,36" to="14455,36" stroked="true" strokeweight=".95999pt" strokecolor="#5b9bd4">
              <v:stroke dashstyle="solid"/>
            </v:line>
            <v:line style="position:absolute" from="14455,36" to="14889,36" stroked="true" strokeweight=".95999pt" strokecolor="#5b9bd4">
              <v:stroke dashstyle="solid"/>
            </v:line>
            <v:line style="position:absolute" from="14889,36" to="14908,36" stroked="true" strokeweight=".95999pt" strokecolor="#5b9bd4">
              <v:stroke dashstyle="solid"/>
            </v:line>
            <v:line style="position:absolute" from="14908,36" to="15343,36" stroked="true" strokeweight=".95999pt" strokecolor="#5b9bd4">
              <v:stroke dashstyle="solid"/>
            </v:line>
            <v:line style="position:absolute" from="15343,36" to="15362,36" stroked="true" strokeweight=".95999pt" strokecolor="#5b9bd4">
              <v:stroke dashstyle="solid"/>
            </v:line>
            <v:line style="position:absolute" from="15362,36" to="15964,36" stroked="true" strokeweight=".95999pt" strokecolor="#5b9bd4">
              <v:stroke dashstyle="solid"/>
            </v:line>
            <w10:wrap type="none"/>
          </v:group>
        </w:pict>
      </w:r>
      <w:r>
        <w:rPr>
          <w:sz w:val="20"/>
        </w:rPr>
        <w:t>Augustinópolis</w:t>
        <w:tab/>
      </w:r>
      <w:r>
        <w:rPr>
          <w:position w:val="12"/>
          <w:sz w:val="20"/>
        </w:rPr>
        <w:t>630</w:t>
      </w:r>
      <w:r>
        <w:rPr>
          <w:spacing w:val="2"/>
          <w:position w:val="12"/>
          <w:sz w:val="20"/>
        </w:rPr>
        <w:t> </w:t>
      </w:r>
      <w:r>
        <w:rPr>
          <w:position w:val="12"/>
          <w:sz w:val="20"/>
        </w:rPr>
        <w:t>de</w:t>
      </w:r>
      <w:r>
        <w:rPr>
          <w:w w:val="99"/>
          <w:position w:val="12"/>
          <w:sz w:val="20"/>
        </w:rPr>
        <w:t> </w:t>
      </w:r>
      <w:r>
        <w:rPr>
          <w:w w:val="95"/>
          <w:sz w:val="20"/>
        </w:rPr>
        <w:t>22/06/15</w:t>
      </w:r>
    </w:p>
    <w:p>
      <w:pPr>
        <w:tabs>
          <w:tab w:pos="805" w:val="left" w:leader="none"/>
          <w:tab w:pos="1371" w:val="left" w:leader="none"/>
          <w:tab w:pos="2164" w:val="left" w:leader="none"/>
          <w:tab w:pos="2733" w:val="left" w:leader="none"/>
          <w:tab w:pos="3470" w:val="left" w:leader="none"/>
          <w:tab w:pos="3923" w:val="left" w:leader="none"/>
          <w:tab w:pos="4377" w:val="left" w:leader="none"/>
          <w:tab w:pos="4833" w:val="left" w:leader="none"/>
          <w:tab w:pos="5286" w:val="left" w:leader="none"/>
          <w:tab w:pos="5740" w:val="left" w:leader="none"/>
          <w:tab w:pos="6194" w:val="left" w:leader="none"/>
          <w:tab w:pos="6648" w:val="left" w:leader="none"/>
          <w:tab w:pos="7101" w:val="left" w:leader="none"/>
          <w:tab w:pos="7557" w:val="left" w:leader="none"/>
          <w:tab w:pos="8011" w:val="left" w:leader="none"/>
          <w:tab w:pos="8464" w:val="left" w:leader="none"/>
          <w:tab w:pos="8918" w:val="left" w:leader="none"/>
          <w:tab w:pos="9372" w:val="left" w:leader="none"/>
          <w:tab w:pos="9826" w:val="left" w:leader="none"/>
          <w:tab w:pos="10282" w:val="left" w:leader="none"/>
          <w:tab w:pos="10735" w:val="left" w:leader="none"/>
          <w:tab w:pos="11189" w:val="left" w:leader="none"/>
          <w:tab w:pos="11643" w:val="left" w:leader="none"/>
        </w:tabs>
        <w:spacing w:before="181"/>
        <w:ind w:left="239" w:right="0" w:firstLine="0"/>
        <w:jc w:val="left"/>
        <w:rPr>
          <w:sz w:val="20"/>
        </w:rPr>
      </w:pPr>
      <w:r>
        <w:rPr/>
        <w:br w:type="column"/>
      </w:r>
      <w:r>
        <w:rPr>
          <w:sz w:val="20"/>
        </w:rPr>
        <w:t>5</w:t>
        <w:tab/>
        <w:t>19</w:t>
        <w:tab/>
        <w:t>X  </w:t>
      </w:r>
      <w:r>
        <w:rPr>
          <w:spacing w:val="43"/>
          <w:sz w:val="20"/>
        </w:rPr>
        <w:t> </w:t>
      </w:r>
      <w:r>
        <w:rPr>
          <w:sz w:val="20"/>
        </w:rPr>
        <w:t>X</w:t>
        <w:tab/>
        <w:t>X</w:t>
        <w:tab/>
        <w:t>X </w:t>
      </w:r>
      <w:r>
        <w:rPr>
          <w:spacing w:val="38"/>
          <w:sz w:val="20"/>
        </w:rPr>
        <w:t> </w:t>
      </w:r>
      <w:r>
        <w:rPr>
          <w:sz w:val="20"/>
        </w:rPr>
        <w:t>17</w:t>
        <w:tab/>
        <w:t>6</w:t>
        <w:tab/>
        <w:t>15</w:t>
        <w:tab/>
        <w:t>13</w:t>
        <w:tab/>
        <w:t>8</w:t>
        <w:tab/>
        <w:t>20</w:t>
        <w:tab/>
        <w:t>4</w:t>
        <w:tab/>
        <w:t>11</w:t>
        <w:tab/>
        <w:t>7</w:t>
        <w:tab/>
        <w:t>9</w:t>
        <w:tab/>
        <w:t>16</w:t>
        <w:tab/>
        <w:t>6</w:t>
        <w:tab/>
        <w:t>5</w:t>
        <w:tab/>
        <w:t>3</w:t>
        <w:tab/>
        <w:t>4</w:t>
        <w:tab/>
        <w:t>8</w:t>
        <w:tab/>
        <w:t>31</w:t>
        <w:tab/>
        <w:t>6</w:t>
        <w:tab/>
        <w:t>5</w:t>
        <w:tab/>
        <w:t>194</w:t>
      </w:r>
    </w:p>
    <w:p>
      <w:pPr>
        <w:spacing w:after="0"/>
        <w:jc w:val="left"/>
        <w:rPr>
          <w:sz w:val="20"/>
        </w:rPr>
        <w:sectPr>
          <w:type w:val="continuous"/>
          <w:pgSz w:w="16840" w:h="11910" w:orient="landscape"/>
          <w:pgMar w:top="1580" w:bottom="280" w:left="860" w:right="740"/>
          <w:cols w:num="2" w:equalWidth="0">
            <w:col w:w="2878" w:space="70"/>
            <w:col w:w="12292"/>
          </w:cols>
        </w:sectPr>
      </w:pPr>
    </w:p>
    <w:p>
      <w:pPr>
        <w:pStyle w:val="BodyText"/>
        <w:spacing w:before="6"/>
        <w:rPr>
          <w:sz w:val="4"/>
        </w:rPr>
      </w:pPr>
    </w:p>
    <w:p>
      <w:pPr>
        <w:pStyle w:val="BodyText"/>
        <w:spacing w:line="20" w:lineRule="exact"/>
        <w:ind w:left="106"/>
        <w:rPr>
          <w:sz w:val="2"/>
        </w:rPr>
      </w:pPr>
      <w:r>
        <w:rPr>
          <w:sz w:val="2"/>
        </w:rPr>
        <w:pict>
          <v:group style="width:750.4pt;height:1pt;mso-position-horizontal-relative:char;mso-position-vertical-relative:line" coordorigin="0,0" coordsize="15008,20">
            <v:line style="position:absolute" from="10,10" to="1952,10" stroked="true" strokeweight=".96002pt" strokecolor="#5b9bd4">
              <v:stroke dashstyle="solid"/>
            </v:line>
            <v:line style="position:absolute" from="1938,10" to="1957,10" stroked="true" strokeweight=".96002pt" strokecolor="#5b9bd4">
              <v:stroke dashstyle="solid"/>
            </v:line>
            <v:line style="position:absolute" from="1957,10" to="2972,10" stroked="true" strokeweight=".96002pt" strokecolor="#5b9bd4">
              <v:stroke dashstyle="solid"/>
            </v:line>
            <v:line style="position:absolute" from="2958,10" to="2977,10" stroked="true" strokeweight=".96002pt" strokecolor="#5b9bd4">
              <v:stroke dashstyle="solid"/>
            </v:line>
            <v:line style="position:absolute" from="2977,10" to="3538,10" stroked="true" strokeweight=".96002pt" strokecolor="#5b9bd4">
              <v:stroke dashstyle="solid"/>
            </v:line>
            <v:line style="position:absolute" from="3524,10" to="3543,10" stroked="true" strokeweight=".96002pt" strokecolor="#5b9bd4">
              <v:stroke dashstyle="solid"/>
            </v:line>
            <v:line style="position:absolute" from="3543,10" to="4107,10" stroked="true" strokeweight=".96002pt" strokecolor="#5b9bd4">
              <v:stroke dashstyle="solid"/>
            </v:line>
            <v:line style="position:absolute" from="4093,10" to="4112,10" stroked="true" strokeweight=".96002pt" strokecolor="#5b9bd4">
              <v:stroke dashstyle="solid"/>
            </v:line>
            <v:line style="position:absolute" from="4112,10" to="4443,10" stroked="true" strokeweight=".96002pt" strokecolor="#5b9bd4">
              <v:stroke dashstyle="solid"/>
            </v:line>
            <v:line style="position:absolute" from="4429,10" to="4448,10" stroked="true" strokeweight=".96002pt" strokecolor="#5b9bd4">
              <v:stroke dashstyle="solid"/>
            </v:line>
            <v:line style="position:absolute" from="4448,10" to="4900,10" stroked="true" strokeweight=".96002pt" strokecolor="#5b9bd4">
              <v:stroke dashstyle="solid"/>
            </v:line>
            <v:line style="position:absolute" from="4885,10" to="4905,10" stroked="true" strokeweight=".96002pt" strokecolor="#5b9bd4">
              <v:stroke dashstyle="solid"/>
            </v:line>
            <v:line style="position:absolute" from="4905,10" to="5466,10" stroked="true" strokeweight=".96002pt" strokecolor="#5b9bd4">
              <v:stroke dashstyle="solid"/>
            </v:line>
            <v:line style="position:absolute" from="5452,10" to="5471,10" stroked="true" strokeweight=".96002pt" strokecolor="#5b9bd4">
              <v:stroke dashstyle="solid"/>
            </v:line>
            <v:line style="position:absolute" from="5471,10" to="5749,10" stroked="true" strokeweight=".96002pt" strokecolor="#5b9bd4">
              <v:stroke dashstyle="solid"/>
            </v:line>
            <v:line style="position:absolute" from="5735,10" to="5754,10" stroked="true" strokeweight=".96002pt" strokecolor="#5b9bd4">
              <v:stroke dashstyle="solid"/>
            </v:line>
            <v:line style="position:absolute" from="5754,10" to="6203,10" stroked="true" strokeweight=".96002pt" strokecolor="#5b9bd4">
              <v:stroke dashstyle="solid"/>
            </v:line>
            <v:line style="position:absolute" from="6189,10" to="6208,10" stroked="true" strokeweight=".96002pt" strokecolor="#5b9bd4">
              <v:stroke dashstyle="solid"/>
            </v:line>
            <v:line style="position:absolute" from="6208,10" to="6657,10" stroked="true" strokeweight=".96002pt" strokecolor="#5b9bd4">
              <v:stroke dashstyle="solid"/>
            </v:line>
            <v:line style="position:absolute" from="6642,10" to="6661,10" stroked="true" strokeweight=".96002pt" strokecolor="#5b9bd4">
              <v:stroke dashstyle="solid"/>
            </v:line>
            <v:line style="position:absolute" from="6661,10" to="7113,10" stroked="true" strokeweight=".96002pt" strokecolor="#5b9bd4">
              <v:stroke dashstyle="solid"/>
            </v:line>
            <v:line style="position:absolute" from="7098,10" to="7117,10" stroked="true" strokeweight=".96002pt" strokecolor="#5b9bd4">
              <v:stroke dashstyle="solid"/>
            </v:line>
            <v:line style="position:absolute" from="7117,10" to="7566,10" stroked="true" strokeweight=".96002pt" strokecolor="#5b9bd4">
              <v:stroke dashstyle="solid"/>
            </v:line>
            <v:line style="position:absolute" from="7552,10" to="7571,10" stroked="true" strokeweight=".96002pt" strokecolor="#5b9bd4">
              <v:stroke dashstyle="solid"/>
            </v:line>
            <v:line style="position:absolute" from="7571,10" to="8020,10" stroked="true" strokeweight=".96002pt" strokecolor="#5b9bd4">
              <v:stroke dashstyle="solid"/>
            </v:line>
            <v:line style="position:absolute" from="8005,10" to="8025,10" stroked="true" strokeweight=".96002pt" strokecolor="#5b9bd4">
              <v:stroke dashstyle="solid"/>
            </v:line>
            <v:line style="position:absolute" from="8025,10" to="8473,10" stroked="true" strokeweight=".96002pt" strokecolor="#5b9bd4">
              <v:stroke dashstyle="solid"/>
            </v:line>
            <v:line style="position:absolute" from="8459,10" to="8478,10" stroked="true" strokeweight=".96002pt" strokecolor="#5b9bd4">
              <v:stroke dashstyle="solid"/>
            </v:line>
            <v:line style="position:absolute" from="8478,10" to="8927,10" stroked="true" strokeweight=".96002pt" strokecolor="#5b9bd4">
              <v:stroke dashstyle="solid"/>
            </v:line>
            <v:line style="position:absolute" from="8913,10" to="8932,10" stroked="true" strokeweight=".96002pt" strokecolor="#5b9bd4">
              <v:stroke dashstyle="solid"/>
            </v:line>
            <v:line style="position:absolute" from="8932,10" to="9381,10" stroked="true" strokeweight=".96002pt" strokecolor="#5b9bd4">
              <v:stroke dashstyle="solid"/>
            </v:line>
            <v:line style="position:absolute" from="9367,10" to="9386,10" stroked="true" strokeweight=".96002pt" strokecolor="#5b9bd4">
              <v:stroke dashstyle="solid"/>
            </v:line>
            <v:line style="position:absolute" from="9386,10" to="9837,10" stroked="true" strokeweight=".96002pt" strokecolor="#5b9bd4">
              <v:stroke dashstyle="solid"/>
            </v:line>
            <v:line style="position:absolute" from="9823,10" to="9842,10" stroked="true" strokeweight=".96002pt" strokecolor="#5b9bd4">
              <v:stroke dashstyle="solid"/>
            </v:line>
            <v:line style="position:absolute" from="9842,10" to="10291,10" stroked="true" strokeweight=".96002pt" strokecolor="#5b9bd4">
              <v:stroke dashstyle="solid"/>
            </v:line>
            <v:line style="position:absolute" from="10276,10" to="10295,10" stroked="true" strokeweight=".96002pt" strokecolor="#5b9bd4">
              <v:stroke dashstyle="solid"/>
            </v:line>
            <v:line style="position:absolute" from="10295,10" to="10744,10" stroked="true" strokeweight=".96002pt" strokecolor="#5b9bd4">
              <v:stroke dashstyle="solid"/>
            </v:line>
            <v:line style="position:absolute" from="10730,10" to="10749,10" stroked="true" strokeweight=".96002pt" strokecolor="#5b9bd4">
              <v:stroke dashstyle="solid"/>
            </v:line>
            <v:line style="position:absolute" from="10749,10" to="11198,10" stroked="true" strokeweight=".96002pt" strokecolor="#5b9bd4">
              <v:stroke dashstyle="solid"/>
            </v:line>
            <v:line style="position:absolute" from="11183,10" to="11203,10" stroked="true" strokeweight=".96002pt" strokecolor="#5b9bd4">
              <v:stroke dashstyle="solid"/>
            </v:line>
            <v:line style="position:absolute" from="11203,10" to="11651,10" stroked="true" strokeweight=".96002pt" strokecolor="#5b9bd4">
              <v:stroke dashstyle="solid"/>
            </v:line>
            <v:line style="position:absolute" from="11637,10" to="11656,10" stroked="true" strokeweight=".96002pt" strokecolor="#5b9bd4">
              <v:stroke dashstyle="solid"/>
            </v:line>
            <v:line style="position:absolute" from="11656,10" to="12105,10" stroked="true" strokeweight=".96002pt" strokecolor="#5b9bd4">
              <v:stroke dashstyle="solid"/>
            </v:line>
            <v:line style="position:absolute" from="12091,10" to="12110,10" stroked="true" strokeweight=".96002pt" strokecolor="#5b9bd4">
              <v:stroke dashstyle="solid"/>
            </v:line>
            <v:line style="position:absolute" from="12110,10" to="12561,10" stroked="true" strokeweight=".96002pt" strokecolor="#5b9bd4">
              <v:stroke dashstyle="solid"/>
            </v:line>
            <v:line style="position:absolute" from="12547,10" to="12566,10" stroked="true" strokeweight=".96002pt" strokecolor="#5b9bd4">
              <v:stroke dashstyle="solid"/>
            </v:line>
            <v:line style="position:absolute" from="12566,10" to="13015,10" stroked="true" strokeweight=".96002pt" strokecolor="#5b9bd4">
              <v:stroke dashstyle="solid"/>
            </v:line>
            <v:line style="position:absolute" from="13001,10" to="13020,10" stroked="true" strokeweight=".96002pt" strokecolor="#5b9bd4">
              <v:stroke dashstyle="solid"/>
            </v:line>
            <v:line style="position:absolute" from="13020,10" to="13469,10" stroked="true" strokeweight=".96002pt" strokecolor="#5b9bd4">
              <v:stroke dashstyle="solid"/>
            </v:line>
            <v:line style="position:absolute" from="13454,10" to="13474,10" stroked="true" strokeweight=".96002pt" strokecolor="#5b9bd4">
              <v:stroke dashstyle="solid"/>
            </v:line>
            <v:line style="position:absolute" from="13474,10" to="13922,10" stroked="true" strokeweight=".96002pt" strokecolor="#5b9bd4">
              <v:stroke dashstyle="solid"/>
            </v:line>
            <v:line style="position:absolute" from="13908,10" to="13927,10" stroked="true" strokeweight=".96002pt" strokecolor="#5b9bd4">
              <v:stroke dashstyle="solid"/>
            </v:line>
            <v:line style="position:absolute" from="13927,10" to="14376,10" stroked="true" strokeweight=".96002pt" strokecolor="#5b9bd4">
              <v:stroke dashstyle="solid"/>
            </v:line>
            <v:line style="position:absolute" from="14362,10" to="14381,10" stroked="true" strokeweight=".96002pt" strokecolor="#5b9bd4">
              <v:stroke dashstyle="solid"/>
            </v:line>
            <v:line style="position:absolute" from="14381,10" to="14998,10" stroked="true" strokeweight=".96002pt" strokecolor="#5b9bd4">
              <v:stroke dashstyle="solid"/>
            </v:line>
          </v:group>
        </w:pict>
      </w:r>
      <w:r>
        <w:rPr>
          <w:sz w:val="2"/>
        </w:rPr>
      </w:r>
    </w:p>
    <w:p>
      <w:pPr>
        <w:spacing w:after="0" w:line="20" w:lineRule="exact"/>
        <w:rPr>
          <w:sz w:val="2"/>
        </w:rPr>
        <w:sectPr>
          <w:type w:val="continuous"/>
          <w:pgSz w:w="16840" w:h="11910" w:orient="landscape"/>
          <w:pgMar w:top="1580" w:bottom="280" w:left="860" w:right="740"/>
        </w:sectPr>
      </w:pPr>
    </w:p>
    <w:p>
      <w:pPr>
        <w:pStyle w:val="BodyText"/>
        <w:rPr>
          <w:sz w:val="20"/>
        </w:rPr>
      </w:pPr>
    </w:p>
    <w:p>
      <w:pPr>
        <w:pStyle w:val="BodyText"/>
        <w:rPr>
          <w:sz w:val="20"/>
        </w:rPr>
      </w:pPr>
    </w:p>
    <w:p>
      <w:pPr>
        <w:pStyle w:val="BodyText"/>
        <w:spacing w:before="7" w:after="1"/>
        <w:rPr>
          <w:sz w:val="23"/>
        </w:rPr>
      </w:pPr>
    </w:p>
    <w:tbl>
      <w:tblPr>
        <w:tblW w:w="0" w:type="auto"/>
        <w:jc w:val="left"/>
        <w:tblInd w:w="101" w:type="dxa"/>
        <w:tblBorders>
          <w:top w:val="single" w:sz="17" w:space="0" w:color="4F81BC"/>
          <w:left w:val="single" w:sz="17" w:space="0" w:color="4F81BC"/>
          <w:bottom w:val="single" w:sz="17" w:space="0" w:color="4F81BC"/>
          <w:right w:val="single" w:sz="17" w:space="0" w:color="4F81BC"/>
          <w:insideH w:val="single" w:sz="17" w:space="0" w:color="4F81BC"/>
          <w:insideV w:val="single" w:sz="17" w:space="0" w:color="4F81BC"/>
        </w:tblBorders>
        <w:tblLayout w:type="fixed"/>
        <w:tblCellMar>
          <w:top w:w="0" w:type="dxa"/>
          <w:left w:w="0" w:type="dxa"/>
          <w:bottom w:w="0" w:type="dxa"/>
          <w:right w:w="0" w:type="dxa"/>
        </w:tblCellMar>
        <w:tblLook w:val="01E0"/>
      </w:tblPr>
      <w:tblGrid>
        <w:gridCol w:w="1928"/>
        <w:gridCol w:w="1020"/>
        <w:gridCol w:w="566"/>
        <w:gridCol w:w="569"/>
        <w:gridCol w:w="336"/>
        <w:gridCol w:w="457"/>
        <w:gridCol w:w="566"/>
        <w:gridCol w:w="283"/>
        <w:gridCol w:w="454"/>
        <w:gridCol w:w="454"/>
        <w:gridCol w:w="456"/>
        <w:gridCol w:w="454"/>
        <w:gridCol w:w="454"/>
        <w:gridCol w:w="454"/>
        <w:gridCol w:w="454"/>
        <w:gridCol w:w="454"/>
        <w:gridCol w:w="456"/>
        <w:gridCol w:w="454"/>
        <w:gridCol w:w="454"/>
        <w:gridCol w:w="454"/>
        <w:gridCol w:w="454"/>
        <w:gridCol w:w="454"/>
        <w:gridCol w:w="457"/>
        <w:gridCol w:w="454"/>
        <w:gridCol w:w="454"/>
        <w:gridCol w:w="454"/>
        <w:gridCol w:w="454"/>
        <w:gridCol w:w="622"/>
      </w:tblGrid>
      <w:tr>
        <w:trPr>
          <w:trHeight w:val="1178" w:hRule="exact"/>
        </w:trPr>
        <w:tc>
          <w:tcPr>
            <w:tcW w:w="1928" w:type="dxa"/>
            <w:tcBorders>
              <w:left w:val="single" w:sz="8" w:space="0" w:color="4F81BC"/>
              <w:right w:val="single" w:sz="8" w:space="0" w:color="4F81BC"/>
            </w:tcBorders>
          </w:tcPr>
          <w:p>
            <w:pPr>
              <w:pStyle w:val="TableParagraph"/>
              <w:spacing w:before="0"/>
              <w:rPr>
                <w:sz w:val="22"/>
              </w:rPr>
            </w:pPr>
          </w:p>
          <w:p>
            <w:pPr>
              <w:pStyle w:val="TableParagraph"/>
              <w:spacing w:before="194"/>
              <w:ind w:left="537"/>
              <w:rPr>
                <w:sz w:val="20"/>
              </w:rPr>
            </w:pPr>
            <w:r>
              <w:rPr>
                <w:sz w:val="20"/>
              </w:rPr>
              <w:t>Município</w:t>
            </w:r>
          </w:p>
        </w:tc>
        <w:tc>
          <w:tcPr>
            <w:tcW w:w="1020" w:type="dxa"/>
            <w:tcBorders>
              <w:top w:val="single" w:sz="17" w:space="0" w:color="5B9BD4"/>
              <w:left w:val="single" w:sz="8" w:space="0" w:color="4F81BC"/>
              <w:bottom w:val="single" w:sz="17" w:space="0" w:color="5B9BD4"/>
              <w:right w:val="single" w:sz="8" w:space="0" w:color="5B9BD4"/>
            </w:tcBorders>
            <w:textDirection w:val="btLr"/>
          </w:tcPr>
          <w:p>
            <w:pPr>
              <w:pStyle w:val="TableParagraph"/>
              <w:spacing w:before="0"/>
              <w:rPr>
                <w:sz w:val="23"/>
              </w:rPr>
            </w:pPr>
          </w:p>
          <w:p>
            <w:pPr>
              <w:pStyle w:val="TableParagraph"/>
              <w:spacing w:line="247" w:lineRule="auto" w:before="0"/>
              <w:ind w:left="112" w:right="499"/>
              <w:rPr>
                <w:sz w:val="20"/>
              </w:rPr>
            </w:pPr>
            <w:r>
              <w:rPr>
                <w:w w:val="99"/>
                <w:sz w:val="20"/>
              </w:rPr>
              <w:t>Lei</w:t>
            </w:r>
            <w:r>
              <w:rPr>
                <w:sz w:val="20"/>
              </w:rPr>
              <w:t> </w:t>
            </w:r>
            <w:r>
              <w:rPr>
                <w:spacing w:val="1"/>
                <w:w w:val="99"/>
                <w:sz w:val="20"/>
              </w:rPr>
              <w:t>d</w:t>
            </w:r>
            <w:r>
              <w:rPr>
                <w:w w:val="99"/>
                <w:sz w:val="20"/>
              </w:rPr>
              <w:t>o </w:t>
            </w:r>
            <w:r>
              <w:rPr>
                <w:w w:val="99"/>
                <w:sz w:val="20"/>
              </w:rPr>
              <w:t>PME</w:t>
            </w:r>
          </w:p>
        </w:tc>
        <w:tc>
          <w:tcPr>
            <w:tcW w:w="566"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line="244" w:lineRule="auto" w:before="39"/>
              <w:ind w:left="112" w:right="416"/>
              <w:rPr>
                <w:sz w:val="20"/>
              </w:rPr>
            </w:pPr>
            <w:r>
              <w:rPr>
                <w:w w:val="99"/>
                <w:sz w:val="20"/>
              </w:rPr>
              <w:t>Nº</w:t>
            </w:r>
            <w:r>
              <w:rPr>
                <w:sz w:val="20"/>
              </w:rPr>
              <w:t> </w:t>
            </w:r>
            <w:r>
              <w:rPr>
                <w:spacing w:val="1"/>
                <w:w w:val="99"/>
                <w:sz w:val="20"/>
              </w:rPr>
              <w:t>d</w:t>
            </w:r>
            <w:r>
              <w:rPr>
                <w:w w:val="99"/>
                <w:sz w:val="20"/>
              </w:rPr>
              <w:t>e </w:t>
            </w:r>
            <w:r>
              <w:rPr>
                <w:w w:val="99"/>
                <w:sz w:val="20"/>
              </w:rPr>
              <w:t>Ar</w:t>
            </w:r>
            <w:r>
              <w:rPr>
                <w:w w:val="99"/>
                <w:sz w:val="20"/>
              </w:rPr>
              <w:t>tig</w:t>
            </w:r>
            <w:r>
              <w:rPr>
                <w:spacing w:val="1"/>
                <w:w w:val="99"/>
                <w:sz w:val="20"/>
              </w:rPr>
              <w:t>o</w:t>
            </w:r>
            <w:r>
              <w:rPr>
                <w:w w:val="99"/>
                <w:sz w:val="20"/>
              </w:rPr>
              <w:t>s</w:t>
            </w:r>
          </w:p>
        </w:tc>
        <w:tc>
          <w:tcPr>
            <w:tcW w:w="569"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line="244" w:lineRule="auto" w:before="39"/>
              <w:ind w:left="112" w:right="528"/>
              <w:rPr>
                <w:sz w:val="20"/>
              </w:rPr>
            </w:pPr>
            <w:r>
              <w:rPr>
                <w:w w:val="99"/>
                <w:sz w:val="20"/>
              </w:rPr>
              <w:t>Nº</w:t>
            </w:r>
            <w:r>
              <w:rPr>
                <w:sz w:val="20"/>
              </w:rPr>
              <w:t> </w:t>
            </w:r>
            <w:r>
              <w:rPr>
                <w:spacing w:val="1"/>
                <w:w w:val="99"/>
                <w:sz w:val="20"/>
              </w:rPr>
              <w:t>d</w:t>
            </w:r>
            <w:r>
              <w:rPr>
                <w:w w:val="99"/>
                <w:sz w:val="20"/>
              </w:rPr>
              <w:t>e </w:t>
            </w:r>
            <w:r>
              <w:rPr>
                <w:w w:val="99"/>
                <w:sz w:val="20"/>
              </w:rPr>
              <w:t>Metas</w:t>
            </w:r>
          </w:p>
        </w:tc>
        <w:tc>
          <w:tcPr>
            <w:tcW w:w="336"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41"/>
              <w:ind w:left="-1"/>
              <w:rPr>
                <w:sz w:val="20"/>
              </w:rPr>
            </w:pPr>
            <w:r>
              <w:rPr>
                <w:spacing w:val="-1"/>
                <w:w w:val="99"/>
                <w:sz w:val="20"/>
              </w:rPr>
              <w:t>C</w:t>
            </w:r>
            <w:r>
              <w:rPr>
                <w:spacing w:val="1"/>
                <w:w w:val="99"/>
                <w:sz w:val="20"/>
              </w:rPr>
              <w:t>o</w:t>
            </w:r>
            <w:r>
              <w:rPr>
                <w:w w:val="99"/>
                <w:sz w:val="20"/>
              </w:rPr>
              <w:t>m</w:t>
            </w:r>
            <w:r>
              <w:rPr>
                <w:w w:val="99"/>
                <w:sz w:val="20"/>
              </w:rPr>
              <w:t>i</w:t>
            </w:r>
            <w:r>
              <w:rPr>
                <w:spacing w:val="-1"/>
                <w:w w:val="99"/>
                <w:sz w:val="20"/>
              </w:rPr>
              <w:t>s</w:t>
            </w:r>
            <w:r>
              <w:rPr>
                <w:spacing w:val="-1"/>
                <w:w w:val="99"/>
                <w:sz w:val="20"/>
              </w:rPr>
              <w:t>s</w:t>
            </w:r>
            <w:r>
              <w:rPr>
                <w:w w:val="99"/>
                <w:sz w:val="20"/>
              </w:rPr>
              <w:t>ão</w:t>
            </w:r>
          </w:p>
        </w:tc>
        <w:tc>
          <w:tcPr>
            <w:tcW w:w="457"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line="211" w:lineRule="exact" w:before="0"/>
              <w:ind w:left="-1"/>
              <w:rPr>
                <w:sz w:val="20"/>
              </w:rPr>
            </w:pPr>
            <w:r>
              <w:rPr>
                <w:w w:val="99"/>
                <w:sz w:val="20"/>
              </w:rPr>
              <w:t>E</w:t>
            </w:r>
            <w:r>
              <w:rPr>
                <w:spacing w:val="1"/>
                <w:w w:val="99"/>
                <w:sz w:val="20"/>
              </w:rPr>
              <w:t>qu</w:t>
            </w:r>
            <w:r>
              <w:rPr>
                <w:w w:val="99"/>
                <w:sz w:val="20"/>
              </w:rPr>
              <w:t>ipe</w:t>
            </w:r>
          </w:p>
          <w:p>
            <w:pPr>
              <w:pStyle w:val="TableParagraph"/>
              <w:spacing w:before="8"/>
              <w:ind w:left="-1"/>
              <w:rPr>
                <w:sz w:val="20"/>
              </w:rPr>
            </w:pPr>
            <w:r>
              <w:rPr>
                <w:w w:val="99"/>
                <w:sz w:val="20"/>
              </w:rPr>
              <w:t>Téc</w:t>
            </w:r>
            <w:r>
              <w:rPr>
                <w:spacing w:val="1"/>
                <w:w w:val="99"/>
                <w:sz w:val="20"/>
              </w:rPr>
              <w:t>n</w:t>
            </w:r>
            <w:r>
              <w:rPr>
                <w:w w:val="99"/>
                <w:sz w:val="20"/>
              </w:rPr>
              <w:t>ica</w:t>
            </w:r>
          </w:p>
        </w:tc>
        <w:tc>
          <w:tcPr>
            <w:tcW w:w="566"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line="244" w:lineRule="auto" w:before="36"/>
              <w:ind w:left="-1" w:right="136"/>
              <w:rPr>
                <w:sz w:val="20"/>
              </w:rPr>
            </w:pPr>
            <w:r>
              <w:rPr>
                <w:w w:val="99"/>
                <w:sz w:val="20"/>
              </w:rPr>
              <w:t>Hi</w:t>
            </w:r>
            <w:r>
              <w:rPr>
                <w:spacing w:val="-1"/>
                <w:w w:val="99"/>
                <w:sz w:val="20"/>
              </w:rPr>
              <w:t>s</w:t>
            </w:r>
            <w:r>
              <w:rPr>
                <w:w w:val="99"/>
                <w:sz w:val="20"/>
              </w:rPr>
              <w:t>tórico</w:t>
            </w:r>
            <w:r>
              <w:rPr>
                <w:spacing w:val="1"/>
                <w:sz w:val="20"/>
              </w:rPr>
              <w:t> </w:t>
            </w:r>
            <w:r>
              <w:rPr>
                <w:spacing w:val="1"/>
                <w:w w:val="99"/>
                <w:sz w:val="20"/>
              </w:rPr>
              <w:t>d</w:t>
            </w:r>
            <w:r>
              <w:rPr>
                <w:w w:val="99"/>
                <w:sz w:val="20"/>
              </w:rPr>
              <w:t>o </w:t>
            </w:r>
            <w:r>
              <w:rPr>
                <w:w w:val="99"/>
                <w:sz w:val="20"/>
              </w:rPr>
              <w:t>M</w:t>
            </w:r>
            <w:r>
              <w:rPr>
                <w:spacing w:val="1"/>
                <w:w w:val="99"/>
                <w:sz w:val="20"/>
              </w:rPr>
              <w:t>u</w:t>
            </w:r>
            <w:r>
              <w:rPr>
                <w:spacing w:val="1"/>
                <w:w w:val="99"/>
                <w:sz w:val="20"/>
              </w:rPr>
              <w:t>n</w:t>
            </w:r>
            <w:r>
              <w:rPr>
                <w:w w:val="99"/>
                <w:sz w:val="20"/>
              </w:rPr>
              <w:t>icí</w:t>
            </w:r>
            <w:r>
              <w:rPr>
                <w:spacing w:val="1"/>
                <w:w w:val="99"/>
                <w:sz w:val="20"/>
              </w:rPr>
              <w:t>p</w:t>
            </w:r>
            <w:r>
              <w:rPr>
                <w:w w:val="99"/>
                <w:sz w:val="20"/>
              </w:rPr>
              <w:t>io</w:t>
            </w:r>
          </w:p>
        </w:tc>
        <w:tc>
          <w:tcPr>
            <w:tcW w:w="283"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15"/>
              <w:ind w:left="-1"/>
              <w:rPr>
                <w:sz w:val="20"/>
              </w:rPr>
            </w:pPr>
            <w:r>
              <w:rPr>
                <w:w w:val="99"/>
                <w:sz w:val="20"/>
              </w:rPr>
              <w:t>Dia</w:t>
            </w:r>
            <w:r>
              <w:rPr>
                <w:spacing w:val="1"/>
                <w:w w:val="99"/>
                <w:sz w:val="20"/>
              </w:rPr>
              <w:t>gnó</w:t>
            </w:r>
            <w:r>
              <w:rPr>
                <w:spacing w:val="-1"/>
                <w:w w:val="99"/>
                <w:sz w:val="20"/>
              </w:rPr>
              <w:t>s</w:t>
            </w:r>
            <w:r>
              <w:rPr>
                <w:w w:val="99"/>
                <w:sz w:val="20"/>
              </w:rPr>
              <w:t>tico</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1</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2</w:t>
            </w:r>
          </w:p>
        </w:tc>
        <w:tc>
          <w:tcPr>
            <w:tcW w:w="456"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101"/>
              <w:ind w:left="-1"/>
              <w:rPr>
                <w:sz w:val="20"/>
              </w:rPr>
            </w:pPr>
            <w:r>
              <w:rPr>
                <w:w w:val="99"/>
                <w:sz w:val="20"/>
              </w:rPr>
              <w:t>Me</w:t>
            </w:r>
            <w:r>
              <w:rPr>
                <w:w w:val="99"/>
                <w:sz w:val="20"/>
              </w:rPr>
              <w:t>ta</w:t>
            </w:r>
            <w:r>
              <w:rPr>
                <w:sz w:val="20"/>
              </w:rPr>
              <w:t> </w:t>
            </w:r>
            <w:r>
              <w:rPr>
                <w:w w:val="99"/>
                <w:sz w:val="20"/>
              </w:rPr>
              <w:t>3</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4</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5</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6</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7</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w w:val="99"/>
                <w:sz w:val="20"/>
              </w:rPr>
              <w:t>8</w:t>
            </w:r>
          </w:p>
        </w:tc>
        <w:tc>
          <w:tcPr>
            <w:tcW w:w="456"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101"/>
              <w:ind w:left="-1"/>
              <w:rPr>
                <w:sz w:val="20"/>
              </w:rPr>
            </w:pPr>
            <w:r>
              <w:rPr>
                <w:w w:val="99"/>
                <w:sz w:val="20"/>
              </w:rPr>
              <w:t>Me</w:t>
            </w:r>
            <w:r>
              <w:rPr>
                <w:w w:val="99"/>
                <w:sz w:val="20"/>
              </w:rPr>
              <w:t>ta</w:t>
            </w:r>
            <w:r>
              <w:rPr>
                <w:sz w:val="20"/>
              </w:rPr>
              <w:t> </w:t>
            </w:r>
            <w:r>
              <w:rPr>
                <w:w w:val="99"/>
                <w:sz w:val="20"/>
              </w:rPr>
              <w:t>9</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0</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1</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2</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3</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4</w:t>
            </w:r>
          </w:p>
        </w:tc>
        <w:tc>
          <w:tcPr>
            <w:tcW w:w="457"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102"/>
              <w:ind w:left="-1"/>
              <w:rPr>
                <w:sz w:val="20"/>
              </w:rPr>
            </w:pPr>
            <w:r>
              <w:rPr>
                <w:w w:val="99"/>
                <w:sz w:val="20"/>
              </w:rPr>
              <w:t>Me</w:t>
            </w:r>
            <w:r>
              <w:rPr>
                <w:w w:val="99"/>
                <w:sz w:val="20"/>
              </w:rPr>
              <w:t>ta</w:t>
            </w:r>
            <w:r>
              <w:rPr>
                <w:sz w:val="20"/>
              </w:rPr>
              <w:t> </w:t>
            </w:r>
            <w:r>
              <w:rPr>
                <w:spacing w:val="1"/>
                <w:w w:val="99"/>
                <w:sz w:val="20"/>
              </w:rPr>
              <w:t>1</w:t>
            </w:r>
            <w:r>
              <w:rPr>
                <w:w w:val="99"/>
                <w:sz w:val="20"/>
              </w:rPr>
              <w:t>5</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6</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7</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8</w:t>
            </w:r>
          </w:p>
        </w:tc>
        <w:tc>
          <w:tcPr>
            <w:tcW w:w="454"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before="99"/>
              <w:ind w:left="-1"/>
              <w:rPr>
                <w:sz w:val="20"/>
              </w:rPr>
            </w:pPr>
            <w:r>
              <w:rPr>
                <w:w w:val="99"/>
                <w:sz w:val="20"/>
              </w:rPr>
              <w:t>Me</w:t>
            </w:r>
            <w:r>
              <w:rPr>
                <w:w w:val="99"/>
                <w:sz w:val="20"/>
              </w:rPr>
              <w:t>ta</w:t>
            </w:r>
            <w:r>
              <w:rPr>
                <w:sz w:val="20"/>
              </w:rPr>
              <w:t> </w:t>
            </w:r>
            <w:r>
              <w:rPr>
                <w:spacing w:val="1"/>
                <w:w w:val="99"/>
                <w:sz w:val="20"/>
              </w:rPr>
              <w:t>1</w:t>
            </w:r>
            <w:r>
              <w:rPr>
                <w:w w:val="99"/>
                <w:sz w:val="20"/>
              </w:rPr>
              <w:t>9</w:t>
            </w:r>
          </w:p>
        </w:tc>
        <w:tc>
          <w:tcPr>
            <w:tcW w:w="622" w:type="dxa"/>
            <w:tcBorders>
              <w:top w:val="single" w:sz="17" w:space="0" w:color="5B9BD4"/>
              <w:left w:val="single" w:sz="8" w:space="0" w:color="5B9BD4"/>
              <w:bottom w:val="single" w:sz="17" w:space="0" w:color="5B9BD4"/>
              <w:right w:val="single" w:sz="8" w:space="0" w:color="5B9BD4"/>
            </w:tcBorders>
            <w:textDirection w:val="btLr"/>
          </w:tcPr>
          <w:p>
            <w:pPr>
              <w:pStyle w:val="TableParagraph"/>
              <w:spacing w:line="244" w:lineRule="auto" w:before="65"/>
              <w:ind w:left="-1" w:right="254"/>
              <w:rPr>
                <w:sz w:val="20"/>
              </w:rPr>
            </w:pPr>
            <w:r>
              <w:rPr>
                <w:w w:val="99"/>
                <w:sz w:val="20"/>
              </w:rPr>
              <w:t>T</w:t>
            </w:r>
            <w:r>
              <w:rPr>
                <w:spacing w:val="1"/>
                <w:w w:val="99"/>
                <w:sz w:val="20"/>
              </w:rPr>
              <w:t>o</w:t>
            </w:r>
            <w:r>
              <w:rPr>
                <w:w w:val="99"/>
                <w:sz w:val="20"/>
              </w:rPr>
              <w:t>tal</w:t>
            </w:r>
            <w:r>
              <w:rPr>
                <w:sz w:val="20"/>
              </w:rPr>
              <w:t> </w:t>
            </w:r>
            <w:r>
              <w:rPr>
                <w:spacing w:val="1"/>
                <w:w w:val="99"/>
                <w:sz w:val="20"/>
              </w:rPr>
              <w:t>d</w:t>
            </w:r>
            <w:r>
              <w:rPr>
                <w:w w:val="99"/>
                <w:sz w:val="20"/>
              </w:rPr>
              <w:t>e E</w:t>
            </w:r>
            <w:r>
              <w:rPr>
                <w:spacing w:val="-1"/>
                <w:w w:val="99"/>
                <w:sz w:val="20"/>
              </w:rPr>
              <w:t>s</w:t>
            </w:r>
            <w:r>
              <w:rPr>
                <w:w w:val="99"/>
                <w:sz w:val="20"/>
              </w:rPr>
              <w:t>traté</w:t>
            </w:r>
            <w:r>
              <w:rPr>
                <w:spacing w:val="1"/>
                <w:w w:val="99"/>
                <w:sz w:val="20"/>
              </w:rPr>
              <w:t>g</w:t>
            </w:r>
            <w:r>
              <w:rPr>
                <w:w w:val="99"/>
                <w:sz w:val="20"/>
              </w:rPr>
              <w:t>ias</w:t>
            </w:r>
          </w:p>
        </w:tc>
      </w:tr>
    </w:tbl>
    <w:p>
      <w:pPr>
        <w:tabs>
          <w:tab w:pos="2146" w:val="left" w:leader="none"/>
          <w:tab w:pos="3166" w:val="left" w:leader="none"/>
          <w:tab w:pos="3733" w:val="left" w:leader="none"/>
          <w:tab w:pos="4299" w:val="left" w:leader="none"/>
          <w:tab w:pos="4637" w:val="left" w:leader="none"/>
          <w:tab w:pos="5092" w:val="left" w:leader="none"/>
          <w:tab w:pos="5660" w:val="left" w:leader="none"/>
          <w:tab w:pos="6397" w:val="left" w:leader="none"/>
          <w:tab w:pos="6851" w:val="left" w:leader="none"/>
          <w:tab w:pos="7304" w:val="left" w:leader="none"/>
          <w:tab w:pos="7760" w:val="left" w:leader="none"/>
          <w:tab w:pos="8214" w:val="left" w:leader="none"/>
          <w:tab w:pos="8668" w:val="left" w:leader="none"/>
          <w:tab w:pos="9122" w:val="left" w:leader="none"/>
          <w:tab w:pos="9575" w:val="left" w:leader="none"/>
          <w:tab w:pos="10029" w:val="left" w:leader="none"/>
          <w:tab w:pos="10485" w:val="left" w:leader="none"/>
          <w:tab w:pos="10938" w:val="left" w:leader="none"/>
          <w:tab w:pos="11392" w:val="left" w:leader="none"/>
          <w:tab w:pos="11846" w:val="left" w:leader="none"/>
          <w:tab w:pos="12299" w:val="left" w:leader="none"/>
          <w:tab w:pos="12753" w:val="left" w:leader="none"/>
          <w:tab w:pos="13209" w:val="left" w:leader="none"/>
          <w:tab w:pos="13663" w:val="left" w:leader="none"/>
          <w:tab w:pos="14117" w:val="left" w:leader="none"/>
          <w:tab w:pos="14570" w:val="left" w:leader="none"/>
        </w:tabs>
        <w:spacing w:line="235" w:lineRule="exact" w:before="0"/>
        <w:ind w:left="219" w:right="0" w:firstLine="0"/>
        <w:jc w:val="left"/>
        <w:rPr>
          <w:sz w:val="20"/>
        </w:rPr>
      </w:pPr>
      <w:r>
        <w:rPr>
          <w:sz w:val="20"/>
        </w:rPr>
        <w:t>Nazaré</w:t>
        <w:tab/>
      </w:r>
      <w:r>
        <w:rPr>
          <w:position w:val="12"/>
          <w:sz w:val="20"/>
        </w:rPr>
        <w:t>710</w:t>
      </w:r>
      <w:r>
        <w:rPr>
          <w:spacing w:val="1"/>
          <w:position w:val="12"/>
          <w:sz w:val="20"/>
        </w:rPr>
        <w:t> </w:t>
      </w:r>
      <w:r>
        <w:rPr>
          <w:position w:val="12"/>
          <w:sz w:val="20"/>
        </w:rPr>
        <w:t>de</w:t>
        <w:tab/>
      </w:r>
      <w:r>
        <w:rPr>
          <w:sz w:val="20"/>
        </w:rPr>
        <w:t>13</w:t>
        <w:tab/>
        <w:t>20</w:t>
        <w:tab/>
        <w:t>-</w:t>
        <w:tab/>
        <w:t>X</w:t>
        <w:tab/>
        <w:t>X</w:t>
        <w:tab/>
        <w:t>X </w:t>
      </w:r>
      <w:r>
        <w:rPr>
          <w:spacing w:val="38"/>
          <w:sz w:val="20"/>
        </w:rPr>
        <w:t> </w:t>
      </w:r>
      <w:r>
        <w:rPr>
          <w:sz w:val="20"/>
        </w:rPr>
        <w:t>20</w:t>
        <w:tab/>
        <w:t>13</w:t>
        <w:tab/>
        <w:t>7</w:t>
        <w:tab/>
        <w:t>6</w:t>
        <w:tab/>
        <w:t>6</w:t>
        <w:tab/>
        <w:t>12</w:t>
        <w:tab/>
        <w:t>16</w:t>
        <w:tab/>
        <w:t>3</w:t>
        <w:tab/>
        <w:t>4</w:t>
        <w:tab/>
        <w:t>6</w:t>
        <w:tab/>
        <w:t>9</w:t>
        <w:tab/>
        <w:t>3</w:t>
        <w:tab/>
        <w:t>6</w:t>
        <w:tab/>
        <w:t>8</w:t>
        <w:tab/>
        <w:t>10</w:t>
        <w:tab/>
        <w:t>11</w:t>
        <w:tab/>
        <w:t>17</w:t>
        <w:tab/>
        <w:t>11</w:t>
        <w:tab/>
        <w:t>14</w:t>
        <w:tab/>
        <w:t>182</w:t>
      </w:r>
    </w:p>
    <w:p>
      <w:pPr>
        <w:tabs>
          <w:tab w:pos="2146" w:val="left" w:leader="none"/>
          <w:tab w:pos="15084" w:val="left" w:leader="none"/>
        </w:tabs>
        <w:spacing w:line="221" w:lineRule="exact" w:before="0"/>
        <w:ind w:left="111" w:right="0" w:firstLine="0"/>
        <w:jc w:val="left"/>
        <w:rPr>
          <w:sz w:val="20"/>
        </w:rPr>
      </w:pPr>
      <w:r>
        <w:rPr>
          <w:w w:val="99"/>
          <w:sz w:val="20"/>
          <w:u w:val="single" w:color="5B9BD4"/>
        </w:rPr>
        <w:t> </w:t>
      </w:r>
      <w:r>
        <w:rPr>
          <w:sz w:val="20"/>
          <w:u w:val="single" w:color="5B9BD4"/>
        </w:rPr>
        <w:tab/>
        <w:t>22/06/15</w:t>
        <w:tab/>
      </w:r>
    </w:p>
    <w:p>
      <w:pPr>
        <w:spacing w:after="0" w:line="221" w:lineRule="exact"/>
        <w:jc w:val="left"/>
        <w:rPr>
          <w:sz w:val="20"/>
        </w:rPr>
        <w:sectPr>
          <w:headerReference w:type="default" r:id="rId117"/>
          <w:pgSz w:w="16840" w:h="11910" w:orient="landscape"/>
          <w:pgMar w:header="749" w:footer="0" w:top="960" w:bottom="280" w:left="880" w:right="740"/>
          <w:pgNumType w:start="14"/>
        </w:sectPr>
      </w:pPr>
    </w:p>
    <w:p>
      <w:pPr>
        <w:tabs>
          <w:tab w:pos="2146" w:val="left" w:leader="none"/>
        </w:tabs>
        <w:spacing w:line="117" w:lineRule="auto" w:before="141"/>
        <w:ind w:left="2146" w:right="0" w:hanging="1928"/>
        <w:jc w:val="left"/>
        <w:rPr>
          <w:sz w:val="20"/>
        </w:rPr>
      </w:pPr>
      <w:r>
        <w:rPr>
          <w:sz w:val="20"/>
        </w:rPr>
        <w:t>Carrasco</w:t>
      </w:r>
      <w:r>
        <w:rPr>
          <w:spacing w:val="-1"/>
          <w:sz w:val="20"/>
        </w:rPr>
        <w:t> </w:t>
      </w:r>
      <w:r>
        <w:rPr>
          <w:sz w:val="20"/>
        </w:rPr>
        <w:t>Bonito</w:t>
        <w:tab/>
      </w:r>
      <w:r>
        <w:rPr>
          <w:position w:val="12"/>
          <w:sz w:val="20"/>
        </w:rPr>
        <w:t>275</w:t>
      </w:r>
      <w:r>
        <w:rPr>
          <w:spacing w:val="2"/>
          <w:position w:val="12"/>
          <w:sz w:val="20"/>
        </w:rPr>
        <w:t> </w:t>
      </w:r>
      <w:r>
        <w:rPr>
          <w:position w:val="12"/>
          <w:sz w:val="20"/>
        </w:rPr>
        <w:t>de</w:t>
      </w:r>
      <w:r>
        <w:rPr>
          <w:w w:val="99"/>
          <w:position w:val="12"/>
          <w:sz w:val="20"/>
        </w:rPr>
        <w:t> </w:t>
      </w:r>
      <w:r>
        <w:rPr>
          <w:w w:val="95"/>
          <w:sz w:val="20"/>
        </w:rPr>
        <w:t>19/06/15</w:t>
      </w:r>
    </w:p>
    <w:p>
      <w:pPr>
        <w:tabs>
          <w:tab w:pos="785" w:val="left" w:leader="none"/>
          <w:tab w:pos="1351" w:val="left" w:leader="none"/>
          <w:tab w:pos="2144" w:val="left" w:leader="none"/>
          <w:tab w:pos="2713" w:val="left" w:leader="none"/>
          <w:tab w:pos="3450" w:val="left" w:leader="none"/>
          <w:tab w:pos="3903" w:val="left" w:leader="none"/>
          <w:tab w:pos="4357" w:val="left" w:leader="none"/>
          <w:tab w:pos="4813" w:val="left" w:leader="none"/>
          <w:tab w:pos="5266" w:val="left" w:leader="none"/>
          <w:tab w:pos="5720" w:val="left" w:leader="none"/>
          <w:tab w:pos="6174" w:val="left" w:leader="none"/>
          <w:tab w:pos="6628" w:val="left" w:leader="none"/>
          <w:tab w:pos="7081" w:val="left" w:leader="none"/>
          <w:tab w:pos="7537" w:val="left" w:leader="none"/>
          <w:tab w:pos="7991" w:val="left" w:leader="none"/>
          <w:tab w:pos="8444" w:val="left" w:leader="none"/>
          <w:tab w:pos="8898" w:val="left" w:leader="none"/>
          <w:tab w:pos="9352" w:val="left" w:leader="none"/>
          <w:tab w:pos="9806" w:val="left" w:leader="none"/>
          <w:tab w:pos="10262" w:val="left" w:leader="none"/>
          <w:tab w:pos="10715" w:val="left" w:leader="none"/>
          <w:tab w:pos="11169" w:val="left" w:leader="none"/>
          <w:tab w:pos="11623" w:val="left" w:leader="none"/>
        </w:tabs>
        <w:spacing w:before="166"/>
        <w:ind w:left="219" w:right="0" w:firstLine="0"/>
        <w:jc w:val="left"/>
        <w:rPr>
          <w:sz w:val="20"/>
        </w:rPr>
      </w:pPr>
      <w:r>
        <w:rPr/>
        <w:br w:type="column"/>
      </w:r>
      <w:r>
        <w:rPr>
          <w:sz w:val="20"/>
        </w:rPr>
        <w:t>13</w:t>
        <w:tab/>
        <w:t>18</w:t>
        <w:tab/>
        <w:t>X  </w:t>
      </w:r>
      <w:r>
        <w:rPr>
          <w:spacing w:val="43"/>
          <w:sz w:val="20"/>
        </w:rPr>
        <w:t> </w:t>
      </w:r>
      <w:r>
        <w:rPr>
          <w:sz w:val="20"/>
        </w:rPr>
        <w:t>X</w:t>
        <w:tab/>
        <w:t>X</w:t>
        <w:tab/>
        <w:t>X </w:t>
      </w:r>
      <w:r>
        <w:rPr>
          <w:spacing w:val="38"/>
          <w:sz w:val="20"/>
        </w:rPr>
        <w:t> </w:t>
      </w:r>
      <w:r>
        <w:rPr>
          <w:sz w:val="20"/>
        </w:rPr>
        <w:t>16</w:t>
        <w:tab/>
        <w:t>12</w:t>
        <w:tab/>
        <w:t>14</w:t>
        <w:tab/>
        <w:t>16</w:t>
        <w:tab/>
        <w:t>6</w:t>
        <w:tab/>
        <w:t>9</w:t>
        <w:tab/>
        <w:t>27</w:t>
        <w:tab/>
        <w:t>6</w:t>
        <w:tab/>
        <w:t>5</w:t>
        <w:tab/>
        <w:t>4</w:t>
        <w:tab/>
        <w:t>5</w:t>
        <w:tab/>
        <w:t>8</w:t>
        <w:tab/>
        <w:t>6</w:t>
        <w:tab/>
        <w:t>8</w:t>
        <w:tab/>
        <w:t>11</w:t>
        <w:tab/>
        <w:t>6</w:t>
        <w:tab/>
        <w:t>19</w:t>
        <w:tab/>
        <w:t>9</w:t>
        <w:tab/>
        <w:t>-</w:t>
        <w:tab/>
        <w:t>187</w:t>
      </w:r>
    </w:p>
    <w:p>
      <w:pPr>
        <w:spacing w:after="0"/>
        <w:jc w:val="left"/>
        <w:rPr>
          <w:sz w:val="20"/>
        </w:rPr>
        <w:sectPr>
          <w:type w:val="continuous"/>
          <w:pgSz w:w="16840" w:h="11910" w:orient="landscape"/>
          <w:pgMar w:top="1580" w:bottom="280" w:left="880" w:right="740"/>
          <w:cols w:num="2" w:equalWidth="0">
            <w:col w:w="2858" w:space="90"/>
            <w:col w:w="12272"/>
          </w:cols>
        </w:sectPr>
      </w:pPr>
    </w:p>
    <w:p>
      <w:pPr>
        <w:pStyle w:val="BodyText"/>
        <w:spacing w:before="1"/>
        <w:rPr>
          <w:sz w:val="21"/>
        </w:rPr>
      </w:pPr>
    </w:p>
    <w:p>
      <w:pPr>
        <w:tabs>
          <w:tab w:pos="2146" w:val="left" w:leader="none"/>
        </w:tabs>
        <w:spacing w:before="91"/>
        <w:ind w:left="219" w:right="0" w:firstLine="0"/>
        <w:jc w:val="left"/>
        <w:rPr>
          <w:sz w:val="20"/>
        </w:rPr>
      </w:pPr>
      <w:r>
        <w:rPr/>
        <w:pict>
          <v:shape style="position:absolute;margin-left:49.560001pt;margin-top:-8.674064pt;width:748.7pt;height:196.1pt;mso-position-horizontal-relative:page;mso-position-vertical-relative:paragraph;z-index:42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40"/>
                    <w:gridCol w:w="566"/>
                    <w:gridCol w:w="424"/>
                    <w:gridCol w:w="396"/>
                    <w:gridCol w:w="511"/>
                    <w:gridCol w:w="426"/>
                    <w:gridCol w:w="397"/>
                    <w:gridCol w:w="454"/>
                    <w:gridCol w:w="454"/>
                    <w:gridCol w:w="455"/>
                    <w:gridCol w:w="455"/>
                    <w:gridCol w:w="454"/>
                    <w:gridCol w:w="454"/>
                    <w:gridCol w:w="454"/>
                    <w:gridCol w:w="454"/>
                    <w:gridCol w:w="455"/>
                    <w:gridCol w:w="455"/>
                    <w:gridCol w:w="454"/>
                    <w:gridCol w:w="403"/>
                    <w:gridCol w:w="454"/>
                    <w:gridCol w:w="505"/>
                    <w:gridCol w:w="455"/>
                    <w:gridCol w:w="455"/>
                    <w:gridCol w:w="454"/>
                    <w:gridCol w:w="454"/>
                    <w:gridCol w:w="640"/>
                  </w:tblGrid>
                  <w:tr>
                    <w:trPr>
                      <w:trHeight w:val="542" w:hRule="exact"/>
                    </w:trPr>
                    <w:tc>
                      <w:tcPr>
                        <w:tcW w:w="3440" w:type="dxa"/>
                        <w:tcBorders>
                          <w:top w:val="single" w:sz="8" w:space="0" w:color="5B9BD4"/>
                          <w:bottom w:val="single" w:sz="8" w:space="0" w:color="5B9BD4"/>
                        </w:tcBorders>
                      </w:tcPr>
                      <w:p>
                        <w:pPr>
                          <w:pStyle w:val="TableParagraph"/>
                          <w:tabs>
                            <w:tab w:pos="1927" w:val="left" w:leader="none"/>
                            <w:tab w:pos="3047" w:val="right" w:leader="none"/>
                          </w:tabs>
                          <w:spacing w:before="24"/>
                          <w:ind w:right="174"/>
                          <w:jc w:val="center"/>
                          <w:rPr>
                            <w:sz w:val="20"/>
                          </w:rPr>
                        </w:pPr>
                        <w:r>
                          <w:rPr>
                            <w:sz w:val="20"/>
                          </w:rPr>
                          <w:t>Palmeiras</w:t>
                        </w:r>
                        <w:r>
                          <w:rPr>
                            <w:spacing w:val="-2"/>
                            <w:sz w:val="20"/>
                          </w:rPr>
                          <w:t> </w:t>
                        </w:r>
                        <w:r>
                          <w:rPr>
                            <w:sz w:val="20"/>
                          </w:rPr>
                          <w:t>do</w:t>
                          <w:tab/>
                          <w:t>261</w:t>
                        </w:r>
                        <w:r>
                          <w:rPr>
                            <w:spacing w:val="1"/>
                            <w:sz w:val="20"/>
                          </w:rPr>
                          <w:t> </w:t>
                        </w:r>
                        <w:r>
                          <w:rPr>
                            <w:sz w:val="20"/>
                          </w:rPr>
                          <w:t>de</w:t>
                        </w:r>
                        <w:r>
                          <w:rPr>
                            <w:position w:val="-11"/>
                            <w:sz w:val="20"/>
                          </w:rPr>
                          <w:tab/>
                          <w:t>7</w:t>
                        </w:r>
                      </w:p>
                    </w:tc>
                    <w:tc>
                      <w:tcPr>
                        <w:tcW w:w="566" w:type="dxa"/>
                        <w:tcBorders>
                          <w:top w:val="single" w:sz="8" w:space="0" w:color="5B9BD4"/>
                          <w:bottom w:val="single" w:sz="8" w:space="0" w:color="5B9BD4"/>
                        </w:tcBorders>
                      </w:tcPr>
                      <w:p>
                        <w:pPr>
                          <w:pStyle w:val="TableParagraph"/>
                          <w:spacing w:before="139"/>
                          <w:ind w:right="180"/>
                          <w:jc w:val="right"/>
                          <w:rPr>
                            <w:sz w:val="20"/>
                          </w:rPr>
                        </w:pPr>
                        <w:r>
                          <w:rPr>
                            <w:sz w:val="20"/>
                          </w:rPr>
                          <w:t>19</w:t>
                        </w:r>
                      </w:p>
                    </w:tc>
                    <w:tc>
                      <w:tcPr>
                        <w:tcW w:w="424" w:type="dxa"/>
                        <w:tcBorders>
                          <w:top w:val="single" w:sz="8" w:space="0" w:color="5B9BD4"/>
                          <w:bottom w:val="single" w:sz="8" w:space="0" w:color="5B9BD4"/>
                        </w:tcBorders>
                      </w:tcPr>
                      <w:p>
                        <w:pPr>
                          <w:pStyle w:val="TableParagraph"/>
                          <w:spacing w:before="139"/>
                          <w:ind w:left="182"/>
                          <w:rPr>
                            <w:sz w:val="20"/>
                          </w:rPr>
                        </w:pPr>
                        <w:r>
                          <w:rPr>
                            <w:w w:val="99"/>
                            <w:sz w:val="20"/>
                          </w:rPr>
                          <w:t>X</w:t>
                        </w:r>
                      </w:p>
                    </w:tc>
                    <w:tc>
                      <w:tcPr>
                        <w:tcW w:w="396" w:type="dxa"/>
                        <w:tcBorders>
                          <w:top w:val="single" w:sz="8" w:space="0" w:color="5B9BD4"/>
                          <w:bottom w:val="single" w:sz="8" w:space="0" w:color="5B9BD4"/>
                        </w:tcBorders>
                      </w:tcPr>
                      <w:p>
                        <w:pPr>
                          <w:pStyle w:val="TableParagraph"/>
                          <w:spacing w:before="139"/>
                          <w:ind w:left="97"/>
                          <w:rPr>
                            <w:sz w:val="20"/>
                          </w:rPr>
                        </w:pPr>
                        <w:r>
                          <w:rPr>
                            <w:w w:val="99"/>
                            <w:sz w:val="20"/>
                          </w:rPr>
                          <w:t>-</w:t>
                        </w:r>
                      </w:p>
                    </w:tc>
                    <w:tc>
                      <w:tcPr>
                        <w:tcW w:w="511" w:type="dxa"/>
                        <w:tcBorders>
                          <w:top w:val="single" w:sz="8" w:space="0" w:color="5B9BD4"/>
                          <w:bottom w:val="single" w:sz="8" w:space="0" w:color="5B9BD4"/>
                        </w:tcBorders>
                      </w:tcPr>
                      <w:p>
                        <w:pPr>
                          <w:pStyle w:val="TableParagraph"/>
                          <w:spacing w:before="139"/>
                          <w:ind w:left="155"/>
                          <w:rPr>
                            <w:sz w:val="20"/>
                          </w:rPr>
                        </w:pPr>
                        <w:r>
                          <w:rPr>
                            <w:w w:val="99"/>
                            <w:sz w:val="20"/>
                          </w:rPr>
                          <w:t>X</w:t>
                        </w:r>
                      </w:p>
                    </w:tc>
                    <w:tc>
                      <w:tcPr>
                        <w:tcW w:w="426" w:type="dxa"/>
                        <w:tcBorders>
                          <w:top w:val="single" w:sz="8" w:space="0" w:color="5B9BD4"/>
                          <w:bottom w:val="single" w:sz="8" w:space="0" w:color="5B9BD4"/>
                        </w:tcBorders>
                      </w:tcPr>
                      <w:p>
                        <w:pPr>
                          <w:pStyle w:val="TableParagraph"/>
                          <w:spacing w:before="139"/>
                          <w:ind w:left="212"/>
                          <w:rPr>
                            <w:sz w:val="20"/>
                          </w:rPr>
                        </w:pPr>
                        <w:r>
                          <w:rPr>
                            <w:w w:val="99"/>
                            <w:sz w:val="20"/>
                          </w:rPr>
                          <w:t>X</w:t>
                        </w:r>
                      </w:p>
                    </w:tc>
                    <w:tc>
                      <w:tcPr>
                        <w:tcW w:w="397" w:type="dxa"/>
                        <w:tcBorders>
                          <w:top w:val="single" w:sz="8" w:space="0" w:color="5B9BD4"/>
                          <w:bottom w:val="single" w:sz="8" w:space="0" w:color="5B9BD4"/>
                        </w:tcBorders>
                      </w:tcPr>
                      <w:p>
                        <w:pPr>
                          <w:pStyle w:val="TableParagraph"/>
                          <w:spacing w:before="139"/>
                          <w:ind w:left="51" w:right="105"/>
                          <w:jc w:val="center"/>
                          <w:rPr>
                            <w:sz w:val="20"/>
                          </w:rPr>
                        </w:pPr>
                        <w:r>
                          <w:rPr>
                            <w:sz w:val="20"/>
                          </w:rPr>
                          <w:t>19</w:t>
                        </w:r>
                      </w:p>
                    </w:tc>
                    <w:tc>
                      <w:tcPr>
                        <w:tcW w:w="454" w:type="dxa"/>
                        <w:tcBorders>
                          <w:top w:val="single" w:sz="8" w:space="0" w:color="5B9BD4"/>
                          <w:bottom w:val="single" w:sz="8" w:space="0" w:color="5B9BD4"/>
                        </w:tcBorders>
                      </w:tcPr>
                      <w:p>
                        <w:pPr>
                          <w:pStyle w:val="TableParagraph"/>
                          <w:spacing w:before="139"/>
                          <w:ind w:left="87" w:right="87"/>
                          <w:jc w:val="center"/>
                          <w:rPr>
                            <w:sz w:val="20"/>
                          </w:rPr>
                        </w:pPr>
                        <w:r>
                          <w:rPr>
                            <w:sz w:val="20"/>
                          </w:rPr>
                          <w:t>12</w:t>
                        </w:r>
                      </w:p>
                    </w:tc>
                    <w:tc>
                      <w:tcPr>
                        <w:tcW w:w="454" w:type="dxa"/>
                        <w:tcBorders>
                          <w:top w:val="single" w:sz="8" w:space="0" w:color="5B9BD4"/>
                          <w:bottom w:val="single" w:sz="8" w:space="0" w:color="5B9BD4"/>
                        </w:tcBorders>
                      </w:tcPr>
                      <w:p>
                        <w:pPr>
                          <w:pStyle w:val="TableParagraph"/>
                          <w:spacing w:before="139"/>
                          <w:ind w:right="100"/>
                          <w:jc w:val="center"/>
                          <w:rPr>
                            <w:sz w:val="20"/>
                          </w:rPr>
                        </w:pPr>
                        <w:r>
                          <w:rPr>
                            <w:w w:val="99"/>
                            <w:sz w:val="20"/>
                          </w:rPr>
                          <w:t>6</w:t>
                        </w:r>
                      </w:p>
                    </w:tc>
                    <w:tc>
                      <w:tcPr>
                        <w:tcW w:w="455" w:type="dxa"/>
                        <w:tcBorders>
                          <w:top w:val="single" w:sz="8" w:space="0" w:color="5B9BD4"/>
                          <w:bottom w:val="single" w:sz="8" w:space="0" w:color="5B9BD4"/>
                        </w:tcBorders>
                      </w:tcPr>
                      <w:p>
                        <w:pPr>
                          <w:pStyle w:val="TableParagraph"/>
                          <w:spacing w:before="139"/>
                          <w:ind w:left="125"/>
                          <w:rPr>
                            <w:sz w:val="20"/>
                          </w:rPr>
                        </w:pPr>
                        <w:r>
                          <w:rPr>
                            <w:sz w:val="20"/>
                          </w:rPr>
                          <w:t>19</w:t>
                        </w:r>
                      </w:p>
                    </w:tc>
                    <w:tc>
                      <w:tcPr>
                        <w:tcW w:w="455" w:type="dxa"/>
                        <w:tcBorders>
                          <w:top w:val="single" w:sz="8" w:space="0" w:color="5B9BD4"/>
                          <w:bottom w:val="single" w:sz="8" w:space="0" w:color="5B9BD4"/>
                        </w:tcBorders>
                      </w:tcPr>
                      <w:p>
                        <w:pPr>
                          <w:pStyle w:val="TableParagraph"/>
                          <w:spacing w:before="139"/>
                          <w:ind w:left="127"/>
                          <w:rPr>
                            <w:sz w:val="20"/>
                          </w:rPr>
                        </w:pPr>
                        <w:r>
                          <w:rPr>
                            <w:sz w:val="20"/>
                          </w:rPr>
                          <w:t>14</w:t>
                        </w:r>
                      </w:p>
                    </w:tc>
                    <w:tc>
                      <w:tcPr>
                        <w:tcW w:w="454" w:type="dxa"/>
                        <w:tcBorders>
                          <w:top w:val="single" w:sz="8" w:space="0" w:color="5B9BD4"/>
                          <w:bottom w:val="single" w:sz="8" w:space="0" w:color="5B9BD4"/>
                        </w:tcBorders>
                      </w:tcPr>
                      <w:p>
                        <w:pPr>
                          <w:pStyle w:val="TableParagraph"/>
                          <w:spacing w:before="139"/>
                          <w:ind w:left="106" w:right="106"/>
                          <w:jc w:val="center"/>
                          <w:rPr>
                            <w:sz w:val="20"/>
                          </w:rPr>
                        </w:pPr>
                        <w:r>
                          <w:rPr>
                            <w:sz w:val="20"/>
                          </w:rPr>
                          <w:t>16</w:t>
                        </w:r>
                      </w:p>
                    </w:tc>
                    <w:tc>
                      <w:tcPr>
                        <w:tcW w:w="454" w:type="dxa"/>
                        <w:tcBorders>
                          <w:top w:val="single" w:sz="8" w:space="0" w:color="5B9BD4"/>
                          <w:bottom w:val="single" w:sz="8" w:space="0" w:color="5B9BD4"/>
                        </w:tcBorders>
                      </w:tcPr>
                      <w:p>
                        <w:pPr>
                          <w:pStyle w:val="TableParagraph"/>
                          <w:spacing w:before="139"/>
                          <w:ind w:left="126"/>
                          <w:rPr>
                            <w:sz w:val="20"/>
                          </w:rPr>
                        </w:pPr>
                        <w:r>
                          <w:rPr>
                            <w:sz w:val="20"/>
                          </w:rPr>
                          <w:t>12</w:t>
                        </w:r>
                      </w:p>
                    </w:tc>
                    <w:tc>
                      <w:tcPr>
                        <w:tcW w:w="454" w:type="dxa"/>
                        <w:tcBorders>
                          <w:top w:val="single" w:sz="8" w:space="0" w:color="5B9BD4"/>
                          <w:bottom w:val="single" w:sz="8" w:space="0" w:color="5B9BD4"/>
                        </w:tcBorders>
                      </w:tcPr>
                      <w:p>
                        <w:pPr>
                          <w:pStyle w:val="TableParagraph"/>
                          <w:spacing w:before="139"/>
                          <w:ind w:left="125"/>
                          <w:rPr>
                            <w:sz w:val="20"/>
                          </w:rPr>
                        </w:pPr>
                        <w:r>
                          <w:rPr>
                            <w:w w:val="99"/>
                            <w:sz w:val="20"/>
                          </w:rPr>
                          <w:t>8</w:t>
                        </w:r>
                      </w:p>
                    </w:tc>
                    <w:tc>
                      <w:tcPr>
                        <w:tcW w:w="454" w:type="dxa"/>
                        <w:tcBorders>
                          <w:top w:val="single" w:sz="8" w:space="0" w:color="5B9BD4"/>
                          <w:bottom w:val="single" w:sz="8" w:space="0" w:color="5B9BD4"/>
                        </w:tcBorders>
                      </w:tcPr>
                      <w:p>
                        <w:pPr>
                          <w:pStyle w:val="TableParagraph"/>
                          <w:spacing w:before="139"/>
                          <w:ind w:left="87" w:right="87"/>
                          <w:jc w:val="center"/>
                          <w:rPr>
                            <w:sz w:val="20"/>
                          </w:rPr>
                        </w:pPr>
                        <w:r>
                          <w:rPr>
                            <w:sz w:val="20"/>
                          </w:rPr>
                          <w:t>11</w:t>
                        </w:r>
                      </w:p>
                    </w:tc>
                    <w:tc>
                      <w:tcPr>
                        <w:tcW w:w="455" w:type="dxa"/>
                        <w:tcBorders>
                          <w:top w:val="single" w:sz="8" w:space="0" w:color="5B9BD4"/>
                          <w:bottom w:val="single" w:sz="8" w:space="0" w:color="5B9BD4"/>
                        </w:tcBorders>
                      </w:tcPr>
                      <w:p>
                        <w:pPr>
                          <w:pStyle w:val="TableParagraph"/>
                          <w:spacing w:before="139"/>
                          <w:ind w:left="125"/>
                          <w:rPr>
                            <w:sz w:val="20"/>
                          </w:rPr>
                        </w:pPr>
                        <w:r>
                          <w:rPr>
                            <w:w w:val="99"/>
                            <w:sz w:val="20"/>
                          </w:rPr>
                          <w:t>8</w:t>
                        </w:r>
                      </w:p>
                    </w:tc>
                    <w:tc>
                      <w:tcPr>
                        <w:tcW w:w="455" w:type="dxa"/>
                        <w:tcBorders>
                          <w:top w:val="single" w:sz="8" w:space="0" w:color="5B9BD4"/>
                          <w:bottom w:val="single" w:sz="8" w:space="0" w:color="5B9BD4"/>
                        </w:tcBorders>
                      </w:tcPr>
                      <w:p>
                        <w:pPr>
                          <w:pStyle w:val="TableParagraph"/>
                          <w:spacing w:before="139"/>
                          <w:ind w:left="127"/>
                          <w:rPr>
                            <w:sz w:val="20"/>
                          </w:rPr>
                        </w:pPr>
                        <w:r>
                          <w:rPr>
                            <w:w w:val="99"/>
                            <w:sz w:val="20"/>
                          </w:rPr>
                          <w:t>7</w:t>
                        </w:r>
                      </w:p>
                    </w:tc>
                    <w:tc>
                      <w:tcPr>
                        <w:tcW w:w="454" w:type="dxa"/>
                        <w:tcBorders>
                          <w:top w:val="single" w:sz="8" w:space="0" w:color="5B9BD4"/>
                          <w:bottom w:val="single" w:sz="8" w:space="0" w:color="5B9BD4"/>
                        </w:tcBorders>
                      </w:tcPr>
                      <w:p>
                        <w:pPr>
                          <w:pStyle w:val="TableParagraph"/>
                          <w:spacing w:before="139"/>
                          <w:ind w:left="87" w:right="87"/>
                          <w:jc w:val="center"/>
                          <w:rPr>
                            <w:sz w:val="20"/>
                          </w:rPr>
                        </w:pPr>
                        <w:r>
                          <w:rPr>
                            <w:sz w:val="20"/>
                          </w:rPr>
                          <w:t>12</w:t>
                        </w:r>
                      </w:p>
                    </w:tc>
                    <w:tc>
                      <w:tcPr>
                        <w:tcW w:w="403" w:type="dxa"/>
                        <w:tcBorders>
                          <w:top w:val="single" w:sz="8" w:space="0" w:color="5B9BD4"/>
                          <w:bottom w:val="single" w:sz="8" w:space="0" w:color="5B9BD4"/>
                        </w:tcBorders>
                      </w:tcPr>
                      <w:p>
                        <w:pPr>
                          <w:pStyle w:val="TableParagraph"/>
                          <w:spacing w:before="139"/>
                          <w:ind w:left="125"/>
                          <w:rPr>
                            <w:sz w:val="20"/>
                          </w:rPr>
                        </w:pPr>
                        <w:r>
                          <w:rPr>
                            <w:w w:val="99"/>
                            <w:sz w:val="20"/>
                          </w:rPr>
                          <w:t>5</w:t>
                        </w:r>
                      </w:p>
                    </w:tc>
                    <w:tc>
                      <w:tcPr>
                        <w:tcW w:w="454" w:type="dxa"/>
                        <w:tcBorders>
                          <w:top w:val="single" w:sz="8" w:space="0" w:color="5B9BD4"/>
                          <w:bottom w:val="single" w:sz="8" w:space="0" w:color="5B9BD4"/>
                        </w:tcBorders>
                      </w:tcPr>
                      <w:p>
                        <w:pPr>
                          <w:pStyle w:val="TableParagraph"/>
                          <w:spacing w:before="139"/>
                          <w:ind w:left="176"/>
                          <w:rPr>
                            <w:sz w:val="20"/>
                          </w:rPr>
                        </w:pPr>
                        <w:r>
                          <w:rPr>
                            <w:w w:val="99"/>
                            <w:sz w:val="20"/>
                          </w:rPr>
                          <w:t>5</w:t>
                        </w:r>
                      </w:p>
                    </w:tc>
                    <w:tc>
                      <w:tcPr>
                        <w:tcW w:w="505" w:type="dxa"/>
                        <w:tcBorders>
                          <w:top w:val="single" w:sz="8" w:space="0" w:color="5B9BD4"/>
                          <w:bottom w:val="single" w:sz="8" w:space="0" w:color="5B9BD4"/>
                        </w:tcBorders>
                      </w:tcPr>
                      <w:p>
                        <w:pPr>
                          <w:pStyle w:val="TableParagraph"/>
                          <w:spacing w:before="139"/>
                          <w:ind w:left="176"/>
                          <w:rPr>
                            <w:sz w:val="20"/>
                          </w:rPr>
                        </w:pPr>
                        <w:r>
                          <w:rPr>
                            <w:sz w:val="20"/>
                          </w:rPr>
                          <w:t>13</w:t>
                        </w:r>
                      </w:p>
                    </w:tc>
                    <w:tc>
                      <w:tcPr>
                        <w:tcW w:w="455" w:type="dxa"/>
                        <w:tcBorders>
                          <w:top w:val="single" w:sz="8" w:space="0" w:color="5B9BD4"/>
                          <w:bottom w:val="single" w:sz="8" w:space="0" w:color="5B9BD4"/>
                        </w:tcBorders>
                      </w:tcPr>
                      <w:p>
                        <w:pPr>
                          <w:pStyle w:val="TableParagraph"/>
                          <w:spacing w:before="139"/>
                          <w:ind w:left="126"/>
                          <w:rPr>
                            <w:sz w:val="20"/>
                          </w:rPr>
                        </w:pPr>
                        <w:r>
                          <w:rPr>
                            <w:w w:val="99"/>
                            <w:sz w:val="20"/>
                          </w:rPr>
                          <w:t>9</w:t>
                        </w:r>
                      </w:p>
                    </w:tc>
                    <w:tc>
                      <w:tcPr>
                        <w:tcW w:w="455" w:type="dxa"/>
                        <w:tcBorders>
                          <w:top w:val="single" w:sz="8" w:space="0" w:color="5B9BD4"/>
                          <w:bottom w:val="single" w:sz="8" w:space="0" w:color="5B9BD4"/>
                        </w:tcBorders>
                      </w:tcPr>
                      <w:p>
                        <w:pPr>
                          <w:pStyle w:val="TableParagraph"/>
                          <w:spacing w:before="139"/>
                          <w:ind w:right="98"/>
                          <w:jc w:val="center"/>
                          <w:rPr>
                            <w:sz w:val="20"/>
                          </w:rPr>
                        </w:pPr>
                        <w:r>
                          <w:rPr>
                            <w:w w:val="99"/>
                            <w:sz w:val="20"/>
                          </w:rPr>
                          <w:t>8</w:t>
                        </w:r>
                      </w:p>
                    </w:tc>
                    <w:tc>
                      <w:tcPr>
                        <w:tcW w:w="454" w:type="dxa"/>
                        <w:tcBorders>
                          <w:top w:val="single" w:sz="8" w:space="0" w:color="5B9BD4"/>
                          <w:bottom w:val="single" w:sz="8" w:space="0" w:color="5B9BD4"/>
                        </w:tcBorders>
                      </w:tcPr>
                      <w:p>
                        <w:pPr>
                          <w:pStyle w:val="TableParagraph"/>
                          <w:spacing w:before="139"/>
                          <w:ind w:left="125"/>
                          <w:rPr>
                            <w:sz w:val="20"/>
                          </w:rPr>
                        </w:pPr>
                        <w:r>
                          <w:rPr>
                            <w:sz w:val="20"/>
                          </w:rPr>
                          <w:t>39</w:t>
                        </w:r>
                      </w:p>
                    </w:tc>
                    <w:tc>
                      <w:tcPr>
                        <w:tcW w:w="454" w:type="dxa"/>
                        <w:tcBorders>
                          <w:top w:val="single" w:sz="8" w:space="0" w:color="5B9BD4"/>
                          <w:bottom w:val="single" w:sz="8" w:space="0" w:color="5B9BD4"/>
                        </w:tcBorders>
                      </w:tcPr>
                      <w:p>
                        <w:pPr>
                          <w:pStyle w:val="TableParagraph"/>
                          <w:spacing w:before="139"/>
                          <w:ind w:left="125"/>
                          <w:rPr>
                            <w:sz w:val="20"/>
                          </w:rPr>
                        </w:pPr>
                        <w:r>
                          <w:rPr>
                            <w:sz w:val="20"/>
                          </w:rPr>
                          <w:t>23</w:t>
                        </w:r>
                      </w:p>
                    </w:tc>
                    <w:tc>
                      <w:tcPr>
                        <w:tcW w:w="640" w:type="dxa"/>
                        <w:tcBorders>
                          <w:top w:val="single" w:sz="8" w:space="0" w:color="5B9BD4"/>
                          <w:bottom w:val="single" w:sz="8" w:space="0" w:color="5B9BD4"/>
                        </w:tcBorders>
                      </w:tcPr>
                      <w:p>
                        <w:pPr>
                          <w:pStyle w:val="TableParagraph"/>
                          <w:spacing w:before="139"/>
                          <w:ind w:left="125"/>
                          <w:rPr>
                            <w:sz w:val="20"/>
                          </w:rPr>
                        </w:pPr>
                        <w:r>
                          <w:rPr>
                            <w:sz w:val="20"/>
                          </w:rPr>
                          <w:t>246</w:t>
                        </w:r>
                      </w:p>
                    </w:tc>
                  </w:tr>
                  <w:tr>
                    <w:trPr>
                      <w:trHeight w:val="480" w:hRule="exact"/>
                    </w:trPr>
                    <w:tc>
                      <w:tcPr>
                        <w:tcW w:w="3440" w:type="dxa"/>
                        <w:tcBorders>
                          <w:top w:val="single" w:sz="8" w:space="0" w:color="5B9BD4"/>
                          <w:bottom w:val="single" w:sz="8" w:space="0" w:color="5B9BD4"/>
                        </w:tcBorders>
                      </w:tcPr>
                      <w:p>
                        <w:pPr>
                          <w:pStyle w:val="TableParagraph"/>
                          <w:tabs>
                            <w:tab w:pos="1927" w:val="left" w:leader="none"/>
                            <w:tab w:pos="3149" w:val="right" w:leader="none"/>
                          </w:tabs>
                          <w:spacing w:line="338" w:lineRule="exact" w:before="0"/>
                          <w:ind w:right="72"/>
                          <w:jc w:val="center"/>
                          <w:rPr>
                            <w:sz w:val="20"/>
                          </w:rPr>
                        </w:pPr>
                        <w:r>
                          <w:rPr>
                            <w:sz w:val="20"/>
                          </w:rPr>
                          <w:t>Pindorama</w:t>
                          <w:tab/>
                        </w:r>
                        <w:r>
                          <w:rPr>
                            <w:position w:val="12"/>
                            <w:sz w:val="20"/>
                          </w:rPr>
                          <w:t>187</w:t>
                        </w:r>
                        <w:r>
                          <w:rPr>
                            <w:spacing w:val="1"/>
                            <w:position w:val="12"/>
                            <w:sz w:val="20"/>
                          </w:rPr>
                          <w:t> </w:t>
                        </w:r>
                        <w:r>
                          <w:rPr>
                            <w:position w:val="12"/>
                            <w:sz w:val="20"/>
                          </w:rPr>
                          <w:t>de</w:t>
                        </w:r>
                        <w:r>
                          <w:rPr>
                            <w:sz w:val="20"/>
                          </w:rPr>
                          <w:tab/>
                          <w:t>13</w:t>
                        </w:r>
                      </w:p>
                    </w:tc>
                    <w:tc>
                      <w:tcPr>
                        <w:tcW w:w="566" w:type="dxa"/>
                        <w:tcBorders>
                          <w:top w:val="single" w:sz="8" w:space="0" w:color="5B9BD4"/>
                          <w:bottom w:val="single" w:sz="8" w:space="0" w:color="5B9BD4"/>
                        </w:tcBorders>
                      </w:tcPr>
                      <w:p>
                        <w:pPr>
                          <w:pStyle w:val="TableParagraph"/>
                          <w:spacing w:before="108"/>
                          <w:ind w:right="180"/>
                          <w:jc w:val="right"/>
                          <w:rPr>
                            <w:sz w:val="20"/>
                          </w:rPr>
                        </w:pPr>
                        <w:r>
                          <w:rPr>
                            <w:sz w:val="20"/>
                          </w:rPr>
                          <w:t>19</w:t>
                        </w:r>
                      </w:p>
                    </w:tc>
                    <w:tc>
                      <w:tcPr>
                        <w:tcW w:w="424" w:type="dxa"/>
                        <w:tcBorders>
                          <w:top w:val="single" w:sz="8" w:space="0" w:color="5B9BD4"/>
                          <w:bottom w:val="single" w:sz="8" w:space="0" w:color="5B9BD4"/>
                        </w:tcBorders>
                      </w:tcPr>
                      <w:p>
                        <w:pPr>
                          <w:pStyle w:val="TableParagraph"/>
                          <w:spacing w:before="108"/>
                          <w:ind w:left="182"/>
                          <w:rPr>
                            <w:sz w:val="20"/>
                          </w:rPr>
                        </w:pPr>
                        <w:r>
                          <w:rPr>
                            <w:w w:val="99"/>
                            <w:sz w:val="20"/>
                          </w:rPr>
                          <w:t>-</w:t>
                        </w:r>
                      </w:p>
                    </w:tc>
                    <w:tc>
                      <w:tcPr>
                        <w:tcW w:w="396" w:type="dxa"/>
                        <w:tcBorders>
                          <w:top w:val="single" w:sz="8" w:space="0" w:color="5B9BD4"/>
                          <w:bottom w:val="single" w:sz="8" w:space="0" w:color="5B9BD4"/>
                        </w:tcBorders>
                      </w:tcPr>
                      <w:p>
                        <w:pPr>
                          <w:pStyle w:val="TableParagraph"/>
                          <w:spacing w:before="108"/>
                          <w:ind w:left="97"/>
                          <w:rPr>
                            <w:sz w:val="20"/>
                          </w:rPr>
                        </w:pPr>
                        <w:r>
                          <w:rPr>
                            <w:w w:val="99"/>
                            <w:sz w:val="20"/>
                          </w:rPr>
                          <w:t>-</w:t>
                        </w:r>
                      </w:p>
                    </w:tc>
                    <w:tc>
                      <w:tcPr>
                        <w:tcW w:w="511" w:type="dxa"/>
                        <w:tcBorders>
                          <w:top w:val="single" w:sz="8" w:space="0" w:color="5B9BD4"/>
                          <w:bottom w:val="single" w:sz="8" w:space="0" w:color="5B9BD4"/>
                        </w:tcBorders>
                      </w:tcPr>
                      <w:p>
                        <w:pPr>
                          <w:pStyle w:val="TableParagraph"/>
                          <w:spacing w:before="108"/>
                          <w:ind w:left="155"/>
                          <w:rPr>
                            <w:sz w:val="20"/>
                          </w:rPr>
                        </w:pPr>
                        <w:r>
                          <w:rPr>
                            <w:w w:val="99"/>
                            <w:sz w:val="20"/>
                          </w:rPr>
                          <w:t>-</w:t>
                        </w:r>
                      </w:p>
                    </w:tc>
                    <w:tc>
                      <w:tcPr>
                        <w:tcW w:w="426" w:type="dxa"/>
                        <w:tcBorders>
                          <w:top w:val="single" w:sz="8" w:space="0" w:color="5B9BD4"/>
                          <w:bottom w:val="single" w:sz="8" w:space="0" w:color="5B9BD4"/>
                        </w:tcBorders>
                      </w:tcPr>
                      <w:p>
                        <w:pPr>
                          <w:pStyle w:val="TableParagraph"/>
                          <w:spacing w:before="108"/>
                          <w:ind w:left="212"/>
                          <w:rPr>
                            <w:sz w:val="20"/>
                          </w:rPr>
                        </w:pPr>
                        <w:r>
                          <w:rPr>
                            <w:w w:val="99"/>
                            <w:sz w:val="20"/>
                          </w:rPr>
                          <w:t>-</w:t>
                        </w:r>
                      </w:p>
                    </w:tc>
                    <w:tc>
                      <w:tcPr>
                        <w:tcW w:w="397" w:type="dxa"/>
                        <w:tcBorders>
                          <w:top w:val="single" w:sz="8" w:space="0" w:color="5B9BD4"/>
                          <w:bottom w:val="single" w:sz="8" w:space="0" w:color="5B9BD4"/>
                        </w:tcBorders>
                      </w:tcPr>
                      <w:p>
                        <w:pPr>
                          <w:pStyle w:val="TableParagraph"/>
                          <w:spacing w:before="108"/>
                          <w:ind w:left="51" w:right="105"/>
                          <w:jc w:val="center"/>
                          <w:rPr>
                            <w:sz w:val="20"/>
                          </w:rPr>
                        </w:pPr>
                        <w:r>
                          <w:rPr>
                            <w:sz w:val="20"/>
                          </w:rPr>
                          <w:t>21</w:t>
                        </w:r>
                      </w:p>
                    </w:tc>
                    <w:tc>
                      <w:tcPr>
                        <w:tcW w:w="454" w:type="dxa"/>
                        <w:tcBorders>
                          <w:top w:val="single" w:sz="8" w:space="0" w:color="5B9BD4"/>
                          <w:bottom w:val="single" w:sz="8" w:space="0" w:color="5B9BD4"/>
                        </w:tcBorders>
                      </w:tcPr>
                      <w:p>
                        <w:pPr>
                          <w:pStyle w:val="TableParagraph"/>
                          <w:spacing w:before="108"/>
                          <w:ind w:left="87" w:right="87"/>
                          <w:jc w:val="center"/>
                          <w:rPr>
                            <w:sz w:val="20"/>
                          </w:rPr>
                        </w:pPr>
                        <w:r>
                          <w:rPr>
                            <w:sz w:val="20"/>
                          </w:rPr>
                          <w:t>15</w:t>
                        </w:r>
                      </w:p>
                    </w:tc>
                    <w:tc>
                      <w:tcPr>
                        <w:tcW w:w="454" w:type="dxa"/>
                        <w:tcBorders>
                          <w:top w:val="single" w:sz="8" w:space="0" w:color="5B9BD4"/>
                          <w:bottom w:val="single" w:sz="8" w:space="0" w:color="5B9BD4"/>
                        </w:tcBorders>
                      </w:tcPr>
                      <w:p>
                        <w:pPr>
                          <w:pStyle w:val="TableParagraph"/>
                          <w:spacing w:before="108"/>
                          <w:ind w:left="87" w:right="87"/>
                          <w:jc w:val="center"/>
                          <w:rPr>
                            <w:sz w:val="20"/>
                          </w:rPr>
                        </w:pPr>
                        <w:r>
                          <w:rPr>
                            <w:sz w:val="20"/>
                          </w:rPr>
                          <w:t>13</w:t>
                        </w:r>
                      </w:p>
                    </w:tc>
                    <w:tc>
                      <w:tcPr>
                        <w:tcW w:w="455" w:type="dxa"/>
                        <w:tcBorders>
                          <w:top w:val="single" w:sz="8" w:space="0" w:color="5B9BD4"/>
                          <w:bottom w:val="single" w:sz="8" w:space="0" w:color="5B9BD4"/>
                        </w:tcBorders>
                      </w:tcPr>
                      <w:p>
                        <w:pPr>
                          <w:pStyle w:val="TableParagraph"/>
                          <w:spacing w:before="108"/>
                          <w:ind w:left="125"/>
                          <w:rPr>
                            <w:sz w:val="20"/>
                          </w:rPr>
                        </w:pPr>
                        <w:r>
                          <w:rPr>
                            <w:sz w:val="20"/>
                          </w:rPr>
                          <w:t>20</w:t>
                        </w:r>
                      </w:p>
                    </w:tc>
                    <w:tc>
                      <w:tcPr>
                        <w:tcW w:w="455" w:type="dxa"/>
                        <w:tcBorders>
                          <w:top w:val="single" w:sz="8" w:space="0" w:color="5B9BD4"/>
                          <w:bottom w:val="single" w:sz="8" w:space="0" w:color="5B9BD4"/>
                        </w:tcBorders>
                      </w:tcPr>
                      <w:p>
                        <w:pPr>
                          <w:pStyle w:val="TableParagraph"/>
                          <w:spacing w:before="108"/>
                          <w:ind w:left="127"/>
                          <w:rPr>
                            <w:sz w:val="20"/>
                          </w:rPr>
                        </w:pPr>
                        <w:r>
                          <w:rPr>
                            <w:w w:val="99"/>
                            <w:sz w:val="20"/>
                          </w:rPr>
                          <w:t>8</w:t>
                        </w:r>
                      </w:p>
                    </w:tc>
                    <w:tc>
                      <w:tcPr>
                        <w:tcW w:w="454" w:type="dxa"/>
                        <w:tcBorders>
                          <w:top w:val="single" w:sz="8" w:space="0" w:color="5B9BD4"/>
                          <w:bottom w:val="single" w:sz="8" w:space="0" w:color="5B9BD4"/>
                        </w:tcBorders>
                      </w:tcPr>
                      <w:p>
                        <w:pPr>
                          <w:pStyle w:val="TableParagraph"/>
                          <w:spacing w:before="108"/>
                          <w:ind w:left="106" w:right="106"/>
                          <w:jc w:val="center"/>
                          <w:rPr>
                            <w:sz w:val="20"/>
                          </w:rPr>
                        </w:pPr>
                        <w:r>
                          <w:rPr>
                            <w:sz w:val="20"/>
                          </w:rPr>
                          <w:t>10</w:t>
                        </w:r>
                      </w:p>
                    </w:tc>
                    <w:tc>
                      <w:tcPr>
                        <w:tcW w:w="454" w:type="dxa"/>
                        <w:tcBorders>
                          <w:top w:val="single" w:sz="8" w:space="0" w:color="5B9BD4"/>
                          <w:bottom w:val="single" w:sz="8" w:space="0" w:color="5B9BD4"/>
                        </w:tcBorders>
                      </w:tcPr>
                      <w:p>
                        <w:pPr>
                          <w:pStyle w:val="TableParagraph"/>
                          <w:spacing w:before="108"/>
                          <w:ind w:left="126"/>
                          <w:rPr>
                            <w:sz w:val="20"/>
                          </w:rPr>
                        </w:pPr>
                        <w:r>
                          <w:rPr>
                            <w:sz w:val="20"/>
                          </w:rPr>
                          <w:t>37</w:t>
                        </w:r>
                      </w:p>
                    </w:tc>
                    <w:tc>
                      <w:tcPr>
                        <w:tcW w:w="454" w:type="dxa"/>
                        <w:tcBorders>
                          <w:top w:val="single" w:sz="8" w:space="0" w:color="5B9BD4"/>
                          <w:bottom w:val="single" w:sz="8" w:space="0" w:color="5B9BD4"/>
                        </w:tcBorders>
                      </w:tcPr>
                      <w:p>
                        <w:pPr>
                          <w:pStyle w:val="TableParagraph"/>
                          <w:spacing w:before="108"/>
                          <w:ind w:left="125"/>
                          <w:rPr>
                            <w:sz w:val="20"/>
                          </w:rPr>
                        </w:pPr>
                        <w:r>
                          <w:rPr>
                            <w:w w:val="99"/>
                            <w:sz w:val="20"/>
                          </w:rPr>
                          <w:t>4</w:t>
                        </w:r>
                      </w:p>
                    </w:tc>
                    <w:tc>
                      <w:tcPr>
                        <w:tcW w:w="454" w:type="dxa"/>
                        <w:tcBorders>
                          <w:top w:val="single" w:sz="8" w:space="0" w:color="5B9BD4"/>
                          <w:bottom w:val="single" w:sz="8" w:space="0" w:color="5B9BD4"/>
                        </w:tcBorders>
                      </w:tcPr>
                      <w:p>
                        <w:pPr>
                          <w:pStyle w:val="TableParagraph"/>
                          <w:spacing w:before="108"/>
                          <w:ind w:right="100"/>
                          <w:jc w:val="center"/>
                          <w:rPr>
                            <w:sz w:val="20"/>
                          </w:rPr>
                        </w:pPr>
                        <w:r>
                          <w:rPr>
                            <w:w w:val="99"/>
                            <w:sz w:val="20"/>
                          </w:rPr>
                          <w:t>9</w:t>
                        </w:r>
                      </w:p>
                    </w:tc>
                    <w:tc>
                      <w:tcPr>
                        <w:tcW w:w="455" w:type="dxa"/>
                        <w:tcBorders>
                          <w:top w:val="single" w:sz="8" w:space="0" w:color="5B9BD4"/>
                          <w:bottom w:val="single" w:sz="8" w:space="0" w:color="5B9BD4"/>
                        </w:tcBorders>
                      </w:tcPr>
                      <w:p>
                        <w:pPr>
                          <w:pStyle w:val="TableParagraph"/>
                          <w:spacing w:before="108"/>
                          <w:ind w:left="125"/>
                          <w:rPr>
                            <w:sz w:val="20"/>
                          </w:rPr>
                        </w:pPr>
                        <w:r>
                          <w:rPr>
                            <w:sz w:val="20"/>
                          </w:rPr>
                          <w:t>10</w:t>
                        </w:r>
                      </w:p>
                    </w:tc>
                    <w:tc>
                      <w:tcPr>
                        <w:tcW w:w="455" w:type="dxa"/>
                        <w:tcBorders>
                          <w:top w:val="single" w:sz="8" w:space="0" w:color="5B9BD4"/>
                          <w:bottom w:val="single" w:sz="8" w:space="0" w:color="5B9BD4"/>
                        </w:tcBorders>
                      </w:tcPr>
                      <w:p>
                        <w:pPr>
                          <w:pStyle w:val="TableParagraph"/>
                          <w:spacing w:before="108"/>
                          <w:ind w:left="127"/>
                          <w:rPr>
                            <w:sz w:val="20"/>
                          </w:rPr>
                        </w:pPr>
                        <w:r>
                          <w:rPr>
                            <w:sz w:val="20"/>
                          </w:rPr>
                          <w:t>10</w:t>
                        </w:r>
                      </w:p>
                    </w:tc>
                    <w:tc>
                      <w:tcPr>
                        <w:tcW w:w="454" w:type="dxa"/>
                        <w:tcBorders>
                          <w:top w:val="single" w:sz="8" w:space="0" w:color="5B9BD4"/>
                          <w:bottom w:val="single" w:sz="8" w:space="0" w:color="5B9BD4"/>
                        </w:tcBorders>
                      </w:tcPr>
                      <w:p>
                        <w:pPr>
                          <w:pStyle w:val="TableParagraph"/>
                          <w:spacing w:before="108"/>
                          <w:ind w:left="87" w:right="87"/>
                          <w:jc w:val="center"/>
                          <w:rPr>
                            <w:sz w:val="20"/>
                          </w:rPr>
                        </w:pPr>
                        <w:r>
                          <w:rPr>
                            <w:sz w:val="20"/>
                          </w:rPr>
                          <w:t>15</w:t>
                        </w:r>
                      </w:p>
                    </w:tc>
                    <w:tc>
                      <w:tcPr>
                        <w:tcW w:w="403" w:type="dxa"/>
                        <w:tcBorders>
                          <w:top w:val="single" w:sz="8" w:space="0" w:color="5B9BD4"/>
                          <w:bottom w:val="single" w:sz="8" w:space="0" w:color="5B9BD4"/>
                        </w:tcBorders>
                      </w:tcPr>
                      <w:p>
                        <w:pPr>
                          <w:pStyle w:val="TableParagraph"/>
                          <w:spacing w:before="108"/>
                          <w:ind w:left="125"/>
                          <w:rPr>
                            <w:sz w:val="20"/>
                          </w:rPr>
                        </w:pPr>
                        <w:r>
                          <w:rPr>
                            <w:w w:val="99"/>
                            <w:sz w:val="20"/>
                          </w:rPr>
                          <w:t>5</w:t>
                        </w:r>
                      </w:p>
                    </w:tc>
                    <w:tc>
                      <w:tcPr>
                        <w:tcW w:w="454" w:type="dxa"/>
                        <w:tcBorders>
                          <w:top w:val="single" w:sz="8" w:space="0" w:color="5B9BD4"/>
                          <w:bottom w:val="single" w:sz="8" w:space="0" w:color="5B9BD4"/>
                        </w:tcBorders>
                      </w:tcPr>
                      <w:p>
                        <w:pPr>
                          <w:pStyle w:val="TableParagraph"/>
                          <w:spacing w:before="108"/>
                          <w:ind w:left="176"/>
                          <w:rPr>
                            <w:sz w:val="20"/>
                          </w:rPr>
                        </w:pPr>
                        <w:r>
                          <w:rPr>
                            <w:w w:val="99"/>
                            <w:sz w:val="20"/>
                          </w:rPr>
                          <w:t>7</w:t>
                        </w:r>
                      </w:p>
                    </w:tc>
                    <w:tc>
                      <w:tcPr>
                        <w:tcW w:w="505" w:type="dxa"/>
                        <w:tcBorders>
                          <w:top w:val="single" w:sz="8" w:space="0" w:color="5B9BD4"/>
                          <w:bottom w:val="single" w:sz="8" w:space="0" w:color="5B9BD4"/>
                        </w:tcBorders>
                      </w:tcPr>
                      <w:p>
                        <w:pPr>
                          <w:pStyle w:val="TableParagraph"/>
                          <w:spacing w:before="108"/>
                          <w:ind w:left="176"/>
                          <w:rPr>
                            <w:sz w:val="20"/>
                          </w:rPr>
                        </w:pPr>
                        <w:r>
                          <w:rPr>
                            <w:sz w:val="20"/>
                          </w:rPr>
                          <w:t>13</w:t>
                        </w:r>
                      </w:p>
                    </w:tc>
                    <w:tc>
                      <w:tcPr>
                        <w:tcW w:w="455" w:type="dxa"/>
                        <w:tcBorders>
                          <w:top w:val="single" w:sz="8" w:space="0" w:color="5B9BD4"/>
                          <w:bottom w:val="single" w:sz="8" w:space="0" w:color="5B9BD4"/>
                        </w:tcBorders>
                      </w:tcPr>
                      <w:p>
                        <w:pPr>
                          <w:pStyle w:val="TableParagraph"/>
                          <w:spacing w:before="108"/>
                          <w:ind w:left="126"/>
                          <w:rPr>
                            <w:sz w:val="20"/>
                          </w:rPr>
                        </w:pPr>
                        <w:r>
                          <w:rPr>
                            <w:w w:val="99"/>
                            <w:sz w:val="20"/>
                          </w:rPr>
                          <w:t>9</w:t>
                        </w:r>
                      </w:p>
                    </w:tc>
                    <w:tc>
                      <w:tcPr>
                        <w:tcW w:w="455" w:type="dxa"/>
                        <w:tcBorders>
                          <w:top w:val="single" w:sz="8" w:space="0" w:color="5B9BD4"/>
                          <w:bottom w:val="single" w:sz="8" w:space="0" w:color="5B9BD4"/>
                        </w:tcBorders>
                      </w:tcPr>
                      <w:p>
                        <w:pPr>
                          <w:pStyle w:val="TableParagraph"/>
                          <w:spacing w:before="108"/>
                          <w:ind w:left="107" w:right="106"/>
                          <w:jc w:val="center"/>
                          <w:rPr>
                            <w:sz w:val="20"/>
                          </w:rPr>
                        </w:pPr>
                        <w:r>
                          <w:rPr>
                            <w:sz w:val="20"/>
                          </w:rPr>
                          <w:t>10</w:t>
                        </w:r>
                      </w:p>
                    </w:tc>
                    <w:tc>
                      <w:tcPr>
                        <w:tcW w:w="454" w:type="dxa"/>
                        <w:tcBorders>
                          <w:top w:val="single" w:sz="8" w:space="0" w:color="5B9BD4"/>
                          <w:bottom w:val="single" w:sz="8" w:space="0" w:color="5B9BD4"/>
                        </w:tcBorders>
                      </w:tcPr>
                      <w:p>
                        <w:pPr>
                          <w:pStyle w:val="TableParagraph"/>
                          <w:spacing w:before="108"/>
                          <w:ind w:left="125"/>
                          <w:rPr>
                            <w:sz w:val="20"/>
                          </w:rPr>
                        </w:pPr>
                        <w:r>
                          <w:rPr>
                            <w:w w:val="99"/>
                            <w:sz w:val="20"/>
                          </w:rPr>
                          <w:t>9</w:t>
                        </w:r>
                      </w:p>
                    </w:tc>
                    <w:tc>
                      <w:tcPr>
                        <w:tcW w:w="454" w:type="dxa"/>
                        <w:tcBorders>
                          <w:top w:val="single" w:sz="8" w:space="0" w:color="5B9BD4"/>
                          <w:bottom w:val="single" w:sz="8" w:space="0" w:color="5B9BD4"/>
                        </w:tcBorders>
                      </w:tcPr>
                      <w:p>
                        <w:pPr>
                          <w:pStyle w:val="TableParagraph"/>
                          <w:spacing w:before="108"/>
                          <w:ind w:left="125"/>
                          <w:rPr>
                            <w:sz w:val="20"/>
                          </w:rPr>
                        </w:pPr>
                        <w:r>
                          <w:rPr>
                            <w:sz w:val="20"/>
                          </w:rPr>
                          <w:t>16</w:t>
                        </w:r>
                      </w:p>
                    </w:tc>
                    <w:tc>
                      <w:tcPr>
                        <w:tcW w:w="640" w:type="dxa"/>
                        <w:tcBorders>
                          <w:top w:val="single" w:sz="8" w:space="0" w:color="5B9BD4"/>
                          <w:bottom w:val="single" w:sz="8" w:space="0" w:color="5B9BD4"/>
                        </w:tcBorders>
                      </w:tcPr>
                      <w:p>
                        <w:pPr>
                          <w:pStyle w:val="TableParagraph"/>
                          <w:spacing w:before="108"/>
                          <w:ind w:left="125"/>
                          <w:rPr>
                            <w:sz w:val="20"/>
                          </w:rPr>
                        </w:pPr>
                        <w:r>
                          <w:rPr>
                            <w:sz w:val="20"/>
                          </w:rPr>
                          <w:t>241</w:t>
                        </w:r>
                      </w:p>
                    </w:tc>
                  </w:tr>
                  <w:tr>
                    <w:trPr>
                      <w:trHeight w:val="480" w:hRule="exact"/>
                    </w:trPr>
                    <w:tc>
                      <w:tcPr>
                        <w:tcW w:w="3440" w:type="dxa"/>
                        <w:tcBorders>
                          <w:top w:val="single" w:sz="8" w:space="0" w:color="5B9BD4"/>
                          <w:bottom w:val="single" w:sz="8" w:space="0" w:color="5B9BD4"/>
                        </w:tcBorders>
                      </w:tcPr>
                      <w:p>
                        <w:pPr>
                          <w:pStyle w:val="TableParagraph"/>
                          <w:tabs>
                            <w:tab w:pos="1927" w:val="left" w:leader="none"/>
                            <w:tab w:pos="3149" w:val="right" w:leader="none"/>
                          </w:tabs>
                          <w:spacing w:line="338" w:lineRule="exact" w:before="0"/>
                          <w:ind w:right="72"/>
                          <w:jc w:val="center"/>
                          <w:rPr>
                            <w:sz w:val="20"/>
                          </w:rPr>
                        </w:pPr>
                        <w:r>
                          <w:rPr>
                            <w:sz w:val="20"/>
                          </w:rPr>
                          <w:t>Filadélfia</w:t>
                          <w:tab/>
                        </w:r>
                        <w:r>
                          <w:rPr>
                            <w:position w:val="12"/>
                            <w:sz w:val="20"/>
                          </w:rPr>
                          <w:t>986</w:t>
                        </w:r>
                        <w:r>
                          <w:rPr>
                            <w:spacing w:val="1"/>
                            <w:position w:val="12"/>
                            <w:sz w:val="20"/>
                          </w:rPr>
                          <w:t> </w:t>
                        </w:r>
                        <w:r>
                          <w:rPr>
                            <w:position w:val="12"/>
                            <w:sz w:val="20"/>
                          </w:rPr>
                          <w:t>de</w:t>
                        </w:r>
                        <w:r>
                          <w:rPr>
                            <w:sz w:val="20"/>
                          </w:rPr>
                          <w:tab/>
                          <w:t>13</w:t>
                        </w:r>
                      </w:p>
                    </w:tc>
                    <w:tc>
                      <w:tcPr>
                        <w:tcW w:w="566" w:type="dxa"/>
                        <w:tcBorders>
                          <w:top w:val="single" w:sz="8" w:space="0" w:color="5B9BD4"/>
                          <w:bottom w:val="single" w:sz="8" w:space="0" w:color="5B9BD4"/>
                        </w:tcBorders>
                      </w:tcPr>
                      <w:p>
                        <w:pPr>
                          <w:pStyle w:val="TableParagraph"/>
                          <w:spacing w:before="108"/>
                          <w:ind w:right="180"/>
                          <w:jc w:val="right"/>
                          <w:rPr>
                            <w:sz w:val="20"/>
                          </w:rPr>
                        </w:pPr>
                        <w:r>
                          <w:rPr>
                            <w:sz w:val="20"/>
                          </w:rPr>
                          <w:t>18</w:t>
                        </w:r>
                      </w:p>
                    </w:tc>
                    <w:tc>
                      <w:tcPr>
                        <w:tcW w:w="424" w:type="dxa"/>
                        <w:tcBorders>
                          <w:top w:val="single" w:sz="8" w:space="0" w:color="5B9BD4"/>
                          <w:bottom w:val="single" w:sz="8" w:space="0" w:color="5B9BD4"/>
                        </w:tcBorders>
                      </w:tcPr>
                      <w:p>
                        <w:pPr>
                          <w:pStyle w:val="TableParagraph"/>
                          <w:spacing w:before="108"/>
                          <w:ind w:left="182"/>
                          <w:rPr>
                            <w:sz w:val="20"/>
                          </w:rPr>
                        </w:pPr>
                        <w:r>
                          <w:rPr>
                            <w:w w:val="99"/>
                            <w:sz w:val="20"/>
                          </w:rPr>
                          <w:t>-</w:t>
                        </w:r>
                      </w:p>
                    </w:tc>
                    <w:tc>
                      <w:tcPr>
                        <w:tcW w:w="396" w:type="dxa"/>
                        <w:tcBorders>
                          <w:top w:val="single" w:sz="8" w:space="0" w:color="5B9BD4"/>
                          <w:bottom w:val="single" w:sz="8" w:space="0" w:color="5B9BD4"/>
                        </w:tcBorders>
                      </w:tcPr>
                      <w:p>
                        <w:pPr>
                          <w:pStyle w:val="TableParagraph"/>
                          <w:spacing w:before="108"/>
                          <w:ind w:left="97"/>
                          <w:rPr>
                            <w:sz w:val="20"/>
                          </w:rPr>
                        </w:pPr>
                        <w:r>
                          <w:rPr>
                            <w:w w:val="99"/>
                            <w:sz w:val="20"/>
                          </w:rPr>
                          <w:t>X</w:t>
                        </w:r>
                      </w:p>
                    </w:tc>
                    <w:tc>
                      <w:tcPr>
                        <w:tcW w:w="511" w:type="dxa"/>
                        <w:tcBorders>
                          <w:top w:val="single" w:sz="8" w:space="0" w:color="5B9BD4"/>
                          <w:bottom w:val="single" w:sz="8" w:space="0" w:color="5B9BD4"/>
                        </w:tcBorders>
                      </w:tcPr>
                      <w:p>
                        <w:pPr>
                          <w:pStyle w:val="TableParagraph"/>
                          <w:spacing w:before="108"/>
                          <w:ind w:left="155"/>
                          <w:rPr>
                            <w:sz w:val="20"/>
                          </w:rPr>
                        </w:pPr>
                        <w:r>
                          <w:rPr>
                            <w:w w:val="99"/>
                            <w:sz w:val="20"/>
                          </w:rPr>
                          <w:t>X</w:t>
                        </w:r>
                      </w:p>
                    </w:tc>
                    <w:tc>
                      <w:tcPr>
                        <w:tcW w:w="426" w:type="dxa"/>
                        <w:tcBorders>
                          <w:top w:val="single" w:sz="8" w:space="0" w:color="5B9BD4"/>
                          <w:bottom w:val="single" w:sz="8" w:space="0" w:color="5B9BD4"/>
                        </w:tcBorders>
                      </w:tcPr>
                      <w:p>
                        <w:pPr>
                          <w:pStyle w:val="TableParagraph"/>
                          <w:spacing w:before="108"/>
                          <w:ind w:left="212"/>
                          <w:rPr>
                            <w:sz w:val="20"/>
                          </w:rPr>
                        </w:pPr>
                        <w:r>
                          <w:rPr>
                            <w:w w:val="99"/>
                            <w:sz w:val="20"/>
                          </w:rPr>
                          <w:t>X</w:t>
                        </w:r>
                      </w:p>
                    </w:tc>
                    <w:tc>
                      <w:tcPr>
                        <w:tcW w:w="397" w:type="dxa"/>
                        <w:tcBorders>
                          <w:top w:val="single" w:sz="8" w:space="0" w:color="5B9BD4"/>
                          <w:bottom w:val="single" w:sz="8" w:space="0" w:color="5B9BD4"/>
                        </w:tcBorders>
                      </w:tcPr>
                      <w:p>
                        <w:pPr>
                          <w:pStyle w:val="TableParagraph"/>
                          <w:spacing w:before="108"/>
                          <w:ind w:left="51" w:right="105"/>
                          <w:jc w:val="center"/>
                          <w:rPr>
                            <w:sz w:val="20"/>
                          </w:rPr>
                        </w:pPr>
                        <w:r>
                          <w:rPr>
                            <w:sz w:val="20"/>
                          </w:rPr>
                          <w:t>14</w:t>
                        </w:r>
                      </w:p>
                    </w:tc>
                    <w:tc>
                      <w:tcPr>
                        <w:tcW w:w="454" w:type="dxa"/>
                        <w:tcBorders>
                          <w:top w:val="single" w:sz="8" w:space="0" w:color="5B9BD4"/>
                          <w:bottom w:val="single" w:sz="8" w:space="0" w:color="5B9BD4"/>
                        </w:tcBorders>
                      </w:tcPr>
                      <w:p>
                        <w:pPr>
                          <w:pStyle w:val="TableParagraph"/>
                          <w:spacing w:before="108"/>
                          <w:ind w:left="87" w:right="87"/>
                          <w:jc w:val="center"/>
                          <w:rPr>
                            <w:sz w:val="20"/>
                          </w:rPr>
                        </w:pPr>
                        <w:r>
                          <w:rPr>
                            <w:sz w:val="20"/>
                          </w:rPr>
                          <w:t>16</w:t>
                        </w:r>
                      </w:p>
                    </w:tc>
                    <w:tc>
                      <w:tcPr>
                        <w:tcW w:w="454" w:type="dxa"/>
                        <w:tcBorders>
                          <w:top w:val="single" w:sz="8" w:space="0" w:color="5B9BD4"/>
                          <w:bottom w:val="single" w:sz="8" w:space="0" w:color="5B9BD4"/>
                        </w:tcBorders>
                      </w:tcPr>
                      <w:p>
                        <w:pPr>
                          <w:pStyle w:val="TableParagraph"/>
                          <w:spacing w:before="108"/>
                          <w:ind w:right="100"/>
                          <w:jc w:val="center"/>
                          <w:rPr>
                            <w:sz w:val="20"/>
                          </w:rPr>
                        </w:pPr>
                        <w:r>
                          <w:rPr>
                            <w:w w:val="99"/>
                            <w:sz w:val="20"/>
                          </w:rPr>
                          <w:t>7</w:t>
                        </w:r>
                      </w:p>
                    </w:tc>
                    <w:tc>
                      <w:tcPr>
                        <w:tcW w:w="455" w:type="dxa"/>
                        <w:tcBorders>
                          <w:top w:val="single" w:sz="8" w:space="0" w:color="5B9BD4"/>
                          <w:bottom w:val="single" w:sz="8" w:space="0" w:color="5B9BD4"/>
                        </w:tcBorders>
                      </w:tcPr>
                      <w:p>
                        <w:pPr>
                          <w:pStyle w:val="TableParagraph"/>
                          <w:spacing w:before="108"/>
                          <w:ind w:left="125"/>
                          <w:rPr>
                            <w:sz w:val="20"/>
                          </w:rPr>
                        </w:pPr>
                        <w:r>
                          <w:rPr>
                            <w:sz w:val="20"/>
                          </w:rPr>
                          <w:t>15</w:t>
                        </w:r>
                      </w:p>
                    </w:tc>
                    <w:tc>
                      <w:tcPr>
                        <w:tcW w:w="455" w:type="dxa"/>
                        <w:tcBorders>
                          <w:top w:val="single" w:sz="8" w:space="0" w:color="5B9BD4"/>
                          <w:bottom w:val="single" w:sz="8" w:space="0" w:color="5B9BD4"/>
                        </w:tcBorders>
                      </w:tcPr>
                      <w:p>
                        <w:pPr>
                          <w:pStyle w:val="TableParagraph"/>
                          <w:spacing w:before="108"/>
                          <w:ind w:left="127"/>
                          <w:rPr>
                            <w:sz w:val="20"/>
                          </w:rPr>
                        </w:pPr>
                        <w:r>
                          <w:rPr>
                            <w:sz w:val="20"/>
                          </w:rPr>
                          <w:t>12</w:t>
                        </w:r>
                      </w:p>
                    </w:tc>
                    <w:tc>
                      <w:tcPr>
                        <w:tcW w:w="454" w:type="dxa"/>
                        <w:tcBorders>
                          <w:top w:val="single" w:sz="8" w:space="0" w:color="5B9BD4"/>
                          <w:bottom w:val="single" w:sz="8" w:space="0" w:color="5B9BD4"/>
                        </w:tcBorders>
                      </w:tcPr>
                      <w:p>
                        <w:pPr>
                          <w:pStyle w:val="TableParagraph"/>
                          <w:spacing w:before="108"/>
                          <w:ind w:right="100"/>
                          <w:jc w:val="center"/>
                          <w:rPr>
                            <w:sz w:val="20"/>
                          </w:rPr>
                        </w:pPr>
                        <w:r>
                          <w:rPr>
                            <w:w w:val="99"/>
                            <w:sz w:val="20"/>
                          </w:rPr>
                          <w:t>6</w:t>
                        </w:r>
                      </w:p>
                    </w:tc>
                    <w:tc>
                      <w:tcPr>
                        <w:tcW w:w="454" w:type="dxa"/>
                        <w:tcBorders>
                          <w:top w:val="single" w:sz="8" w:space="0" w:color="5B9BD4"/>
                          <w:bottom w:val="single" w:sz="8" w:space="0" w:color="5B9BD4"/>
                        </w:tcBorders>
                      </w:tcPr>
                      <w:p>
                        <w:pPr>
                          <w:pStyle w:val="TableParagraph"/>
                          <w:spacing w:before="108"/>
                          <w:ind w:left="126"/>
                          <w:rPr>
                            <w:sz w:val="20"/>
                          </w:rPr>
                        </w:pPr>
                        <w:r>
                          <w:rPr>
                            <w:sz w:val="20"/>
                          </w:rPr>
                          <w:t>19</w:t>
                        </w:r>
                      </w:p>
                    </w:tc>
                    <w:tc>
                      <w:tcPr>
                        <w:tcW w:w="454" w:type="dxa"/>
                        <w:tcBorders>
                          <w:top w:val="single" w:sz="8" w:space="0" w:color="5B9BD4"/>
                          <w:bottom w:val="single" w:sz="8" w:space="0" w:color="5B9BD4"/>
                        </w:tcBorders>
                      </w:tcPr>
                      <w:p>
                        <w:pPr>
                          <w:pStyle w:val="TableParagraph"/>
                          <w:spacing w:before="108"/>
                          <w:ind w:left="125"/>
                          <w:rPr>
                            <w:sz w:val="20"/>
                          </w:rPr>
                        </w:pPr>
                        <w:r>
                          <w:rPr>
                            <w:w w:val="99"/>
                            <w:sz w:val="20"/>
                          </w:rPr>
                          <w:t>6</w:t>
                        </w:r>
                      </w:p>
                    </w:tc>
                    <w:tc>
                      <w:tcPr>
                        <w:tcW w:w="454" w:type="dxa"/>
                        <w:tcBorders>
                          <w:top w:val="single" w:sz="8" w:space="0" w:color="5B9BD4"/>
                          <w:bottom w:val="single" w:sz="8" w:space="0" w:color="5B9BD4"/>
                        </w:tcBorders>
                      </w:tcPr>
                      <w:p>
                        <w:pPr>
                          <w:pStyle w:val="TableParagraph"/>
                          <w:spacing w:before="108"/>
                          <w:ind w:right="100"/>
                          <w:jc w:val="center"/>
                          <w:rPr>
                            <w:sz w:val="20"/>
                          </w:rPr>
                        </w:pPr>
                        <w:r>
                          <w:rPr>
                            <w:w w:val="99"/>
                            <w:sz w:val="20"/>
                          </w:rPr>
                          <w:t>9</w:t>
                        </w:r>
                      </w:p>
                    </w:tc>
                    <w:tc>
                      <w:tcPr>
                        <w:tcW w:w="455" w:type="dxa"/>
                        <w:tcBorders>
                          <w:top w:val="single" w:sz="8" w:space="0" w:color="5B9BD4"/>
                          <w:bottom w:val="single" w:sz="8" w:space="0" w:color="5B9BD4"/>
                        </w:tcBorders>
                      </w:tcPr>
                      <w:p>
                        <w:pPr>
                          <w:pStyle w:val="TableParagraph"/>
                          <w:spacing w:before="108"/>
                          <w:ind w:left="125"/>
                          <w:rPr>
                            <w:sz w:val="20"/>
                          </w:rPr>
                        </w:pPr>
                        <w:r>
                          <w:rPr>
                            <w:w w:val="99"/>
                            <w:sz w:val="20"/>
                          </w:rPr>
                          <w:t>8</w:t>
                        </w:r>
                      </w:p>
                    </w:tc>
                    <w:tc>
                      <w:tcPr>
                        <w:tcW w:w="455" w:type="dxa"/>
                        <w:tcBorders>
                          <w:top w:val="single" w:sz="8" w:space="0" w:color="5B9BD4"/>
                          <w:bottom w:val="single" w:sz="8" w:space="0" w:color="5B9BD4"/>
                        </w:tcBorders>
                      </w:tcPr>
                      <w:p>
                        <w:pPr>
                          <w:pStyle w:val="TableParagraph"/>
                          <w:spacing w:before="108"/>
                          <w:ind w:left="127"/>
                          <w:rPr>
                            <w:sz w:val="20"/>
                          </w:rPr>
                        </w:pPr>
                        <w:r>
                          <w:rPr>
                            <w:w w:val="99"/>
                            <w:sz w:val="20"/>
                          </w:rPr>
                          <w:t>7</w:t>
                        </w:r>
                      </w:p>
                    </w:tc>
                    <w:tc>
                      <w:tcPr>
                        <w:tcW w:w="454" w:type="dxa"/>
                        <w:tcBorders>
                          <w:top w:val="single" w:sz="8" w:space="0" w:color="5B9BD4"/>
                          <w:bottom w:val="single" w:sz="8" w:space="0" w:color="5B9BD4"/>
                        </w:tcBorders>
                      </w:tcPr>
                      <w:p>
                        <w:pPr>
                          <w:pStyle w:val="TableParagraph"/>
                          <w:spacing w:before="108"/>
                          <w:ind w:right="100"/>
                          <w:jc w:val="center"/>
                          <w:rPr>
                            <w:sz w:val="20"/>
                          </w:rPr>
                        </w:pPr>
                        <w:r>
                          <w:rPr>
                            <w:w w:val="99"/>
                            <w:sz w:val="20"/>
                          </w:rPr>
                          <w:t>9</w:t>
                        </w:r>
                      </w:p>
                    </w:tc>
                    <w:tc>
                      <w:tcPr>
                        <w:tcW w:w="403" w:type="dxa"/>
                        <w:tcBorders>
                          <w:top w:val="single" w:sz="8" w:space="0" w:color="5B9BD4"/>
                          <w:bottom w:val="single" w:sz="8" w:space="0" w:color="5B9BD4"/>
                        </w:tcBorders>
                      </w:tcPr>
                      <w:p>
                        <w:pPr>
                          <w:pStyle w:val="TableParagraph"/>
                          <w:spacing w:before="108"/>
                          <w:ind w:left="125"/>
                          <w:rPr>
                            <w:sz w:val="20"/>
                          </w:rPr>
                        </w:pPr>
                        <w:r>
                          <w:rPr>
                            <w:w w:val="99"/>
                            <w:sz w:val="20"/>
                          </w:rPr>
                          <w:t>6</w:t>
                        </w:r>
                      </w:p>
                    </w:tc>
                    <w:tc>
                      <w:tcPr>
                        <w:tcW w:w="454" w:type="dxa"/>
                        <w:tcBorders>
                          <w:top w:val="single" w:sz="8" w:space="0" w:color="5B9BD4"/>
                          <w:bottom w:val="single" w:sz="8" w:space="0" w:color="5B9BD4"/>
                        </w:tcBorders>
                      </w:tcPr>
                      <w:p>
                        <w:pPr>
                          <w:pStyle w:val="TableParagraph"/>
                          <w:spacing w:before="108"/>
                          <w:ind w:left="176"/>
                          <w:rPr>
                            <w:sz w:val="20"/>
                          </w:rPr>
                        </w:pPr>
                        <w:r>
                          <w:rPr>
                            <w:w w:val="99"/>
                            <w:sz w:val="20"/>
                          </w:rPr>
                          <w:t>6</w:t>
                        </w:r>
                      </w:p>
                    </w:tc>
                    <w:tc>
                      <w:tcPr>
                        <w:tcW w:w="505" w:type="dxa"/>
                        <w:tcBorders>
                          <w:top w:val="single" w:sz="8" w:space="0" w:color="5B9BD4"/>
                          <w:bottom w:val="single" w:sz="8" w:space="0" w:color="5B9BD4"/>
                        </w:tcBorders>
                      </w:tcPr>
                      <w:p>
                        <w:pPr>
                          <w:pStyle w:val="TableParagraph"/>
                          <w:spacing w:before="108"/>
                          <w:ind w:left="176"/>
                          <w:rPr>
                            <w:sz w:val="20"/>
                          </w:rPr>
                        </w:pPr>
                        <w:r>
                          <w:rPr>
                            <w:w w:val="99"/>
                            <w:sz w:val="20"/>
                          </w:rPr>
                          <w:t>3</w:t>
                        </w:r>
                      </w:p>
                    </w:tc>
                    <w:tc>
                      <w:tcPr>
                        <w:tcW w:w="455" w:type="dxa"/>
                        <w:tcBorders>
                          <w:top w:val="single" w:sz="8" w:space="0" w:color="5B9BD4"/>
                          <w:bottom w:val="single" w:sz="8" w:space="0" w:color="5B9BD4"/>
                        </w:tcBorders>
                      </w:tcPr>
                      <w:p>
                        <w:pPr>
                          <w:pStyle w:val="TableParagraph"/>
                          <w:spacing w:before="108"/>
                          <w:ind w:left="126"/>
                          <w:rPr>
                            <w:sz w:val="20"/>
                          </w:rPr>
                        </w:pPr>
                        <w:r>
                          <w:rPr>
                            <w:sz w:val="20"/>
                          </w:rPr>
                          <w:t>14</w:t>
                        </w:r>
                      </w:p>
                    </w:tc>
                    <w:tc>
                      <w:tcPr>
                        <w:tcW w:w="455" w:type="dxa"/>
                        <w:tcBorders>
                          <w:top w:val="single" w:sz="8" w:space="0" w:color="5B9BD4"/>
                          <w:bottom w:val="single" w:sz="8" w:space="0" w:color="5B9BD4"/>
                        </w:tcBorders>
                      </w:tcPr>
                      <w:p>
                        <w:pPr>
                          <w:pStyle w:val="TableParagraph"/>
                          <w:spacing w:before="108"/>
                          <w:ind w:right="98"/>
                          <w:jc w:val="center"/>
                          <w:rPr>
                            <w:sz w:val="20"/>
                          </w:rPr>
                        </w:pPr>
                        <w:r>
                          <w:rPr>
                            <w:w w:val="99"/>
                            <w:sz w:val="20"/>
                          </w:rPr>
                          <w:t>7</w:t>
                        </w:r>
                      </w:p>
                    </w:tc>
                    <w:tc>
                      <w:tcPr>
                        <w:tcW w:w="454" w:type="dxa"/>
                        <w:tcBorders>
                          <w:top w:val="single" w:sz="8" w:space="0" w:color="5B9BD4"/>
                          <w:bottom w:val="single" w:sz="8" w:space="0" w:color="5B9BD4"/>
                        </w:tcBorders>
                      </w:tcPr>
                      <w:p>
                        <w:pPr>
                          <w:pStyle w:val="TableParagraph"/>
                          <w:spacing w:before="108"/>
                          <w:ind w:left="125"/>
                          <w:rPr>
                            <w:sz w:val="20"/>
                          </w:rPr>
                        </w:pPr>
                        <w:r>
                          <w:rPr>
                            <w:sz w:val="20"/>
                          </w:rPr>
                          <w:t>16</w:t>
                        </w:r>
                      </w:p>
                    </w:tc>
                    <w:tc>
                      <w:tcPr>
                        <w:tcW w:w="454" w:type="dxa"/>
                        <w:tcBorders>
                          <w:top w:val="single" w:sz="8" w:space="0" w:color="5B9BD4"/>
                          <w:bottom w:val="single" w:sz="8" w:space="0" w:color="5B9BD4"/>
                        </w:tcBorders>
                      </w:tcPr>
                      <w:p>
                        <w:pPr>
                          <w:pStyle w:val="TableParagraph"/>
                          <w:spacing w:before="108"/>
                          <w:ind w:left="125"/>
                          <w:rPr>
                            <w:sz w:val="20"/>
                          </w:rPr>
                        </w:pPr>
                        <w:r>
                          <w:rPr>
                            <w:w w:val="99"/>
                            <w:sz w:val="20"/>
                          </w:rPr>
                          <w:t>-</w:t>
                        </w:r>
                      </w:p>
                    </w:tc>
                    <w:tc>
                      <w:tcPr>
                        <w:tcW w:w="640" w:type="dxa"/>
                        <w:tcBorders>
                          <w:top w:val="single" w:sz="8" w:space="0" w:color="5B9BD4"/>
                          <w:bottom w:val="single" w:sz="8" w:space="0" w:color="5B9BD4"/>
                        </w:tcBorders>
                      </w:tcPr>
                      <w:p>
                        <w:pPr>
                          <w:pStyle w:val="TableParagraph"/>
                          <w:spacing w:before="108"/>
                          <w:ind w:left="125"/>
                          <w:rPr>
                            <w:sz w:val="20"/>
                          </w:rPr>
                        </w:pPr>
                        <w:r>
                          <w:rPr>
                            <w:sz w:val="20"/>
                          </w:rPr>
                          <w:t>180</w:t>
                        </w:r>
                      </w:p>
                    </w:tc>
                  </w:tr>
                  <w:tr>
                    <w:trPr>
                      <w:trHeight w:val="480" w:hRule="exact"/>
                    </w:trPr>
                    <w:tc>
                      <w:tcPr>
                        <w:tcW w:w="3440" w:type="dxa"/>
                        <w:tcBorders>
                          <w:top w:val="single" w:sz="8" w:space="0" w:color="5B9BD4"/>
                          <w:bottom w:val="single" w:sz="8" w:space="0" w:color="5B9BD4"/>
                        </w:tcBorders>
                      </w:tcPr>
                      <w:p>
                        <w:pPr>
                          <w:pStyle w:val="TableParagraph"/>
                          <w:tabs>
                            <w:tab w:pos="1927" w:val="left" w:leader="none"/>
                            <w:tab w:pos="3149" w:val="right" w:leader="none"/>
                          </w:tabs>
                          <w:spacing w:line="338" w:lineRule="exact" w:before="0"/>
                          <w:ind w:right="72"/>
                          <w:jc w:val="center"/>
                          <w:rPr>
                            <w:sz w:val="20"/>
                          </w:rPr>
                        </w:pPr>
                        <w:r>
                          <w:rPr>
                            <w:sz w:val="20"/>
                          </w:rPr>
                          <w:t>Babaçulândia</w:t>
                          <w:tab/>
                        </w:r>
                        <w:r>
                          <w:rPr>
                            <w:position w:val="12"/>
                            <w:sz w:val="20"/>
                          </w:rPr>
                          <w:t>240</w:t>
                        </w:r>
                        <w:r>
                          <w:rPr>
                            <w:spacing w:val="1"/>
                            <w:position w:val="12"/>
                            <w:sz w:val="20"/>
                          </w:rPr>
                          <w:t> </w:t>
                        </w:r>
                        <w:r>
                          <w:rPr>
                            <w:position w:val="12"/>
                            <w:sz w:val="20"/>
                          </w:rPr>
                          <w:t>de</w:t>
                        </w:r>
                        <w:r>
                          <w:rPr>
                            <w:sz w:val="20"/>
                          </w:rPr>
                          <w:tab/>
                          <w:t>13</w:t>
                        </w:r>
                      </w:p>
                    </w:tc>
                    <w:tc>
                      <w:tcPr>
                        <w:tcW w:w="566" w:type="dxa"/>
                        <w:tcBorders>
                          <w:top w:val="single" w:sz="8" w:space="0" w:color="5B9BD4"/>
                          <w:bottom w:val="single" w:sz="8" w:space="0" w:color="5B9BD4"/>
                        </w:tcBorders>
                      </w:tcPr>
                      <w:p>
                        <w:pPr>
                          <w:pStyle w:val="TableParagraph"/>
                          <w:spacing w:before="108"/>
                          <w:ind w:right="180"/>
                          <w:jc w:val="right"/>
                          <w:rPr>
                            <w:sz w:val="20"/>
                          </w:rPr>
                        </w:pPr>
                        <w:r>
                          <w:rPr>
                            <w:sz w:val="20"/>
                          </w:rPr>
                          <w:t>18</w:t>
                        </w:r>
                      </w:p>
                    </w:tc>
                    <w:tc>
                      <w:tcPr>
                        <w:tcW w:w="424" w:type="dxa"/>
                        <w:tcBorders>
                          <w:top w:val="single" w:sz="8" w:space="0" w:color="5B9BD4"/>
                          <w:bottom w:val="single" w:sz="8" w:space="0" w:color="5B9BD4"/>
                        </w:tcBorders>
                      </w:tcPr>
                      <w:p>
                        <w:pPr>
                          <w:pStyle w:val="TableParagraph"/>
                          <w:spacing w:before="108"/>
                          <w:ind w:left="182"/>
                          <w:rPr>
                            <w:sz w:val="20"/>
                          </w:rPr>
                        </w:pPr>
                        <w:r>
                          <w:rPr>
                            <w:w w:val="99"/>
                            <w:sz w:val="20"/>
                          </w:rPr>
                          <w:t>X</w:t>
                        </w:r>
                      </w:p>
                    </w:tc>
                    <w:tc>
                      <w:tcPr>
                        <w:tcW w:w="396" w:type="dxa"/>
                        <w:tcBorders>
                          <w:top w:val="single" w:sz="8" w:space="0" w:color="5B9BD4"/>
                          <w:bottom w:val="single" w:sz="8" w:space="0" w:color="5B9BD4"/>
                        </w:tcBorders>
                      </w:tcPr>
                      <w:p>
                        <w:pPr>
                          <w:pStyle w:val="TableParagraph"/>
                          <w:spacing w:before="108"/>
                          <w:ind w:left="97"/>
                          <w:rPr>
                            <w:sz w:val="20"/>
                          </w:rPr>
                        </w:pPr>
                        <w:r>
                          <w:rPr>
                            <w:w w:val="99"/>
                            <w:sz w:val="20"/>
                          </w:rPr>
                          <w:t>-</w:t>
                        </w:r>
                      </w:p>
                    </w:tc>
                    <w:tc>
                      <w:tcPr>
                        <w:tcW w:w="511" w:type="dxa"/>
                        <w:tcBorders>
                          <w:top w:val="single" w:sz="8" w:space="0" w:color="5B9BD4"/>
                          <w:bottom w:val="single" w:sz="8" w:space="0" w:color="5B9BD4"/>
                        </w:tcBorders>
                      </w:tcPr>
                      <w:p>
                        <w:pPr>
                          <w:pStyle w:val="TableParagraph"/>
                          <w:spacing w:before="108"/>
                          <w:ind w:left="155"/>
                          <w:rPr>
                            <w:sz w:val="20"/>
                          </w:rPr>
                        </w:pPr>
                        <w:r>
                          <w:rPr>
                            <w:w w:val="99"/>
                            <w:sz w:val="20"/>
                          </w:rPr>
                          <w:t>X</w:t>
                        </w:r>
                      </w:p>
                    </w:tc>
                    <w:tc>
                      <w:tcPr>
                        <w:tcW w:w="426" w:type="dxa"/>
                        <w:tcBorders>
                          <w:top w:val="single" w:sz="8" w:space="0" w:color="5B9BD4"/>
                          <w:bottom w:val="single" w:sz="8" w:space="0" w:color="5B9BD4"/>
                        </w:tcBorders>
                      </w:tcPr>
                      <w:p>
                        <w:pPr>
                          <w:pStyle w:val="TableParagraph"/>
                          <w:spacing w:before="108"/>
                          <w:ind w:left="212"/>
                          <w:rPr>
                            <w:sz w:val="20"/>
                          </w:rPr>
                        </w:pPr>
                        <w:r>
                          <w:rPr>
                            <w:w w:val="99"/>
                            <w:sz w:val="20"/>
                          </w:rPr>
                          <w:t>X</w:t>
                        </w:r>
                      </w:p>
                    </w:tc>
                    <w:tc>
                      <w:tcPr>
                        <w:tcW w:w="397" w:type="dxa"/>
                        <w:tcBorders>
                          <w:top w:val="single" w:sz="8" w:space="0" w:color="5B9BD4"/>
                          <w:bottom w:val="single" w:sz="8" w:space="0" w:color="5B9BD4"/>
                        </w:tcBorders>
                      </w:tcPr>
                      <w:p>
                        <w:pPr>
                          <w:pStyle w:val="TableParagraph"/>
                          <w:spacing w:before="108"/>
                          <w:ind w:left="51" w:right="105"/>
                          <w:jc w:val="center"/>
                          <w:rPr>
                            <w:sz w:val="20"/>
                          </w:rPr>
                        </w:pPr>
                        <w:r>
                          <w:rPr>
                            <w:sz w:val="20"/>
                          </w:rPr>
                          <w:t>17</w:t>
                        </w:r>
                      </w:p>
                    </w:tc>
                    <w:tc>
                      <w:tcPr>
                        <w:tcW w:w="454" w:type="dxa"/>
                        <w:tcBorders>
                          <w:top w:val="single" w:sz="8" w:space="0" w:color="5B9BD4"/>
                          <w:bottom w:val="single" w:sz="8" w:space="0" w:color="5B9BD4"/>
                        </w:tcBorders>
                      </w:tcPr>
                      <w:p>
                        <w:pPr>
                          <w:pStyle w:val="TableParagraph"/>
                          <w:spacing w:before="108"/>
                          <w:ind w:left="87" w:right="87"/>
                          <w:jc w:val="center"/>
                          <w:rPr>
                            <w:sz w:val="20"/>
                          </w:rPr>
                        </w:pPr>
                        <w:r>
                          <w:rPr>
                            <w:sz w:val="20"/>
                          </w:rPr>
                          <w:t>11</w:t>
                        </w:r>
                      </w:p>
                    </w:tc>
                    <w:tc>
                      <w:tcPr>
                        <w:tcW w:w="454" w:type="dxa"/>
                        <w:tcBorders>
                          <w:top w:val="single" w:sz="8" w:space="0" w:color="5B9BD4"/>
                          <w:bottom w:val="single" w:sz="8" w:space="0" w:color="5B9BD4"/>
                        </w:tcBorders>
                      </w:tcPr>
                      <w:p>
                        <w:pPr>
                          <w:pStyle w:val="TableParagraph"/>
                          <w:spacing w:before="108"/>
                          <w:ind w:right="100"/>
                          <w:jc w:val="center"/>
                          <w:rPr>
                            <w:sz w:val="20"/>
                          </w:rPr>
                        </w:pPr>
                        <w:r>
                          <w:rPr>
                            <w:w w:val="99"/>
                            <w:sz w:val="20"/>
                          </w:rPr>
                          <w:t>8</w:t>
                        </w:r>
                      </w:p>
                    </w:tc>
                    <w:tc>
                      <w:tcPr>
                        <w:tcW w:w="455" w:type="dxa"/>
                        <w:tcBorders>
                          <w:top w:val="single" w:sz="8" w:space="0" w:color="5B9BD4"/>
                          <w:bottom w:val="single" w:sz="8" w:space="0" w:color="5B9BD4"/>
                        </w:tcBorders>
                      </w:tcPr>
                      <w:p>
                        <w:pPr>
                          <w:pStyle w:val="TableParagraph"/>
                          <w:spacing w:before="108"/>
                          <w:ind w:left="125"/>
                          <w:rPr>
                            <w:sz w:val="20"/>
                          </w:rPr>
                        </w:pPr>
                        <w:r>
                          <w:rPr>
                            <w:sz w:val="20"/>
                          </w:rPr>
                          <w:t>14</w:t>
                        </w:r>
                      </w:p>
                    </w:tc>
                    <w:tc>
                      <w:tcPr>
                        <w:tcW w:w="455" w:type="dxa"/>
                        <w:tcBorders>
                          <w:top w:val="single" w:sz="8" w:space="0" w:color="5B9BD4"/>
                          <w:bottom w:val="single" w:sz="8" w:space="0" w:color="5B9BD4"/>
                        </w:tcBorders>
                      </w:tcPr>
                      <w:p>
                        <w:pPr>
                          <w:pStyle w:val="TableParagraph"/>
                          <w:spacing w:before="108"/>
                          <w:ind w:left="127"/>
                          <w:rPr>
                            <w:sz w:val="20"/>
                          </w:rPr>
                        </w:pPr>
                        <w:r>
                          <w:rPr>
                            <w:w w:val="99"/>
                            <w:sz w:val="20"/>
                          </w:rPr>
                          <w:t>5</w:t>
                        </w:r>
                      </w:p>
                    </w:tc>
                    <w:tc>
                      <w:tcPr>
                        <w:tcW w:w="454" w:type="dxa"/>
                        <w:tcBorders>
                          <w:top w:val="single" w:sz="8" w:space="0" w:color="5B9BD4"/>
                          <w:bottom w:val="single" w:sz="8" w:space="0" w:color="5B9BD4"/>
                        </w:tcBorders>
                      </w:tcPr>
                      <w:p>
                        <w:pPr>
                          <w:pStyle w:val="TableParagraph"/>
                          <w:spacing w:before="108"/>
                          <w:ind w:right="100"/>
                          <w:jc w:val="center"/>
                          <w:rPr>
                            <w:sz w:val="20"/>
                          </w:rPr>
                        </w:pPr>
                        <w:r>
                          <w:rPr>
                            <w:w w:val="99"/>
                            <w:sz w:val="20"/>
                          </w:rPr>
                          <w:t>5</w:t>
                        </w:r>
                      </w:p>
                    </w:tc>
                    <w:tc>
                      <w:tcPr>
                        <w:tcW w:w="454" w:type="dxa"/>
                        <w:tcBorders>
                          <w:top w:val="single" w:sz="8" w:space="0" w:color="5B9BD4"/>
                          <w:bottom w:val="single" w:sz="8" w:space="0" w:color="5B9BD4"/>
                        </w:tcBorders>
                      </w:tcPr>
                      <w:p>
                        <w:pPr>
                          <w:pStyle w:val="TableParagraph"/>
                          <w:spacing w:before="108"/>
                          <w:ind w:left="126"/>
                          <w:rPr>
                            <w:sz w:val="20"/>
                          </w:rPr>
                        </w:pPr>
                        <w:r>
                          <w:rPr>
                            <w:sz w:val="20"/>
                          </w:rPr>
                          <w:t>19</w:t>
                        </w:r>
                      </w:p>
                    </w:tc>
                    <w:tc>
                      <w:tcPr>
                        <w:tcW w:w="454" w:type="dxa"/>
                        <w:tcBorders>
                          <w:top w:val="single" w:sz="8" w:space="0" w:color="5B9BD4"/>
                          <w:bottom w:val="single" w:sz="8" w:space="0" w:color="5B9BD4"/>
                        </w:tcBorders>
                      </w:tcPr>
                      <w:p>
                        <w:pPr>
                          <w:pStyle w:val="TableParagraph"/>
                          <w:spacing w:before="108"/>
                          <w:ind w:left="125"/>
                          <w:rPr>
                            <w:sz w:val="20"/>
                          </w:rPr>
                        </w:pPr>
                        <w:r>
                          <w:rPr>
                            <w:w w:val="99"/>
                            <w:sz w:val="20"/>
                          </w:rPr>
                          <w:t>6</w:t>
                        </w:r>
                      </w:p>
                    </w:tc>
                    <w:tc>
                      <w:tcPr>
                        <w:tcW w:w="454" w:type="dxa"/>
                        <w:tcBorders>
                          <w:top w:val="single" w:sz="8" w:space="0" w:color="5B9BD4"/>
                          <w:bottom w:val="single" w:sz="8" w:space="0" w:color="5B9BD4"/>
                        </w:tcBorders>
                      </w:tcPr>
                      <w:p>
                        <w:pPr>
                          <w:pStyle w:val="TableParagraph"/>
                          <w:spacing w:before="108"/>
                          <w:ind w:right="100"/>
                          <w:jc w:val="center"/>
                          <w:rPr>
                            <w:sz w:val="20"/>
                          </w:rPr>
                        </w:pPr>
                        <w:r>
                          <w:rPr>
                            <w:w w:val="99"/>
                            <w:sz w:val="20"/>
                          </w:rPr>
                          <w:t>7</w:t>
                        </w:r>
                      </w:p>
                    </w:tc>
                    <w:tc>
                      <w:tcPr>
                        <w:tcW w:w="455" w:type="dxa"/>
                        <w:tcBorders>
                          <w:top w:val="single" w:sz="8" w:space="0" w:color="5B9BD4"/>
                          <w:bottom w:val="single" w:sz="8" w:space="0" w:color="5B9BD4"/>
                        </w:tcBorders>
                      </w:tcPr>
                      <w:p>
                        <w:pPr>
                          <w:pStyle w:val="TableParagraph"/>
                          <w:spacing w:before="108"/>
                          <w:ind w:left="125"/>
                          <w:rPr>
                            <w:sz w:val="20"/>
                          </w:rPr>
                        </w:pPr>
                        <w:r>
                          <w:rPr>
                            <w:w w:val="99"/>
                            <w:sz w:val="20"/>
                          </w:rPr>
                          <w:t>9</w:t>
                        </w:r>
                      </w:p>
                    </w:tc>
                    <w:tc>
                      <w:tcPr>
                        <w:tcW w:w="455" w:type="dxa"/>
                        <w:tcBorders>
                          <w:top w:val="single" w:sz="8" w:space="0" w:color="5B9BD4"/>
                          <w:bottom w:val="single" w:sz="8" w:space="0" w:color="5B9BD4"/>
                        </w:tcBorders>
                      </w:tcPr>
                      <w:p>
                        <w:pPr>
                          <w:pStyle w:val="TableParagraph"/>
                          <w:spacing w:before="108"/>
                          <w:ind w:left="127"/>
                          <w:rPr>
                            <w:sz w:val="20"/>
                          </w:rPr>
                        </w:pPr>
                        <w:r>
                          <w:rPr>
                            <w:w w:val="99"/>
                            <w:sz w:val="20"/>
                          </w:rPr>
                          <w:t>2</w:t>
                        </w:r>
                      </w:p>
                    </w:tc>
                    <w:tc>
                      <w:tcPr>
                        <w:tcW w:w="454" w:type="dxa"/>
                        <w:tcBorders>
                          <w:top w:val="single" w:sz="8" w:space="0" w:color="5B9BD4"/>
                          <w:bottom w:val="single" w:sz="8" w:space="0" w:color="5B9BD4"/>
                        </w:tcBorders>
                      </w:tcPr>
                      <w:p>
                        <w:pPr>
                          <w:pStyle w:val="TableParagraph"/>
                          <w:spacing w:before="108"/>
                          <w:ind w:right="100"/>
                          <w:jc w:val="center"/>
                          <w:rPr>
                            <w:sz w:val="20"/>
                          </w:rPr>
                        </w:pPr>
                        <w:r>
                          <w:rPr>
                            <w:w w:val="99"/>
                            <w:sz w:val="20"/>
                          </w:rPr>
                          <w:t>7</w:t>
                        </w:r>
                      </w:p>
                    </w:tc>
                    <w:tc>
                      <w:tcPr>
                        <w:tcW w:w="403" w:type="dxa"/>
                        <w:tcBorders>
                          <w:top w:val="single" w:sz="8" w:space="0" w:color="5B9BD4"/>
                          <w:bottom w:val="single" w:sz="8" w:space="0" w:color="5B9BD4"/>
                        </w:tcBorders>
                      </w:tcPr>
                      <w:p>
                        <w:pPr>
                          <w:pStyle w:val="TableParagraph"/>
                          <w:spacing w:before="108"/>
                          <w:ind w:left="125"/>
                          <w:rPr>
                            <w:sz w:val="20"/>
                          </w:rPr>
                        </w:pPr>
                        <w:r>
                          <w:rPr>
                            <w:w w:val="99"/>
                            <w:sz w:val="20"/>
                          </w:rPr>
                          <w:t>5</w:t>
                        </w:r>
                      </w:p>
                    </w:tc>
                    <w:tc>
                      <w:tcPr>
                        <w:tcW w:w="454" w:type="dxa"/>
                        <w:tcBorders>
                          <w:top w:val="single" w:sz="8" w:space="0" w:color="5B9BD4"/>
                          <w:bottom w:val="single" w:sz="8" w:space="0" w:color="5B9BD4"/>
                        </w:tcBorders>
                      </w:tcPr>
                      <w:p>
                        <w:pPr>
                          <w:pStyle w:val="TableParagraph"/>
                          <w:spacing w:before="108"/>
                          <w:ind w:left="176"/>
                          <w:rPr>
                            <w:sz w:val="20"/>
                          </w:rPr>
                        </w:pPr>
                        <w:r>
                          <w:rPr>
                            <w:w w:val="99"/>
                            <w:sz w:val="20"/>
                          </w:rPr>
                          <w:t>5</w:t>
                        </w:r>
                      </w:p>
                    </w:tc>
                    <w:tc>
                      <w:tcPr>
                        <w:tcW w:w="505" w:type="dxa"/>
                        <w:tcBorders>
                          <w:top w:val="single" w:sz="8" w:space="0" w:color="5B9BD4"/>
                          <w:bottom w:val="single" w:sz="8" w:space="0" w:color="5B9BD4"/>
                        </w:tcBorders>
                      </w:tcPr>
                      <w:p>
                        <w:pPr>
                          <w:pStyle w:val="TableParagraph"/>
                          <w:spacing w:before="108"/>
                          <w:ind w:left="176"/>
                          <w:rPr>
                            <w:sz w:val="20"/>
                          </w:rPr>
                        </w:pPr>
                        <w:r>
                          <w:rPr>
                            <w:sz w:val="20"/>
                          </w:rPr>
                          <w:t>12</w:t>
                        </w:r>
                      </w:p>
                    </w:tc>
                    <w:tc>
                      <w:tcPr>
                        <w:tcW w:w="455" w:type="dxa"/>
                        <w:tcBorders>
                          <w:top w:val="single" w:sz="8" w:space="0" w:color="5B9BD4"/>
                          <w:bottom w:val="single" w:sz="8" w:space="0" w:color="5B9BD4"/>
                        </w:tcBorders>
                      </w:tcPr>
                      <w:p>
                        <w:pPr>
                          <w:pStyle w:val="TableParagraph"/>
                          <w:spacing w:before="108"/>
                          <w:ind w:left="126"/>
                          <w:rPr>
                            <w:sz w:val="20"/>
                          </w:rPr>
                        </w:pPr>
                        <w:r>
                          <w:rPr>
                            <w:w w:val="99"/>
                            <w:sz w:val="20"/>
                          </w:rPr>
                          <w:t>6</w:t>
                        </w:r>
                      </w:p>
                    </w:tc>
                    <w:tc>
                      <w:tcPr>
                        <w:tcW w:w="455" w:type="dxa"/>
                        <w:tcBorders>
                          <w:top w:val="single" w:sz="8" w:space="0" w:color="5B9BD4"/>
                          <w:bottom w:val="single" w:sz="8" w:space="0" w:color="5B9BD4"/>
                        </w:tcBorders>
                      </w:tcPr>
                      <w:p>
                        <w:pPr>
                          <w:pStyle w:val="TableParagraph"/>
                          <w:spacing w:before="108"/>
                          <w:ind w:right="98"/>
                          <w:jc w:val="center"/>
                          <w:rPr>
                            <w:sz w:val="20"/>
                          </w:rPr>
                        </w:pPr>
                        <w:r>
                          <w:rPr>
                            <w:w w:val="99"/>
                            <w:sz w:val="20"/>
                          </w:rPr>
                          <w:t>8</w:t>
                        </w:r>
                      </w:p>
                    </w:tc>
                    <w:tc>
                      <w:tcPr>
                        <w:tcW w:w="454" w:type="dxa"/>
                        <w:tcBorders>
                          <w:top w:val="single" w:sz="8" w:space="0" w:color="5B9BD4"/>
                          <w:bottom w:val="single" w:sz="8" w:space="0" w:color="5B9BD4"/>
                        </w:tcBorders>
                      </w:tcPr>
                      <w:p>
                        <w:pPr>
                          <w:pStyle w:val="TableParagraph"/>
                          <w:spacing w:before="108"/>
                          <w:ind w:left="125"/>
                          <w:rPr>
                            <w:sz w:val="20"/>
                          </w:rPr>
                        </w:pPr>
                        <w:r>
                          <w:rPr>
                            <w:sz w:val="20"/>
                          </w:rPr>
                          <w:t>11</w:t>
                        </w:r>
                      </w:p>
                    </w:tc>
                    <w:tc>
                      <w:tcPr>
                        <w:tcW w:w="454" w:type="dxa"/>
                        <w:tcBorders>
                          <w:top w:val="single" w:sz="8" w:space="0" w:color="5B9BD4"/>
                          <w:bottom w:val="single" w:sz="8" w:space="0" w:color="5B9BD4"/>
                        </w:tcBorders>
                      </w:tcPr>
                      <w:p>
                        <w:pPr>
                          <w:pStyle w:val="TableParagraph"/>
                          <w:spacing w:before="108"/>
                          <w:ind w:left="125"/>
                          <w:rPr>
                            <w:sz w:val="20"/>
                          </w:rPr>
                        </w:pPr>
                        <w:r>
                          <w:rPr>
                            <w:w w:val="99"/>
                            <w:sz w:val="20"/>
                          </w:rPr>
                          <w:t>-</w:t>
                        </w:r>
                      </w:p>
                    </w:tc>
                    <w:tc>
                      <w:tcPr>
                        <w:tcW w:w="640" w:type="dxa"/>
                        <w:tcBorders>
                          <w:top w:val="single" w:sz="8" w:space="0" w:color="5B9BD4"/>
                          <w:bottom w:val="single" w:sz="8" w:space="0" w:color="5B9BD4"/>
                        </w:tcBorders>
                      </w:tcPr>
                      <w:p>
                        <w:pPr>
                          <w:pStyle w:val="TableParagraph"/>
                          <w:spacing w:before="108"/>
                          <w:ind w:left="125"/>
                          <w:rPr>
                            <w:sz w:val="20"/>
                          </w:rPr>
                        </w:pPr>
                        <w:r>
                          <w:rPr>
                            <w:sz w:val="20"/>
                          </w:rPr>
                          <w:t>157</w:t>
                        </w:r>
                      </w:p>
                    </w:tc>
                  </w:tr>
                  <w:tr>
                    <w:trPr>
                      <w:trHeight w:val="480" w:hRule="exact"/>
                    </w:trPr>
                    <w:tc>
                      <w:tcPr>
                        <w:tcW w:w="3440" w:type="dxa"/>
                        <w:tcBorders>
                          <w:top w:val="single" w:sz="8" w:space="0" w:color="5B9BD4"/>
                          <w:bottom w:val="single" w:sz="8" w:space="0" w:color="5B9BD4"/>
                        </w:tcBorders>
                      </w:tcPr>
                      <w:p>
                        <w:pPr>
                          <w:pStyle w:val="TableParagraph"/>
                          <w:tabs>
                            <w:tab w:pos="1927" w:val="left" w:leader="none"/>
                            <w:tab w:pos="3149" w:val="right" w:leader="none"/>
                          </w:tabs>
                          <w:spacing w:line="338" w:lineRule="exact" w:before="0"/>
                          <w:ind w:right="72"/>
                          <w:jc w:val="center"/>
                          <w:rPr>
                            <w:sz w:val="20"/>
                          </w:rPr>
                        </w:pPr>
                        <w:r>
                          <w:rPr>
                            <w:sz w:val="20"/>
                          </w:rPr>
                          <w:t>Couto</w:t>
                        </w:r>
                        <w:r>
                          <w:rPr>
                            <w:spacing w:val="-1"/>
                            <w:sz w:val="20"/>
                          </w:rPr>
                          <w:t> </w:t>
                        </w:r>
                        <w:r>
                          <w:rPr>
                            <w:sz w:val="20"/>
                          </w:rPr>
                          <w:t>Magalhães</w:t>
                          <w:tab/>
                        </w:r>
                        <w:r>
                          <w:rPr>
                            <w:position w:val="12"/>
                            <w:sz w:val="20"/>
                          </w:rPr>
                          <w:t>7</w:t>
                        </w:r>
                        <w:r>
                          <w:rPr>
                            <w:spacing w:val="1"/>
                            <w:position w:val="12"/>
                            <w:sz w:val="20"/>
                          </w:rPr>
                          <w:t> </w:t>
                        </w:r>
                        <w:r>
                          <w:rPr>
                            <w:position w:val="12"/>
                            <w:sz w:val="20"/>
                          </w:rPr>
                          <w:t>de</w:t>
                        </w:r>
                        <w:r>
                          <w:rPr>
                            <w:sz w:val="20"/>
                          </w:rPr>
                          <w:tab/>
                          <w:t>13</w:t>
                        </w:r>
                      </w:p>
                    </w:tc>
                    <w:tc>
                      <w:tcPr>
                        <w:tcW w:w="566" w:type="dxa"/>
                        <w:tcBorders>
                          <w:top w:val="single" w:sz="8" w:space="0" w:color="5B9BD4"/>
                          <w:bottom w:val="single" w:sz="8" w:space="0" w:color="5B9BD4"/>
                        </w:tcBorders>
                      </w:tcPr>
                      <w:p>
                        <w:pPr>
                          <w:pStyle w:val="TableParagraph"/>
                          <w:spacing w:before="108"/>
                          <w:ind w:right="180"/>
                          <w:jc w:val="right"/>
                          <w:rPr>
                            <w:sz w:val="20"/>
                          </w:rPr>
                        </w:pPr>
                        <w:r>
                          <w:rPr>
                            <w:sz w:val="20"/>
                          </w:rPr>
                          <w:t>17</w:t>
                        </w:r>
                      </w:p>
                    </w:tc>
                    <w:tc>
                      <w:tcPr>
                        <w:tcW w:w="424" w:type="dxa"/>
                        <w:tcBorders>
                          <w:top w:val="single" w:sz="8" w:space="0" w:color="5B9BD4"/>
                          <w:bottom w:val="single" w:sz="8" w:space="0" w:color="5B9BD4"/>
                        </w:tcBorders>
                      </w:tcPr>
                      <w:p>
                        <w:pPr>
                          <w:pStyle w:val="TableParagraph"/>
                          <w:spacing w:before="108"/>
                          <w:ind w:left="182"/>
                          <w:rPr>
                            <w:sz w:val="20"/>
                          </w:rPr>
                        </w:pPr>
                        <w:r>
                          <w:rPr>
                            <w:w w:val="99"/>
                            <w:sz w:val="20"/>
                          </w:rPr>
                          <w:t>X</w:t>
                        </w:r>
                      </w:p>
                    </w:tc>
                    <w:tc>
                      <w:tcPr>
                        <w:tcW w:w="396" w:type="dxa"/>
                        <w:tcBorders>
                          <w:top w:val="single" w:sz="8" w:space="0" w:color="5B9BD4"/>
                          <w:bottom w:val="single" w:sz="8" w:space="0" w:color="5B9BD4"/>
                        </w:tcBorders>
                      </w:tcPr>
                      <w:p>
                        <w:pPr>
                          <w:pStyle w:val="TableParagraph"/>
                          <w:spacing w:before="108"/>
                          <w:ind w:left="97"/>
                          <w:rPr>
                            <w:sz w:val="20"/>
                          </w:rPr>
                        </w:pPr>
                        <w:r>
                          <w:rPr>
                            <w:w w:val="99"/>
                            <w:sz w:val="20"/>
                          </w:rPr>
                          <w:t>X</w:t>
                        </w:r>
                      </w:p>
                    </w:tc>
                    <w:tc>
                      <w:tcPr>
                        <w:tcW w:w="511" w:type="dxa"/>
                        <w:tcBorders>
                          <w:top w:val="single" w:sz="8" w:space="0" w:color="5B9BD4"/>
                          <w:bottom w:val="single" w:sz="8" w:space="0" w:color="5B9BD4"/>
                        </w:tcBorders>
                      </w:tcPr>
                      <w:p>
                        <w:pPr>
                          <w:pStyle w:val="TableParagraph"/>
                          <w:spacing w:before="108"/>
                          <w:ind w:left="155"/>
                          <w:rPr>
                            <w:sz w:val="20"/>
                          </w:rPr>
                        </w:pPr>
                        <w:r>
                          <w:rPr>
                            <w:w w:val="99"/>
                            <w:sz w:val="20"/>
                          </w:rPr>
                          <w:t>X</w:t>
                        </w:r>
                      </w:p>
                    </w:tc>
                    <w:tc>
                      <w:tcPr>
                        <w:tcW w:w="426" w:type="dxa"/>
                        <w:tcBorders>
                          <w:top w:val="single" w:sz="8" w:space="0" w:color="5B9BD4"/>
                          <w:bottom w:val="single" w:sz="8" w:space="0" w:color="5B9BD4"/>
                        </w:tcBorders>
                      </w:tcPr>
                      <w:p>
                        <w:pPr>
                          <w:pStyle w:val="TableParagraph"/>
                          <w:spacing w:before="108"/>
                          <w:ind w:left="212"/>
                          <w:rPr>
                            <w:sz w:val="20"/>
                          </w:rPr>
                        </w:pPr>
                        <w:r>
                          <w:rPr>
                            <w:w w:val="99"/>
                            <w:sz w:val="20"/>
                          </w:rPr>
                          <w:t>X</w:t>
                        </w:r>
                      </w:p>
                    </w:tc>
                    <w:tc>
                      <w:tcPr>
                        <w:tcW w:w="397" w:type="dxa"/>
                        <w:tcBorders>
                          <w:top w:val="single" w:sz="8" w:space="0" w:color="5B9BD4"/>
                          <w:bottom w:val="single" w:sz="8" w:space="0" w:color="5B9BD4"/>
                        </w:tcBorders>
                      </w:tcPr>
                      <w:p>
                        <w:pPr>
                          <w:pStyle w:val="TableParagraph"/>
                          <w:spacing w:before="108"/>
                          <w:ind w:left="51" w:right="105"/>
                          <w:jc w:val="center"/>
                          <w:rPr>
                            <w:sz w:val="20"/>
                          </w:rPr>
                        </w:pPr>
                        <w:r>
                          <w:rPr>
                            <w:sz w:val="20"/>
                          </w:rPr>
                          <w:t>15</w:t>
                        </w:r>
                      </w:p>
                    </w:tc>
                    <w:tc>
                      <w:tcPr>
                        <w:tcW w:w="454" w:type="dxa"/>
                        <w:tcBorders>
                          <w:top w:val="single" w:sz="8" w:space="0" w:color="5B9BD4"/>
                          <w:bottom w:val="single" w:sz="8" w:space="0" w:color="5B9BD4"/>
                        </w:tcBorders>
                      </w:tcPr>
                      <w:p>
                        <w:pPr>
                          <w:pStyle w:val="TableParagraph"/>
                          <w:spacing w:before="108"/>
                          <w:ind w:right="100"/>
                          <w:jc w:val="center"/>
                          <w:rPr>
                            <w:sz w:val="20"/>
                          </w:rPr>
                        </w:pPr>
                        <w:r>
                          <w:rPr>
                            <w:w w:val="99"/>
                            <w:sz w:val="20"/>
                          </w:rPr>
                          <w:t>7</w:t>
                        </w:r>
                      </w:p>
                    </w:tc>
                    <w:tc>
                      <w:tcPr>
                        <w:tcW w:w="454" w:type="dxa"/>
                        <w:tcBorders>
                          <w:top w:val="single" w:sz="8" w:space="0" w:color="5B9BD4"/>
                          <w:bottom w:val="single" w:sz="8" w:space="0" w:color="5B9BD4"/>
                        </w:tcBorders>
                      </w:tcPr>
                      <w:p>
                        <w:pPr>
                          <w:pStyle w:val="TableParagraph"/>
                          <w:spacing w:before="108"/>
                          <w:ind w:left="87" w:right="87"/>
                          <w:jc w:val="center"/>
                          <w:rPr>
                            <w:sz w:val="20"/>
                          </w:rPr>
                        </w:pPr>
                        <w:r>
                          <w:rPr>
                            <w:sz w:val="20"/>
                          </w:rPr>
                          <w:t>13</w:t>
                        </w:r>
                      </w:p>
                    </w:tc>
                    <w:tc>
                      <w:tcPr>
                        <w:tcW w:w="455" w:type="dxa"/>
                        <w:tcBorders>
                          <w:top w:val="single" w:sz="8" w:space="0" w:color="5B9BD4"/>
                          <w:bottom w:val="single" w:sz="8" w:space="0" w:color="5B9BD4"/>
                        </w:tcBorders>
                      </w:tcPr>
                      <w:p>
                        <w:pPr>
                          <w:pStyle w:val="TableParagraph"/>
                          <w:spacing w:before="108"/>
                          <w:ind w:left="125"/>
                          <w:rPr>
                            <w:sz w:val="20"/>
                          </w:rPr>
                        </w:pPr>
                        <w:r>
                          <w:rPr>
                            <w:sz w:val="20"/>
                          </w:rPr>
                          <w:t>30</w:t>
                        </w:r>
                      </w:p>
                    </w:tc>
                    <w:tc>
                      <w:tcPr>
                        <w:tcW w:w="455" w:type="dxa"/>
                        <w:tcBorders>
                          <w:top w:val="single" w:sz="8" w:space="0" w:color="5B9BD4"/>
                          <w:bottom w:val="single" w:sz="8" w:space="0" w:color="5B9BD4"/>
                        </w:tcBorders>
                      </w:tcPr>
                      <w:p>
                        <w:pPr>
                          <w:pStyle w:val="TableParagraph"/>
                          <w:spacing w:before="108"/>
                          <w:ind w:left="127"/>
                          <w:rPr>
                            <w:sz w:val="20"/>
                          </w:rPr>
                        </w:pPr>
                        <w:r>
                          <w:rPr>
                            <w:sz w:val="20"/>
                          </w:rPr>
                          <w:t>10</w:t>
                        </w:r>
                      </w:p>
                    </w:tc>
                    <w:tc>
                      <w:tcPr>
                        <w:tcW w:w="454" w:type="dxa"/>
                        <w:tcBorders>
                          <w:top w:val="single" w:sz="8" w:space="0" w:color="5B9BD4"/>
                          <w:bottom w:val="single" w:sz="8" w:space="0" w:color="5B9BD4"/>
                        </w:tcBorders>
                      </w:tcPr>
                      <w:p>
                        <w:pPr>
                          <w:pStyle w:val="TableParagraph"/>
                          <w:spacing w:before="108"/>
                          <w:ind w:left="106" w:right="106"/>
                          <w:jc w:val="center"/>
                          <w:rPr>
                            <w:sz w:val="20"/>
                          </w:rPr>
                        </w:pPr>
                        <w:r>
                          <w:rPr>
                            <w:sz w:val="20"/>
                          </w:rPr>
                          <w:t>16</w:t>
                        </w:r>
                      </w:p>
                    </w:tc>
                    <w:tc>
                      <w:tcPr>
                        <w:tcW w:w="454" w:type="dxa"/>
                        <w:tcBorders>
                          <w:top w:val="single" w:sz="8" w:space="0" w:color="5B9BD4"/>
                          <w:bottom w:val="single" w:sz="8" w:space="0" w:color="5B9BD4"/>
                        </w:tcBorders>
                      </w:tcPr>
                      <w:p>
                        <w:pPr>
                          <w:pStyle w:val="TableParagraph"/>
                          <w:spacing w:before="108"/>
                          <w:ind w:left="126"/>
                          <w:rPr>
                            <w:sz w:val="20"/>
                          </w:rPr>
                        </w:pPr>
                        <w:r>
                          <w:rPr>
                            <w:w w:val="99"/>
                            <w:sz w:val="20"/>
                          </w:rPr>
                          <w:t>9</w:t>
                        </w:r>
                      </w:p>
                    </w:tc>
                    <w:tc>
                      <w:tcPr>
                        <w:tcW w:w="454" w:type="dxa"/>
                        <w:tcBorders>
                          <w:top w:val="single" w:sz="8" w:space="0" w:color="5B9BD4"/>
                          <w:bottom w:val="single" w:sz="8" w:space="0" w:color="5B9BD4"/>
                        </w:tcBorders>
                      </w:tcPr>
                      <w:p>
                        <w:pPr>
                          <w:pStyle w:val="TableParagraph"/>
                          <w:spacing w:before="108"/>
                          <w:ind w:left="125"/>
                          <w:rPr>
                            <w:sz w:val="20"/>
                          </w:rPr>
                        </w:pPr>
                        <w:r>
                          <w:rPr>
                            <w:w w:val="99"/>
                            <w:sz w:val="20"/>
                          </w:rPr>
                          <w:t>6</w:t>
                        </w:r>
                      </w:p>
                    </w:tc>
                    <w:tc>
                      <w:tcPr>
                        <w:tcW w:w="454" w:type="dxa"/>
                        <w:tcBorders>
                          <w:top w:val="single" w:sz="8" w:space="0" w:color="5B9BD4"/>
                          <w:bottom w:val="single" w:sz="8" w:space="0" w:color="5B9BD4"/>
                        </w:tcBorders>
                      </w:tcPr>
                      <w:p>
                        <w:pPr>
                          <w:pStyle w:val="TableParagraph"/>
                          <w:spacing w:before="108"/>
                          <w:ind w:left="87" w:right="87"/>
                          <w:jc w:val="center"/>
                          <w:rPr>
                            <w:sz w:val="20"/>
                          </w:rPr>
                        </w:pPr>
                        <w:r>
                          <w:rPr>
                            <w:sz w:val="20"/>
                          </w:rPr>
                          <w:t>12</w:t>
                        </w:r>
                      </w:p>
                    </w:tc>
                    <w:tc>
                      <w:tcPr>
                        <w:tcW w:w="455" w:type="dxa"/>
                        <w:tcBorders>
                          <w:top w:val="single" w:sz="8" w:space="0" w:color="5B9BD4"/>
                          <w:bottom w:val="single" w:sz="8" w:space="0" w:color="5B9BD4"/>
                        </w:tcBorders>
                      </w:tcPr>
                      <w:p>
                        <w:pPr>
                          <w:pStyle w:val="TableParagraph"/>
                          <w:spacing w:before="108"/>
                          <w:ind w:left="125"/>
                          <w:rPr>
                            <w:sz w:val="20"/>
                          </w:rPr>
                        </w:pPr>
                        <w:r>
                          <w:rPr>
                            <w:sz w:val="20"/>
                          </w:rPr>
                          <w:t>11</w:t>
                        </w:r>
                      </w:p>
                    </w:tc>
                    <w:tc>
                      <w:tcPr>
                        <w:tcW w:w="455" w:type="dxa"/>
                        <w:tcBorders>
                          <w:top w:val="single" w:sz="8" w:space="0" w:color="5B9BD4"/>
                          <w:bottom w:val="single" w:sz="8" w:space="0" w:color="5B9BD4"/>
                        </w:tcBorders>
                      </w:tcPr>
                      <w:p>
                        <w:pPr>
                          <w:pStyle w:val="TableParagraph"/>
                          <w:spacing w:before="108"/>
                          <w:ind w:left="127"/>
                          <w:rPr>
                            <w:sz w:val="20"/>
                          </w:rPr>
                        </w:pPr>
                        <w:r>
                          <w:rPr>
                            <w:sz w:val="20"/>
                          </w:rPr>
                          <w:t>10</w:t>
                        </w:r>
                      </w:p>
                    </w:tc>
                    <w:tc>
                      <w:tcPr>
                        <w:tcW w:w="454" w:type="dxa"/>
                        <w:tcBorders>
                          <w:top w:val="single" w:sz="8" w:space="0" w:color="5B9BD4"/>
                          <w:bottom w:val="single" w:sz="8" w:space="0" w:color="5B9BD4"/>
                        </w:tcBorders>
                      </w:tcPr>
                      <w:p>
                        <w:pPr>
                          <w:pStyle w:val="TableParagraph"/>
                          <w:spacing w:before="108"/>
                          <w:ind w:right="100"/>
                          <w:jc w:val="center"/>
                          <w:rPr>
                            <w:sz w:val="20"/>
                          </w:rPr>
                        </w:pPr>
                        <w:r>
                          <w:rPr>
                            <w:w w:val="99"/>
                            <w:sz w:val="20"/>
                          </w:rPr>
                          <w:t>7</w:t>
                        </w:r>
                      </w:p>
                    </w:tc>
                    <w:tc>
                      <w:tcPr>
                        <w:tcW w:w="403" w:type="dxa"/>
                        <w:tcBorders>
                          <w:top w:val="single" w:sz="8" w:space="0" w:color="5B9BD4"/>
                          <w:bottom w:val="single" w:sz="8" w:space="0" w:color="5B9BD4"/>
                        </w:tcBorders>
                      </w:tcPr>
                      <w:p>
                        <w:pPr>
                          <w:pStyle w:val="TableParagraph"/>
                          <w:spacing w:before="108"/>
                          <w:ind w:left="125"/>
                          <w:rPr>
                            <w:sz w:val="20"/>
                          </w:rPr>
                        </w:pPr>
                        <w:r>
                          <w:rPr>
                            <w:w w:val="99"/>
                            <w:sz w:val="20"/>
                          </w:rPr>
                          <w:t>8</w:t>
                        </w:r>
                      </w:p>
                    </w:tc>
                    <w:tc>
                      <w:tcPr>
                        <w:tcW w:w="454" w:type="dxa"/>
                        <w:tcBorders>
                          <w:top w:val="single" w:sz="8" w:space="0" w:color="5B9BD4"/>
                          <w:bottom w:val="single" w:sz="8" w:space="0" w:color="5B9BD4"/>
                        </w:tcBorders>
                      </w:tcPr>
                      <w:p>
                        <w:pPr>
                          <w:pStyle w:val="TableParagraph"/>
                          <w:spacing w:before="108"/>
                          <w:ind w:left="176"/>
                          <w:rPr>
                            <w:sz w:val="20"/>
                          </w:rPr>
                        </w:pPr>
                        <w:r>
                          <w:rPr>
                            <w:w w:val="99"/>
                            <w:sz w:val="20"/>
                          </w:rPr>
                          <w:t>5</w:t>
                        </w:r>
                      </w:p>
                    </w:tc>
                    <w:tc>
                      <w:tcPr>
                        <w:tcW w:w="505" w:type="dxa"/>
                        <w:tcBorders>
                          <w:top w:val="single" w:sz="8" w:space="0" w:color="5B9BD4"/>
                          <w:bottom w:val="single" w:sz="8" w:space="0" w:color="5B9BD4"/>
                        </w:tcBorders>
                      </w:tcPr>
                      <w:p>
                        <w:pPr>
                          <w:pStyle w:val="TableParagraph"/>
                          <w:spacing w:before="108"/>
                          <w:ind w:left="176"/>
                          <w:rPr>
                            <w:sz w:val="20"/>
                          </w:rPr>
                        </w:pPr>
                        <w:r>
                          <w:rPr>
                            <w:w w:val="99"/>
                            <w:sz w:val="20"/>
                          </w:rPr>
                          <w:t>6</w:t>
                        </w:r>
                      </w:p>
                    </w:tc>
                    <w:tc>
                      <w:tcPr>
                        <w:tcW w:w="455" w:type="dxa"/>
                        <w:tcBorders>
                          <w:top w:val="single" w:sz="8" w:space="0" w:color="5B9BD4"/>
                          <w:bottom w:val="single" w:sz="8" w:space="0" w:color="5B9BD4"/>
                        </w:tcBorders>
                      </w:tcPr>
                      <w:p>
                        <w:pPr>
                          <w:pStyle w:val="TableParagraph"/>
                          <w:spacing w:before="108"/>
                          <w:ind w:left="126"/>
                          <w:rPr>
                            <w:sz w:val="20"/>
                          </w:rPr>
                        </w:pPr>
                        <w:r>
                          <w:rPr>
                            <w:w w:val="99"/>
                            <w:sz w:val="20"/>
                          </w:rPr>
                          <w:t>8</w:t>
                        </w:r>
                      </w:p>
                    </w:tc>
                    <w:tc>
                      <w:tcPr>
                        <w:tcW w:w="455" w:type="dxa"/>
                        <w:tcBorders>
                          <w:top w:val="single" w:sz="8" w:space="0" w:color="5B9BD4"/>
                          <w:bottom w:val="single" w:sz="8" w:space="0" w:color="5B9BD4"/>
                        </w:tcBorders>
                      </w:tcPr>
                      <w:p>
                        <w:pPr>
                          <w:pStyle w:val="TableParagraph"/>
                          <w:spacing w:before="108"/>
                          <w:ind w:left="107" w:right="106"/>
                          <w:jc w:val="center"/>
                          <w:rPr>
                            <w:sz w:val="20"/>
                          </w:rPr>
                        </w:pPr>
                        <w:r>
                          <w:rPr>
                            <w:sz w:val="20"/>
                          </w:rPr>
                          <w:t>12</w:t>
                        </w:r>
                      </w:p>
                    </w:tc>
                    <w:tc>
                      <w:tcPr>
                        <w:tcW w:w="454" w:type="dxa"/>
                        <w:tcBorders>
                          <w:top w:val="single" w:sz="8" w:space="0" w:color="5B9BD4"/>
                          <w:bottom w:val="single" w:sz="8" w:space="0" w:color="5B9BD4"/>
                        </w:tcBorders>
                      </w:tcPr>
                      <w:p>
                        <w:pPr>
                          <w:pStyle w:val="TableParagraph"/>
                          <w:spacing w:before="108"/>
                          <w:ind w:left="125"/>
                          <w:rPr>
                            <w:sz w:val="20"/>
                          </w:rPr>
                        </w:pPr>
                        <w:r>
                          <w:rPr>
                            <w:w w:val="99"/>
                            <w:sz w:val="20"/>
                          </w:rPr>
                          <w:t>-</w:t>
                        </w:r>
                      </w:p>
                    </w:tc>
                    <w:tc>
                      <w:tcPr>
                        <w:tcW w:w="454" w:type="dxa"/>
                        <w:tcBorders>
                          <w:top w:val="single" w:sz="8" w:space="0" w:color="5B9BD4"/>
                          <w:bottom w:val="single" w:sz="8" w:space="0" w:color="5B9BD4"/>
                        </w:tcBorders>
                      </w:tcPr>
                      <w:p>
                        <w:pPr>
                          <w:pStyle w:val="TableParagraph"/>
                          <w:spacing w:before="108"/>
                          <w:ind w:left="125"/>
                          <w:rPr>
                            <w:sz w:val="20"/>
                          </w:rPr>
                        </w:pPr>
                        <w:r>
                          <w:rPr>
                            <w:w w:val="99"/>
                            <w:sz w:val="20"/>
                          </w:rPr>
                          <w:t>-</w:t>
                        </w:r>
                      </w:p>
                    </w:tc>
                    <w:tc>
                      <w:tcPr>
                        <w:tcW w:w="640" w:type="dxa"/>
                        <w:tcBorders>
                          <w:top w:val="single" w:sz="8" w:space="0" w:color="5B9BD4"/>
                          <w:bottom w:val="single" w:sz="8" w:space="0" w:color="5B9BD4"/>
                        </w:tcBorders>
                      </w:tcPr>
                      <w:p>
                        <w:pPr>
                          <w:pStyle w:val="TableParagraph"/>
                          <w:spacing w:before="108"/>
                          <w:ind w:left="125"/>
                          <w:rPr>
                            <w:sz w:val="20"/>
                          </w:rPr>
                        </w:pPr>
                        <w:r>
                          <w:rPr>
                            <w:sz w:val="20"/>
                          </w:rPr>
                          <w:t>185</w:t>
                        </w:r>
                      </w:p>
                    </w:tc>
                  </w:tr>
                  <w:tr>
                    <w:trPr>
                      <w:trHeight w:val="480" w:hRule="exact"/>
                    </w:trPr>
                    <w:tc>
                      <w:tcPr>
                        <w:tcW w:w="3440" w:type="dxa"/>
                        <w:tcBorders>
                          <w:top w:val="single" w:sz="8" w:space="0" w:color="5B9BD4"/>
                          <w:bottom w:val="single" w:sz="8" w:space="0" w:color="5B9BD4"/>
                        </w:tcBorders>
                      </w:tcPr>
                      <w:p>
                        <w:pPr>
                          <w:pStyle w:val="TableParagraph"/>
                          <w:tabs>
                            <w:tab w:pos="1927" w:val="left" w:leader="none"/>
                            <w:tab w:pos="3149" w:val="right" w:leader="none"/>
                          </w:tabs>
                          <w:spacing w:line="338" w:lineRule="exact" w:before="0"/>
                          <w:ind w:right="72"/>
                          <w:jc w:val="center"/>
                          <w:rPr>
                            <w:sz w:val="20"/>
                          </w:rPr>
                        </w:pPr>
                        <w:r>
                          <w:rPr>
                            <w:sz w:val="20"/>
                          </w:rPr>
                          <w:t>Itaporã</w:t>
                          <w:tab/>
                        </w:r>
                        <w:r>
                          <w:rPr>
                            <w:position w:val="12"/>
                            <w:sz w:val="20"/>
                          </w:rPr>
                          <w:t>079</w:t>
                        </w:r>
                        <w:r>
                          <w:rPr>
                            <w:spacing w:val="1"/>
                            <w:position w:val="12"/>
                            <w:sz w:val="20"/>
                          </w:rPr>
                          <w:t> </w:t>
                        </w:r>
                        <w:r>
                          <w:rPr>
                            <w:position w:val="12"/>
                            <w:sz w:val="20"/>
                          </w:rPr>
                          <w:t>de</w:t>
                        </w:r>
                        <w:r>
                          <w:rPr>
                            <w:sz w:val="20"/>
                          </w:rPr>
                          <w:tab/>
                          <w:t>12</w:t>
                        </w:r>
                      </w:p>
                    </w:tc>
                    <w:tc>
                      <w:tcPr>
                        <w:tcW w:w="566" w:type="dxa"/>
                        <w:tcBorders>
                          <w:top w:val="single" w:sz="8" w:space="0" w:color="5B9BD4"/>
                          <w:bottom w:val="single" w:sz="8" w:space="0" w:color="5B9BD4"/>
                        </w:tcBorders>
                      </w:tcPr>
                      <w:p>
                        <w:pPr>
                          <w:pStyle w:val="TableParagraph"/>
                          <w:spacing w:before="108"/>
                          <w:ind w:right="180"/>
                          <w:jc w:val="right"/>
                          <w:rPr>
                            <w:sz w:val="20"/>
                          </w:rPr>
                        </w:pPr>
                        <w:r>
                          <w:rPr>
                            <w:sz w:val="20"/>
                          </w:rPr>
                          <w:t>18</w:t>
                        </w:r>
                      </w:p>
                    </w:tc>
                    <w:tc>
                      <w:tcPr>
                        <w:tcW w:w="424" w:type="dxa"/>
                        <w:tcBorders>
                          <w:top w:val="single" w:sz="8" w:space="0" w:color="5B9BD4"/>
                          <w:bottom w:val="single" w:sz="8" w:space="0" w:color="5B9BD4"/>
                        </w:tcBorders>
                      </w:tcPr>
                      <w:p>
                        <w:pPr>
                          <w:pStyle w:val="TableParagraph"/>
                          <w:spacing w:before="108"/>
                          <w:ind w:left="182"/>
                          <w:rPr>
                            <w:sz w:val="20"/>
                          </w:rPr>
                        </w:pPr>
                        <w:r>
                          <w:rPr>
                            <w:w w:val="99"/>
                            <w:sz w:val="20"/>
                          </w:rPr>
                          <w:t>X</w:t>
                        </w:r>
                      </w:p>
                    </w:tc>
                    <w:tc>
                      <w:tcPr>
                        <w:tcW w:w="396" w:type="dxa"/>
                        <w:tcBorders>
                          <w:top w:val="single" w:sz="8" w:space="0" w:color="5B9BD4"/>
                          <w:bottom w:val="single" w:sz="8" w:space="0" w:color="5B9BD4"/>
                        </w:tcBorders>
                      </w:tcPr>
                      <w:p>
                        <w:pPr>
                          <w:pStyle w:val="TableParagraph"/>
                          <w:spacing w:before="108"/>
                          <w:ind w:left="97"/>
                          <w:rPr>
                            <w:sz w:val="20"/>
                          </w:rPr>
                        </w:pPr>
                        <w:r>
                          <w:rPr>
                            <w:w w:val="99"/>
                            <w:sz w:val="20"/>
                          </w:rPr>
                          <w:t>X</w:t>
                        </w:r>
                      </w:p>
                    </w:tc>
                    <w:tc>
                      <w:tcPr>
                        <w:tcW w:w="511" w:type="dxa"/>
                        <w:tcBorders>
                          <w:top w:val="single" w:sz="8" w:space="0" w:color="5B9BD4"/>
                          <w:bottom w:val="single" w:sz="8" w:space="0" w:color="5B9BD4"/>
                        </w:tcBorders>
                      </w:tcPr>
                      <w:p>
                        <w:pPr>
                          <w:pStyle w:val="TableParagraph"/>
                          <w:spacing w:before="108"/>
                          <w:ind w:left="155"/>
                          <w:rPr>
                            <w:sz w:val="20"/>
                          </w:rPr>
                        </w:pPr>
                        <w:r>
                          <w:rPr>
                            <w:w w:val="99"/>
                            <w:sz w:val="20"/>
                          </w:rPr>
                          <w:t>-</w:t>
                        </w:r>
                      </w:p>
                    </w:tc>
                    <w:tc>
                      <w:tcPr>
                        <w:tcW w:w="426" w:type="dxa"/>
                        <w:tcBorders>
                          <w:top w:val="single" w:sz="8" w:space="0" w:color="5B9BD4"/>
                          <w:bottom w:val="single" w:sz="8" w:space="0" w:color="5B9BD4"/>
                        </w:tcBorders>
                      </w:tcPr>
                      <w:p>
                        <w:pPr>
                          <w:pStyle w:val="TableParagraph"/>
                          <w:spacing w:before="108"/>
                          <w:ind w:left="212"/>
                          <w:rPr>
                            <w:sz w:val="20"/>
                          </w:rPr>
                        </w:pPr>
                        <w:r>
                          <w:rPr>
                            <w:w w:val="99"/>
                            <w:sz w:val="20"/>
                          </w:rPr>
                          <w:t>-</w:t>
                        </w:r>
                      </w:p>
                    </w:tc>
                    <w:tc>
                      <w:tcPr>
                        <w:tcW w:w="397" w:type="dxa"/>
                        <w:tcBorders>
                          <w:top w:val="single" w:sz="8" w:space="0" w:color="5B9BD4"/>
                          <w:bottom w:val="single" w:sz="8" w:space="0" w:color="5B9BD4"/>
                        </w:tcBorders>
                      </w:tcPr>
                      <w:p>
                        <w:pPr>
                          <w:pStyle w:val="TableParagraph"/>
                          <w:spacing w:before="108"/>
                          <w:ind w:left="51" w:right="105"/>
                          <w:jc w:val="center"/>
                          <w:rPr>
                            <w:sz w:val="20"/>
                          </w:rPr>
                        </w:pPr>
                        <w:r>
                          <w:rPr>
                            <w:sz w:val="20"/>
                          </w:rPr>
                          <w:t>15</w:t>
                        </w:r>
                      </w:p>
                    </w:tc>
                    <w:tc>
                      <w:tcPr>
                        <w:tcW w:w="454" w:type="dxa"/>
                        <w:tcBorders>
                          <w:top w:val="single" w:sz="8" w:space="0" w:color="5B9BD4"/>
                          <w:bottom w:val="single" w:sz="8" w:space="0" w:color="5B9BD4"/>
                        </w:tcBorders>
                      </w:tcPr>
                      <w:p>
                        <w:pPr>
                          <w:pStyle w:val="TableParagraph"/>
                          <w:spacing w:before="108"/>
                          <w:ind w:right="100"/>
                          <w:jc w:val="center"/>
                          <w:rPr>
                            <w:sz w:val="20"/>
                          </w:rPr>
                        </w:pPr>
                        <w:r>
                          <w:rPr>
                            <w:w w:val="99"/>
                            <w:sz w:val="20"/>
                          </w:rPr>
                          <w:t>8</w:t>
                        </w:r>
                      </w:p>
                    </w:tc>
                    <w:tc>
                      <w:tcPr>
                        <w:tcW w:w="454" w:type="dxa"/>
                        <w:tcBorders>
                          <w:top w:val="single" w:sz="8" w:space="0" w:color="5B9BD4"/>
                          <w:bottom w:val="single" w:sz="8" w:space="0" w:color="5B9BD4"/>
                        </w:tcBorders>
                      </w:tcPr>
                      <w:p>
                        <w:pPr>
                          <w:pStyle w:val="TableParagraph"/>
                          <w:spacing w:before="108"/>
                          <w:ind w:left="87" w:right="87"/>
                          <w:jc w:val="center"/>
                          <w:rPr>
                            <w:sz w:val="20"/>
                          </w:rPr>
                        </w:pPr>
                        <w:r>
                          <w:rPr>
                            <w:sz w:val="20"/>
                          </w:rPr>
                          <w:t>12</w:t>
                        </w:r>
                      </w:p>
                    </w:tc>
                    <w:tc>
                      <w:tcPr>
                        <w:tcW w:w="455" w:type="dxa"/>
                        <w:tcBorders>
                          <w:top w:val="single" w:sz="8" w:space="0" w:color="5B9BD4"/>
                          <w:bottom w:val="single" w:sz="8" w:space="0" w:color="5B9BD4"/>
                        </w:tcBorders>
                      </w:tcPr>
                      <w:p>
                        <w:pPr>
                          <w:pStyle w:val="TableParagraph"/>
                          <w:spacing w:before="108"/>
                          <w:ind w:left="125"/>
                          <w:rPr>
                            <w:sz w:val="20"/>
                          </w:rPr>
                        </w:pPr>
                        <w:r>
                          <w:rPr>
                            <w:w w:val="99"/>
                            <w:sz w:val="20"/>
                          </w:rPr>
                          <w:t>8</w:t>
                        </w:r>
                      </w:p>
                    </w:tc>
                    <w:tc>
                      <w:tcPr>
                        <w:tcW w:w="455" w:type="dxa"/>
                        <w:tcBorders>
                          <w:top w:val="single" w:sz="8" w:space="0" w:color="5B9BD4"/>
                          <w:bottom w:val="single" w:sz="8" w:space="0" w:color="5B9BD4"/>
                        </w:tcBorders>
                      </w:tcPr>
                      <w:p>
                        <w:pPr>
                          <w:pStyle w:val="TableParagraph"/>
                          <w:spacing w:before="108"/>
                          <w:ind w:left="127"/>
                          <w:rPr>
                            <w:sz w:val="20"/>
                          </w:rPr>
                        </w:pPr>
                        <w:r>
                          <w:rPr>
                            <w:w w:val="99"/>
                            <w:sz w:val="20"/>
                          </w:rPr>
                          <w:t>7</w:t>
                        </w:r>
                      </w:p>
                    </w:tc>
                    <w:tc>
                      <w:tcPr>
                        <w:tcW w:w="454" w:type="dxa"/>
                        <w:tcBorders>
                          <w:top w:val="single" w:sz="8" w:space="0" w:color="5B9BD4"/>
                          <w:bottom w:val="single" w:sz="8" w:space="0" w:color="5B9BD4"/>
                        </w:tcBorders>
                      </w:tcPr>
                      <w:p>
                        <w:pPr>
                          <w:pStyle w:val="TableParagraph"/>
                          <w:spacing w:before="108"/>
                          <w:ind w:left="106" w:right="106"/>
                          <w:jc w:val="center"/>
                          <w:rPr>
                            <w:sz w:val="20"/>
                          </w:rPr>
                        </w:pPr>
                        <w:r>
                          <w:rPr>
                            <w:sz w:val="20"/>
                          </w:rPr>
                          <w:t>17</w:t>
                        </w:r>
                      </w:p>
                    </w:tc>
                    <w:tc>
                      <w:tcPr>
                        <w:tcW w:w="454" w:type="dxa"/>
                        <w:tcBorders>
                          <w:top w:val="single" w:sz="8" w:space="0" w:color="5B9BD4"/>
                          <w:bottom w:val="single" w:sz="8" w:space="0" w:color="5B9BD4"/>
                        </w:tcBorders>
                      </w:tcPr>
                      <w:p>
                        <w:pPr>
                          <w:pStyle w:val="TableParagraph"/>
                          <w:spacing w:before="108"/>
                          <w:ind w:left="126"/>
                          <w:rPr>
                            <w:sz w:val="20"/>
                          </w:rPr>
                        </w:pPr>
                        <w:r>
                          <w:rPr>
                            <w:w w:val="99"/>
                            <w:sz w:val="20"/>
                          </w:rPr>
                          <w:t>6</w:t>
                        </w:r>
                      </w:p>
                    </w:tc>
                    <w:tc>
                      <w:tcPr>
                        <w:tcW w:w="454" w:type="dxa"/>
                        <w:tcBorders>
                          <w:top w:val="single" w:sz="8" w:space="0" w:color="5B9BD4"/>
                          <w:bottom w:val="single" w:sz="8" w:space="0" w:color="5B9BD4"/>
                        </w:tcBorders>
                      </w:tcPr>
                      <w:p>
                        <w:pPr>
                          <w:pStyle w:val="TableParagraph"/>
                          <w:spacing w:before="108"/>
                          <w:ind w:left="125"/>
                          <w:rPr>
                            <w:sz w:val="20"/>
                          </w:rPr>
                        </w:pPr>
                        <w:r>
                          <w:rPr>
                            <w:sz w:val="20"/>
                          </w:rPr>
                          <w:t>10</w:t>
                        </w:r>
                      </w:p>
                    </w:tc>
                    <w:tc>
                      <w:tcPr>
                        <w:tcW w:w="454" w:type="dxa"/>
                        <w:tcBorders>
                          <w:top w:val="single" w:sz="8" w:space="0" w:color="5B9BD4"/>
                          <w:bottom w:val="single" w:sz="8" w:space="0" w:color="5B9BD4"/>
                        </w:tcBorders>
                      </w:tcPr>
                      <w:p>
                        <w:pPr>
                          <w:pStyle w:val="TableParagraph"/>
                          <w:spacing w:before="108"/>
                          <w:ind w:right="100"/>
                          <w:jc w:val="center"/>
                          <w:rPr>
                            <w:sz w:val="20"/>
                          </w:rPr>
                        </w:pPr>
                        <w:r>
                          <w:rPr>
                            <w:w w:val="99"/>
                            <w:sz w:val="20"/>
                          </w:rPr>
                          <w:t>9</w:t>
                        </w:r>
                      </w:p>
                    </w:tc>
                    <w:tc>
                      <w:tcPr>
                        <w:tcW w:w="455" w:type="dxa"/>
                        <w:tcBorders>
                          <w:top w:val="single" w:sz="8" w:space="0" w:color="5B9BD4"/>
                          <w:bottom w:val="single" w:sz="8" w:space="0" w:color="5B9BD4"/>
                        </w:tcBorders>
                      </w:tcPr>
                      <w:p>
                        <w:pPr>
                          <w:pStyle w:val="TableParagraph"/>
                          <w:spacing w:before="108"/>
                          <w:ind w:left="125"/>
                          <w:rPr>
                            <w:sz w:val="20"/>
                          </w:rPr>
                        </w:pPr>
                        <w:r>
                          <w:rPr>
                            <w:w w:val="99"/>
                            <w:sz w:val="20"/>
                          </w:rPr>
                          <w:t>8</w:t>
                        </w:r>
                      </w:p>
                    </w:tc>
                    <w:tc>
                      <w:tcPr>
                        <w:tcW w:w="455" w:type="dxa"/>
                        <w:tcBorders>
                          <w:top w:val="single" w:sz="8" w:space="0" w:color="5B9BD4"/>
                          <w:bottom w:val="single" w:sz="8" w:space="0" w:color="5B9BD4"/>
                        </w:tcBorders>
                      </w:tcPr>
                      <w:p>
                        <w:pPr>
                          <w:pStyle w:val="TableParagraph"/>
                          <w:spacing w:before="108"/>
                          <w:ind w:left="127"/>
                          <w:rPr>
                            <w:sz w:val="20"/>
                          </w:rPr>
                        </w:pPr>
                        <w:r>
                          <w:rPr>
                            <w:w w:val="99"/>
                            <w:sz w:val="20"/>
                          </w:rPr>
                          <w:t>8</w:t>
                        </w:r>
                      </w:p>
                    </w:tc>
                    <w:tc>
                      <w:tcPr>
                        <w:tcW w:w="454" w:type="dxa"/>
                        <w:tcBorders>
                          <w:top w:val="single" w:sz="8" w:space="0" w:color="5B9BD4"/>
                          <w:bottom w:val="single" w:sz="8" w:space="0" w:color="5B9BD4"/>
                        </w:tcBorders>
                      </w:tcPr>
                      <w:p>
                        <w:pPr>
                          <w:pStyle w:val="TableParagraph"/>
                          <w:spacing w:before="108"/>
                          <w:ind w:left="87" w:right="87"/>
                          <w:jc w:val="center"/>
                          <w:rPr>
                            <w:sz w:val="20"/>
                          </w:rPr>
                        </w:pPr>
                        <w:r>
                          <w:rPr>
                            <w:sz w:val="20"/>
                          </w:rPr>
                          <w:t>10</w:t>
                        </w:r>
                      </w:p>
                    </w:tc>
                    <w:tc>
                      <w:tcPr>
                        <w:tcW w:w="403" w:type="dxa"/>
                        <w:tcBorders>
                          <w:top w:val="single" w:sz="8" w:space="0" w:color="5B9BD4"/>
                          <w:bottom w:val="single" w:sz="8" w:space="0" w:color="5B9BD4"/>
                        </w:tcBorders>
                      </w:tcPr>
                      <w:p>
                        <w:pPr>
                          <w:pStyle w:val="TableParagraph"/>
                          <w:spacing w:before="108"/>
                          <w:ind w:left="125"/>
                          <w:rPr>
                            <w:sz w:val="20"/>
                          </w:rPr>
                        </w:pPr>
                        <w:r>
                          <w:rPr>
                            <w:w w:val="99"/>
                            <w:sz w:val="20"/>
                          </w:rPr>
                          <w:t>6</w:t>
                        </w:r>
                      </w:p>
                    </w:tc>
                    <w:tc>
                      <w:tcPr>
                        <w:tcW w:w="454" w:type="dxa"/>
                        <w:tcBorders>
                          <w:top w:val="single" w:sz="8" w:space="0" w:color="5B9BD4"/>
                          <w:bottom w:val="single" w:sz="8" w:space="0" w:color="5B9BD4"/>
                        </w:tcBorders>
                      </w:tcPr>
                      <w:p>
                        <w:pPr>
                          <w:pStyle w:val="TableParagraph"/>
                          <w:spacing w:before="108"/>
                          <w:ind w:left="176"/>
                          <w:rPr>
                            <w:sz w:val="20"/>
                          </w:rPr>
                        </w:pPr>
                        <w:r>
                          <w:rPr>
                            <w:w w:val="99"/>
                            <w:sz w:val="20"/>
                          </w:rPr>
                          <w:t>6</w:t>
                        </w:r>
                      </w:p>
                    </w:tc>
                    <w:tc>
                      <w:tcPr>
                        <w:tcW w:w="505" w:type="dxa"/>
                        <w:tcBorders>
                          <w:top w:val="single" w:sz="8" w:space="0" w:color="5B9BD4"/>
                          <w:bottom w:val="single" w:sz="8" w:space="0" w:color="5B9BD4"/>
                        </w:tcBorders>
                      </w:tcPr>
                      <w:p>
                        <w:pPr>
                          <w:pStyle w:val="TableParagraph"/>
                          <w:spacing w:before="108"/>
                          <w:ind w:left="176"/>
                          <w:rPr>
                            <w:sz w:val="20"/>
                          </w:rPr>
                        </w:pPr>
                        <w:r>
                          <w:rPr>
                            <w:w w:val="99"/>
                            <w:sz w:val="20"/>
                          </w:rPr>
                          <w:t>5</w:t>
                        </w:r>
                      </w:p>
                    </w:tc>
                    <w:tc>
                      <w:tcPr>
                        <w:tcW w:w="455" w:type="dxa"/>
                        <w:tcBorders>
                          <w:top w:val="single" w:sz="8" w:space="0" w:color="5B9BD4"/>
                          <w:bottom w:val="single" w:sz="8" w:space="0" w:color="5B9BD4"/>
                        </w:tcBorders>
                      </w:tcPr>
                      <w:p>
                        <w:pPr>
                          <w:pStyle w:val="TableParagraph"/>
                          <w:spacing w:before="108"/>
                          <w:ind w:left="126"/>
                          <w:rPr>
                            <w:sz w:val="20"/>
                          </w:rPr>
                        </w:pPr>
                        <w:r>
                          <w:rPr>
                            <w:w w:val="99"/>
                            <w:sz w:val="20"/>
                          </w:rPr>
                          <w:t>7</w:t>
                        </w:r>
                      </w:p>
                    </w:tc>
                    <w:tc>
                      <w:tcPr>
                        <w:tcW w:w="455" w:type="dxa"/>
                        <w:tcBorders>
                          <w:top w:val="single" w:sz="8" w:space="0" w:color="5B9BD4"/>
                          <w:bottom w:val="single" w:sz="8" w:space="0" w:color="5B9BD4"/>
                        </w:tcBorders>
                      </w:tcPr>
                      <w:p>
                        <w:pPr>
                          <w:pStyle w:val="TableParagraph"/>
                          <w:spacing w:before="108"/>
                          <w:ind w:left="107" w:right="106"/>
                          <w:jc w:val="center"/>
                          <w:rPr>
                            <w:sz w:val="20"/>
                          </w:rPr>
                        </w:pPr>
                        <w:r>
                          <w:rPr>
                            <w:sz w:val="20"/>
                          </w:rPr>
                          <w:t>15</w:t>
                        </w:r>
                      </w:p>
                    </w:tc>
                    <w:tc>
                      <w:tcPr>
                        <w:tcW w:w="454" w:type="dxa"/>
                        <w:tcBorders>
                          <w:top w:val="single" w:sz="8" w:space="0" w:color="5B9BD4"/>
                          <w:bottom w:val="single" w:sz="8" w:space="0" w:color="5B9BD4"/>
                        </w:tcBorders>
                      </w:tcPr>
                      <w:p>
                        <w:pPr>
                          <w:pStyle w:val="TableParagraph"/>
                          <w:spacing w:before="108"/>
                          <w:ind w:left="125"/>
                          <w:rPr>
                            <w:sz w:val="20"/>
                          </w:rPr>
                        </w:pPr>
                        <w:r>
                          <w:rPr>
                            <w:sz w:val="20"/>
                          </w:rPr>
                          <w:t>24</w:t>
                        </w:r>
                      </w:p>
                    </w:tc>
                    <w:tc>
                      <w:tcPr>
                        <w:tcW w:w="454" w:type="dxa"/>
                        <w:tcBorders>
                          <w:top w:val="single" w:sz="8" w:space="0" w:color="5B9BD4"/>
                          <w:bottom w:val="single" w:sz="8" w:space="0" w:color="5B9BD4"/>
                        </w:tcBorders>
                      </w:tcPr>
                      <w:p>
                        <w:pPr>
                          <w:pStyle w:val="TableParagraph"/>
                          <w:spacing w:before="108"/>
                          <w:ind w:left="125"/>
                          <w:rPr>
                            <w:sz w:val="20"/>
                          </w:rPr>
                        </w:pPr>
                        <w:r>
                          <w:rPr>
                            <w:w w:val="99"/>
                            <w:sz w:val="20"/>
                          </w:rPr>
                          <w:t>-</w:t>
                        </w:r>
                      </w:p>
                    </w:tc>
                    <w:tc>
                      <w:tcPr>
                        <w:tcW w:w="640" w:type="dxa"/>
                        <w:tcBorders>
                          <w:top w:val="single" w:sz="8" w:space="0" w:color="5B9BD4"/>
                          <w:bottom w:val="single" w:sz="8" w:space="0" w:color="5B9BD4"/>
                        </w:tcBorders>
                      </w:tcPr>
                      <w:p>
                        <w:pPr>
                          <w:pStyle w:val="TableParagraph"/>
                          <w:spacing w:before="108"/>
                          <w:ind w:left="125"/>
                          <w:rPr>
                            <w:sz w:val="20"/>
                          </w:rPr>
                        </w:pPr>
                        <w:r>
                          <w:rPr>
                            <w:sz w:val="20"/>
                          </w:rPr>
                          <w:t>181</w:t>
                        </w:r>
                      </w:p>
                    </w:tc>
                  </w:tr>
                  <w:tr>
                    <w:trPr>
                      <w:trHeight w:val="480" w:hRule="exact"/>
                    </w:trPr>
                    <w:tc>
                      <w:tcPr>
                        <w:tcW w:w="3440" w:type="dxa"/>
                        <w:tcBorders>
                          <w:top w:val="single" w:sz="8" w:space="0" w:color="5B9BD4"/>
                          <w:bottom w:val="single" w:sz="8" w:space="0" w:color="5B9BD4"/>
                        </w:tcBorders>
                      </w:tcPr>
                      <w:p>
                        <w:pPr>
                          <w:pStyle w:val="TableParagraph"/>
                          <w:tabs>
                            <w:tab w:pos="1927" w:val="left" w:leader="none"/>
                            <w:tab w:pos="3149" w:val="right" w:leader="none"/>
                          </w:tabs>
                          <w:spacing w:line="338" w:lineRule="exact" w:before="0"/>
                          <w:ind w:right="72"/>
                          <w:jc w:val="center"/>
                          <w:rPr>
                            <w:sz w:val="20"/>
                          </w:rPr>
                        </w:pPr>
                        <w:r>
                          <w:rPr>
                            <w:sz w:val="20"/>
                          </w:rPr>
                          <w:t>Wanderlândia</w:t>
                          <w:tab/>
                        </w:r>
                        <w:r>
                          <w:rPr>
                            <w:position w:val="12"/>
                            <w:sz w:val="20"/>
                          </w:rPr>
                          <w:t>509</w:t>
                        </w:r>
                        <w:r>
                          <w:rPr>
                            <w:spacing w:val="1"/>
                            <w:position w:val="12"/>
                            <w:sz w:val="20"/>
                          </w:rPr>
                          <w:t> </w:t>
                        </w:r>
                        <w:r>
                          <w:rPr>
                            <w:position w:val="12"/>
                            <w:sz w:val="20"/>
                          </w:rPr>
                          <w:t>de</w:t>
                        </w:r>
                        <w:r>
                          <w:rPr>
                            <w:sz w:val="20"/>
                          </w:rPr>
                          <w:tab/>
                          <w:t>11</w:t>
                        </w:r>
                      </w:p>
                    </w:tc>
                    <w:tc>
                      <w:tcPr>
                        <w:tcW w:w="566" w:type="dxa"/>
                        <w:tcBorders>
                          <w:top w:val="single" w:sz="8" w:space="0" w:color="5B9BD4"/>
                          <w:bottom w:val="single" w:sz="8" w:space="0" w:color="5B9BD4"/>
                        </w:tcBorders>
                      </w:tcPr>
                      <w:p>
                        <w:pPr>
                          <w:pStyle w:val="TableParagraph"/>
                          <w:spacing w:before="108"/>
                          <w:ind w:right="180"/>
                          <w:jc w:val="right"/>
                          <w:rPr>
                            <w:sz w:val="20"/>
                          </w:rPr>
                        </w:pPr>
                        <w:r>
                          <w:rPr>
                            <w:sz w:val="20"/>
                          </w:rPr>
                          <w:t>18</w:t>
                        </w:r>
                      </w:p>
                    </w:tc>
                    <w:tc>
                      <w:tcPr>
                        <w:tcW w:w="424" w:type="dxa"/>
                        <w:tcBorders>
                          <w:top w:val="single" w:sz="8" w:space="0" w:color="5B9BD4"/>
                          <w:bottom w:val="single" w:sz="8" w:space="0" w:color="5B9BD4"/>
                        </w:tcBorders>
                      </w:tcPr>
                      <w:p>
                        <w:pPr>
                          <w:pStyle w:val="TableParagraph"/>
                          <w:spacing w:before="108"/>
                          <w:ind w:left="182"/>
                          <w:rPr>
                            <w:sz w:val="20"/>
                          </w:rPr>
                        </w:pPr>
                        <w:r>
                          <w:rPr>
                            <w:w w:val="99"/>
                            <w:sz w:val="20"/>
                          </w:rPr>
                          <w:t>X</w:t>
                        </w:r>
                      </w:p>
                    </w:tc>
                    <w:tc>
                      <w:tcPr>
                        <w:tcW w:w="396" w:type="dxa"/>
                        <w:tcBorders>
                          <w:top w:val="single" w:sz="8" w:space="0" w:color="5B9BD4"/>
                          <w:bottom w:val="single" w:sz="8" w:space="0" w:color="5B9BD4"/>
                        </w:tcBorders>
                      </w:tcPr>
                      <w:p>
                        <w:pPr>
                          <w:pStyle w:val="TableParagraph"/>
                          <w:spacing w:before="108"/>
                          <w:ind w:left="97"/>
                          <w:rPr>
                            <w:sz w:val="20"/>
                          </w:rPr>
                        </w:pPr>
                        <w:r>
                          <w:rPr>
                            <w:w w:val="99"/>
                            <w:sz w:val="20"/>
                          </w:rPr>
                          <w:t>X</w:t>
                        </w:r>
                      </w:p>
                    </w:tc>
                    <w:tc>
                      <w:tcPr>
                        <w:tcW w:w="511" w:type="dxa"/>
                        <w:tcBorders>
                          <w:top w:val="single" w:sz="8" w:space="0" w:color="5B9BD4"/>
                          <w:bottom w:val="single" w:sz="8" w:space="0" w:color="5B9BD4"/>
                        </w:tcBorders>
                      </w:tcPr>
                      <w:p>
                        <w:pPr>
                          <w:pStyle w:val="TableParagraph"/>
                          <w:spacing w:before="108"/>
                          <w:ind w:left="155"/>
                          <w:rPr>
                            <w:sz w:val="20"/>
                          </w:rPr>
                        </w:pPr>
                        <w:r>
                          <w:rPr>
                            <w:w w:val="99"/>
                            <w:sz w:val="20"/>
                          </w:rPr>
                          <w:t>X</w:t>
                        </w:r>
                      </w:p>
                    </w:tc>
                    <w:tc>
                      <w:tcPr>
                        <w:tcW w:w="426" w:type="dxa"/>
                        <w:tcBorders>
                          <w:top w:val="single" w:sz="8" w:space="0" w:color="5B9BD4"/>
                          <w:bottom w:val="single" w:sz="8" w:space="0" w:color="5B9BD4"/>
                        </w:tcBorders>
                      </w:tcPr>
                      <w:p>
                        <w:pPr>
                          <w:pStyle w:val="TableParagraph"/>
                          <w:spacing w:before="108"/>
                          <w:ind w:left="212"/>
                          <w:rPr>
                            <w:sz w:val="20"/>
                          </w:rPr>
                        </w:pPr>
                        <w:r>
                          <w:rPr>
                            <w:w w:val="99"/>
                            <w:sz w:val="20"/>
                          </w:rPr>
                          <w:t>X</w:t>
                        </w:r>
                      </w:p>
                    </w:tc>
                    <w:tc>
                      <w:tcPr>
                        <w:tcW w:w="397" w:type="dxa"/>
                        <w:tcBorders>
                          <w:top w:val="single" w:sz="8" w:space="0" w:color="5B9BD4"/>
                          <w:bottom w:val="single" w:sz="8" w:space="0" w:color="5B9BD4"/>
                        </w:tcBorders>
                      </w:tcPr>
                      <w:p>
                        <w:pPr>
                          <w:pStyle w:val="TableParagraph"/>
                          <w:spacing w:before="108"/>
                          <w:ind w:left="51" w:right="105"/>
                          <w:jc w:val="center"/>
                          <w:rPr>
                            <w:sz w:val="20"/>
                          </w:rPr>
                        </w:pPr>
                        <w:r>
                          <w:rPr>
                            <w:sz w:val="20"/>
                          </w:rPr>
                          <w:t>10</w:t>
                        </w:r>
                      </w:p>
                    </w:tc>
                    <w:tc>
                      <w:tcPr>
                        <w:tcW w:w="454" w:type="dxa"/>
                        <w:tcBorders>
                          <w:top w:val="single" w:sz="8" w:space="0" w:color="5B9BD4"/>
                          <w:bottom w:val="single" w:sz="8" w:space="0" w:color="5B9BD4"/>
                        </w:tcBorders>
                      </w:tcPr>
                      <w:p>
                        <w:pPr>
                          <w:pStyle w:val="TableParagraph"/>
                          <w:spacing w:before="108"/>
                          <w:ind w:left="87" w:right="87"/>
                          <w:jc w:val="center"/>
                          <w:rPr>
                            <w:sz w:val="20"/>
                          </w:rPr>
                        </w:pPr>
                        <w:r>
                          <w:rPr>
                            <w:sz w:val="20"/>
                          </w:rPr>
                          <w:t>16</w:t>
                        </w:r>
                      </w:p>
                    </w:tc>
                    <w:tc>
                      <w:tcPr>
                        <w:tcW w:w="454" w:type="dxa"/>
                        <w:tcBorders>
                          <w:top w:val="single" w:sz="8" w:space="0" w:color="5B9BD4"/>
                          <w:bottom w:val="single" w:sz="8" w:space="0" w:color="5B9BD4"/>
                        </w:tcBorders>
                      </w:tcPr>
                      <w:p>
                        <w:pPr>
                          <w:pStyle w:val="TableParagraph"/>
                          <w:spacing w:before="108"/>
                          <w:ind w:right="100"/>
                          <w:jc w:val="center"/>
                          <w:rPr>
                            <w:sz w:val="20"/>
                          </w:rPr>
                        </w:pPr>
                        <w:r>
                          <w:rPr>
                            <w:w w:val="99"/>
                            <w:sz w:val="20"/>
                          </w:rPr>
                          <w:t>8</w:t>
                        </w:r>
                      </w:p>
                    </w:tc>
                    <w:tc>
                      <w:tcPr>
                        <w:tcW w:w="455" w:type="dxa"/>
                        <w:tcBorders>
                          <w:top w:val="single" w:sz="8" w:space="0" w:color="5B9BD4"/>
                          <w:bottom w:val="single" w:sz="8" w:space="0" w:color="5B9BD4"/>
                        </w:tcBorders>
                      </w:tcPr>
                      <w:p>
                        <w:pPr>
                          <w:pStyle w:val="TableParagraph"/>
                          <w:spacing w:before="108"/>
                          <w:ind w:left="125"/>
                          <w:rPr>
                            <w:sz w:val="20"/>
                          </w:rPr>
                        </w:pPr>
                        <w:r>
                          <w:rPr>
                            <w:w w:val="99"/>
                            <w:sz w:val="20"/>
                          </w:rPr>
                          <w:t>7</w:t>
                        </w:r>
                      </w:p>
                    </w:tc>
                    <w:tc>
                      <w:tcPr>
                        <w:tcW w:w="455" w:type="dxa"/>
                        <w:tcBorders>
                          <w:top w:val="single" w:sz="8" w:space="0" w:color="5B9BD4"/>
                          <w:bottom w:val="single" w:sz="8" w:space="0" w:color="5B9BD4"/>
                        </w:tcBorders>
                      </w:tcPr>
                      <w:p>
                        <w:pPr>
                          <w:pStyle w:val="TableParagraph"/>
                          <w:spacing w:before="108"/>
                          <w:ind w:left="127"/>
                          <w:rPr>
                            <w:sz w:val="20"/>
                          </w:rPr>
                        </w:pPr>
                        <w:r>
                          <w:rPr>
                            <w:sz w:val="20"/>
                          </w:rPr>
                          <w:t>19</w:t>
                        </w:r>
                      </w:p>
                    </w:tc>
                    <w:tc>
                      <w:tcPr>
                        <w:tcW w:w="454" w:type="dxa"/>
                        <w:tcBorders>
                          <w:top w:val="single" w:sz="8" w:space="0" w:color="5B9BD4"/>
                          <w:bottom w:val="single" w:sz="8" w:space="0" w:color="5B9BD4"/>
                        </w:tcBorders>
                      </w:tcPr>
                      <w:p>
                        <w:pPr>
                          <w:pStyle w:val="TableParagraph"/>
                          <w:spacing w:before="108"/>
                          <w:ind w:right="100"/>
                          <w:jc w:val="center"/>
                          <w:rPr>
                            <w:sz w:val="20"/>
                          </w:rPr>
                        </w:pPr>
                        <w:r>
                          <w:rPr>
                            <w:w w:val="99"/>
                            <w:sz w:val="20"/>
                          </w:rPr>
                          <w:t>3</w:t>
                        </w:r>
                      </w:p>
                    </w:tc>
                    <w:tc>
                      <w:tcPr>
                        <w:tcW w:w="454" w:type="dxa"/>
                        <w:tcBorders>
                          <w:top w:val="single" w:sz="8" w:space="0" w:color="5B9BD4"/>
                          <w:bottom w:val="single" w:sz="8" w:space="0" w:color="5B9BD4"/>
                        </w:tcBorders>
                      </w:tcPr>
                      <w:p>
                        <w:pPr>
                          <w:pStyle w:val="TableParagraph"/>
                          <w:spacing w:before="108"/>
                          <w:ind w:left="126"/>
                          <w:rPr>
                            <w:sz w:val="20"/>
                          </w:rPr>
                        </w:pPr>
                        <w:r>
                          <w:rPr>
                            <w:sz w:val="20"/>
                          </w:rPr>
                          <w:t>17</w:t>
                        </w:r>
                      </w:p>
                    </w:tc>
                    <w:tc>
                      <w:tcPr>
                        <w:tcW w:w="454" w:type="dxa"/>
                        <w:tcBorders>
                          <w:top w:val="single" w:sz="8" w:space="0" w:color="5B9BD4"/>
                          <w:bottom w:val="single" w:sz="8" w:space="0" w:color="5B9BD4"/>
                        </w:tcBorders>
                      </w:tcPr>
                      <w:p>
                        <w:pPr>
                          <w:pStyle w:val="TableParagraph"/>
                          <w:spacing w:before="108"/>
                          <w:ind w:left="125"/>
                          <w:rPr>
                            <w:sz w:val="20"/>
                          </w:rPr>
                        </w:pPr>
                        <w:r>
                          <w:rPr>
                            <w:sz w:val="20"/>
                          </w:rPr>
                          <w:t>12</w:t>
                        </w:r>
                      </w:p>
                    </w:tc>
                    <w:tc>
                      <w:tcPr>
                        <w:tcW w:w="454" w:type="dxa"/>
                        <w:tcBorders>
                          <w:top w:val="single" w:sz="8" w:space="0" w:color="5B9BD4"/>
                          <w:bottom w:val="single" w:sz="8" w:space="0" w:color="5B9BD4"/>
                        </w:tcBorders>
                      </w:tcPr>
                      <w:p>
                        <w:pPr>
                          <w:pStyle w:val="TableParagraph"/>
                          <w:spacing w:before="108"/>
                          <w:ind w:right="100"/>
                          <w:jc w:val="center"/>
                          <w:rPr>
                            <w:sz w:val="20"/>
                          </w:rPr>
                        </w:pPr>
                        <w:r>
                          <w:rPr>
                            <w:w w:val="99"/>
                            <w:sz w:val="20"/>
                          </w:rPr>
                          <w:t>4</w:t>
                        </w:r>
                      </w:p>
                    </w:tc>
                    <w:tc>
                      <w:tcPr>
                        <w:tcW w:w="455" w:type="dxa"/>
                        <w:tcBorders>
                          <w:top w:val="single" w:sz="8" w:space="0" w:color="5B9BD4"/>
                          <w:bottom w:val="single" w:sz="8" w:space="0" w:color="5B9BD4"/>
                        </w:tcBorders>
                      </w:tcPr>
                      <w:p>
                        <w:pPr>
                          <w:pStyle w:val="TableParagraph"/>
                          <w:spacing w:before="108"/>
                          <w:ind w:left="125"/>
                          <w:rPr>
                            <w:sz w:val="20"/>
                          </w:rPr>
                        </w:pPr>
                        <w:r>
                          <w:rPr>
                            <w:w w:val="99"/>
                            <w:sz w:val="20"/>
                          </w:rPr>
                          <w:t>5</w:t>
                        </w:r>
                      </w:p>
                    </w:tc>
                    <w:tc>
                      <w:tcPr>
                        <w:tcW w:w="455" w:type="dxa"/>
                        <w:tcBorders>
                          <w:top w:val="single" w:sz="8" w:space="0" w:color="5B9BD4"/>
                          <w:bottom w:val="single" w:sz="8" w:space="0" w:color="5B9BD4"/>
                        </w:tcBorders>
                      </w:tcPr>
                      <w:p>
                        <w:pPr>
                          <w:pStyle w:val="TableParagraph"/>
                          <w:spacing w:before="108"/>
                          <w:ind w:left="127"/>
                          <w:rPr>
                            <w:sz w:val="20"/>
                          </w:rPr>
                        </w:pPr>
                        <w:r>
                          <w:rPr>
                            <w:w w:val="99"/>
                            <w:sz w:val="20"/>
                          </w:rPr>
                          <w:t>3</w:t>
                        </w:r>
                      </w:p>
                    </w:tc>
                    <w:tc>
                      <w:tcPr>
                        <w:tcW w:w="454" w:type="dxa"/>
                        <w:tcBorders>
                          <w:top w:val="single" w:sz="8" w:space="0" w:color="5B9BD4"/>
                          <w:bottom w:val="single" w:sz="8" w:space="0" w:color="5B9BD4"/>
                        </w:tcBorders>
                      </w:tcPr>
                      <w:p>
                        <w:pPr>
                          <w:pStyle w:val="TableParagraph"/>
                          <w:spacing w:before="108"/>
                          <w:ind w:right="100"/>
                          <w:jc w:val="center"/>
                          <w:rPr>
                            <w:sz w:val="20"/>
                          </w:rPr>
                        </w:pPr>
                        <w:r>
                          <w:rPr>
                            <w:w w:val="99"/>
                            <w:sz w:val="20"/>
                          </w:rPr>
                          <w:t>7</w:t>
                        </w:r>
                      </w:p>
                    </w:tc>
                    <w:tc>
                      <w:tcPr>
                        <w:tcW w:w="403" w:type="dxa"/>
                        <w:tcBorders>
                          <w:top w:val="single" w:sz="8" w:space="0" w:color="5B9BD4"/>
                          <w:bottom w:val="single" w:sz="8" w:space="0" w:color="5B9BD4"/>
                        </w:tcBorders>
                      </w:tcPr>
                      <w:p>
                        <w:pPr>
                          <w:pStyle w:val="TableParagraph"/>
                          <w:spacing w:before="108"/>
                          <w:ind w:left="125"/>
                          <w:rPr>
                            <w:sz w:val="20"/>
                          </w:rPr>
                        </w:pPr>
                        <w:r>
                          <w:rPr>
                            <w:w w:val="99"/>
                            <w:sz w:val="20"/>
                          </w:rPr>
                          <w:t>9</w:t>
                        </w:r>
                      </w:p>
                    </w:tc>
                    <w:tc>
                      <w:tcPr>
                        <w:tcW w:w="454" w:type="dxa"/>
                        <w:tcBorders>
                          <w:top w:val="single" w:sz="8" w:space="0" w:color="5B9BD4"/>
                          <w:bottom w:val="single" w:sz="8" w:space="0" w:color="5B9BD4"/>
                        </w:tcBorders>
                      </w:tcPr>
                      <w:p>
                        <w:pPr>
                          <w:pStyle w:val="TableParagraph"/>
                          <w:spacing w:before="108"/>
                          <w:ind w:left="176"/>
                          <w:rPr>
                            <w:sz w:val="20"/>
                          </w:rPr>
                        </w:pPr>
                        <w:r>
                          <w:rPr>
                            <w:w w:val="99"/>
                            <w:sz w:val="20"/>
                          </w:rPr>
                          <w:t>5</w:t>
                        </w:r>
                      </w:p>
                    </w:tc>
                    <w:tc>
                      <w:tcPr>
                        <w:tcW w:w="505" w:type="dxa"/>
                        <w:tcBorders>
                          <w:top w:val="single" w:sz="8" w:space="0" w:color="5B9BD4"/>
                          <w:bottom w:val="single" w:sz="8" w:space="0" w:color="5B9BD4"/>
                        </w:tcBorders>
                      </w:tcPr>
                      <w:p>
                        <w:pPr>
                          <w:pStyle w:val="TableParagraph"/>
                          <w:spacing w:before="108"/>
                          <w:ind w:left="176"/>
                          <w:rPr>
                            <w:sz w:val="20"/>
                          </w:rPr>
                        </w:pPr>
                        <w:r>
                          <w:rPr>
                            <w:w w:val="99"/>
                            <w:sz w:val="20"/>
                          </w:rPr>
                          <w:t>6</w:t>
                        </w:r>
                      </w:p>
                    </w:tc>
                    <w:tc>
                      <w:tcPr>
                        <w:tcW w:w="455" w:type="dxa"/>
                        <w:tcBorders>
                          <w:top w:val="single" w:sz="8" w:space="0" w:color="5B9BD4"/>
                          <w:bottom w:val="single" w:sz="8" w:space="0" w:color="5B9BD4"/>
                        </w:tcBorders>
                      </w:tcPr>
                      <w:p>
                        <w:pPr>
                          <w:pStyle w:val="TableParagraph"/>
                          <w:spacing w:before="108"/>
                          <w:ind w:left="126"/>
                          <w:rPr>
                            <w:sz w:val="20"/>
                          </w:rPr>
                        </w:pPr>
                        <w:r>
                          <w:rPr>
                            <w:w w:val="99"/>
                            <w:sz w:val="20"/>
                          </w:rPr>
                          <w:t>9</w:t>
                        </w:r>
                      </w:p>
                    </w:tc>
                    <w:tc>
                      <w:tcPr>
                        <w:tcW w:w="455" w:type="dxa"/>
                        <w:tcBorders>
                          <w:top w:val="single" w:sz="8" w:space="0" w:color="5B9BD4"/>
                          <w:bottom w:val="single" w:sz="8" w:space="0" w:color="5B9BD4"/>
                        </w:tcBorders>
                      </w:tcPr>
                      <w:p>
                        <w:pPr>
                          <w:pStyle w:val="TableParagraph"/>
                          <w:spacing w:before="108"/>
                          <w:ind w:right="98"/>
                          <w:jc w:val="center"/>
                          <w:rPr>
                            <w:sz w:val="20"/>
                          </w:rPr>
                        </w:pPr>
                        <w:r>
                          <w:rPr>
                            <w:w w:val="99"/>
                            <w:sz w:val="20"/>
                          </w:rPr>
                          <w:t>7</w:t>
                        </w:r>
                      </w:p>
                    </w:tc>
                    <w:tc>
                      <w:tcPr>
                        <w:tcW w:w="454" w:type="dxa"/>
                        <w:tcBorders>
                          <w:top w:val="single" w:sz="8" w:space="0" w:color="5B9BD4"/>
                          <w:bottom w:val="single" w:sz="8" w:space="0" w:color="5B9BD4"/>
                        </w:tcBorders>
                      </w:tcPr>
                      <w:p>
                        <w:pPr>
                          <w:pStyle w:val="TableParagraph"/>
                          <w:spacing w:before="108"/>
                          <w:ind w:left="125"/>
                          <w:rPr>
                            <w:sz w:val="20"/>
                          </w:rPr>
                        </w:pPr>
                        <w:r>
                          <w:rPr>
                            <w:w w:val="99"/>
                            <w:sz w:val="20"/>
                          </w:rPr>
                          <w:t>5</w:t>
                        </w:r>
                      </w:p>
                    </w:tc>
                    <w:tc>
                      <w:tcPr>
                        <w:tcW w:w="454" w:type="dxa"/>
                        <w:tcBorders>
                          <w:top w:val="single" w:sz="8" w:space="0" w:color="5B9BD4"/>
                          <w:bottom w:val="single" w:sz="8" w:space="0" w:color="5B9BD4"/>
                        </w:tcBorders>
                      </w:tcPr>
                      <w:p>
                        <w:pPr>
                          <w:pStyle w:val="TableParagraph"/>
                          <w:spacing w:before="108"/>
                          <w:ind w:left="125"/>
                          <w:rPr>
                            <w:sz w:val="20"/>
                          </w:rPr>
                        </w:pPr>
                        <w:r>
                          <w:rPr>
                            <w:w w:val="99"/>
                            <w:sz w:val="20"/>
                          </w:rPr>
                          <w:t>-</w:t>
                        </w:r>
                      </w:p>
                    </w:tc>
                    <w:tc>
                      <w:tcPr>
                        <w:tcW w:w="640" w:type="dxa"/>
                        <w:tcBorders>
                          <w:top w:val="single" w:sz="8" w:space="0" w:color="5B9BD4"/>
                          <w:bottom w:val="single" w:sz="8" w:space="0" w:color="5B9BD4"/>
                        </w:tcBorders>
                      </w:tcPr>
                      <w:p>
                        <w:pPr>
                          <w:pStyle w:val="TableParagraph"/>
                          <w:spacing w:before="108"/>
                          <w:ind w:left="125"/>
                          <w:rPr>
                            <w:sz w:val="20"/>
                          </w:rPr>
                        </w:pPr>
                        <w:r>
                          <w:rPr>
                            <w:sz w:val="20"/>
                          </w:rPr>
                          <w:t>152</w:t>
                        </w:r>
                      </w:p>
                    </w:tc>
                  </w:tr>
                  <w:tr>
                    <w:trPr>
                      <w:trHeight w:val="480" w:hRule="exact"/>
                    </w:trPr>
                    <w:tc>
                      <w:tcPr>
                        <w:tcW w:w="3440" w:type="dxa"/>
                        <w:tcBorders>
                          <w:top w:val="single" w:sz="8" w:space="0" w:color="5B9BD4"/>
                          <w:bottom w:val="single" w:sz="8" w:space="0" w:color="5B9BD4"/>
                        </w:tcBorders>
                      </w:tcPr>
                      <w:p>
                        <w:pPr>
                          <w:pStyle w:val="TableParagraph"/>
                          <w:tabs>
                            <w:tab w:pos="1927" w:val="left" w:leader="none"/>
                            <w:tab w:pos="3149" w:val="right" w:leader="none"/>
                          </w:tabs>
                          <w:spacing w:line="338" w:lineRule="exact" w:before="0"/>
                          <w:ind w:right="72"/>
                          <w:jc w:val="center"/>
                          <w:rPr>
                            <w:sz w:val="20"/>
                          </w:rPr>
                        </w:pPr>
                        <w:r>
                          <w:rPr>
                            <w:sz w:val="20"/>
                          </w:rPr>
                          <w:t>Xambioá</w:t>
                          <w:tab/>
                        </w:r>
                        <w:r>
                          <w:rPr>
                            <w:position w:val="12"/>
                            <w:sz w:val="20"/>
                          </w:rPr>
                          <w:t>590</w:t>
                        </w:r>
                        <w:r>
                          <w:rPr>
                            <w:spacing w:val="1"/>
                            <w:position w:val="12"/>
                            <w:sz w:val="20"/>
                          </w:rPr>
                          <w:t> </w:t>
                        </w:r>
                        <w:r>
                          <w:rPr>
                            <w:position w:val="12"/>
                            <w:sz w:val="20"/>
                          </w:rPr>
                          <w:t>de</w:t>
                        </w:r>
                        <w:r>
                          <w:rPr>
                            <w:sz w:val="20"/>
                          </w:rPr>
                          <w:tab/>
                          <w:t>11</w:t>
                        </w:r>
                      </w:p>
                    </w:tc>
                    <w:tc>
                      <w:tcPr>
                        <w:tcW w:w="566" w:type="dxa"/>
                        <w:tcBorders>
                          <w:top w:val="single" w:sz="8" w:space="0" w:color="5B9BD4"/>
                          <w:bottom w:val="single" w:sz="8" w:space="0" w:color="5B9BD4"/>
                        </w:tcBorders>
                      </w:tcPr>
                      <w:p>
                        <w:pPr>
                          <w:pStyle w:val="TableParagraph"/>
                          <w:spacing w:before="108"/>
                          <w:ind w:right="180"/>
                          <w:jc w:val="right"/>
                          <w:rPr>
                            <w:sz w:val="20"/>
                          </w:rPr>
                        </w:pPr>
                        <w:r>
                          <w:rPr>
                            <w:sz w:val="20"/>
                          </w:rPr>
                          <w:t>16</w:t>
                        </w:r>
                      </w:p>
                    </w:tc>
                    <w:tc>
                      <w:tcPr>
                        <w:tcW w:w="424" w:type="dxa"/>
                        <w:tcBorders>
                          <w:top w:val="single" w:sz="8" w:space="0" w:color="5B9BD4"/>
                          <w:bottom w:val="single" w:sz="8" w:space="0" w:color="5B9BD4"/>
                        </w:tcBorders>
                      </w:tcPr>
                      <w:p>
                        <w:pPr>
                          <w:pStyle w:val="TableParagraph"/>
                          <w:spacing w:before="108"/>
                          <w:ind w:left="182"/>
                          <w:rPr>
                            <w:sz w:val="20"/>
                          </w:rPr>
                        </w:pPr>
                        <w:r>
                          <w:rPr>
                            <w:w w:val="99"/>
                            <w:sz w:val="20"/>
                          </w:rPr>
                          <w:t>X</w:t>
                        </w:r>
                      </w:p>
                    </w:tc>
                    <w:tc>
                      <w:tcPr>
                        <w:tcW w:w="396" w:type="dxa"/>
                        <w:tcBorders>
                          <w:top w:val="single" w:sz="8" w:space="0" w:color="5B9BD4"/>
                          <w:bottom w:val="single" w:sz="8" w:space="0" w:color="5B9BD4"/>
                        </w:tcBorders>
                      </w:tcPr>
                      <w:p>
                        <w:pPr>
                          <w:pStyle w:val="TableParagraph"/>
                          <w:spacing w:before="108"/>
                          <w:ind w:left="97"/>
                          <w:rPr>
                            <w:sz w:val="20"/>
                          </w:rPr>
                        </w:pPr>
                        <w:r>
                          <w:rPr>
                            <w:w w:val="99"/>
                            <w:sz w:val="20"/>
                          </w:rPr>
                          <w:t>X</w:t>
                        </w:r>
                      </w:p>
                    </w:tc>
                    <w:tc>
                      <w:tcPr>
                        <w:tcW w:w="511" w:type="dxa"/>
                        <w:tcBorders>
                          <w:top w:val="single" w:sz="8" w:space="0" w:color="5B9BD4"/>
                          <w:bottom w:val="single" w:sz="8" w:space="0" w:color="5B9BD4"/>
                        </w:tcBorders>
                      </w:tcPr>
                      <w:p>
                        <w:pPr>
                          <w:pStyle w:val="TableParagraph"/>
                          <w:spacing w:before="108"/>
                          <w:ind w:left="155"/>
                          <w:rPr>
                            <w:sz w:val="20"/>
                          </w:rPr>
                        </w:pPr>
                        <w:r>
                          <w:rPr>
                            <w:w w:val="99"/>
                            <w:sz w:val="20"/>
                          </w:rPr>
                          <w:t>X</w:t>
                        </w:r>
                      </w:p>
                    </w:tc>
                    <w:tc>
                      <w:tcPr>
                        <w:tcW w:w="426" w:type="dxa"/>
                        <w:tcBorders>
                          <w:top w:val="single" w:sz="8" w:space="0" w:color="5B9BD4"/>
                          <w:bottom w:val="single" w:sz="8" w:space="0" w:color="5B9BD4"/>
                        </w:tcBorders>
                      </w:tcPr>
                      <w:p>
                        <w:pPr>
                          <w:pStyle w:val="TableParagraph"/>
                          <w:spacing w:before="108"/>
                          <w:ind w:left="212"/>
                          <w:rPr>
                            <w:sz w:val="20"/>
                          </w:rPr>
                        </w:pPr>
                        <w:r>
                          <w:rPr>
                            <w:w w:val="99"/>
                            <w:sz w:val="20"/>
                          </w:rPr>
                          <w:t>X</w:t>
                        </w:r>
                      </w:p>
                    </w:tc>
                    <w:tc>
                      <w:tcPr>
                        <w:tcW w:w="397" w:type="dxa"/>
                        <w:tcBorders>
                          <w:top w:val="single" w:sz="8" w:space="0" w:color="5B9BD4"/>
                          <w:bottom w:val="single" w:sz="8" w:space="0" w:color="5B9BD4"/>
                        </w:tcBorders>
                      </w:tcPr>
                      <w:p>
                        <w:pPr>
                          <w:pStyle w:val="TableParagraph"/>
                          <w:spacing w:before="108"/>
                          <w:ind w:left="51" w:right="105"/>
                          <w:jc w:val="center"/>
                          <w:rPr>
                            <w:sz w:val="20"/>
                          </w:rPr>
                        </w:pPr>
                        <w:r>
                          <w:rPr>
                            <w:sz w:val="20"/>
                          </w:rPr>
                          <w:t>25</w:t>
                        </w:r>
                      </w:p>
                    </w:tc>
                    <w:tc>
                      <w:tcPr>
                        <w:tcW w:w="454" w:type="dxa"/>
                        <w:tcBorders>
                          <w:top w:val="single" w:sz="8" w:space="0" w:color="5B9BD4"/>
                          <w:bottom w:val="single" w:sz="8" w:space="0" w:color="5B9BD4"/>
                        </w:tcBorders>
                      </w:tcPr>
                      <w:p>
                        <w:pPr>
                          <w:pStyle w:val="TableParagraph"/>
                          <w:spacing w:before="108"/>
                          <w:ind w:left="87" w:right="87"/>
                          <w:jc w:val="center"/>
                          <w:rPr>
                            <w:sz w:val="20"/>
                          </w:rPr>
                        </w:pPr>
                        <w:r>
                          <w:rPr>
                            <w:sz w:val="20"/>
                          </w:rPr>
                          <w:t>12</w:t>
                        </w:r>
                      </w:p>
                    </w:tc>
                    <w:tc>
                      <w:tcPr>
                        <w:tcW w:w="454" w:type="dxa"/>
                        <w:tcBorders>
                          <w:top w:val="single" w:sz="8" w:space="0" w:color="5B9BD4"/>
                          <w:bottom w:val="single" w:sz="8" w:space="0" w:color="5B9BD4"/>
                        </w:tcBorders>
                      </w:tcPr>
                      <w:p>
                        <w:pPr>
                          <w:pStyle w:val="TableParagraph"/>
                          <w:spacing w:before="108"/>
                          <w:ind w:left="87" w:right="87"/>
                          <w:jc w:val="center"/>
                          <w:rPr>
                            <w:sz w:val="20"/>
                          </w:rPr>
                        </w:pPr>
                        <w:r>
                          <w:rPr>
                            <w:sz w:val="20"/>
                          </w:rPr>
                          <w:t>17</w:t>
                        </w:r>
                      </w:p>
                    </w:tc>
                    <w:tc>
                      <w:tcPr>
                        <w:tcW w:w="455" w:type="dxa"/>
                        <w:tcBorders>
                          <w:top w:val="single" w:sz="8" w:space="0" w:color="5B9BD4"/>
                          <w:bottom w:val="single" w:sz="8" w:space="0" w:color="5B9BD4"/>
                        </w:tcBorders>
                      </w:tcPr>
                      <w:p>
                        <w:pPr>
                          <w:pStyle w:val="TableParagraph"/>
                          <w:spacing w:before="108"/>
                          <w:ind w:left="125"/>
                          <w:rPr>
                            <w:sz w:val="20"/>
                          </w:rPr>
                        </w:pPr>
                        <w:r>
                          <w:rPr>
                            <w:sz w:val="20"/>
                          </w:rPr>
                          <w:t>18</w:t>
                        </w:r>
                      </w:p>
                    </w:tc>
                    <w:tc>
                      <w:tcPr>
                        <w:tcW w:w="455" w:type="dxa"/>
                        <w:tcBorders>
                          <w:top w:val="single" w:sz="8" w:space="0" w:color="5B9BD4"/>
                          <w:bottom w:val="single" w:sz="8" w:space="0" w:color="5B9BD4"/>
                        </w:tcBorders>
                      </w:tcPr>
                      <w:p>
                        <w:pPr>
                          <w:pStyle w:val="TableParagraph"/>
                          <w:spacing w:before="108"/>
                          <w:ind w:left="127"/>
                          <w:rPr>
                            <w:sz w:val="20"/>
                          </w:rPr>
                        </w:pPr>
                        <w:r>
                          <w:rPr>
                            <w:w w:val="99"/>
                            <w:sz w:val="20"/>
                          </w:rPr>
                          <w:t>8</w:t>
                        </w:r>
                      </w:p>
                    </w:tc>
                    <w:tc>
                      <w:tcPr>
                        <w:tcW w:w="454" w:type="dxa"/>
                        <w:tcBorders>
                          <w:top w:val="single" w:sz="8" w:space="0" w:color="5B9BD4"/>
                          <w:bottom w:val="single" w:sz="8" w:space="0" w:color="5B9BD4"/>
                        </w:tcBorders>
                      </w:tcPr>
                      <w:p>
                        <w:pPr>
                          <w:pStyle w:val="TableParagraph"/>
                          <w:spacing w:before="108"/>
                          <w:ind w:left="106" w:right="106"/>
                          <w:jc w:val="center"/>
                          <w:rPr>
                            <w:sz w:val="20"/>
                          </w:rPr>
                        </w:pPr>
                        <w:r>
                          <w:rPr>
                            <w:sz w:val="20"/>
                          </w:rPr>
                          <w:t>28</w:t>
                        </w:r>
                      </w:p>
                    </w:tc>
                    <w:tc>
                      <w:tcPr>
                        <w:tcW w:w="454" w:type="dxa"/>
                        <w:tcBorders>
                          <w:top w:val="single" w:sz="8" w:space="0" w:color="5B9BD4"/>
                          <w:bottom w:val="single" w:sz="8" w:space="0" w:color="5B9BD4"/>
                        </w:tcBorders>
                      </w:tcPr>
                      <w:p>
                        <w:pPr>
                          <w:pStyle w:val="TableParagraph"/>
                          <w:spacing w:before="108"/>
                          <w:ind w:left="126"/>
                          <w:rPr>
                            <w:sz w:val="20"/>
                          </w:rPr>
                        </w:pPr>
                        <w:r>
                          <w:rPr>
                            <w:w w:val="99"/>
                            <w:sz w:val="20"/>
                          </w:rPr>
                          <w:t>7</w:t>
                        </w:r>
                      </w:p>
                    </w:tc>
                    <w:tc>
                      <w:tcPr>
                        <w:tcW w:w="454" w:type="dxa"/>
                        <w:tcBorders>
                          <w:top w:val="single" w:sz="8" w:space="0" w:color="5B9BD4"/>
                          <w:bottom w:val="single" w:sz="8" w:space="0" w:color="5B9BD4"/>
                        </w:tcBorders>
                      </w:tcPr>
                      <w:p>
                        <w:pPr>
                          <w:pStyle w:val="TableParagraph"/>
                          <w:spacing w:before="108"/>
                          <w:ind w:left="125"/>
                          <w:rPr>
                            <w:sz w:val="20"/>
                          </w:rPr>
                        </w:pPr>
                        <w:r>
                          <w:rPr>
                            <w:w w:val="99"/>
                            <w:sz w:val="20"/>
                          </w:rPr>
                          <w:t>8</w:t>
                        </w:r>
                      </w:p>
                    </w:tc>
                    <w:tc>
                      <w:tcPr>
                        <w:tcW w:w="454" w:type="dxa"/>
                        <w:tcBorders>
                          <w:top w:val="single" w:sz="8" w:space="0" w:color="5B9BD4"/>
                          <w:bottom w:val="single" w:sz="8" w:space="0" w:color="5B9BD4"/>
                        </w:tcBorders>
                      </w:tcPr>
                      <w:p>
                        <w:pPr>
                          <w:pStyle w:val="TableParagraph"/>
                          <w:spacing w:before="108"/>
                          <w:ind w:right="100"/>
                          <w:jc w:val="center"/>
                          <w:rPr>
                            <w:sz w:val="20"/>
                          </w:rPr>
                        </w:pPr>
                        <w:r>
                          <w:rPr>
                            <w:w w:val="99"/>
                            <w:sz w:val="20"/>
                          </w:rPr>
                          <w:t>8</w:t>
                        </w:r>
                      </w:p>
                    </w:tc>
                    <w:tc>
                      <w:tcPr>
                        <w:tcW w:w="455" w:type="dxa"/>
                        <w:tcBorders>
                          <w:top w:val="single" w:sz="8" w:space="0" w:color="5B9BD4"/>
                          <w:bottom w:val="single" w:sz="8" w:space="0" w:color="5B9BD4"/>
                        </w:tcBorders>
                      </w:tcPr>
                      <w:p>
                        <w:pPr>
                          <w:pStyle w:val="TableParagraph"/>
                          <w:spacing w:before="108"/>
                          <w:ind w:left="125"/>
                          <w:rPr>
                            <w:sz w:val="20"/>
                          </w:rPr>
                        </w:pPr>
                        <w:r>
                          <w:rPr>
                            <w:sz w:val="20"/>
                          </w:rPr>
                          <w:t>20</w:t>
                        </w:r>
                      </w:p>
                    </w:tc>
                    <w:tc>
                      <w:tcPr>
                        <w:tcW w:w="455" w:type="dxa"/>
                        <w:tcBorders>
                          <w:top w:val="single" w:sz="8" w:space="0" w:color="5B9BD4"/>
                          <w:bottom w:val="single" w:sz="8" w:space="0" w:color="5B9BD4"/>
                        </w:tcBorders>
                      </w:tcPr>
                      <w:p>
                        <w:pPr>
                          <w:pStyle w:val="TableParagraph"/>
                          <w:spacing w:before="108"/>
                          <w:ind w:left="127"/>
                          <w:rPr>
                            <w:sz w:val="20"/>
                          </w:rPr>
                        </w:pPr>
                        <w:r>
                          <w:rPr>
                            <w:sz w:val="20"/>
                          </w:rPr>
                          <w:t>10</w:t>
                        </w:r>
                      </w:p>
                    </w:tc>
                    <w:tc>
                      <w:tcPr>
                        <w:tcW w:w="454" w:type="dxa"/>
                        <w:tcBorders>
                          <w:top w:val="single" w:sz="8" w:space="0" w:color="5B9BD4"/>
                          <w:bottom w:val="single" w:sz="8" w:space="0" w:color="5B9BD4"/>
                        </w:tcBorders>
                      </w:tcPr>
                      <w:p>
                        <w:pPr>
                          <w:pStyle w:val="TableParagraph"/>
                          <w:spacing w:before="108"/>
                          <w:ind w:right="100"/>
                          <w:jc w:val="center"/>
                          <w:rPr>
                            <w:sz w:val="20"/>
                          </w:rPr>
                        </w:pPr>
                        <w:r>
                          <w:rPr>
                            <w:w w:val="99"/>
                            <w:sz w:val="20"/>
                          </w:rPr>
                          <w:t>6</w:t>
                        </w:r>
                      </w:p>
                    </w:tc>
                    <w:tc>
                      <w:tcPr>
                        <w:tcW w:w="403" w:type="dxa"/>
                        <w:tcBorders>
                          <w:top w:val="single" w:sz="8" w:space="0" w:color="5B9BD4"/>
                          <w:bottom w:val="single" w:sz="8" w:space="0" w:color="5B9BD4"/>
                        </w:tcBorders>
                      </w:tcPr>
                      <w:p>
                        <w:pPr>
                          <w:pStyle w:val="TableParagraph"/>
                          <w:spacing w:before="108"/>
                          <w:ind w:left="125"/>
                          <w:rPr>
                            <w:sz w:val="20"/>
                          </w:rPr>
                        </w:pPr>
                        <w:r>
                          <w:rPr>
                            <w:w w:val="99"/>
                            <w:sz w:val="20"/>
                          </w:rPr>
                          <w:t>3</w:t>
                        </w:r>
                      </w:p>
                    </w:tc>
                    <w:tc>
                      <w:tcPr>
                        <w:tcW w:w="454" w:type="dxa"/>
                        <w:tcBorders>
                          <w:top w:val="single" w:sz="8" w:space="0" w:color="5B9BD4"/>
                          <w:bottom w:val="single" w:sz="8" w:space="0" w:color="5B9BD4"/>
                        </w:tcBorders>
                      </w:tcPr>
                      <w:p>
                        <w:pPr>
                          <w:pStyle w:val="TableParagraph"/>
                          <w:spacing w:before="108"/>
                          <w:ind w:left="176"/>
                          <w:rPr>
                            <w:sz w:val="20"/>
                          </w:rPr>
                        </w:pPr>
                        <w:r>
                          <w:rPr>
                            <w:w w:val="99"/>
                            <w:sz w:val="20"/>
                          </w:rPr>
                          <w:t>7</w:t>
                        </w:r>
                      </w:p>
                    </w:tc>
                    <w:tc>
                      <w:tcPr>
                        <w:tcW w:w="505" w:type="dxa"/>
                        <w:tcBorders>
                          <w:top w:val="single" w:sz="8" w:space="0" w:color="5B9BD4"/>
                          <w:bottom w:val="single" w:sz="8" w:space="0" w:color="5B9BD4"/>
                        </w:tcBorders>
                      </w:tcPr>
                      <w:p>
                        <w:pPr>
                          <w:pStyle w:val="TableParagraph"/>
                          <w:spacing w:before="108"/>
                          <w:ind w:left="176"/>
                          <w:rPr>
                            <w:sz w:val="20"/>
                          </w:rPr>
                        </w:pPr>
                        <w:r>
                          <w:rPr>
                            <w:sz w:val="20"/>
                          </w:rPr>
                          <w:t>10</w:t>
                        </w:r>
                      </w:p>
                    </w:tc>
                    <w:tc>
                      <w:tcPr>
                        <w:tcW w:w="455" w:type="dxa"/>
                        <w:tcBorders>
                          <w:top w:val="single" w:sz="8" w:space="0" w:color="5B9BD4"/>
                          <w:bottom w:val="single" w:sz="8" w:space="0" w:color="5B9BD4"/>
                        </w:tcBorders>
                      </w:tcPr>
                      <w:p>
                        <w:pPr>
                          <w:pStyle w:val="TableParagraph"/>
                          <w:spacing w:before="108"/>
                          <w:ind w:left="126"/>
                          <w:rPr>
                            <w:sz w:val="20"/>
                          </w:rPr>
                        </w:pPr>
                        <w:r>
                          <w:rPr>
                            <w:sz w:val="20"/>
                          </w:rPr>
                          <w:t>17</w:t>
                        </w:r>
                      </w:p>
                    </w:tc>
                    <w:tc>
                      <w:tcPr>
                        <w:tcW w:w="455" w:type="dxa"/>
                        <w:tcBorders>
                          <w:top w:val="single" w:sz="8" w:space="0" w:color="5B9BD4"/>
                          <w:bottom w:val="single" w:sz="8" w:space="0" w:color="5B9BD4"/>
                        </w:tcBorders>
                      </w:tcPr>
                      <w:p>
                        <w:pPr>
                          <w:pStyle w:val="TableParagraph"/>
                          <w:spacing w:before="108"/>
                          <w:ind w:right="132"/>
                          <w:jc w:val="center"/>
                          <w:rPr>
                            <w:sz w:val="20"/>
                          </w:rPr>
                        </w:pPr>
                        <w:r>
                          <w:rPr>
                            <w:w w:val="99"/>
                            <w:sz w:val="20"/>
                          </w:rPr>
                          <w:t>-</w:t>
                        </w:r>
                      </w:p>
                    </w:tc>
                    <w:tc>
                      <w:tcPr>
                        <w:tcW w:w="454" w:type="dxa"/>
                        <w:tcBorders>
                          <w:top w:val="single" w:sz="8" w:space="0" w:color="5B9BD4"/>
                          <w:bottom w:val="single" w:sz="8" w:space="0" w:color="5B9BD4"/>
                        </w:tcBorders>
                      </w:tcPr>
                      <w:p>
                        <w:pPr>
                          <w:pStyle w:val="TableParagraph"/>
                          <w:spacing w:before="108"/>
                          <w:ind w:left="125"/>
                          <w:rPr>
                            <w:sz w:val="20"/>
                          </w:rPr>
                        </w:pPr>
                        <w:r>
                          <w:rPr>
                            <w:w w:val="99"/>
                            <w:sz w:val="20"/>
                          </w:rPr>
                          <w:t>-</w:t>
                        </w:r>
                      </w:p>
                    </w:tc>
                    <w:tc>
                      <w:tcPr>
                        <w:tcW w:w="454" w:type="dxa"/>
                        <w:tcBorders>
                          <w:top w:val="single" w:sz="8" w:space="0" w:color="5B9BD4"/>
                          <w:bottom w:val="single" w:sz="8" w:space="0" w:color="5B9BD4"/>
                        </w:tcBorders>
                      </w:tcPr>
                      <w:p>
                        <w:pPr>
                          <w:pStyle w:val="TableParagraph"/>
                          <w:spacing w:before="108"/>
                          <w:ind w:left="125"/>
                          <w:rPr>
                            <w:sz w:val="20"/>
                          </w:rPr>
                        </w:pPr>
                        <w:r>
                          <w:rPr>
                            <w:w w:val="99"/>
                            <w:sz w:val="20"/>
                          </w:rPr>
                          <w:t>-</w:t>
                        </w:r>
                      </w:p>
                    </w:tc>
                    <w:tc>
                      <w:tcPr>
                        <w:tcW w:w="640" w:type="dxa"/>
                        <w:tcBorders>
                          <w:top w:val="single" w:sz="8" w:space="0" w:color="5B9BD4"/>
                          <w:bottom w:val="single" w:sz="8" w:space="0" w:color="5B9BD4"/>
                        </w:tcBorders>
                      </w:tcPr>
                      <w:p>
                        <w:pPr>
                          <w:pStyle w:val="TableParagraph"/>
                          <w:spacing w:before="108"/>
                          <w:ind w:left="125"/>
                          <w:rPr>
                            <w:sz w:val="20"/>
                          </w:rPr>
                        </w:pPr>
                        <w:r>
                          <w:rPr>
                            <w:sz w:val="20"/>
                          </w:rPr>
                          <w:t>204</w:t>
                        </w:r>
                      </w:p>
                    </w:tc>
                  </w:tr>
                </w:tbl>
                <w:p>
                  <w:pPr>
                    <w:pStyle w:val="BodyText"/>
                  </w:pPr>
                </w:p>
              </w:txbxContent>
            </v:textbox>
            <w10:wrap type="none"/>
          </v:shape>
        </w:pict>
      </w:r>
      <w:r>
        <w:rPr>
          <w:sz w:val="20"/>
        </w:rPr>
        <w:t>Tocantins</w:t>
        <w:tab/>
        <w:t>17/06/15</w:t>
      </w:r>
    </w:p>
    <w:p>
      <w:pPr>
        <w:pStyle w:val="BodyText"/>
        <w:spacing w:before="5"/>
        <w:rPr>
          <w:sz w:val="16"/>
        </w:rPr>
      </w:pPr>
    </w:p>
    <w:p>
      <w:pPr>
        <w:spacing w:before="91"/>
        <w:ind w:left="2146" w:right="0" w:firstLine="0"/>
        <w:jc w:val="left"/>
        <w:rPr>
          <w:sz w:val="20"/>
        </w:rPr>
      </w:pPr>
      <w:r>
        <w:rPr>
          <w:sz w:val="20"/>
        </w:rPr>
        <w:t>23/06/15</w:t>
      </w:r>
    </w:p>
    <w:p>
      <w:pPr>
        <w:pStyle w:val="BodyText"/>
        <w:spacing w:before="8"/>
        <w:rPr>
          <w:sz w:val="21"/>
        </w:rPr>
      </w:pPr>
    </w:p>
    <w:p>
      <w:pPr>
        <w:spacing w:before="0"/>
        <w:ind w:left="2146" w:right="0" w:firstLine="0"/>
        <w:jc w:val="left"/>
        <w:rPr>
          <w:sz w:val="20"/>
        </w:rPr>
      </w:pPr>
      <w:r>
        <w:rPr>
          <w:sz w:val="20"/>
        </w:rPr>
        <w:t>21/05/15</w:t>
      </w:r>
    </w:p>
    <w:p>
      <w:pPr>
        <w:pStyle w:val="BodyText"/>
        <w:spacing w:before="8"/>
        <w:rPr>
          <w:sz w:val="21"/>
        </w:rPr>
      </w:pPr>
    </w:p>
    <w:p>
      <w:pPr>
        <w:spacing w:before="0"/>
        <w:ind w:left="2146" w:right="0" w:firstLine="0"/>
        <w:jc w:val="left"/>
        <w:rPr>
          <w:sz w:val="20"/>
        </w:rPr>
      </w:pPr>
      <w:r>
        <w:rPr>
          <w:sz w:val="20"/>
        </w:rPr>
        <w:t>11/06/15</w:t>
      </w:r>
    </w:p>
    <w:p>
      <w:pPr>
        <w:pStyle w:val="BodyText"/>
        <w:spacing w:before="8"/>
        <w:rPr>
          <w:sz w:val="21"/>
        </w:rPr>
      </w:pPr>
    </w:p>
    <w:p>
      <w:pPr>
        <w:spacing w:before="0"/>
        <w:ind w:left="2146" w:right="0" w:firstLine="0"/>
        <w:jc w:val="left"/>
        <w:rPr>
          <w:sz w:val="20"/>
        </w:rPr>
      </w:pPr>
      <w:r>
        <w:rPr>
          <w:sz w:val="20"/>
        </w:rPr>
        <w:t>27/05/15</w:t>
      </w:r>
    </w:p>
    <w:p>
      <w:pPr>
        <w:pStyle w:val="BodyText"/>
        <w:spacing w:before="8"/>
        <w:rPr>
          <w:sz w:val="21"/>
        </w:rPr>
      </w:pPr>
    </w:p>
    <w:p>
      <w:pPr>
        <w:spacing w:before="0"/>
        <w:ind w:left="2146" w:right="0" w:firstLine="0"/>
        <w:jc w:val="left"/>
        <w:rPr>
          <w:sz w:val="20"/>
        </w:rPr>
      </w:pPr>
      <w:r>
        <w:rPr>
          <w:sz w:val="20"/>
        </w:rPr>
        <w:t>15/06/15</w:t>
      </w:r>
    </w:p>
    <w:p>
      <w:pPr>
        <w:pStyle w:val="BodyText"/>
        <w:spacing w:before="8"/>
        <w:rPr>
          <w:sz w:val="21"/>
        </w:rPr>
      </w:pPr>
    </w:p>
    <w:p>
      <w:pPr>
        <w:spacing w:before="0"/>
        <w:ind w:left="2146" w:right="0" w:firstLine="0"/>
        <w:jc w:val="left"/>
        <w:rPr>
          <w:sz w:val="20"/>
        </w:rPr>
      </w:pPr>
      <w:r>
        <w:rPr>
          <w:sz w:val="20"/>
        </w:rPr>
        <w:t>17/06/15</w:t>
      </w:r>
    </w:p>
    <w:p>
      <w:pPr>
        <w:pStyle w:val="BodyText"/>
        <w:spacing w:before="8"/>
        <w:rPr>
          <w:sz w:val="21"/>
        </w:rPr>
      </w:pPr>
    </w:p>
    <w:p>
      <w:pPr>
        <w:spacing w:before="0"/>
        <w:ind w:left="2146" w:right="0" w:firstLine="0"/>
        <w:jc w:val="left"/>
        <w:rPr>
          <w:sz w:val="20"/>
        </w:rPr>
      </w:pPr>
      <w:r>
        <w:rPr>
          <w:sz w:val="20"/>
        </w:rPr>
        <w:t>24/06/15</w:t>
      </w:r>
    </w:p>
    <w:p>
      <w:pPr>
        <w:spacing w:before="21"/>
        <w:ind w:left="538" w:right="0" w:firstLine="0"/>
        <w:jc w:val="left"/>
        <w:rPr>
          <w:sz w:val="18"/>
        </w:rPr>
      </w:pPr>
      <w:r>
        <w:rPr>
          <w:sz w:val="18"/>
        </w:rPr>
        <w:t>Fonte: Adaires Rodrigues de Sousa (2015).</w:t>
      </w:r>
    </w:p>
    <w:p>
      <w:pPr>
        <w:spacing w:after="0"/>
        <w:jc w:val="left"/>
        <w:rPr>
          <w:sz w:val="18"/>
        </w:rPr>
        <w:sectPr>
          <w:type w:val="continuous"/>
          <w:pgSz w:w="16840" w:h="11910" w:orient="landscape"/>
          <w:pgMar w:top="1580" w:bottom="280" w:left="880" w:right="740"/>
        </w:sectPr>
      </w:pPr>
    </w:p>
    <w:p>
      <w:pPr>
        <w:pStyle w:val="BodyText"/>
        <w:rPr>
          <w:sz w:val="20"/>
        </w:rPr>
      </w:pPr>
    </w:p>
    <w:p>
      <w:pPr>
        <w:pStyle w:val="BodyText"/>
        <w:spacing w:line="360" w:lineRule="auto" w:before="210"/>
        <w:ind w:left="102" w:right="122" w:firstLine="851"/>
        <w:jc w:val="both"/>
      </w:pPr>
      <w:r>
        <w:rPr/>
        <w:t>Da tabela ‗Formatação com menos de 20 metas e seções em 23 PMEs‘, no que diz respeito à Lei, apenas dois PMEs estão alinhados ao PNE, e os demais variam desde treze a até dois artigos.</w:t>
      </w:r>
    </w:p>
    <w:p>
      <w:pPr>
        <w:pStyle w:val="BodyText"/>
        <w:spacing w:line="360" w:lineRule="auto" w:before="5"/>
        <w:ind w:left="102" w:right="117" w:firstLine="851"/>
        <w:jc w:val="both"/>
      </w:pPr>
      <w:r>
        <w:rPr/>
        <w:t>Se tomarmos por base o número de metas do PNE, nenhum dos 23 PMEs relacionados na tabela alinham-se ao Plano Nacional, pois todos possuem menos de vinte metas. Nesse aspecto, os Municípios de Itapiratins e Pedro Afonso apresentam o menor número de metas, sendo dez e onze respectivamente.</w:t>
      </w:r>
    </w:p>
    <w:p>
      <w:pPr>
        <w:pStyle w:val="BodyText"/>
        <w:spacing w:line="360" w:lineRule="auto" w:before="5"/>
        <w:ind w:left="102" w:right="115" w:firstLine="851"/>
        <w:jc w:val="both"/>
      </w:pPr>
      <w:r>
        <w:rPr/>
        <w:t>Acerca das seções, na Tabela, dois PMEs alinham-se ao PNE 2014-2024, os demais 21 variam na composição, acrescentando desde uma a até três das seções listadas.</w:t>
      </w:r>
    </w:p>
    <w:p>
      <w:pPr>
        <w:pStyle w:val="BodyText"/>
        <w:spacing w:line="360" w:lineRule="auto" w:before="3"/>
        <w:ind w:left="102" w:right="119" w:firstLine="851"/>
        <w:jc w:val="both"/>
      </w:pPr>
      <w:r>
        <w:rPr/>
        <w:t>Dos dados apresentados nas Tabelas 2, 3 e 4, destacamos, ainda, a data de sanção das Leis dos PMEs, ou seja, dos 111 PMEs verificados, cinco foram sancionados no mês de maio de 2015, um mês antes do prazo final, e um, no mês de julho, um mês depois do prazo final. Os demais 105 foram sancionados dentro do prazo previsto no PNE.</w:t>
      </w:r>
    </w:p>
    <w:p>
      <w:pPr>
        <w:pStyle w:val="BodyText"/>
        <w:rPr>
          <w:sz w:val="26"/>
        </w:rPr>
      </w:pPr>
    </w:p>
    <w:p>
      <w:pPr>
        <w:pStyle w:val="BodyText"/>
        <w:rPr>
          <w:sz w:val="26"/>
        </w:rPr>
      </w:pPr>
    </w:p>
    <w:p>
      <w:pPr>
        <w:pStyle w:val="BodyText"/>
        <w:spacing w:before="10"/>
        <w:rPr>
          <w:sz w:val="20"/>
        </w:rPr>
      </w:pPr>
    </w:p>
    <w:p>
      <w:pPr>
        <w:pStyle w:val="Heading2"/>
        <w:numPr>
          <w:ilvl w:val="2"/>
          <w:numId w:val="39"/>
        </w:numPr>
        <w:tabs>
          <w:tab w:pos="643" w:val="left" w:leader="none"/>
        </w:tabs>
        <w:spacing w:line="240" w:lineRule="auto" w:before="0" w:after="0"/>
        <w:ind w:left="642" w:right="0" w:hanging="540"/>
        <w:jc w:val="left"/>
        <w:rPr>
          <w:i/>
        </w:rPr>
      </w:pPr>
      <w:bookmarkStart w:name="_TOC_250009" w:id="8"/>
      <w:r>
        <w:rPr>
          <w:i/>
        </w:rPr>
        <w:t>Conteúdo de planos no</w:t>
      </w:r>
      <w:r>
        <w:rPr>
          <w:i/>
          <w:spacing w:val="-7"/>
        </w:rPr>
        <w:t> </w:t>
      </w:r>
      <w:bookmarkEnd w:id="8"/>
      <w:r>
        <w:rPr>
          <w:i/>
        </w:rPr>
        <w:t>Tocantins</w:t>
      </w:r>
    </w:p>
    <w:p>
      <w:pPr>
        <w:pStyle w:val="BodyText"/>
        <w:rPr>
          <w:b/>
          <w:i/>
          <w:sz w:val="26"/>
        </w:rPr>
      </w:pPr>
    </w:p>
    <w:p>
      <w:pPr>
        <w:pStyle w:val="BodyText"/>
        <w:spacing w:before="6"/>
        <w:rPr>
          <w:b/>
          <w:i/>
          <w:sz w:val="21"/>
        </w:rPr>
      </w:pPr>
    </w:p>
    <w:p>
      <w:pPr>
        <w:pStyle w:val="BodyText"/>
        <w:spacing w:line="360" w:lineRule="auto"/>
        <w:ind w:left="102" w:right="117" w:firstLine="851"/>
        <w:jc w:val="both"/>
      </w:pPr>
      <w:r>
        <w:rPr/>
        <w:t>No tocante ao conteúdo dos Planos verificados no Tocantins, ou seja, às responsabilidades assumidas pelos Municípios em relação às metas do PNE 2014-2014, a leitura dos quadros 4 e 5 permite apreender que há redução das metas que não são, diretamente, de responsabilidade dos Municípios. Isto é, as metas que deixaram de fazer parte, ou melhor, as metas com as quais os Municípios optaram por não se alinhar são aquelas em que a competência de atuação está ou com o Estado ou com o Governo Federal. Esta redução se dá, também, com os PMEs que apresentam 21 ou 22 metas, pois acrescentam, ao conjunto de metas listadas no PNE, outras que constam do PEE do Tocantins.</w:t>
      </w:r>
    </w:p>
    <w:p>
      <w:pPr>
        <w:pStyle w:val="BodyText"/>
        <w:spacing w:line="360" w:lineRule="auto" w:before="3"/>
        <w:ind w:left="102" w:right="119" w:firstLine="851"/>
        <w:jc w:val="both"/>
      </w:pPr>
      <w:r>
        <w:rPr/>
        <w:t>Acerca desse aspecto, é possível supor que, nos PMEs, os determinados conteúdos que se distribuem nas 20 metas do PNE possam estar inseridos ou agrupados em mais de uma meta no PME. Contudo, no momento, a pesquisa não nos permite inferir se um determinado PME tenha ou não se alinhado ao PNE neste quesito.</w:t>
      </w:r>
    </w:p>
    <w:p>
      <w:pPr>
        <w:pStyle w:val="BodyText"/>
        <w:spacing w:line="360" w:lineRule="auto" w:before="5"/>
        <w:ind w:left="102" w:right="120" w:firstLine="851"/>
        <w:jc w:val="both"/>
      </w:pPr>
      <w:r>
        <w:rPr/>
        <w:t>Apoiados pela mesma Rede de Assistência Técnica no Estado e pelos mesmos documentos  e  diretrizes  emanadas  do  MEC/SASE,  observarmos  que      Municípios</w:t>
      </w:r>
    </w:p>
    <w:p>
      <w:pPr>
        <w:spacing w:after="0" w:line="360" w:lineRule="auto"/>
        <w:jc w:val="both"/>
        <w:sectPr>
          <w:headerReference w:type="default" r:id="rId118"/>
          <w:pgSz w:w="11910" w:h="16840"/>
          <w:pgMar w:header="749" w:footer="0" w:top="960" w:bottom="280" w:left="1600" w:right="1580"/>
          <w:pgNumType w:start="141"/>
        </w:sectPr>
      </w:pPr>
    </w:p>
    <w:p>
      <w:pPr>
        <w:pStyle w:val="BodyText"/>
        <w:rPr>
          <w:sz w:val="20"/>
        </w:rPr>
      </w:pPr>
    </w:p>
    <w:p>
      <w:pPr>
        <w:pStyle w:val="BodyText"/>
        <w:spacing w:line="360" w:lineRule="auto" w:before="210"/>
        <w:ind w:left="122" w:right="138"/>
        <w:jc w:val="both"/>
      </w:pPr>
      <w:r>
        <w:rPr/>
        <w:t>tomaram rumos diferentes, como demonstram as informações das Tabelas 1 a 4, seja em relação aos tempos em que iniciaram seus trabalhos, aos tempos em que concluíram determinadas etapas, ou ao número de metas, uma vez que 23 optaram pelo mesmo número de metas encontradas no PEE do Tocantins; vinte, mesmo tendo optado por alinhar-se ao PNE, explicitaram um número menor de metas; e um que apresenta um total de dez metas e formatação semelhante ao PNE 2001-2010.Diferenças que, possivelmente, assentam-se nas diferentes realidades de cada localidade. Por outro lado, também, compreendemos que as orientações de alinhamento dos Planos, emanadas do MEC/SASE, por meio dos Cadernos Planejando a Próxima Década e por meio dos AEs, influenciaram o conteúdo (e a formatação) de PMEs no Estado, ao verificarmos que,  dos 111 PMEs, 68 optaram pelo compromisso com as mesmas metas que o</w:t>
      </w:r>
      <w:r>
        <w:rPr>
          <w:spacing w:val="-8"/>
        </w:rPr>
        <w:t> </w:t>
      </w:r>
      <w:r>
        <w:rPr/>
        <w:t>PNE.</w:t>
      </w:r>
    </w:p>
    <w:p>
      <w:pPr>
        <w:pStyle w:val="BodyText"/>
        <w:spacing w:line="360" w:lineRule="auto" w:before="5"/>
        <w:ind w:left="122" w:right="138" w:firstLine="851"/>
        <w:jc w:val="both"/>
      </w:pPr>
      <w:r>
        <w:rPr/>
        <w:t>As quatro metas presentes no PEE Tocantins e explicitadas em 23 PMEs de modo aleatório, nos fazem apontá-los como alinhados ao PEE, como demonstra o Quadro 3.</w:t>
      </w:r>
    </w:p>
    <w:p>
      <w:pPr>
        <w:pStyle w:val="BodyText"/>
        <w:spacing w:line="360" w:lineRule="auto" w:before="3"/>
        <w:ind w:left="122" w:right="137" w:firstLine="851"/>
        <w:jc w:val="both"/>
      </w:pPr>
      <w:r>
        <w:rPr/>
        <w:t>Assim, no conjunto de 110 PMEs verificados, com exceção do Plano do Município de Pedro Afonso, o Quadro 1 possibilita-nos visualizar as metas assumidas ou não pelos Municípios, ou seja, os conteúdos explicitados como compromissos municipais em relação às metas do PNE</w:t>
      </w:r>
      <w:r>
        <w:rPr>
          <w:spacing w:val="-6"/>
        </w:rPr>
        <w:t> </w:t>
      </w:r>
      <w:r>
        <w:rPr/>
        <w:t>2014-2024.</w:t>
      </w:r>
    </w:p>
    <w:p>
      <w:pPr>
        <w:pStyle w:val="BodyText"/>
        <w:spacing w:before="2"/>
        <w:rPr>
          <w:sz w:val="36"/>
        </w:rPr>
      </w:pPr>
    </w:p>
    <w:p>
      <w:pPr>
        <w:pStyle w:val="BodyText"/>
        <w:spacing w:before="1"/>
        <w:ind w:left="122" w:right="140"/>
        <w:jc w:val="both"/>
      </w:pPr>
      <w:r>
        <w:rPr>
          <w:b/>
        </w:rPr>
        <w:t>Quadro 4 </w:t>
      </w:r>
      <w:r>
        <w:rPr/>
        <w:t>Conteúdos do Plano Nacional de Educação explicitados nos Planos Municipais de Educação do Tocantins</w:t>
      </w:r>
    </w:p>
    <w:p>
      <w:pPr>
        <w:pStyle w:val="BodyText"/>
        <w:spacing w:before="8"/>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77"/>
        <w:gridCol w:w="1952"/>
      </w:tblGrid>
      <w:tr>
        <w:trPr>
          <w:trHeight w:val="929" w:hRule="exact"/>
        </w:trPr>
        <w:tc>
          <w:tcPr>
            <w:tcW w:w="6577" w:type="dxa"/>
            <w:shd w:val="clear" w:color="auto" w:fill="F1F1F1"/>
          </w:tcPr>
          <w:p>
            <w:pPr>
              <w:pStyle w:val="TableParagraph"/>
              <w:spacing w:before="10"/>
              <w:rPr>
                <w:sz w:val="29"/>
              </w:rPr>
            </w:pPr>
          </w:p>
          <w:p>
            <w:pPr>
              <w:pStyle w:val="TableParagraph"/>
              <w:spacing w:before="0"/>
              <w:ind w:left="2808" w:right="2808"/>
              <w:jc w:val="center"/>
              <w:rPr>
                <w:b/>
                <w:sz w:val="20"/>
              </w:rPr>
            </w:pPr>
            <w:r>
              <w:rPr>
                <w:b/>
                <w:sz w:val="20"/>
              </w:rPr>
              <w:t>Conteúdos</w:t>
            </w:r>
          </w:p>
        </w:tc>
        <w:tc>
          <w:tcPr>
            <w:tcW w:w="1952" w:type="dxa"/>
            <w:shd w:val="clear" w:color="auto" w:fill="F1F1F1"/>
          </w:tcPr>
          <w:p>
            <w:pPr>
              <w:pStyle w:val="TableParagraph"/>
              <w:spacing w:before="0"/>
              <w:ind w:left="189" w:right="193" w:hanging="1"/>
              <w:jc w:val="center"/>
              <w:rPr>
                <w:b/>
                <w:sz w:val="20"/>
              </w:rPr>
            </w:pPr>
            <w:r>
              <w:rPr>
                <w:b/>
                <w:sz w:val="20"/>
              </w:rPr>
              <w:t>Quantidade de Municípios comprometidos (mesmo</w:t>
            </w:r>
            <w:r>
              <w:rPr>
                <w:b/>
                <w:spacing w:val="-8"/>
                <w:sz w:val="20"/>
              </w:rPr>
              <w:t> </w:t>
            </w:r>
            <w:r>
              <w:rPr>
                <w:b/>
                <w:sz w:val="20"/>
              </w:rPr>
              <w:t>conteúdo)</w:t>
            </w:r>
          </w:p>
        </w:tc>
      </w:tr>
      <w:tr>
        <w:trPr>
          <w:trHeight w:val="746" w:hRule="exact"/>
        </w:trPr>
        <w:tc>
          <w:tcPr>
            <w:tcW w:w="6577" w:type="dxa"/>
          </w:tcPr>
          <w:p>
            <w:pPr>
              <w:pStyle w:val="TableParagraph"/>
              <w:spacing w:before="132"/>
              <w:ind w:left="103" w:right="69"/>
              <w:rPr>
                <w:b/>
                <w:sz w:val="20"/>
              </w:rPr>
            </w:pPr>
            <w:r>
              <w:rPr>
                <w:sz w:val="20"/>
              </w:rPr>
              <w:t>Universalização da </w:t>
            </w:r>
            <w:r>
              <w:rPr>
                <w:b/>
                <w:sz w:val="20"/>
              </w:rPr>
              <w:t>educação infantil na pré-escola </w:t>
            </w:r>
            <w:r>
              <w:rPr>
                <w:sz w:val="20"/>
              </w:rPr>
              <w:t>para as crianças de quatro a cinco anos e a ampliação da oferta da </w:t>
            </w:r>
            <w:r>
              <w:rPr>
                <w:b/>
                <w:sz w:val="20"/>
              </w:rPr>
              <w:t>educação infantil em creches.</w:t>
            </w:r>
          </w:p>
        </w:tc>
        <w:tc>
          <w:tcPr>
            <w:tcW w:w="1952" w:type="dxa"/>
          </w:tcPr>
          <w:p>
            <w:pPr>
              <w:pStyle w:val="TableParagraph"/>
              <w:spacing w:before="6"/>
              <w:rPr>
                <w:sz w:val="21"/>
              </w:rPr>
            </w:pPr>
          </w:p>
          <w:p>
            <w:pPr>
              <w:pStyle w:val="TableParagraph"/>
              <w:spacing w:before="0"/>
              <w:ind w:left="492" w:right="493"/>
              <w:jc w:val="center"/>
              <w:rPr>
                <w:sz w:val="20"/>
              </w:rPr>
            </w:pPr>
            <w:r>
              <w:rPr>
                <w:sz w:val="20"/>
              </w:rPr>
              <w:t>110 (todos)</w:t>
            </w:r>
          </w:p>
        </w:tc>
      </w:tr>
      <w:tr>
        <w:trPr>
          <w:trHeight w:val="749" w:hRule="exact"/>
        </w:trPr>
        <w:tc>
          <w:tcPr>
            <w:tcW w:w="6577" w:type="dxa"/>
          </w:tcPr>
          <w:p>
            <w:pPr>
              <w:pStyle w:val="TableParagraph"/>
              <w:spacing w:before="132"/>
              <w:ind w:left="103" w:right="109"/>
              <w:rPr>
                <w:sz w:val="20"/>
              </w:rPr>
            </w:pPr>
            <w:r>
              <w:rPr>
                <w:sz w:val="20"/>
              </w:rPr>
              <w:t>Universalização do </w:t>
            </w:r>
            <w:r>
              <w:rPr>
                <w:b/>
                <w:sz w:val="20"/>
              </w:rPr>
              <w:t>ensino fundamental de nove anos </w:t>
            </w:r>
            <w:r>
              <w:rPr>
                <w:sz w:val="20"/>
              </w:rPr>
              <w:t>para a população de seis a quatorze</w:t>
            </w:r>
            <w:r>
              <w:rPr>
                <w:spacing w:val="-10"/>
                <w:sz w:val="20"/>
              </w:rPr>
              <w:t> </w:t>
            </w:r>
            <w:r>
              <w:rPr>
                <w:sz w:val="20"/>
              </w:rPr>
              <w:t>anos.</w:t>
            </w:r>
          </w:p>
        </w:tc>
        <w:tc>
          <w:tcPr>
            <w:tcW w:w="1952" w:type="dxa"/>
          </w:tcPr>
          <w:p>
            <w:pPr>
              <w:pStyle w:val="TableParagraph"/>
              <w:spacing w:before="6"/>
              <w:rPr>
                <w:sz w:val="21"/>
              </w:rPr>
            </w:pPr>
          </w:p>
          <w:p>
            <w:pPr>
              <w:pStyle w:val="TableParagraph"/>
              <w:spacing w:before="0"/>
              <w:ind w:left="492" w:right="493"/>
              <w:jc w:val="center"/>
              <w:rPr>
                <w:sz w:val="20"/>
              </w:rPr>
            </w:pPr>
            <w:r>
              <w:rPr>
                <w:sz w:val="20"/>
              </w:rPr>
              <w:t>110 (todos)</w:t>
            </w:r>
          </w:p>
        </w:tc>
      </w:tr>
      <w:tr>
        <w:trPr>
          <w:trHeight w:val="747" w:hRule="exact"/>
        </w:trPr>
        <w:tc>
          <w:tcPr>
            <w:tcW w:w="6577" w:type="dxa"/>
          </w:tcPr>
          <w:p>
            <w:pPr>
              <w:pStyle w:val="TableParagraph"/>
              <w:spacing w:before="130"/>
              <w:ind w:left="103" w:right="69"/>
              <w:rPr>
                <w:sz w:val="20"/>
              </w:rPr>
            </w:pPr>
            <w:r>
              <w:rPr>
                <w:sz w:val="20"/>
              </w:rPr>
              <w:t>Universalização do </w:t>
            </w:r>
            <w:r>
              <w:rPr>
                <w:b/>
                <w:sz w:val="20"/>
              </w:rPr>
              <w:t>ensino médio </w:t>
            </w:r>
            <w:r>
              <w:rPr>
                <w:sz w:val="20"/>
              </w:rPr>
              <w:t>para toda a população de quinze a dezessete anos.</w:t>
            </w:r>
          </w:p>
        </w:tc>
        <w:tc>
          <w:tcPr>
            <w:tcW w:w="1952" w:type="dxa"/>
          </w:tcPr>
          <w:p>
            <w:pPr>
              <w:pStyle w:val="TableParagraph"/>
              <w:spacing w:before="130"/>
              <w:ind w:left="492" w:right="492"/>
              <w:jc w:val="center"/>
              <w:rPr>
                <w:sz w:val="20"/>
              </w:rPr>
            </w:pPr>
            <w:r>
              <w:rPr>
                <w:sz w:val="20"/>
              </w:rPr>
              <w:t>104 sim</w:t>
            </w:r>
          </w:p>
          <w:p>
            <w:pPr>
              <w:pStyle w:val="TableParagraph"/>
              <w:spacing w:before="0"/>
              <w:ind w:left="488" w:right="493"/>
              <w:jc w:val="center"/>
              <w:rPr>
                <w:sz w:val="20"/>
              </w:rPr>
            </w:pPr>
            <w:r>
              <w:rPr>
                <w:sz w:val="20"/>
              </w:rPr>
              <w:t>6 não</w:t>
            </w:r>
          </w:p>
        </w:tc>
      </w:tr>
      <w:tr>
        <w:trPr>
          <w:trHeight w:val="1200" w:hRule="exact"/>
        </w:trPr>
        <w:tc>
          <w:tcPr>
            <w:tcW w:w="6577" w:type="dxa"/>
          </w:tcPr>
          <w:p>
            <w:pPr>
              <w:pStyle w:val="TableParagraph"/>
              <w:spacing w:line="242" w:lineRule="auto"/>
              <w:ind w:left="103" w:right="104"/>
              <w:jc w:val="both"/>
              <w:rPr>
                <w:b/>
                <w:sz w:val="20"/>
              </w:rPr>
            </w:pPr>
            <w:r>
              <w:rPr>
                <w:b/>
                <w:sz w:val="20"/>
              </w:rPr>
              <w:t>Universalização da educação básica</w:t>
            </w:r>
            <w:r>
              <w:rPr>
                <w:sz w:val="20"/>
              </w:rPr>
              <w:t>, preferencialmente na rede regular de ensino, </w:t>
            </w:r>
            <w:r>
              <w:rPr>
                <w:b/>
                <w:sz w:val="20"/>
              </w:rPr>
              <w:t>para a população de quatro a dezessete anos com deficiência, transtornos globais do desenvolvimento e altas habilidades ou superdotação.</w:t>
            </w:r>
          </w:p>
        </w:tc>
        <w:tc>
          <w:tcPr>
            <w:tcW w:w="1952" w:type="dxa"/>
          </w:tcPr>
          <w:p>
            <w:pPr>
              <w:pStyle w:val="TableParagraph"/>
              <w:spacing w:before="1"/>
              <w:rPr>
                <w:sz w:val="31"/>
              </w:rPr>
            </w:pPr>
          </w:p>
          <w:p>
            <w:pPr>
              <w:pStyle w:val="TableParagraph"/>
              <w:spacing w:before="0"/>
              <w:ind w:left="492" w:right="492"/>
              <w:jc w:val="center"/>
              <w:rPr>
                <w:sz w:val="20"/>
              </w:rPr>
            </w:pPr>
            <w:r>
              <w:rPr>
                <w:sz w:val="20"/>
              </w:rPr>
              <w:t>109 sim</w:t>
            </w:r>
          </w:p>
          <w:p>
            <w:pPr>
              <w:pStyle w:val="TableParagraph"/>
              <w:spacing w:before="0"/>
              <w:ind w:left="488" w:right="493"/>
              <w:jc w:val="center"/>
              <w:rPr>
                <w:sz w:val="20"/>
              </w:rPr>
            </w:pPr>
            <w:r>
              <w:rPr>
                <w:sz w:val="20"/>
              </w:rPr>
              <w:t>1 não</w:t>
            </w:r>
          </w:p>
        </w:tc>
      </w:tr>
      <w:tr>
        <w:trPr>
          <w:trHeight w:val="691" w:hRule="exact"/>
        </w:trPr>
        <w:tc>
          <w:tcPr>
            <w:tcW w:w="6577" w:type="dxa"/>
          </w:tcPr>
          <w:p>
            <w:pPr>
              <w:pStyle w:val="TableParagraph"/>
              <w:spacing w:before="103"/>
              <w:ind w:left="103" w:right="69"/>
              <w:rPr>
                <w:sz w:val="20"/>
              </w:rPr>
            </w:pPr>
            <w:r>
              <w:rPr>
                <w:b/>
                <w:sz w:val="20"/>
              </w:rPr>
              <w:t>Alfabetização de todas as crianças </w:t>
            </w:r>
            <w:r>
              <w:rPr>
                <w:sz w:val="20"/>
              </w:rPr>
              <w:t>até o final do terceiro ano do ensino fundamental.</w:t>
            </w:r>
          </w:p>
        </w:tc>
        <w:tc>
          <w:tcPr>
            <w:tcW w:w="1952" w:type="dxa"/>
          </w:tcPr>
          <w:p>
            <w:pPr>
              <w:pStyle w:val="TableParagraph"/>
              <w:spacing w:before="103"/>
              <w:ind w:left="492" w:right="492"/>
              <w:jc w:val="center"/>
              <w:rPr>
                <w:sz w:val="20"/>
              </w:rPr>
            </w:pPr>
            <w:r>
              <w:rPr>
                <w:sz w:val="20"/>
              </w:rPr>
              <w:t>109 sim</w:t>
            </w:r>
          </w:p>
          <w:p>
            <w:pPr>
              <w:pStyle w:val="TableParagraph"/>
              <w:spacing w:before="0"/>
              <w:ind w:left="488" w:right="493"/>
              <w:jc w:val="center"/>
              <w:rPr>
                <w:sz w:val="20"/>
              </w:rPr>
            </w:pPr>
            <w:r>
              <w:rPr>
                <w:sz w:val="20"/>
              </w:rPr>
              <w:t>1 não</w:t>
            </w:r>
          </w:p>
        </w:tc>
      </w:tr>
    </w:tbl>
    <w:p>
      <w:pPr>
        <w:spacing w:after="0"/>
        <w:jc w:val="center"/>
        <w:rPr>
          <w:sz w:val="20"/>
        </w:rPr>
        <w:sectPr>
          <w:pgSz w:w="11910" w:h="16840"/>
          <w:pgMar w:header="749" w:footer="0" w:top="960" w:bottom="280" w:left="1580" w:right="1560"/>
        </w:sectPr>
      </w:pPr>
    </w:p>
    <w:p>
      <w:pPr>
        <w:pStyle w:val="BodyText"/>
        <w:rPr>
          <w:sz w:val="20"/>
        </w:rPr>
      </w:pPr>
    </w:p>
    <w:p>
      <w:pPr>
        <w:pStyle w:val="BodyText"/>
        <w:spacing w:before="10"/>
        <w:rPr>
          <w:sz w:val="1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77"/>
        <w:gridCol w:w="1952"/>
      </w:tblGrid>
      <w:tr>
        <w:trPr>
          <w:trHeight w:val="930" w:hRule="exact"/>
        </w:trPr>
        <w:tc>
          <w:tcPr>
            <w:tcW w:w="6577" w:type="dxa"/>
            <w:shd w:val="clear" w:color="auto" w:fill="F1F1F1"/>
          </w:tcPr>
          <w:p>
            <w:pPr>
              <w:pStyle w:val="TableParagraph"/>
              <w:spacing w:before="9"/>
              <w:rPr>
                <w:sz w:val="29"/>
              </w:rPr>
            </w:pPr>
          </w:p>
          <w:p>
            <w:pPr>
              <w:pStyle w:val="TableParagraph"/>
              <w:spacing w:before="0"/>
              <w:ind w:left="2808" w:right="2808"/>
              <w:jc w:val="center"/>
              <w:rPr>
                <w:b/>
                <w:sz w:val="20"/>
              </w:rPr>
            </w:pPr>
            <w:r>
              <w:rPr>
                <w:b/>
                <w:sz w:val="20"/>
              </w:rPr>
              <w:t>Conteúdos</w:t>
            </w:r>
          </w:p>
        </w:tc>
        <w:tc>
          <w:tcPr>
            <w:tcW w:w="1952" w:type="dxa"/>
            <w:shd w:val="clear" w:color="auto" w:fill="F1F1F1"/>
          </w:tcPr>
          <w:p>
            <w:pPr>
              <w:pStyle w:val="TableParagraph"/>
              <w:spacing w:before="0"/>
              <w:ind w:left="189" w:right="193" w:hanging="1"/>
              <w:jc w:val="center"/>
              <w:rPr>
                <w:b/>
                <w:sz w:val="20"/>
              </w:rPr>
            </w:pPr>
            <w:r>
              <w:rPr>
                <w:b/>
                <w:sz w:val="20"/>
              </w:rPr>
              <w:t>Quantidade de Municípios comprometidos (mesmo</w:t>
            </w:r>
            <w:r>
              <w:rPr>
                <w:b/>
                <w:spacing w:val="-8"/>
                <w:sz w:val="20"/>
              </w:rPr>
              <w:t> </w:t>
            </w:r>
            <w:r>
              <w:rPr>
                <w:b/>
                <w:sz w:val="20"/>
              </w:rPr>
              <w:t>conteúdo)</w:t>
            </w:r>
          </w:p>
        </w:tc>
      </w:tr>
      <w:tr>
        <w:trPr>
          <w:trHeight w:val="917" w:hRule="exact"/>
        </w:trPr>
        <w:tc>
          <w:tcPr>
            <w:tcW w:w="6577" w:type="dxa"/>
          </w:tcPr>
          <w:p>
            <w:pPr>
              <w:pStyle w:val="TableParagraph"/>
              <w:spacing w:before="101"/>
              <w:ind w:left="103" w:right="110"/>
              <w:jc w:val="both"/>
              <w:rPr>
                <w:sz w:val="20"/>
              </w:rPr>
            </w:pPr>
            <w:r>
              <w:rPr>
                <w:sz w:val="20"/>
              </w:rPr>
              <w:t>Oferta da </w:t>
            </w:r>
            <w:r>
              <w:rPr>
                <w:b/>
                <w:sz w:val="20"/>
              </w:rPr>
              <w:t>educação em tempo integral </w:t>
            </w:r>
            <w:r>
              <w:rPr>
                <w:sz w:val="20"/>
              </w:rPr>
              <w:t>em, no mínimo, cinquenta por cento das escolas públicas de forma a atender, pelo menos, vinte e cinco por cento dos alunos da educação básica.</w:t>
            </w:r>
          </w:p>
        </w:tc>
        <w:tc>
          <w:tcPr>
            <w:tcW w:w="1952" w:type="dxa"/>
          </w:tcPr>
          <w:p>
            <w:pPr>
              <w:pStyle w:val="TableParagraph"/>
              <w:spacing w:before="9"/>
              <w:rPr>
                <w:sz w:val="18"/>
              </w:rPr>
            </w:pPr>
          </w:p>
          <w:p>
            <w:pPr>
              <w:pStyle w:val="TableParagraph"/>
              <w:spacing w:before="0"/>
              <w:ind w:left="492" w:right="492"/>
              <w:jc w:val="center"/>
              <w:rPr>
                <w:sz w:val="20"/>
              </w:rPr>
            </w:pPr>
            <w:r>
              <w:rPr>
                <w:sz w:val="20"/>
              </w:rPr>
              <w:t>109 sim</w:t>
            </w:r>
          </w:p>
          <w:p>
            <w:pPr>
              <w:pStyle w:val="TableParagraph"/>
              <w:spacing w:before="0"/>
              <w:ind w:left="488" w:right="493"/>
              <w:jc w:val="center"/>
              <w:rPr>
                <w:sz w:val="20"/>
              </w:rPr>
            </w:pPr>
            <w:r>
              <w:rPr>
                <w:sz w:val="20"/>
              </w:rPr>
              <w:t>1 não</w:t>
            </w:r>
          </w:p>
        </w:tc>
      </w:tr>
      <w:tr>
        <w:trPr>
          <w:trHeight w:val="689" w:hRule="exact"/>
        </w:trPr>
        <w:tc>
          <w:tcPr>
            <w:tcW w:w="6577" w:type="dxa"/>
          </w:tcPr>
          <w:p>
            <w:pPr>
              <w:pStyle w:val="TableParagraph"/>
              <w:spacing w:before="103"/>
              <w:ind w:left="103" w:right="69"/>
              <w:rPr>
                <w:sz w:val="20"/>
              </w:rPr>
            </w:pPr>
            <w:r>
              <w:rPr>
                <w:sz w:val="20"/>
              </w:rPr>
              <w:t>Fomento da a </w:t>
            </w:r>
            <w:r>
              <w:rPr>
                <w:b/>
                <w:sz w:val="20"/>
              </w:rPr>
              <w:t>qualidade da educação básica </w:t>
            </w:r>
            <w:r>
              <w:rPr>
                <w:sz w:val="20"/>
              </w:rPr>
              <w:t>com melhoria do fluxo escolar e da aprendizagem.</w:t>
            </w:r>
          </w:p>
        </w:tc>
        <w:tc>
          <w:tcPr>
            <w:tcW w:w="1952" w:type="dxa"/>
          </w:tcPr>
          <w:p>
            <w:pPr>
              <w:pStyle w:val="TableParagraph"/>
              <w:spacing w:before="103"/>
              <w:ind w:left="492" w:right="492"/>
              <w:jc w:val="center"/>
              <w:rPr>
                <w:sz w:val="20"/>
              </w:rPr>
            </w:pPr>
            <w:r>
              <w:rPr>
                <w:sz w:val="20"/>
              </w:rPr>
              <w:t>109 sim</w:t>
            </w:r>
          </w:p>
          <w:p>
            <w:pPr>
              <w:pStyle w:val="TableParagraph"/>
              <w:spacing w:before="0"/>
              <w:ind w:left="488" w:right="493"/>
              <w:jc w:val="center"/>
              <w:rPr>
                <w:sz w:val="20"/>
              </w:rPr>
            </w:pPr>
            <w:r>
              <w:rPr>
                <w:sz w:val="20"/>
              </w:rPr>
              <w:t>1 não</w:t>
            </w:r>
          </w:p>
        </w:tc>
      </w:tr>
      <w:tr>
        <w:trPr>
          <w:trHeight w:val="691" w:hRule="exact"/>
        </w:trPr>
        <w:tc>
          <w:tcPr>
            <w:tcW w:w="6577" w:type="dxa"/>
          </w:tcPr>
          <w:p>
            <w:pPr>
              <w:pStyle w:val="TableParagraph"/>
              <w:spacing w:before="103"/>
              <w:ind w:left="103" w:right="69"/>
              <w:rPr>
                <w:sz w:val="20"/>
              </w:rPr>
            </w:pPr>
            <w:r>
              <w:rPr>
                <w:sz w:val="20"/>
              </w:rPr>
              <w:t>Elevação da taxa de </w:t>
            </w:r>
            <w:r>
              <w:rPr>
                <w:b/>
                <w:sz w:val="20"/>
              </w:rPr>
              <w:t>escolaridade média da população de dezoito a vinte e nove anos</w:t>
            </w:r>
            <w:r>
              <w:rPr>
                <w:sz w:val="20"/>
              </w:rPr>
              <w:t>, de modo a alcançar no mínimo, doze anos de estudo.</w:t>
            </w:r>
          </w:p>
        </w:tc>
        <w:tc>
          <w:tcPr>
            <w:tcW w:w="1952" w:type="dxa"/>
          </w:tcPr>
          <w:p>
            <w:pPr>
              <w:pStyle w:val="TableParagraph"/>
              <w:spacing w:before="103"/>
              <w:ind w:left="492" w:right="492"/>
              <w:jc w:val="center"/>
              <w:rPr>
                <w:sz w:val="20"/>
              </w:rPr>
            </w:pPr>
            <w:r>
              <w:rPr>
                <w:sz w:val="20"/>
              </w:rPr>
              <w:t>107 sim</w:t>
            </w:r>
          </w:p>
          <w:p>
            <w:pPr>
              <w:pStyle w:val="TableParagraph"/>
              <w:spacing w:before="0"/>
              <w:ind w:left="488" w:right="493"/>
              <w:jc w:val="center"/>
              <w:rPr>
                <w:sz w:val="20"/>
              </w:rPr>
            </w:pPr>
            <w:r>
              <w:rPr>
                <w:sz w:val="20"/>
              </w:rPr>
              <w:t>3 não</w:t>
            </w:r>
          </w:p>
        </w:tc>
      </w:tr>
      <w:tr>
        <w:trPr>
          <w:trHeight w:val="689" w:hRule="exact"/>
        </w:trPr>
        <w:tc>
          <w:tcPr>
            <w:tcW w:w="6577" w:type="dxa"/>
          </w:tcPr>
          <w:p>
            <w:pPr>
              <w:pStyle w:val="TableParagraph"/>
              <w:spacing w:before="103"/>
              <w:ind w:left="103" w:right="69"/>
              <w:rPr>
                <w:sz w:val="20"/>
              </w:rPr>
            </w:pPr>
            <w:r>
              <w:rPr>
                <w:b/>
                <w:sz w:val="20"/>
              </w:rPr>
              <w:t>Alfabetização da população com quinze anos ou mais </w:t>
            </w:r>
            <w:r>
              <w:rPr>
                <w:sz w:val="20"/>
              </w:rPr>
              <w:t>e erradicação analfabetismo absoluto e redução do analfabetismo funcional.</w:t>
            </w:r>
          </w:p>
        </w:tc>
        <w:tc>
          <w:tcPr>
            <w:tcW w:w="1952" w:type="dxa"/>
          </w:tcPr>
          <w:p>
            <w:pPr>
              <w:pStyle w:val="TableParagraph"/>
              <w:spacing w:before="103"/>
              <w:ind w:left="492" w:right="492"/>
              <w:jc w:val="center"/>
              <w:rPr>
                <w:sz w:val="20"/>
              </w:rPr>
            </w:pPr>
            <w:r>
              <w:rPr>
                <w:sz w:val="20"/>
              </w:rPr>
              <w:t>108 sim</w:t>
            </w:r>
          </w:p>
          <w:p>
            <w:pPr>
              <w:pStyle w:val="TableParagraph"/>
              <w:spacing w:before="0"/>
              <w:ind w:left="488" w:right="493"/>
              <w:jc w:val="center"/>
              <w:rPr>
                <w:sz w:val="20"/>
              </w:rPr>
            </w:pPr>
            <w:r>
              <w:rPr>
                <w:sz w:val="20"/>
              </w:rPr>
              <w:t>2 não</w:t>
            </w:r>
          </w:p>
        </w:tc>
      </w:tr>
      <w:tr>
        <w:trPr>
          <w:trHeight w:val="692" w:hRule="exact"/>
        </w:trPr>
        <w:tc>
          <w:tcPr>
            <w:tcW w:w="6577" w:type="dxa"/>
          </w:tcPr>
          <w:p>
            <w:pPr>
              <w:pStyle w:val="TableParagraph"/>
              <w:spacing w:before="1"/>
              <w:rPr>
                <w:sz w:val="19"/>
              </w:rPr>
            </w:pPr>
          </w:p>
          <w:p>
            <w:pPr>
              <w:pStyle w:val="TableParagraph"/>
              <w:spacing w:before="0"/>
              <w:ind w:left="103"/>
              <w:rPr>
                <w:b/>
                <w:sz w:val="20"/>
              </w:rPr>
            </w:pPr>
            <w:r>
              <w:rPr>
                <w:sz w:val="20"/>
              </w:rPr>
              <w:t>Oferta da </w:t>
            </w:r>
            <w:r>
              <w:rPr>
                <w:b/>
                <w:sz w:val="20"/>
              </w:rPr>
              <w:t>Educação de Jovens e Adultos integrada à educação profissional.</w:t>
            </w:r>
          </w:p>
        </w:tc>
        <w:tc>
          <w:tcPr>
            <w:tcW w:w="1952" w:type="dxa"/>
          </w:tcPr>
          <w:p>
            <w:pPr>
              <w:pStyle w:val="TableParagraph"/>
              <w:spacing w:before="103"/>
              <w:ind w:left="492" w:right="492"/>
              <w:jc w:val="center"/>
              <w:rPr>
                <w:sz w:val="20"/>
              </w:rPr>
            </w:pPr>
            <w:r>
              <w:rPr>
                <w:sz w:val="20"/>
              </w:rPr>
              <w:t>104 sim</w:t>
            </w:r>
          </w:p>
          <w:p>
            <w:pPr>
              <w:pStyle w:val="TableParagraph"/>
              <w:spacing w:before="0"/>
              <w:ind w:left="488" w:right="493"/>
              <w:jc w:val="center"/>
              <w:rPr>
                <w:sz w:val="20"/>
              </w:rPr>
            </w:pPr>
            <w:r>
              <w:rPr>
                <w:sz w:val="20"/>
              </w:rPr>
              <w:t>6 não</w:t>
            </w:r>
          </w:p>
        </w:tc>
      </w:tr>
      <w:tr>
        <w:trPr>
          <w:trHeight w:val="689" w:hRule="exact"/>
        </w:trPr>
        <w:tc>
          <w:tcPr>
            <w:tcW w:w="6577" w:type="dxa"/>
          </w:tcPr>
          <w:p>
            <w:pPr>
              <w:pStyle w:val="TableParagraph"/>
              <w:spacing w:before="103"/>
              <w:ind w:left="103" w:right="69"/>
              <w:rPr>
                <w:sz w:val="20"/>
              </w:rPr>
            </w:pPr>
            <w:r>
              <w:rPr>
                <w:sz w:val="20"/>
              </w:rPr>
              <w:t>Triplicação da oferta da </w:t>
            </w:r>
            <w:r>
              <w:rPr>
                <w:b/>
                <w:sz w:val="20"/>
              </w:rPr>
              <w:t>educação profissional técnica de nível médio </w:t>
            </w:r>
            <w:r>
              <w:rPr>
                <w:sz w:val="20"/>
              </w:rPr>
              <w:t>em, pelo menos, cinquenta por cento no seguimento público.</w:t>
            </w:r>
          </w:p>
        </w:tc>
        <w:tc>
          <w:tcPr>
            <w:tcW w:w="1952" w:type="dxa"/>
          </w:tcPr>
          <w:p>
            <w:pPr>
              <w:pStyle w:val="TableParagraph"/>
              <w:spacing w:before="103"/>
              <w:ind w:left="492" w:right="492"/>
              <w:jc w:val="center"/>
              <w:rPr>
                <w:sz w:val="20"/>
              </w:rPr>
            </w:pPr>
            <w:r>
              <w:rPr>
                <w:sz w:val="20"/>
              </w:rPr>
              <w:t>102 sim</w:t>
            </w:r>
          </w:p>
          <w:p>
            <w:pPr>
              <w:pStyle w:val="TableParagraph"/>
              <w:spacing w:before="0"/>
              <w:ind w:left="488" w:right="493"/>
              <w:jc w:val="center"/>
              <w:rPr>
                <w:sz w:val="20"/>
              </w:rPr>
            </w:pPr>
            <w:r>
              <w:rPr>
                <w:sz w:val="20"/>
              </w:rPr>
              <w:t>8 não</w:t>
            </w:r>
          </w:p>
        </w:tc>
      </w:tr>
      <w:tr>
        <w:trPr>
          <w:trHeight w:val="691" w:hRule="exact"/>
        </w:trPr>
        <w:tc>
          <w:tcPr>
            <w:tcW w:w="6577" w:type="dxa"/>
          </w:tcPr>
          <w:p>
            <w:pPr>
              <w:pStyle w:val="TableParagraph"/>
              <w:spacing w:before="0"/>
              <w:rPr>
                <w:sz w:val="19"/>
              </w:rPr>
            </w:pPr>
          </w:p>
          <w:p>
            <w:pPr>
              <w:pStyle w:val="TableParagraph"/>
              <w:spacing w:before="0"/>
              <w:ind w:left="103"/>
              <w:rPr>
                <w:b/>
                <w:sz w:val="20"/>
              </w:rPr>
            </w:pPr>
            <w:r>
              <w:rPr>
                <w:sz w:val="20"/>
              </w:rPr>
              <w:t>Elevação da taxa bruta de matrículas na </w:t>
            </w:r>
            <w:r>
              <w:rPr>
                <w:b/>
                <w:sz w:val="20"/>
              </w:rPr>
              <w:t>educação superior.</w:t>
            </w:r>
          </w:p>
        </w:tc>
        <w:tc>
          <w:tcPr>
            <w:tcW w:w="1952" w:type="dxa"/>
          </w:tcPr>
          <w:p>
            <w:pPr>
              <w:pStyle w:val="TableParagraph"/>
              <w:spacing w:before="103"/>
              <w:ind w:left="492" w:right="492"/>
              <w:jc w:val="center"/>
              <w:rPr>
                <w:sz w:val="20"/>
              </w:rPr>
            </w:pPr>
            <w:r>
              <w:rPr>
                <w:sz w:val="20"/>
              </w:rPr>
              <w:t>104 sim</w:t>
            </w:r>
          </w:p>
          <w:p>
            <w:pPr>
              <w:pStyle w:val="TableParagraph"/>
              <w:spacing w:before="0"/>
              <w:ind w:left="488" w:right="493"/>
              <w:jc w:val="center"/>
              <w:rPr>
                <w:sz w:val="20"/>
              </w:rPr>
            </w:pPr>
            <w:r>
              <w:rPr>
                <w:sz w:val="20"/>
              </w:rPr>
              <w:t>6 não</w:t>
            </w:r>
          </w:p>
        </w:tc>
      </w:tr>
      <w:tr>
        <w:trPr>
          <w:trHeight w:val="689" w:hRule="exact"/>
        </w:trPr>
        <w:tc>
          <w:tcPr>
            <w:tcW w:w="6577" w:type="dxa"/>
          </w:tcPr>
          <w:p>
            <w:pPr>
              <w:pStyle w:val="TableParagraph"/>
              <w:spacing w:before="0"/>
              <w:rPr>
                <w:sz w:val="19"/>
              </w:rPr>
            </w:pPr>
          </w:p>
          <w:p>
            <w:pPr>
              <w:pStyle w:val="TableParagraph"/>
              <w:spacing w:before="0"/>
              <w:ind w:left="103"/>
              <w:rPr>
                <w:b/>
                <w:sz w:val="20"/>
              </w:rPr>
            </w:pPr>
            <w:r>
              <w:rPr>
                <w:sz w:val="20"/>
              </w:rPr>
              <w:t>Elevação da </w:t>
            </w:r>
            <w:r>
              <w:rPr>
                <w:b/>
                <w:sz w:val="20"/>
              </w:rPr>
              <w:t>qualidade da educação superior.</w:t>
            </w:r>
          </w:p>
        </w:tc>
        <w:tc>
          <w:tcPr>
            <w:tcW w:w="1952" w:type="dxa"/>
          </w:tcPr>
          <w:p>
            <w:pPr>
              <w:pStyle w:val="TableParagraph"/>
              <w:spacing w:before="103"/>
              <w:ind w:left="491" w:right="493"/>
              <w:jc w:val="center"/>
              <w:rPr>
                <w:sz w:val="20"/>
              </w:rPr>
            </w:pPr>
            <w:r>
              <w:rPr>
                <w:sz w:val="20"/>
              </w:rPr>
              <w:t>82 sim</w:t>
            </w:r>
          </w:p>
          <w:p>
            <w:pPr>
              <w:pStyle w:val="TableParagraph"/>
              <w:spacing w:before="0"/>
              <w:ind w:left="488" w:right="493"/>
              <w:jc w:val="center"/>
              <w:rPr>
                <w:sz w:val="20"/>
              </w:rPr>
            </w:pPr>
            <w:r>
              <w:rPr>
                <w:sz w:val="20"/>
              </w:rPr>
              <w:t>28 não</w:t>
            </w:r>
          </w:p>
        </w:tc>
      </w:tr>
      <w:tr>
        <w:trPr>
          <w:trHeight w:val="691" w:hRule="exact"/>
        </w:trPr>
        <w:tc>
          <w:tcPr>
            <w:tcW w:w="6577" w:type="dxa"/>
          </w:tcPr>
          <w:p>
            <w:pPr>
              <w:pStyle w:val="TableParagraph"/>
              <w:spacing w:before="0"/>
              <w:rPr>
                <w:sz w:val="19"/>
              </w:rPr>
            </w:pPr>
          </w:p>
          <w:p>
            <w:pPr>
              <w:pStyle w:val="TableParagraph"/>
              <w:spacing w:before="0"/>
              <w:ind w:left="103"/>
              <w:rPr>
                <w:b/>
                <w:i/>
                <w:sz w:val="20"/>
              </w:rPr>
            </w:pPr>
            <w:r>
              <w:rPr>
                <w:sz w:val="20"/>
              </w:rPr>
              <w:t>Elevação do número de matrículas na </w:t>
            </w:r>
            <w:r>
              <w:rPr>
                <w:b/>
                <w:sz w:val="20"/>
              </w:rPr>
              <w:t>pós-graduação </w:t>
            </w:r>
            <w:r>
              <w:rPr>
                <w:b/>
                <w:i/>
                <w:sz w:val="20"/>
              </w:rPr>
              <w:t>stricto sensu.</w:t>
            </w:r>
          </w:p>
        </w:tc>
        <w:tc>
          <w:tcPr>
            <w:tcW w:w="1952" w:type="dxa"/>
          </w:tcPr>
          <w:p>
            <w:pPr>
              <w:pStyle w:val="TableParagraph"/>
              <w:spacing w:before="103"/>
              <w:ind w:left="491" w:right="493"/>
              <w:jc w:val="center"/>
              <w:rPr>
                <w:sz w:val="20"/>
              </w:rPr>
            </w:pPr>
            <w:r>
              <w:rPr>
                <w:sz w:val="20"/>
              </w:rPr>
              <w:t>98 sim</w:t>
            </w:r>
          </w:p>
          <w:p>
            <w:pPr>
              <w:pStyle w:val="TableParagraph"/>
              <w:spacing w:before="0"/>
              <w:ind w:left="488" w:right="493"/>
              <w:jc w:val="center"/>
              <w:rPr>
                <w:sz w:val="20"/>
              </w:rPr>
            </w:pPr>
            <w:r>
              <w:rPr>
                <w:sz w:val="20"/>
              </w:rPr>
              <w:t>12 não</w:t>
            </w:r>
          </w:p>
        </w:tc>
      </w:tr>
      <w:tr>
        <w:trPr>
          <w:trHeight w:val="1200" w:hRule="exact"/>
        </w:trPr>
        <w:tc>
          <w:tcPr>
            <w:tcW w:w="6577" w:type="dxa"/>
          </w:tcPr>
          <w:p>
            <w:pPr>
              <w:pStyle w:val="TableParagraph"/>
              <w:spacing w:line="242" w:lineRule="auto" w:before="130"/>
              <w:ind w:left="103" w:right="100"/>
              <w:jc w:val="both"/>
              <w:rPr>
                <w:b/>
                <w:sz w:val="20"/>
              </w:rPr>
            </w:pPr>
            <w:r>
              <w:rPr>
                <w:b/>
                <w:sz w:val="20"/>
              </w:rPr>
              <w:t>Política de formação dos profissionais da educação </w:t>
            </w:r>
            <w:r>
              <w:rPr>
                <w:sz w:val="20"/>
              </w:rPr>
              <w:t>assegurando que todos os professores e as professoras da educação básica possuam formação específica de nível superior, obtida em curso de </w:t>
            </w:r>
            <w:r>
              <w:rPr>
                <w:b/>
                <w:sz w:val="20"/>
              </w:rPr>
              <w:t>licenciatura na área de conhecimento em que</w:t>
            </w:r>
            <w:r>
              <w:rPr>
                <w:b/>
                <w:spacing w:val="-7"/>
                <w:sz w:val="20"/>
              </w:rPr>
              <w:t> </w:t>
            </w:r>
            <w:r>
              <w:rPr>
                <w:b/>
                <w:sz w:val="20"/>
              </w:rPr>
              <w:t>atuam.</w:t>
            </w:r>
          </w:p>
        </w:tc>
        <w:tc>
          <w:tcPr>
            <w:tcW w:w="1952" w:type="dxa"/>
          </w:tcPr>
          <w:p>
            <w:pPr>
              <w:pStyle w:val="TableParagraph"/>
              <w:spacing w:before="1"/>
              <w:rPr>
                <w:sz w:val="31"/>
              </w:rPr>
            </w:pPr>
          </w:p>
          <w:p>
            <w:pPr>
              <w:pStyle w:val="TableParagraph"/>
              <w:spacing w:before="0"/>
              <w:ind w:left="492" w:right="492"/>
              <w:jc w:val="center"/>
              <w:rPr>
                <w:sz w:val="20"/>
              </w:rPr>
            </w:pPr>
            <w:r>
              <w:rPr>
                <w:sz w:val="20"/>
              </w:rPr>
              <w:t>108 sim</w:t>
            </w:r>
          </w:p>
          <w:p>
            <w:pPr>
              <w:pStyle w:val="TableParagraph"/>
              <w:spacing w:before="0"/>
              <w:ind w:left="488" w:right="493"/>
              <w:jc w:val="center"/>
              <w:rPr>
                <w:sz w:val="20"/>
              </w:rPr>
            </w:pPr>
            <w:r>
              <w:rPr>
                <w:sz w:val="20"/>
              </w:rPr>
              <w:t>2 não</w:t>
            </w:r>
          </w:p>
        </w:tc>
      </w:tr>
      <w:tr>
        <w:trPr>
          <w:trHeight w:val="691" w:hRule="exact"/>
        </w:trPr>
        <w:tc>
          <w:tcPr>
            <w:tcW w:w="6577" w:type="dxa"/>
          </w:tcPr>
          <w:p>
            <w:pPr>
              <w:pStyle w:val="TableParagraph"/>
              <w:spacing w:before="0"/>
              <w:rPr>
                <w:sz w:val="19"/>
              </w:rPr>
            </w:pPr>
          </w:p>
          <w:p>
            <w:pPr>
              <w:pStyle w:val="TableParagraph"/>
              <w:spacing w:before="0"/>
              <w:ind w:left="103"/>
              <w:rPr>
                <w:b/>
                <w:sz w:val="20"/>
              </w:rPr>
            </w:pPr>
            <w:r>
              <w:rPr>
                <w:sz w:val="20"/>
              </w:rPr>
              <w:t>Formação em nível de </w:t>
            </w:r>
            <w:r>
              <w:rPr>
                <w:b/>
                <w:sz w:val="20"/>
              </w:rPr>
              <w:t>pós-graduação dos professores da educação básica.</w:t>
            </w:r>
          </w:p>
        </w:tc>
        <w:tc>
          <w:tcPr>
            <w:tcW w:w="1952" w:type="dxa"/>
          </w:tcPr>
          <w:p>
            <w:pPr>
              <w:pStyle w:val="TableParagraph"/>
              <w:spacing w:before="103"/>
              <w:ind w:left="491" w:right="493"/>
              <w:jc w:val="center"/>
              <w:rPr>
                <w:sz w:val="20"/>
              </w:rPr>
            </w:pPr>
            <w:r>
              <w:rPr>
                <w:sz w:val="20"/>
              </w:rPr>
              <w:t>94 sim</w:t>
            </w:r>
          </w:p>
          <w:p>
            <w:pPr>
              <w:pStyle w:val="TableParagraph"/>
              <w:spacing w:before="0"/>
              <w:ind w:left="488" w:right="493"/>
              <w:jc w:val="center"/>
              <w:rPr>
                <w:sz w:val="20"/>
              </w:rPr>
            </w:pPr>
            <w:r>
              <w:rPr>
                <w:sz w:val="20"/>
              </w:rPr>
              <w:t>16 não</w:t>
            </w:r>
          </w:p>
        </w:tc>
      </w:tr>
      <w:tr>
        <w:trPr>
          <w:trHeight w:val="917" w:hRule="exact"/>
        </w:trPr>
        <w:tc>
          <w:tcPr>
            <w:tcW w:w="6577" w:type="dxa"/>
          </w:tcPr>
          <w:p>
            <w:pPr>
              <w:pStyle w:val="TableParagraph"/>
              <w:spacing w:before="101"/>
              <w:ind w:left="103" w:right="101"/>
              <w:jc w:val="both"/>
              <w:rPr>
                <w:sz w:val="20"/>
              </w:rPr>
            </w:pPr>
            <w:r>
              <w:rPr>
                <w:b/>
                <w:sz w:val="20"/>
              </w:rPr>
              <w:t>Valorização dos profissionais do magistério </w:t>
            </w:r>
            <w:r>
              <w:rPr>
                <w:sz w:val="20"/>
              </w:rPr>
              <w:t>das redes públicas de educação básica de forma a </w:t>
            </w:r>
            <w:r>
              <w:rPr>
                <w:b/>
                <w:sz w:val="20"/>
              </w:rPr>
              <w:t>equiparar seu rendimento médio </w:t>
            </w:r>
            <w:r>
              <w:rPr>
                <w:sz w:val="20"/>
              </w:rPr>
              <w:t>ao dos demais profissionais com escolaridade equivalente.</w:t>
            </w:r>
          </w:p>
        </w:tc>
        <w:tc>
          <w:tcPr>
            <w:tcW w:w="1952" w:type="dxa"/>
          </w:tcPr>
          <w:p>
            <w:pPr>
              <w:pStyle w:val="TableParagraph"/>
              <w:spacing w:before="9"/>
              <w:rPr>
                <w:sz w:val="18"/>
              </w:rPr>
            </w:pPr>
          </w:p>
          <w:p>
            <w:pPr>
              <w:pStyle w:val="TableParagraph"/>
              <w:spacing w:before="0"/>
              <w:ind w:left="492" w:right="492"/>
              <w:jc w:val="center"/>
              <w:rPr>
                <w:sz w:val="20"/>
              </w:rPr>
            </w:pPr>
            <w:r>
              <w:rPr>
                <w:sz w:val="20"/>
              </w:rPr>
              <w:t>109 sim</w:t>
            </w:r>
          </w:p>
          <w:p>
            <w:pPr>
              <w:pStyle w:val="TableParagraph"/>
              <w:spacing w:before="0"/>
              <w:ind w:left="488" w:right="493"/>
              <w:jc w:val="center"/>
              <w:rPr>
                <w:sz w:val="20"/>
              </w:rPr>
            </w:pPr>
            <w:r>
              <w:rPr>
                <w:sz w:val="20"/>
              </w:rPr>
              <w:t>1 não</w:t>
            </w:r>
          </w:p>
        </w:tc>
      </w:tr>
      <w:tr>
        <w:trPr>
          <w:trHeight w:val="917" w:hRule="exact"/>
        </w:trPr>
        <w:tc>
          <w:tcPr>
            <w:tcW w:w="6577" w:type="dxa"/>
          </w:tcPr>
          <w:p>
            <w:pPr>
              <w:pStyle w:val="TableParagraph"/>
              <w:spacing w:before="101"/>
              <w:ind w:left="103" w:right="108"/>
              <w:jc w:val="both"/>
              <w:rPr>
                <w:sz w:val="20"/>
              </w:rPr>
            </w:pPr>
            <w:r>
              <w:rPr>
                <w:sz w:val="20"/>
              </w:rPr>
              <w:t>Assegurar a existência de </w:t>
            </w:r>
            <w:r>
              <w:rPr>
                <w:b/>
                <w:sz w:val="20"/>
              </w:rPr>
              <w:t>planos de carreira para os profissionais da educação básica </w:t>
            </w:r>
            <w:r>
              <w:rPr>
                <w:sz w:val="20"/>
              </w:rPr>
              <w:t>tomando como referência o piso salarial nacional profissional.</w:t>
            </w:r>
          </w:p>
        </w:tc>
        <w:tc>
          <w:tcPr>
            <w:tcW w:w="1952" w:type="dxa"/>
          </w:tcPr>
          <w:p>
            <w:pPr>
              <w:pStyle w:val="TableParagraph"/>
              <w:spacing w:before="9"/>
              <w:rPr>
                <w:sz w:val="18"/>
              </w:rPr>
            </w:pPr>
          </w:p>
          <w:p>
            <w:pPr>
              <w:pStyle w:val="TableParagraph"/>
              <w:spacing w:before="0"/>
              <w:ind w:left="492" w:right="492"/>
              <w:jc w:val="center"/>
              <w:rPr>
                <w:sz w:val="20"/>
              </w:rPr>
            </w:pPr>
            <w:r>
              <w:rPr>
                <w:sz w:val="20"/>
              </w:rPr>
              <w:t>102 sim</w:t>
            </w:r>
          </w:p>
          <w:p>
            <w:pPr>
              <w:pStyle w:val="TableParagraph"/>
              <w:spacing w:before="0"/>
              <w:ind w:left="488" w:right="493"/>
              <w:jc w:val="center"/>
              <w:rPr>
                <w:sz w:val="20"/>
              </w:rPr>
            </w:pPr>
            <w:r>
              <w:rPr>
                <w:sz w:val="20"/>
              </w:rPr>
              <w:t>8 não</w:t>
            </w:r>
          </w:p>
        </w:tc>
      </w:tr>
      <w:tr>
        <w:trPr>
          <w:trHeight w:val="917" w:hRule="exact"/>
        </w:trPr>
        <w:tc>
          <w:tcPr>
            <w:tcW w:w="6577" w:type="dxa"/>
          </w:tcPr>
          <w:p>
            <w:pPr>
              <w:pStyle w:val="TableParagraph"/>
              <w:spacing w:before="101"/>
              <w:ind w:left="103" w:right="99"/>
              <w:jc w:val="both"/>
              <w:rPr>
                <w:sz w:val="20"/>
              </w:rPr>
            </w:pPr>
            <w:r>
              <w:rPr>
                <w:sz w:val="20"/>
              </w:rPr>
              <w:t>Assegurar condições para a </w:t>
            </w:r>
            <w:r>
              <w:rPr>
                <w:b/>
                <w:sz w:val="20"/>
              </w:rPr>
              <w:t>efetivação da gestão democrática da educação</w:t>
            </w:r>
            <w:r>
              <w:rPr>
                <w:sz w:val="20"/>
              </w:rPr>
              <w:t>, associada a critérios técnicos de mérito e desempenho e à consulta pública à comunidade escolar, no âmbito das escolas públicas.</w:t>
            </w:r>
          </w:p>
        </w:tc>
        <w:tc>
          <w:tcPr>
            <w:tcW w:w="1952" w:type="dxa"/>
          </w:tcPr>
          <w:p>
            <w:pPr>
              <w:pStyle w:val="TableParagraph"/>
              <w:spacing w:before="9"/>
              <w:rPr>
                <w:sz w:val="18"/>
              </w:rPr>
            </w:pPr>
          </w:p>
          <w:p>
            <w:pPr>
              <w:pStyle w:val="TableParagraph"/>
              <w:spacing w:before="0"/>
              <w:ind w:left="492" w:right="492"/>
              <w:jc w:val="center"/>
              <w:rPr>
                <w:sz w:val="20"/>
              </w:rPr>
            </w:pPr>
            <w:r>
              <w:rPr>
                <w:sz w:val="20"/>
              </w:rPr>
              <w:t>108 sim</w:t>
            </w:r>
          </w:p>
          <w:p>
            <w:pPr>
              <w:pStyle w:val="TableParagraph"/>
              <w:spacing w:before="0"/>
              <w:ind w:left="488" w:right="493"/>
              <w:jc w:val="center"/>
              <w:rPr>
                <w:sz w:val="20"/>
              </w:rPr>
            </w:pPr>
            <w:r>
              <w:rPr>
                <w:sz w:val="20"/>
              </w:rPr>
              <w:t>2 não</w:t>
            </w:r>
          </w:p>
        </w:tc>
      </w:tr>
      <w:tr>
        <w:trPr>
          <w:trHeight w:val="749" w:hRule="exact"/>
        </w:trPr>
        <w:tc>
          <w:tcPr>
            <w:tcW w:w="6577" w:type="dxa"/>
          </w:tcPr>
          <w:p>
            <w:pPr>
              <w:pStyle w:val="TableParagraph"/>
              <w:spacing w:before="6"/>
              <w:rPr>
                <w:sz w:val="21"/>
              </w:rPr>
            </w:pPr>
          </w:p>
          <w:p>
            <w:pPr>
              <w:pStyle w:val="TableParagraph"/>
              <w:spacing w:before="0"/>
              <w:ind w:left="103"/>
              <w:rPr>
                <w:sz w:val="20"/>
              </w:rPr>
            </w:pPr>
            <w:r>
              <w:rPr>
                <w:sz w:val="20"/>
              </w:rPr>
              <w:t>Ampliação do </w:t>
            </w:r>
            <w:r>
              <w:rPr>
                <w:b/>
                <w:sz w:val="20"/>
              </w:rPr>
              <w:t>investimento público em educação pública</w:t>
            </w:r>
            <w:r>
              <w:rPr>
                <w:sz w:val="20"/>
              </w:rPr>
              <w:t>.</w:t>
            </w:r>
          </w:p>
        </w:tc>
        <w:tc>
          <w:tcPr>
            <w:tcW w:w="1952" w:type="dxa"/>
          </w:tcPr>
          <w:p>
            <w:pPr>
              <w:pStyle w:val="TableParagraph"/>
              <w:spacing w:before="132"/>
              <w:ind w:left="492" w:right="492"/>
              <w:jc w:val="center"/>
              <w:rPr>
                <w:sz w:val="20"/>
              </w:rPr>
            </w:pPr>
            <w:r>
              <w:rPr>
                <w:sz w:val="20"/>
              </w:rPr>
              <w:t>105 sim</w:t>
            </w:r>
          </w:p>
          <w:p>
            <w:pPr>
              <w:pStyle w:val="TableParagraph"/>
              <w:spacing w:before="0"/>
              <w:ind w:left="488" w:right="493"/>
              <w:jc w:val="center"/>
              <w:rPr>
                <w:sz w:val="20"/>
              </w:rPr>
            </w:pPr>
            <w:r>
              <w:rPr>
                <w:sz w:val="20"/>
              </w:rPr>
              <w:t>5 não</w:t>
            </w:r>
          </w:p>
        </w:tc>
      </w:tr>
    </w:tbl>
    <w:p>
      <w:pPr>
        <w:spacing w:line="223" w:lineRule="exact" w:before="0"/>
        <w:ind w:left="122" w:right="0" w:firstLine="0"/>
        <w:jc w:val="left"/>
        <w:rPr>
          <w:sz w:val="20"/>
        </w:rPr>
      </w:pPr>
      <w:r>
        <w:rPr>
          <w:sz w:val="20"/>
        </w:rPr>
        <w:t>Fonte: Adaires Rodrigues de Sousa (2015).</w:t>
      </w:r>
    </w:p>
    <w:p>
      <w:pPr>
        <w:spacing w:after="0" w:line="223" w:lineRule="exact"/>
        <w:jc w:val="left"/>
        <w:rPr>
          <w:sz w:val="20"/>
        </w:rPr>
        <w:sectPr>
          <w:pgSz w:w="11910" w:h="16840"/>
          <w:pgMar w:header="749" w:footer="0" w:top="960" w:bottom="280" w:left="1580" w:right="1560"/>
        </w:sectPr>
      </w:pPr>
    </w:p>
    <w:p>
      <w:pPr>
        <w:pStyle w:val="BodyText"/>
        <w:rPr>
          <w:sz w:val="20"/>
        </w:rPr>
      </w:pPr>
    </w:p>
    <w:p>
      <w:pPr>
        <w:pStyle w:val="BodyText"/>
        <w:spacing w:line="360" w:lineRule="auto" w:before="210"/>
        <w:ind w:left="122" w:right="140" w:firstLine="851"/>
        <w:jc w:val="both"/>
      </w:pPr>
      <w:r>
        <w:rPr/>
        <w:t>É possível apreendermos o alinhamento às metas 1 e 2 do PNE em todos os PMEs verificados e, também, a sinalização de que determinados Municípios não se alinharam integralmente ao PNE, pois as demais Metas não são contempladas em todos. No entanto, lembramos que neste momento da pesquisa a verificação de conteúdo está se dando apenas em relação às metas. Contudo, não podemos descartar a hipótese de  que determinado conteúdo, mesmo não exposto na meta, possa estar contemplado, por exemplo, em estratégias distintas dos PMEs, e, desse modo, agregado a outra</w:t>
      </w:r>
      <w:r>
        <w:rPr>
          <w:spacing w:val="-11"/>
        </w:rPr>
        <w:t> </w:t>
      </w:r>
      <w:r>
        <w:rPr/>
        <w:t>meta.</w:t>
      </w:r>
    </w:p>
    <w:p>
      <w:pPr>
        <w:pStyle w:val="BodyText"/>
        <w:spacing w:line="360" w:lineRule="auto" w:before="5"/>
        <w:ind w:left="122" w:right="137" w:firstLine="851"/>
        <w:jc w:val="both"/>
      </w:pPr>
      <w:r>
        <w:rPr/>
        <w:t>O Quadro 3 mostra os temas que foram opções presentes nos 23 PMEs dos Municípios que optaram pelo alinhamento com metas encontradas no PEE do  Tocantins.</w:t>
      </w:r>
    </w:p>
    <w:p>
      <w:pPr>
        <w:pStyle w:val="BodyText"/>
        <w:spacing w:before="10"/>
        <w:rPr>
          <w:sz w:val="27"/>
        </w:rPr>
      </w:pPr>
    </w:p>
    <w:p>
      <w:pPr>
        <w:pStyle w:val="BodyText"/>
        <w:ind w:left="122"/>
      </w:pPr>
      <w:r>
        <w:rPr>
          <w:b/>
        </w:rPr>
        <w:t>Quadro 5 </w:t>
      </w:r>
      <w:r>
        <w:rPr/>
        <w:t>Conteúdos do Plano Estadual de Educação do Tocantins explicitados nos Planos Municipais de Educação do Tocantins</w:t>
      </w:r>
    </w:p>
    <w:p>
      <w:pPr>
        <w:pStyle w:val="BodyText"/>
        <w:spacing w:before="6"/>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77"/>
        <w:gridCol w:w="1952"/>
      </w:tblGrid>
      <w:tr>
        <w:trPr>
          <w:trHeight w:val="700" w:hRule="exact"/>
        </w:trPr>
        <w:tc>
          <w:tcPr>
            <w:tcW w:w="6577" w:type="dxa"/>
            <w:shd w:val="clear" w:color="auto" w:fill="F1F1F1"/>
          </w:tcPr>
          <w:p>
            <w:pPr>
              <w:pStyle w:val="TableParagraph"/>
              <w:spacing w:before="8"/>
              <w:rPr>
                <w:sz w:val="19"/>
              </w:rPr>
            </w:pPr>
          </w:p>
          <w:p>
            <w:pPr>
              <w:pStyle w:val="TableParagraph"/>
              <w:spacing w:before="0"/>
              <w:ind w:left="2808" w:right="2808"/>
              <w:jc w:val="center"/>
              <w:rPr>
                <w:b/>
                <w:sz w:val="20"/>
              </w:rPr>
            </w:pPr>
            <w:r>
              <w:rPr>
                <w:b/>
                <w:sz w:val="20"/>
              </w:rPr>
              <w:t>Conteúdos</w:t>
            </w:r>
          </w:p>
        </w:tc>
        <w:tc>
          <w:tcPr>
            <w:tcW w:w="1952" w:type="dxa"/>
            <w:shd w:val="clear" w:color="auto" w:fill="F1F1F1"/>
          </w:tcPr>
          <w:p>
            <w:pPr>
              <w:pStyle w:val="TableParagraph"/>
              <w:spacing w:before="0"/>
              <w:ind w:left="307" w:right="313" w:firstLine="3"/>
              <w:jc w:val="center"/>
              <w:rPr>
                <w:b/>
                <w:sz w:val="20"/>
              </w:rPr>
            </w:pPr>
            <w:r>
              <w:rPr>
                <w:b/>
                <w:sz w:val="20"/>
              </w:rPr>
              <w:t>Quantidade De Municípios </w:t>
            </w:r>
            <w:r>
              <w:rPr>
                <w:b/>
                <w:w w:val="95"/>
                <w:sz w:val="20"/>
              </w:rPr>
              <w:t>comprometidos</w:t>
            </w:r>
          </w:p>
        </w:tc>
      </w:tr>
      <w:tr>
        <w:trPr>
          <w:trHeight w:val="521" w:hRule="exact"/>
        </w:trPr>
        <w:tc>
          <w:tcPr>
            <w:tcW w:w="6577" w:type="dxa"/>
          </w:tcPr>
          <w:p>
            <w:pPr>
              <w:pStyle w:val="TableParagraph"/>
              <w:spacing w:before="135"/>
              <w:ind w:left="103"/>
              <w:rPr>
                <w:b/>
                <w:sz w:val="20"/>
              </w:rPr>
            </w:pPr>
            <w:r>
              <w:rPr>
                <w:sz w:val="20"/>
              </w:rPr>
              <w:t>Garantia da abordagem da </w:t>
            </w:r>
            <w:r>
              <w:rPr>
                <w:b/>
                <w:sz w:val="20"/>
              </w:rPr>
              <w:t>educação ambiental.</w:t>
            </w:r>
          </w:p>
        </w:tc>
        <w:tc>
          <w:tcPr>
            <w:tcW w:w="1952" w:type="dxa"/>
          </w:tcPr>
          <w:p>
            <w:pPr>
              <w:pStyle w:val="TableParagraph"/>
              <w:spacing w:before="19"/>
              <w:ind w:left="491" w:right="493"/>
              <w:jc w:val="center"/>
              <w:rPr>
                <w:sz w:val="20"/>
              </w:rPr>
            </w:pPr>
            <w:r>
              <w:rPr>
                <w:sz w:val="20"/>
              </w:rPr>
              <w:t>14 sim</w:t>
            </w:r>
          </w:p>
          <w:p>
            <w:pPr>
              <w:pStyle w:val="TableParagraph"/>
              <w:spacing w:before="0"/>
              <w:ind w:left="489" w:right="493"/>
              <w:jc w:val="center"/>
              <w:rPr>
                <w:sz w:val="20"/>
              </w:rPr>
            </w:pPr>
            <w:r>
              <w:rPr>
                <w:sz w:val="20"/>
              </w:rPr>
              <w:t>9 não</w:t>
            </w:r>
          </w:p>
        </w:tc>
      </w:tr>
      <w:tr>
        <w:trPr>
          <w:trHeight w:val="518" w:hRule="exact"/>
        </w:trPr>
        <w:tc>
          <w:tcPr>
            <w:tcW w:w="6577" w:type="dxa"/>
          </w:tcPr>
          <w:p>
            <w:pPr>
              <w:pStyle w:val="TableParagraph"/>
              <w:spacing w:before="132"/>
              <w:ind w:left="103"/>
              <w:rPr>
                <w:b/>
                <w:sz w:val="20"/>
              </w:rPr>
            </w:pPr>
            <w:r>
              <w:rPr>
                <w:sz w:val="20"/>
              </w:rPr>
              <w:t>Universalização das diretrizes nacionais para </w:t>
            </w:r>
            <w:r>
              <w:rPr>
                <w:b/>
                <w:sz w:val="20"/>
              </w:rPr>
              <w:t>educação em direitos humanos.</w:t>
            </w:r>
          </w:p>
        </w:tc>
        <w:tc>
          <w:tcPr>
            <w:tcW w:w="1952" w:type="dxa"/>
          </w:tcPr>
          <w:p>
            <w:pPr>
              <w:pStyle w:val="TableParagraph"/>
              <w:spacing w:before="17"/>
              <w:ind w:left="491" w:right="493"/>
              <w:jc w:val="center"/>
              <w:rPr>
                <w:sz w:val="20"/>
              </w:rPr>
            </w:pPr>
            <w:r>
              <w:rPr>
                <w:sz w:val="20"/>
              </w:rPr>
              <w:t>13 sim</w:t>
            </w:r>
          </w:p>
          <w:p>
            <w:pPr>
              <w:pStyle w:val="TableParagraph"/>
              <w:spacing w:before="0"/>
              <w:ind w:left="488" w:right="493"/>
              <w:jc w:val="center"/>
              <w:rPr>
                <w:sz w:val="20"/>
              </w:rPr>
            </w:pPr>
            <w:r>
              <w:rPr>
                <w:sz w:val="20"/>
              </w:rPr>
              <w:t>10 não</w:t>
            </w:r>
          </w:p>
        </w:tc>
      </w:tr>
      <w:tr>
        <w:trPr>
          <w:trHeight w:val="521" w:hRule="exact"/>
        </w:trPr>
        <w:tc>
          <w:tcPr>
            <w:tcW w:w="6577" w:type="dxa"/>
          </w:tcPr>
          <w:p>
            <w:pPr>
              <w:pStyle w:val="TableParagraph"/>
              <w:spacing w:before="139"/>
              <w:ind w:left="103"/>
              <w:rPr>
                <w:b/>
                <w:sz w:val="20"/>
              </w:rPr>
            </w:pPr>
            <w:r>
              <w:rPr>
                <w:b/>
                <w:sz w:val="20"/>
              </w:rPr>
              <w:t>Formação continuada dos professores.</w:t>
            </w:r>
          </w:p>
        </w:tc>
        <w:tc>
          <w:tcPr>
            <w:tcW w:w="1952" w:type="dxa"/>
          </w:tcPr>
          <w:p>
            <w:pPr>
              <w:pStyle w:val="TableParagraph"/>
              <w:spacing w:before="19"/>
              <w:ind w:left="491" w:right="493"/>
              <w:jc w:val="center"/>
              <w:rPr>
                <w:sz w:val="20"/>
              </w:rPr>
            </w:pPr>
            <w:r>
              <w:rPr>
                <w:sz w:val="20"/>
              </w:rPr>
              <w:t>17 sim</w:t>
            </w:r>
          </w:p>
          <w:p>
            <w:pPr>
              <w:pStyle w:val="TableParagraph"/>
              <w:spacing w:before="0"/>
              <w:ind w:left="488" w:right="493"/>
              <w:jc w:val="center"/>
              <w:rPr>
                <w:sz w:val="20"/>
              </w:rPr>
            </w:pPr>
            <w:r>
              <w:rPr>
                <w:sz w:val="20"/>
              </w:rPr>
              <w:t>6 não</w:t>
            </w:r>
          </w:p>
        </w:tc>
      </w:tr>
      <w:tr>
        <w:trPr>
          <w:trHeight w:val="917" w:hRule="exact"/>
        </w:trPr>
        <w:tc>
          <w:tcPr>
            <w:tcW w:w="6577" w:type="dxa"/>
          </w:tcPr>
          <w:p>
            <w:pPr>
              <w:pStyle w:val="TableParagraph"/>
              <w:spacing w:before="103"/>
              <w:ind w:left="103" w:right="102"/>
              <w:jc w:val="both"/>
              <w:rPr>
                <w:sz w:val="20"/>
              </w:rPr>
            </w:pPr>
            <w:r>
              <w:rPr>
                <w:sz w:val="20"/>
              </w:rPr>
              <w:t>Oferta do </w:t>
            </w:r>
            <w:r>
              <w:rPr>
                <w:b/>
                <w:sz w:val="20"/>
              </w:rPr>
              <w:t>ensino fundamental e médio às pessoas privadas de liberdade </w:t>
            </w:r>
            <w:r>
              <w:rPr>
                <w:sz w:val="20"/>
              </w:rPr>
              <w:t>em todos os estabelecimentos penais e unidades socioeducativas, no ensino regular e na modalidade de jovens e adultos.</w:t>
            </w:r>
          </w:p>
        </w:tc>
        <w:tc>
          <w:tcPr>
            <w:tcW w:w="1952" w:type="dxa"/>
          </w:tcPr>
          <w:p>
            <w:pPr>
              <w:pStyle w:val="TableParagraph"/>
              <w:spacing w:before="9"/>
              <w:rPr>
                <w:sz w:val="18"/>
              </w:rPr>
            </w:pPr>
          </w:p>
          <w:p>
            <w:pPr>
              <w:pStyle w:val="TableParagraph"/>
              <w:spacing w:before="0"/>
              <w:ind w:left="491" w:right="493"/>
              <w:jc w:val="center"/>
              <w:rPr>
                <w:sz w:val="20"/>
              </w:rPr>
            </w:pPr>
            <w:r>
              <w:rPr>
                <w:sz w:val="20"/>
              </w:rPr>
              <w:t>6 sim</w:t>
            </w:r>
          </w:p>
          <w:p>
            <w:pPr>
              <w:pStyle w:val="TableParagraph"/>
              <w:spacing w:before="0"/>
              <w:ind w:left="488" w:right="493"/>
              <w:jc w:val="center"/>
              <w:rPr>
                <w:sz w:val="20"/>
              </w:rPr>
            </w:pPr>
            <w:r>
              <w:rPr>
                <w:sz w:val="20"/>
              </w:rPr>
              <w:t>17 não</w:t>
            </w:r>
          </w:p>
        </w:tc>
      </w:tr>
    </w:tbl>
    <w:p>
      <w:pPr>
        <w:spacing w:before="0"/>
        <w:ind w:left="122" w:right="0" w:firstLine="0"/>
        <w:jc w:val="left"/>
        <w:rPr>
          <w:sz w:val="20"/>
        </w:rPr>
      </w:pPr>
      <w:r>
        <w:rPr>
          <w:sz w:val="20"/>
        </w:rPr>
        <w:t>Fonte: Adaires Rodrigues de Sousa (2015).</w:t>
      </w:r>
    </w:p>
    <w:p>
      <w:pPr>
        <w:pStyle w:val="BodyText"/>
        <w:rPr>
          <w:sz w:val="22"/>
        </w:rPr>
      </w:pPr>
    </w:p>
    <w:p>
      <w:pPr>
        <w:pStyle w:val="BodyText"/>
        <w:spacing w:line="360" w:lineRule="auto" w:before="163"/>
        <w:ind w:left="122" w:right="140" w:firstLine="851"/>
        <w:jc w:val="both"/>
      </w:pPr>
      <w:r>
        <w:rPr/>
        <w:t>Também, acerca do conteúdo de PMEs, ilustramos algumas especificidades encontradas, como por exemplo, nos Municípios de Wanderlândia e Axixá, em que há repetição de uma e duas metas, respectivamente:</w:t>
      </w:r>
    </w:p>
    <w:p>
      <w:pPr>
        <w:pStyle w:val="BodyText"/>
        <w:spacing w:before="10"/>
        <w:rPr>
          <w:sz w:val="36"/>
        </w:rPr>
      </w:pPr>
    </w:p>
    <w:p>
      <w:pPr>
        <w:spacing w:before="0"/>
        <w:ind w:left="2390" w:right="0" w:firstLine="0"/>
        <w:jc w:val="both"/>
        <w:rPr>
          <w:b/>
          <w:sz w:val="20"/>
        </w:rPr>
      </w:pPr>
      <w:r>
        <w:rPr>
          <w:b/>
          <w:sz w:val="20"/>
        </w:rPr>
        <w:t>PME Wanderlândia</w:t>
      </w:r>
    </w:p>
    <w:p>
      <w:pPr>
        <w:spacing w:line="276" w:lineRule="auto" w:before="28"/>
        <w:ind w:left="2390" w:right="138" w:firstLine="0"/>
        <w:jc w:val="both"/>
        <w:rPr>
          <w:sz w:val="20"/>
        </w:rPr>
      </w:pPr>
      <w:r>
        <w:rPr>
          <w:sz w:val="20"/>
        </w:rPr>
        <w:t>Meta 16 – Assegurar, em regime de colaboração com a União, recursos e apoio técnico, para a aprovação da </w:t>
      </w:r>
      <w:r>
        <w:rPr>
          <w:b/>
          <w:sz w:val="20"/>
        </w:rPr>
        <w:t>lei especifica que regulamenta da Gestão Democrática </w:t>
      </w:r>
      <w:r>
        <w:rPr>
          <w:sz w:val="20"/>
        </w:rPr>
        <w:t>e as condições para a sua efetivação no âmbito das unidades educacionais públicas municipais no prazo de 2</w:t>
      </w:r>
      <w:r>
        <w:rPr>
          <w:spacing w:val="-20"/>
          <w:sz w:val="20"/>
        </w:rPr>
        <w:t> </w:t>
      </w:r>
      <w:r>
        <w:rPr>
          <w:sz w:val="20"/>
        </w:rPr>
        <w:t>anos.</w:t>
      </w:r>
    </w:p>
    <w:p>
      <w:pPr>
        <w:spacing w:line="276" w:lineRule="auto" w:before="2"/>
        <w:ind w:left="2390" w:right="142" w:firstLine="0"/>
        <w:jc w:val="both"/>
        <w:rPr>
          <w:sz w:val="20"/>
        </w:rPr>
      </w:pPr>
      <w:r>
        <w:rPr>
          <w:sz w:val="20"/>
        </w:rPr>
        <w:t>Meta 17 - </w:t>
      </w:r>
      <w:r>
        <w:rPr>
          <w:b/>
          <w:sz w:val="20"/>
        </w:rPr>
        <w:t>Assegurar a Gestão Democrática no Sistema Municipal de Educação </w:t>
      </w:r>
      <w:r>
        <w:rPr>
          <w:sz w:val="20"/>
        </w:rPr>
        <w:t>de Wanderlândia. (WANDERLÂNDIA, 2015).</w:t>
      </w:r>
    </w:p>
    <w:p>
      <w:pPr>
        <w:pStyle w:val="BodyText"/>
        <w:spacing w:before="4"/>
        <w:rPr>
          <w:sz w:val="23"/>
        </w:rPr>
      </w:pPr>
    </w:p>
    <w:p>
      <w:pPr>
        <w:spacing w:before="0"/>
        <w:ind w:left="2390" w:right="0" w:firstLine="0"/>
        <w:jc w:val="both"/>
        <w:rPr>
          <w:b/>
          <w:sz w:val="20"/>
        </w:rPr>
      </w:pPr>
      <w:r>
        <w:rPr>
          <w:b/>
          <w:sz w:val="20"/>
        </w:rPr>
        <w:t>PME Axixá</w:t>
      </w:r>
    </w:p>
    <w:p>
      <w:pPr>
        <w:spacing w:line="278" w:lineRule="auto" w:before="28"/>
        <w:ind w:left="2390" w:right="139" w:firstLine="0"/>
        <w:jc w:val="both"/>
        <w:rPr>
          <w:sz w:val="20"/>
        </w:rPr>
      </w:pPr>
      <w:r>
        <w:rPr>
          <w:b/>
          <w:sz w:val="20"/>
        </w:rPr>
        <w:t>Meta 17</w:t>
      </w:r>
      <w:r>
        <w:rPr>
          <w:sz w:val="20"/>
        </w:rPr>
        <w:t>: </w:t>
      </w:r>
      <w:r>
        <w:rPr>
          <w:b/>
          <w:sz w:val="20"/>
        </w:rPr>
        <w:t>garantir</w:t>
      </w:r>
      <w:r>
        <w:rPr>
          <w:sz w:val="20"/>
        </w:rPr>
        <w:t>, até o fim da vigência deste PME, </w:t>
      </w:r>
      <w:r>
        <w:rPr>
          <w:b/>
          <w:sz w:val="20"/>
        </w:rPr>
        <w:t>a efetivação da gestão democrática da educação básica</w:t>
      </w:r>
      <w:r>
        <w:rPr>
          <w:sz w:val="20"/>
        </w:rPr>
        <w:t>, associada a critérios técnicos de mérito   e</w:t>
      </w:r>
    </w:p>
    <w:p>
      <w:pPr>
        <w:spacing w:after="0" w:line="278" w:lineRule="auto"/>
        <w:jc w:val="both"/>
        <w:rPr>
          <w:sz w:val="20"/>
        </w:rPr>
        <w:sectPr>
          <w:pgSz w:w="11910" w:h="16840"/>
          <w:pgMar w:header="749" w:footer="0" w:top="960" w:bottom="280" w:left="1580" w:right="1560"/>
        </w:sectPr>
      </w:pPr>
    </w:p>
    <w:p>
      <w:pPr>
        <w:pStyle w:val="BodyText"/>
        <w:rPr>
          <w:sz w:val="20"/>
        </w:rPr>
      </w:pPr>
    </w:p>
    <w:p>
      <w:pPr>
        <w:pStyle w:val="BodyText"/>
        <w:spacing w:before="5"/>
        <w:rPr>
          <w:sz w:val="18"/>
        </w:rPr>
      </w:pPr>
    </w:p>
    <w:p>
      <w:pPr>
        <w:spacing w:line="278" w:lineRule="auto" w:before="0"/>
        <w:ind w:left="2370" w:right="126" w:firstLine="0"/>
        <w:jc w:val="both"/>
        <w:rPr>
          <w:sz w:val="20"/>
        </w:rPr>
      </w:pPr>
      <w:r>
        <w:rPr>
          <w:sz w:val="20"/>
        </w:rPr>
        <w:t>desempenho e à consulta pública à comunidade escolar, na esfera das escolas públicas, prevendo recursos e apoio técnico da União para tanto.</w:t>
      </w:r>
    </w:p>
    <w:p>
      <w:pPr>
        <w:spacing w:line="276" w:lineRule="auto" w:before="0"/>
        <w:ind w:left="2370" w:right="117" w:firstLine="0"/>
        <w:jc w:val="both"/>
        <w:rPr>
          <w:sz w:val="20"/>
        </w:rPr>
      </w:pPr>
      <w:r>
        <w:rPr>
          <w:b/>
          <w:sz w:val="20"/>
        </w:rPr>
        <w:t>Meta 18</w:t>
      </w:r>
      <w:r>
        <w:rPr>
          <w:sz w:val="20"/>
        </w:rPr>
        <w:t>: </w:t>
      </w:r>
      <w:r>
        <w:rPr>
          <w:b/>
          <w:sz w:val="20"/>
        </w:rPr>
        <w:t>ampliar o investimento municipal em educação de forma a aplicar no mínimo 30% (trinta por cento) da receita do Município </w:t>
      </w:r>
      <w:r>
        <w:rPr>
          <w:sz w:val="20"/>
        </w:rPr>
        <w:t>nos primeiros quatro anos de vigência deste PME e 35% (trinta e cinco por cento) até o último ano de sua validade.</w:t>
      </w:r>
    </w:p>
    <w:p>
      <w:pPr>
        <w:spacing w:line="276" w:lineRule="auto" w:before="4"/>
        <w:ind w:left="2370" w:right="118" w:firstLine="0"/>
        <w:jc w:val="both"/>
        <w:rPr>
          <w:sz w:val="20"/>
        </w:rPr>
      </w:pPr>
      <w:r>
        <w:rPr>
          <w:b/>
          <w:sz w:val="20"/>
        </w:rPr>
        <w:t>META 19: assegurar condições</w:t>
      </w:r>
      <w:r>
        <w:rPr>
          <w:sz w:val="20"/>
        </w:rPr>
        <w:t>, no prazo de 2 (dois) anos, </w:t>
      </w:r>
      <w:r>
        <w:rPr>
          <w:b/>
          <w:sz w:val="20"/>
        </w:rPr>
        <w:t>para a efetivação da gestão democrática da educação</w:t>
      </w:r>
      <w:r>
        <w:rPr>
          <w:sz w:val="20"/>
        </w:rPr>
        <w:t>, associada a critérios técnicos de mérito e desempenho e à consulta pública à comunidade escolar, no âmbito das escolas públicas, prevendo recursos e apoio técnico da União para tanto.</w:t>
      </w:r>
    </w:p>
    <w:p>
      <w:pPr>
        <w:spacing w:line="276" w:lineRule="auto" w:before="3"/>
        <w:ind w:left="2370" w:right="119" w:firstLine="0"/>
        <w:jc w:val="both"/>
        <w:rPr>
          <w:sz w:val="20"/>
        </w:rPr>
      </w:pPr>
      <w:r>
        <w:rPr>
          <w:b/>
          <w:sz w:val="20"/>
        </w:rPr>
        <w:t>Meta 20: ampliar o investimento público em educação pública </w:t>
      </w:r>
      <w:r>
        <w:rPr>
          <w:sz w:val="20"/>
        </w:rPr>
        <w:t>de forma a atingir, no mínimo, o patamar de 7% (sete por cento) do Produto Interno Bruto - PIB do País no 5º (quinto) ano de vigência desta Lei e, no mínimo, o equivalente a 10% (dez por cento) do PIB ao final do decênio. (AXIXÁ, 2015).</w:t>
      </w:r>
    </w:p>
    <w:p>
      <w:pPr>
        <w:pStyle w:val="BodyText"/>
        <w:rPr>
          <w:sz w:val="22"/>
        </w:rPr>
      </w:pPr>
    </w:p>
    <w:p>
      <w:pPr>
        <w:pStyle w:val="BodyText"/>
        <w:spacing w:line="360" w:lineRule="auto" w:before="162"/>
        <w:ind w:left="102" w:right="115" w:firstLine="851"/>
        <w:jc w:val="both"/>
      </w:pPr>
      <w:r>
        <w:rPr/>
        <w:t>Do PME de Itapiratins (2015), que apresenta o menor número de metas e estratégias de todos os 111 Planos observados, especificamente, 10 metas e 48 estratégias, podemos inferir que, de certo modo, não se compromete com a colaboração na materialização do SNE, expondo certa confusão ou desconhecimento acerca das atribuições Municipais. As imagens que seguem demonstram o não comprometimento e entendimento do Município frente a algumas metas do PNE. Em outras cinco metas, o Município, também, indica que tais conteúdos não são de sua competência, sendo as metas 3 (ensino médio), 8 (escolaridade média da população de 18 a 29 anos), 9 (alfabetização da população de 15 anos ou mais/erradicação do analfabetismo), 14 (qualidade da educação superior/titulação do corpo docente) e 15(formação dos profissionais da educação/professores da educação básica com formação específica em nível superior) do PNE 2014-2024.</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278" w:lineRule="auto" w:before="210" w:after="3"/>
        <w:ind w:left="122" w:right="690"/>
      </w:pPr>
      <w:r>
        <w:rPr>
          <w:b/>
        </w:rPr>
        <w:t>Figura 4 </w:t>
      </w:r>
      <w:r>
        <w:rPr/>
        <w:t>Metas desconsideradas como competências do Município de Itapiratins no Estado do Tocantins</w:t>
      </w:r>
    </w:p>
    <w:p>
      <w:pPr>
        <w:pStyle w:val="BodyText"/>
        <w:ind w:left="151"/>
        <w:rPr>
          <w:sz w:val="20"/>
        </w:rPr>
      </w:pPr>
      <w:r>
        <w:rPr>
          <w:sz w:val="20"/>
        </w:rPr>
        <w:drawing>
          <wp:inline distT="0" distB="0" distL="0" distR="0">
            <wp:extent cx="5450978" cy="2987040"/>
            <wp:effectExtent l="0" t="0" r="0" b="0"/>
            <wp:docPr id="175" name="image61.jpeg" descr=""/>
            <wp:cNvGraphicFramePr>
              <a:graphicFrameLocks noChangeAspect="1"/>
            </wp:cNvGraphicFramePr>
            <a:graphic>
              <a:graphicData uri="http://schemas.openxmlformats.org/drawingml/2006/picture">
                <pic:pic>
                  <pic:nvPicPr>
                    <pic:cNvPr id="176" name="image61.jpeg"/>
                    <pic:cNvPicPr/>
                  </pic:nvPicPr>
                  <pic:blipFill>
                    <a:blip r:embed="rId119" cstate="print"/>
                    <a:stretch>
                      <a:fillRect/>
                    </a:stretch>
                  </pic:blipFill>
                  <pic:spPr>
                    <a:xfrm>
                      <a:off x="0" y="0"/>
                      <a:ext cx="5450978" cy="2987040"/>
                    </a:xfrm>
                    <a:prstGeom prst="rect">
                      <a:avLst/>
                    </a:prstGeom>
                  </pic:spPr>
                </pic:pic>
              </a:graphicData>
            </a:graphic>
          </wp:inline>
        </w:drawing>
      </w:r>
      <w:r>
        <w:rPr>
          <w:sz w:val="20"/>
        </w:rPr>
      </w:r>
    </w:p>
    <w:p>
      <w:pPr>
        <w:pStyle w:val="BodyText"/>
        <w:spacing w:before="2"/>
        <w:rPr>
          <w:sz w:val="11"/>
        </w:rPr>
      </w:pPr>
      <w:r>
        <w:rPr/>
        <w:drawing>
          <wp:anchor distT="0" distB="0" distL="0" distR="0" allowOverlap="1" layoutInCell="1" locked="0" behindDoc="0" simplePos="0" relativeHeight="4312">
            <wp:simplePos x="0" y="0"/>
            <wp:positionH relativeFrom="page">
              <wp:posOffset>1099185</wp:posOffset>
            </wp:positionH>
            <wp:positionV relativeFrom="paragraph">
              <wp:posOffset>106679</wp:posOffset>
            </wp:positionV>
            <wp:extent cx="5418379" cy="696563"/>
            <wp:effectExtent l="0" t="0" r="0" b="0"/>
            <wp:wrapTopAndBottom/>
            <wp:docPr id="177" name="image62.png" descr=""/>
            <wp:cNvGraphicFramePr>
              <a:graphicFrameLocks noChangeAspect="1"/>
            </wp:cNvGraphicFramePr>
            <a:graphic>
              <a:graphicData uri="http://schemas.openxmlformats.org/drawingml/2006/picture">
                <pic:pic>
                  <pic:nvPicPr>
                    <pic:cNvPr id="178" name="image62.png"/>
                    <pic:cNvPicPr/>
                  </pic:nvPicPr>
                  <pic:blipFill>
                    <a:blip r:embed="rId120" cstate="print"/>
                    <a:stretch>
                      <a:fillRect/>
                    </a:stretch>
                  </pic:blipFill>
                  <pic:spPr>
                    <a:xfrm>
                      <a:off x="0" y="0"/>
                      <a:ext cx="5418379" cy="696563"/>
                    </a:xfrm>
                    <a:prstGeom prst="rect">
                      <a:avLst/>
                    </a:prstGeom>
                  </pic:spPr>
                </pic:pic>
              </a:graphicData>
            </a:graphic>
          </wp:anchor>
        </w:drawing>
      </w:r>
    </w:p>
    <w:p>
      <w:pPr>
        <w:spacing w:before="0"/>
        <w:ind w:left="122" w:right="0" w:firstLine="0"/>
        <w:jc w:val="left"/>
        <w:rPr>
          <w:sz w:val="20"/>
        </w:rPr>
      </w:pPr>
      <w:r>
        <w:rPr>
          <w:sz w:val="20"/>
        </w:rPr>
        <w:t>Fonte: </w:t>
      </w:r>
      <w:r>
        <w:rPr>
          <w:i/>
          <w:sz w:val="20"/>
        </w:rPr>
        <w:t>print screen </w:t>
      </w:r>
      <w:r>
        <w:rPr>
          <w:sz w:val="20"/>
        </w:rPr>
        <w:t>do PME Itapiratins (2015).</w:t>
      </w:r>
    </w:p>
    <w:p>
      <w:pPr>
        <w:pStyle w:val="BodyText"/>
        <w:rPr>
          <w:sz w:val="22"/>
        </w:rPr>
      </w:pPr>
    </w:p>
    <w:p>
      <w:pPr>
        <w:pStyle w:val="BodyText"/>
        <w:spacing w:line="360" w:lineRule="auto" w:before="192"/>
        <w:ind w:left="122" w:right="278" w:firstLine="851"/>
        <w:jc w:val="both"/>
      </w:pPr>
      <w:r>
        <w:rPr/>
        <w:t>Em fragmento retirado do PME de Nazaré (2015), é perceptível a confusão, ou o desconhecimento, por parte do Município, em relação às atribuições das esferas municipal e estadual com a garantia do ensino fundamental, conforme a estratégia   19.2</w:t>
      </w:r>
    </w:p>
    <w:p>
      <w:pPr>
        <w:pStyle w:val="BodyText"/>
        <w:spacing w:line="328" w:lineRule="auto" w:before="6"/>
        <w:ind w:left="122" w:right="326"/>
      </w:pPr>
      <w:r>
        <w:rPr/>
        <w:t>da meta que trata da efetivação da gestão democrática da educação, que, na realidade,  no PME é a meta</w:t>
      </w:r>
      <w:r>
        <w:rPr>
          <w:spacing w:val="1"/>
        </w:rPr>
        <w:t> </w:t>
      </w:r>
      <w:r>
        <w:rPr/>
        <w:t>18</w:t>
      </w:r>
      <w:r>
        <w:rPr>
          <w:position w:val="11"/>
          <w:sz w:val="16"/>
        </w:rPr>
        <w:t>28</w:t>
      </w:r>
      <w:r>
        <w:rPr/>
        <w:t>.</w:t>
      </w:r>
    </w:p>
    <w:p>
      <w:pPr>
        <w:pStyle w:val="BodyText"/>
        <w:spacing w:before="3"/>
        <w:rPr>
          <w:sz w:val="38"/>
        </w:rPr>
      </w:pPr>
    </w:p>
    <w:p>
      <w:pPr>
        <w:spacing w:line="276" w:lineRule="auto" w:before="1"/>
        <w:ind w:left="2390" w:right="277" w:firstLine="0"/>
        <w:jc w:val="both"/>
        <w:rPr>
          <w:sz w:val="20"/>
        </w:rPr>
      </w:pPr>
      <w:r>
        <w:rPr>
          <w:sz w:val="20"/>
        </w:rPr>
        <w:t>19.2 </w:t>
      </w:r>
      <w:r>
        <w:rPr>
          <w:b/>
          <w:sz w:val="20"/>
        </w:rPr>
        <w:t>Garantir</w:t>
      </w:r>
      <w:r>
        <w:rPr>
          <w:sz w:val="20"/>
        </w:rPr>
        <w:t>, no prazo de 01 (um ano) de vigência deste PME </w:t>
      </w:r>
      <w:r>
        <w:rPr>
          <w:b/>
          <w:sz w:val="20"/>
        </w:rPr>
        <w:t>a pactuação entre Estado e Município </w:t>
      </w:r>
      <w:r>
        <w:rPr>
          <w:sz w:val="20"/>
        </w:rPr>
        <w:t>para definir </w:t>
      </w:r>
      <w:r>
        <w:rPr>
          <w:b/>
          <w:sz w:val="20"/>
        </w:rPr>
        <w:t>qual ente atenderá o ensino fundamental e até que série/ano </w:t>
      </w:r>
      <w:r>
        <w:rPr>
          <w:sz w:val="20"/>
        </w:rPr>
        <w:t>sem prejuízos aos alunos e aos servidores de carreira, </w:t>
      </w:r>
      <w:r>
        <w:rPr>
          <w:b/>
          <w:sz w:val="20"/>
        </w:rPr>
        <w:t>conforme prescrito na LDB - responsabilidade conjunta do Município e do estado </w:t>
      </w:r>
      <w:r>
        <w:rPr>
          <w:sz w:val="20"/>
        </w:rPr>
        <w:t>com esta etapa do ensino. (Grifos nossos)</w:t>
      </w:r>
    </w:p>
    <w:p>
      <w:pPr>
        <w:pStyle w:val="BodyText"/>
        <w:rPr>
          <w:sz w:val="22"/>
        </w:rPr>
      </w:pPr>
    </w:p>
    <w:p>
      <w:pPr>
        <w:pStyle w:val="BodyText"/>
        <w:spacing w:line="360" w:lineRule="auto" w:before="161"/>
        <w:ind w:left="122" w:right="277" w:firstLine="851"/>
        <w:jc w:val="both"/>
      </w:pPr>
      <w:r>
        <w:rPr/>
        <w:t>Outro fenômeno perceptível em PMEs é quanto a competências de outros entes federativos assumidas como sendo de responsabilidade direta do Município, como mostram os exemplos:</w:t>
      </w:r>
    </w:p>
    <w:p>
      <w:pPr>
        <w:pStyle w:val="BodyText"/>
        <w:rPr>
          <w:sz w:val="20"/>
        </w:rPr>
      </w:pPr>
    </w:p>
    <w:p>
      <w:pPr>
        <w:pStyle w:val="BodyText"/>
        <w:rPr>
          <w:sz w:val="20"/>
        </w:rPr>
      </w:pPr>
    </w:p>
    <w:p>
      <w:pPr>
        <w:pStyle w:val="BodyText"/>
        <w:spacing w:before="1"/>
        <w:rPr>
          <w:sz w:val="14"/>
        </w:rPr>
      </w:pPr>
      <w:r>
        <w:rPr/>
        <w:pict>
          <v:line style="position:absolute;mso-position-horizontal-relative:page;mso-position-vertical-relative:paragraph;z-index:4336;mso-wrap-distance-left:0;mso-wrap-distance-right:0" from="85.103996pt,10.439317pt" to="229.123996pt,10.439317pt" stroked="true" strokeweight=".71997pt" strokecolor="#000000">
            <v:stroke dashstyle="solid"/>
            <w10:wrap type="topAndBottom"/>
          </v:line>
        </w:pict>
      </w:r>
    </w:p>
    <w:p>
      <w:pPr>
        <w:spacing w:before="42"/>
        <w:ind w:left="122" w:right="170" w:firstLine="0"/>
        <w:jc w:val="left"/>
        <w:rPr>
          <w:sz w:val="20"/>
        </w:rPr>
      </w:pPr>
      <w:r>
        <w:rPr>
          <w:position w:val="9"/>
          <w:sz w:val="13"/>
        </w:rPr>
        <w:t>28 </w:t>
      </w:r>
      <w:r>
        <w:rPr>
          <w:sz w:val="20"/>
        </w:rPr>
        <w:t>Em diversos PMEs, observarmos fatos como esses, principalmente, em relação à sequência ou da meta, ou da estratégia. Isto é, a indicação de um número de estratégia não correspondente ao número da meta.</w:t>
      </w:r>
    </w:p>
    <w:p>
      <w:pPr>
        <w:spacing w:after="0"/>
        <w:jc w:val="left"/>
        <w:rPr>
          <w:sz w:val="20"/>
        </w:rPr>
        <w:sectPr>
          <w:pgSz w:w="11910" w:h="16840"/>
          <w:pgMar w:header="749" w:footer="0" w:top="960" w:bottom="280" w:left="1580" w:right="1420"/>
        </w:sectPr>
      </w:pPr>
    </w:p>
    <w:p>
      <w:pPr>
        <w:pStyle w:val="BodyText"/>
        <w:rPr>
          <w:sz w:val="20"/>
        </w:rPr>
      </w:pPr>
    </w:p>
    <w:p>
      <w:pPr>
        <w:pStyle w:val="BodyText"/>
        <w:spacing w:before="2"/>
        <w:rPr>
          <w:sz w:val="18"/>
        </w:rPr>
      </w:pPr>
    </w:p>
    <w:p>
      <w:pPr>
        <w:spacing w:before="0"/>
        <w:ind w:left="2390" w:right="118" w:firstLine="0"/>
        <w:jc w:val="both"/>
        <w:rPr>
          <w:sz w:val="20"/>
        </w:rPr>
      </w:pPr>
      <w:r>
        <w:rPr>
          <w:b/>
          <w:sz w:val="20"/>
        </w:rPr>
        <w:t>Aumentar </w:t>
      </w:r>
      <w:r>
        <w:rPr>
          <w:sz w:val="20"/>
        </w:rPr>
        <w:t>qualitativa e quantitativamente </w:t>
      </w:r>
      <w:r>
        <w:rPr>
          <w:b/>
          <w:sz w:val="20"/>
        </w:rPr>
        <w:t>o desempenho científico e tecnológico do País e a competitividade internacional </w:t>
      </w:r>
      <w:r>
        <w:rPr>
          <w:sz w:val="20"/>
        </w:rPr>
        <w:t>[...]. (FORMOSO DO ARAGUAIA, 2015, estraégia14.13);</w:t>
      </w:r>
    </w:p>
    <w:p>
      <w:pPr>
        <w:pStyle w:val="BodyText"/>
        <w:rPr>
          <w:sz w:val="20"/>
        </w:rPr>
      </w:pPr>
    </w:p>
    <w:p>
      <w:pPr>
        <w:spacing w:before="0"/>
        <w:ind w:left="2390" w:right="0" w:firstLine="0"/>
        <w:jc w:val="both"/>
        <w:rPr>
          <w:sz w:val="20"/>
        </w:rPr>
      </w:pPr>
      <w:r>
        <w:rPr>
          <w:b/>
          <w:sz w:val="20"/>
        </w:rPr>
        <w:t>Expandir o financiamento  da pós-graduação </w:t>
      </w:r>
      <w:r>
        <w:rPr>
          <w:b/>
          <w:i/>
          <w:sz w:val="20"/>
        </w:rPr>
        <w:t>stricto sensu </w:t>
      </w:r>
      <w:r>
        <w:rPr>
          <w:sz w:val="20"/>
        </w:rPr>
        <w:t>por meio     das</w:t>
      </w:r>
    </w:p>
    <w:p>
      <w:pPr>
        <w:spacing w:before="0"/>
        <w:ind w:left="2390" w:right="0" w:firstLine="0"/>
        <w:jc w:val="both"/>
        <w:rPr>
          <w:sz w:val="20"/>
        </w:rPr>
      </w:pPr>
      <w:r>
        <w:rPr>
          <w:b/>
          <w:sz w:val="20"/>
        </w:rPr>
        <w:t>agências oficiais de fomento; </w:t>
      </w:r>
      <w:r>
        <w:rPr>
          <w:sz w:val="20"/>
        </w:rPr>
        <w:t>(TALISMÃ, 2015, estratégia 14.1).</w:t>
      </w:r>
    </w:p>
    <w:p>
      <w:pPr>
        <w:pStyle w:val="BodyText"/>
        <w:spacing w:before="9"/>
        <w:rPr>
          <w:sz w:val="19"/>
        </w:rPr>
      </w:pPr>
    </w:p>
    <w:p>
      <w:pPr>
        <w:spacing w:before="0"/>
        <w:ind w:left="2390" w:right="120" w:firstLine="0"/>
        <w:jc w:val="both"/>
        <w:rPr>
          <w:sz w:val="20"/>
        </w:rPr>
      </w:pPr>
      <w:r>
        <w:rPr>
          <w:b/>
          <w:sz w:val="20"/>
        </w:rPr>
        <w:t>Ampliar a oferta de vagas</w:t>
      </w:r>
      <w:r>
        <w:rPr>
          <w:sz w:val="20"/>
        </w:rPr>
        <w:t>, por meio da </w:t>
      </w:r>
      <w:r>
        <w:rPr>
          <w:b/>
          <w:sz w:val="20"/>
        </w:rPr>
        <w:t>expansão e interiorização da rede federal de educação superior. </w:t>
      </w:r>
      <w:r>
        <w:rPr>
          <w:sz w:val="20"/>
        </w:rPr>
        <w:t>(PARAGOMINAS, 2015, estratégia 12.2).</w:t>
      </w:r>
    </w:p>
    <w:p>
      <w:pPr>
        <w:pStyle w:val="BodyText"/>
        <w:rPr>
          <w:sz w:val="20"/>
        </w:rPr>
      </w:pPr>
    </w:p>
    <w:p>
      <w:pPr>
        <w:spacing w:line="229" w:lineRule="exact" w:before="0"/>
        <w:ind w:left="2390" w:right="0" w:firstLine="0"/>
        <w:jc w:val="both"/>
        <w:rPr>
          <w:b/>
          <w:sz w:val="20"/>
        </w:rPr>
      </w:pPr>
      <w:r>
        <w:rPr>
          <w:b/>
          <w:sz w:val="20"/>
        </w:rPr>
        <w:t>Desenvolver     formas     </w:t>
      </w:r>
      <w:r>
        <w:rPr>
          <w:sz w:val="20"/>
        </w:rPr>
        <w:t>alternativas     </w:t>
      </w:r>
      <w:r>
        <w:rPr>
          <w:b/>
          <w:sz w:val="20"/>
        </w:rPr>
        <w:t>de     oferta     do     ensino  médio.</w:t>
      </w:r>
    </w:p>
    <w:p>
      <w:pPr>
        <w:spacing w:line="229" w:lineRule="exact" w:before="0"/>
        <w:ind w:left="2390" w:right="0" w:firstLine="0"/>
        <w:jc w:val="both"/>
        <w:rPr>
          <w:sz w:val="20"/>
        </w:rPr>
      </w:pPr>
      <w:r>
        <w:rPr>
          <w:sz w:val="20"/>
        </w:rPr>
        <w:t>(PEQUIZEIRO, 2015, estratégia 3.9).</w:t>
      </w:r>
    </w:p>
    <w:p>
      <w:pPr>
        <w:pStyle w:val="BodyText"/>
        <w:spacing w:before="1"/>
        <w:rPr>
          <w:sz w:val="20"/>
        </w:rPr>
      </w:pPr>
    </w:p>
    <w:p>
      <w:pPr>
        <w:spacing w:before="0"/>
        <w:ind w:left="2390" w:right="121" w:firstLine="0"/>
        <w:jc w:val="both"/>
        <w:rPr>
          <w:sz w:val="20"/>
        </w:rPr>
      </w:pPr>
      <w:r>
        <w:rPr>
          <w:b/>
          <w:sz w:val="20"/>
        </w:rPr>
        <w:t>Institucionalizar programa nacional </w:t>
      </w:r>
      <w:r>
        <w:rPr>
          <w:sz w:val="20"/>
        </w:rPr>
        <w:t>de renovação do ensino médio. (AGUIARNÓPOLIS, 2015, estratégia 3.1).</w:t>
      </w:r>
    </w:p>
    <w:p>
      <w:pPr>
        <w:pStyle w:val="BodyText"/>
        <w:rPr>
          <w:sz w:val="20"/>
        </w:rPr>
      </w:pPr>
    </w:p>
    <w:p>
      <w:pPr>
        <w:spacing w:line="229" w:lineRule="exact" w:before="0"/>
        <w:ind w:left="2390" w:right="0" w:firstLine="0"/>
        <w:jc w:val="both"/>
        <w:rPr>
          <w:b/>
          <w:sz w:val="20"/>
        </w:rPr>
      </w:pPr>
      <w:r>
        <w:rPr>
          <w:b/>
          <w:sz w:val="20"/>
        </w:rPr>
        <w:t>Garantir    </w:t>
      </w:r>
      <w:r>
        <w:rPr>
          <w:sz w:val="20"/>
        </w:rPr>
        <w:t>[...]    as    </w:t>
      </w:r>
      <w:r>
        <w:rPr>
          <w:b/>
          <w:sz w:val="20"/>
        </w:rPr>
        <w:t>diretrizes    estaduais    para    o    ensino       médio.</w:t>
      </w:r>
    </w:p>
    <w:p>
      <w:pPr>
        <w:spacing w:line="229" w:lineRule="exact" w:before="0"/>
        <w:ind w:left="2390" w:right="0" w:firstLine="0"/>
        <w:jc w:val="both"/>
        <w:rPr>
          <w:sz w:val="20"/>
        </w:rPr>
      </w:pPr>
      <w:r>
        <w:rPr>
          <w:sz w:val="20"/>
        </w:rPr>
        <w:t>(AUGUSTINÓPOLIS, 2015, estratégia 4.1).</w:t>
      </w:r>
    </w:p>
    <w:p>
      <w:pPr>
        <w:pStyle w:val="BodyText"/>
        <w:spacing w:before="1"/>
        <w:rPr>
          <w:sz w:val="21"/>
        </w:rPr>
      </w:pPr>
    </w:p>
    <w:p>
      <w:pPr>
        <w:spacing w:line="226" w:lineRule="exact" w:before="0"/>
        <w:ind w:left="2390" w:right="126" w:firstLine="0"/>
        <w:jc w:val="both"/>
        <w:rPr>
          <w:sz w:val="20"/>
        </w:rPr>
      </w:pPr>
      <w:r>
        <w:rPr>
          <w:b/>
          <w:sz w:val="20"/>
        </w:rPr>
        <w:t>Ofertar educação profissional técnica de nível médio na modalidade de educação à distância. </w:t>
      </w:r>
      <w:r>
        <w:rPr>
          <w:sz w:val="20"/>
        </w:rPr>
        <w:t>(BURITI DO TOCANTINS, 2015, estratégia 11.3).</w:t>
      </w:r>
    </w:p>
    <w:p>
      <w:pPr>
        <w:pStyle w:val="BodyText"/>
        <w:rPr>
          <w:sz w:val="22"/>
        </w:rPr>
      </w:pPr>
    </w:p>
    <w:p>
      <w:pPr>
        <w:pStyle w:val="BodyText"/>
        <w:spacing w:line="345" w:lineRule="auto" w:before="159"/>
        <w:ind w:left="122" w:right="120" w:firstLine="851"/>
        <w:jc w:val="both"/>
      </w:pPr>
      <w:r>
        <w:rPr/>
        <w:t>Em outras observações assistemáticas acerca dos conteúdos de estratégias de PMEs, e em apenas dois Planos, sendo dos Municípios de Dueré (2015) e Alvorada (2015)</w:t>
      </w:r>
      <w:r>
        <w:rPr>
          <w:position w:val="11"/>
          <w:sz w:val="16"/>
        </w:rPr>
        <w:t>29</w:t>
      </w:r>
      <w:r>
        <w:rPr/>
        <w:t>, apreendemos a reprodução literal de algumas estratégias do PNE; a    alteração</w:t>
      </w:r>
    </w:p>
    <w:p>
      <w:pPr>
        <w:pStyle w:val="BodyText"/>
        <w:spacing w:line="360" w:lineRule="auto" w:before="5"/>
        <w:ind w:left="122"/>
      </w:pPr>
      <w:r>
        <w:rPr/>
        <w:t>de verbos de ação em outras, de modo a adequar a estratégia à realidade local; e, em menor quantidade, a criação de novas estratégias.</w:t>
      </w:r>
    </w:p>
    <w:p>
      <w:pPr>
        <w:pStyle w:val="BodyText"/>
        <w:spacing w:line="360" w:lineRule="auto" w:before="6"/>
        <w:ind w:left="122" w:right="122" w:firstLine="851"/>
        <w:jc w:val="both"/>
      </w:pPr>
      <w:r>
        <w:rPr/>
        <w:t>Em se tratando do conteúdo das estratégias do Município Dueré (2015), por exemplo, em relação às metas do PNE, o PME não se alinhou às metas 17 (equiparação do rendimento médio dos profissionais do magistério da educação básica), 18 (planos de carreira para os profissionais da educação básica), 19 (gestão democrática da educação) e 20 (investimento público em educação pública), reafirmando as 16 metas explicitadas na Tabela 4. Das 170 estratégias, 77 são reproduções, 81 têm seus verbos de ação alterados e 8 são novas estratégias.</w:t>
      </w:r>
    </w:p>
    <w:p>
      <w:pPr>
        <w:pStyle w:val="BodyText"/>
        <w:spacing w:line="360" w:lineRule="auto" w:before="4"/>
        <w:ind w:left="122" w:right="116" w:firstLine="851"/>
        <w:jc w:val="both"/>
      </w:pPr>
      <w:r>
        <w:rPr/>
        <w:t>No Município de Araguaçu (2015), o PME não se alinhou às metas 13 (qualidade da educação superior) e 18 (planos de carreira para os profissionais da educação básica) do PNE, sendo que na meta 20, traçou estratégias que se referem à gestão democrática e não para o financiamento da educação pública. Desse modo, das 148 estratégias, 86 são reproduções, 42 sofreram alterações nos verbos de ação e 20 são novas estratégias.</w:t>
      </w:r>
    </w:p>
    <w:p>
      <w:pPr>
        <w:pStyle w:val="BodyText"/>
        <w:rPr>
          <w:sz w:val="20"/>
        </w:rPr>
      </w:pPr>
    </w:p>
    <w:p>
      <w:pPr>
        <w:pStyle w:val="BodyText"/>
        <w:spacing w:before="10"/>
        <w:rPr>
          <w:sz w:val="17"/>
        </w:rPr>
      </w:pPr>
      <w:r>
        <w:rPr/>
        <w:pict>
          <v:line style="position:absolute;mso-position-horizontal-relative:page;mso-position-vertical-relative:paragraph;z-index:4360;mso-wrap-distance-left:0;mso-wrap-distance-right:0" from="85.103996pt,12.623457pt" to="229.123996pt,12.623457pt" stroked="true" strokeweight=".71997pt" strokecolor="#000000">
            <v:stroke dashstyle="solid"/>
            <w10:wrap type="topAndBottom"/>
          </v:line>
        </w:pict>
      </w:r>
    </w:p>
    <w:p>
      <w:pPr>
        <w:spacing w:line="276" w:lineRule="auto" w:before="45"/>
        <w:ind w:left="122" w:right="0" w:firstLine="0"/>
        <w:jc w:val="left"/>
        <w:rPr>
          <w:sz w:val="20"/>
        </w:rPr>
      </w:pPr>
      <w:r>
        <w:rPr>
          <w:position w:val="9"/>
          <w:sz w:val="13"/>
        </w:rPr>
        <w:t>29 </w:t>
      </w:r>
      <w:r>
        <w:rPr>
          <w:sz w:val="20"/>
        </w:rPr>
        <w:t>Uma análise que será empreendida no Observatório dos Sistemas e Planos de Educação do Tocantins, vinculado a Anpae-Tocantins, em fase de planejamento.</w:t>
      </w:r>
    </w:p>
    <w:p>
      <w:pPr>
        <w:spacing w:after="0" w:line="276" w:lineRule="auto"/>
        <w:jc w:val="left"/>
        <w:rPr>
          <w:sz w:val="20"/>
        </w:rPr>
        <w:sectPr>
          <w:pgSz w:w="11910" w:h="16840"/>
          <w:pgMar w:header="749" w:footer="0" w:top="960" w:bottom="280" w:left="1580" w:right="1580"/>
        </w:sectPr>
      </w:pPr>
    </w:p>
    <w:p>
      <w:pPr>
        <w:pStyle w:val="BodyText"/>
        <w:rPr>
          <w:sz w:val="20"/>
        </w:rPr>
      </w:pPr>
    </w:p>
    <w:p>
      <w:pPr>
        <w:pStyle w:val="BodyText"/>
        <w:spacing w:line="360" w:lineRule="auto" w:before="210"/>
        <w:ind w:left="102" w:right="115" w:firstLine="851"/>
        <w:jc w:val="both"/>
      </w:pPr>
      <w:r>
        <w:rPr/>
        <w:t>Do exposto, as ideias de Shiroma, Campos e Garcia (2005, p. 430-431) nos ajudam a compreender as possíveis especificidades encontradas tanto no processo de planejamento no âmbito dos Municípios quanto nos resultados, ou seja, nos PMEs, dando significado ao sistema de interpretações, reproduções, reinterpretações, substituições, modificações:</w:t>
      </w:r>
    </w:p>
    <w:p>
      <w:pPr>
        <w:pStyle w:val="BodyText"/>
        <w:spacing w:before="8"/>
        <w:rPr>
          <w:sz w:val="36"/>
        </w:rPr>
      </w:pPr>
    </w:p>
    <w:p>
      <w:pPr>
        <w:spacing w:line="240" w:lineRule="auto" w:before="0"/>
        <w:ind w:left="2370" w:right="116" w:firstLine="0"/>
        <w:jc w:val="both"/>
        <w:rPr>
          <w:sz w:val="22"/>
        </w:rPr>
      </w:pPr>
      <w:r>
        <w:rPr>
          <w:b/>
          <w:sz w:val="22"/>
        </w:rPr>
        <w:t>As recomendações presentes nos documentos de política educacional </w:t>
      </w:r>
      <w:r>
        <w:rPr>
          <w:sz w:val="22"/>
        </w:rPr>
        <w:t>amplamente divulgados por meios impressos e digitais </w:t>
      </w:r>
      <w:r>
        <w:rPr>
          <w:b/>
          <w:sz w:val="22"/>
        </w:rPr>
        <w:t>não são prontamente assimiláveis ou aplicáveis. Sua implementação exige que sejam traduzidas,interpretadas, adaptadas de acordo com as vicissitudes e os jogos políticos que configuram o campo da educação em cada país, região, localidade</w:t>
      </w:r>
      <w:r>
        <w:rPr>
          <w:sz w:val="22"/>
        </w:rPr>
        <w:t>; tal processo implica, de certo modo, uma </w:t>
      </w:r>
      <w:r>
        <w:rPr>
          <w:b/>
          <w:sz w:val="22"/>
        </w:rPr>
        <w:t>reescritura das  prescrições</w:t>
      </w:r>
      <w:r>
        <w:rPr>
          <w:sz w:val="22"/>
        </w:rPr>
        <w:t>, o que coloca para os estudiosos a tarefa de compreender  a racionalidade que os informa e que, muitas vezes, parece contraditória, fomentando medidas que aparentam ir em direção contrária ao que propõem. (Grifos</w:t>
      </w:r>
      <w:r>
        <w:rPr>
          <w:spacing w:val="-11"/>
          <w:sz w:val="22"/>
        </w:rPr>
        <w:t> </w:t>
      </w:r>
      <w:r>
        <w:rPr>
          <w:sz w:val="22"/>
        </w:rPr>
        <w:t>nossos).</w:t>
      </w:r>
    </w:p>
    <w:p>
      <w:pPr>
        <w:pStyle w:val="BodyText"/>
      </w:pPr>
    </w:p>
    <w:p>
      <w:pPr>
        <w:pStyle w:val="BodyText"/>
        <w:spacing w:before="138"/>
        <w:ind w:left="954"/>
      </w:pPr>
      <w:r>
        <w:rPr/>
        <w:t>As autoras (SHIROMA; CAMPOS; GARCIA, 2005, p. 433) mostram que:</w:t>
      </w:r>
    </w:p>
    <w:p>
      <w:pPr>
        <w:pStyle w:val="BodyText"/>
        <w:rPr>
          <w:sz w:val="26"/>
        </w:rPr>
      </w:pPr>
    </w:p>
    <w:p>
      <w:pPr>
        <w:pStyle w:val="BodyText"/>
        <w:spacing w:before="3"/>
        <w:rPr>
          <w:sz w:val="22"/>
        </w:rPr>
      </w:pPr>
    </w:p>
    <w:p>
      <w:pPr>
        <w:spacing w:line="240" w:lineRule="auto" w:before="0"/>
        <w:ind w:left="2370" w:right="120" w:firstLine="0"/>
        <w:jc w:val="both"/>
        <w:rPr>
          <w:sz w:val="20"/>
        </w:rPr>
      </w:pPr>
      <w:r>
        <w:rPr>
          <w:b/>
          <w:sz w:val="20"/>
        </w:rPr>
        <w:t>Os textos também são consumidos diferentemente em contextos sociais diversos </w:t>
      </w:r>
      <w:r>
        <w:rPr>
          <w:sz w:val="20"/>
        </w:rPr>
        <w:t>(FAIRCLOUGH, 2001). Eles têm clara relação com os contextos particulares em que são produzidos e usados. [...] Como texto, podem ser descontextualizados do local de origem e recontextualizados numa nova montagem.  (BERNSTEIN  apud  BOWE;  BALL,  1992).  Nesse  sentido,  a</w:t>
      </w:r>
    </w:p>
    <w:p>
      <w:pPr>
        <w:spacing w:before="0"/>
        <w:ind w:left="2370" w:right="120" w:firstLine="0"/>
        <w:jc w:val="both"/>
        <w:rPr>
          <w:sz w:val="20"/>
        </w:rPr>
      </w:pPr>
      <w:r>
        <w:rPr>
          <w:spacing w:val="-2"/>
          <w:w w:val="44"/>
          <w:sz w:val="20"/>
        </w:rPr>
        <w:t>―</w:t>
      </w:r>
      <w:r>
        <w:rPr>
          <w:spacing w:val="1"/>
          <w:w w:val="99"/>
          <w:sz w:val="20"/>
        </w:rPr>
        <w:t>d</w:t>
      </w:r>
      <w:r>
        <w:rPr>
          <w:w w:val="99"/>
          <w:sz w:val="20"/>
        </w:rPr>
        <w:t>esc</w:t>
      </w:r>
      <w:r>
        <w:rPr>
          <w:spacing w:val="1"/>
          <w:w w:val="99"/>
          <w:sz w:val="20"/>
        </w:rPr>
        <w:t>on</w:t>
      </w:r>
      <w:r>
        <w:rPr>
          <w:spacing w:val="-1"/>
          <w:w w:val="99"/>
          <w:sz w:val="20"/>
        </w:rPr>
        <w:t>s</w:t>
      </w:r>
      <w:r>
        <w:rPr>
          <w:w w:val="99"/>
          <w:sz w:val="20"/>
        </w:rPr>
        <w:t>tr</w:t>
      </w:r>
      <w:r>
        <w:rPr>
          <w:spacing w:val="-2"/>
          <w:w w:val="99"/>
          <w:sz w:val="20"/>
        </w:rPr>
        <w:t>u</w:t>
      </w:r>
      <w:r>
        <w:rPr>
          <w:w w:val="99"/>
          <w:sz w:val="20"/>
        </w:rPr>
        <w:t>çã</w:t>
      </w:r>
      <w:r>
        <w:rPr>
          <w:spacing w:val="1"/>
          <w:w w:val="99"/>
          <w:sz w:val="20"/>
        </w:rPr>
        <w:t>o</w:t>
      </w:r>
      <w:r>
        <w:rPr>
          <w:w w:val="157"/>
          <w:sz w:val="20"/>
        </w:rPr>
        <w:t>‖</w:t>
      </w:r>
      <w:r>
        <w:rPr>
          <w:sz w:val="20"/>
        </w:rPr>
        <w:t> </w:t>
      </w:r>
      <w:r>
        <w:rPr>
          <w:spacing w:val="17"/>
          <w:sz w:val="20"/>
        </w:rPr>
        <w:t> </w:t>
      </w:r>
      <w:r>
        <w:rPr>
          <w:spacing w:val="1"/>
          <w:w w:val="99"/>
          <w:sz w:val="20"/>
        </w:rPr>
        <w:t>do</w:t>
      </w:r>
      <w:r>
        <w:rPr>
          <w:w w:val="99"/>
          <w:sz w:val="20"/>
        </w:rPr>
        <w:t>s</w:t>
      </w:r>
      <w:r>
        <w:rPr>
          <w:sz w:val="20"/>
        </w:rPr>
        <w:t> </w:t>
      </w:r>
      <w:r>
        <w:rPr>
          <w:spacing w:val="16"/>
          <w:sz w:val="20"/>
        </w:rPr>
        <w:t> </w:t>
      </w:r>
      <w:r>
        <w:rPr>
          <w:w w:val="99"/>
          <w:sz w:val="20"/>
        </w:rPr>
        <w:t>t</w:t>
      </w:r>
      <w:r>
        <w:rPr>
          <w:spacing w:val="2"/>
          <w:w w:val="99"/>
          <w:sz w:val="20"/>
        </w:rPr>
        <w:t>e</w:t>
      </w:r>
      <w:r>
        <w:rPr>
          <w:spacing w:val="-2"/>
          <w:w w:val="99"/>
          <w:sz w:val="20"/>
        </w:rPr>
        <w:t>x</w:t>
      </w:r>
      <w:r>
        <w:rPr>
          <w:w w:val="99"/>
          <w:sz w:val="20"/>
        </w:rPr>
        <w:t>to</w:t>
      </w:r>
      <w:r>
        <w:rPr>
          <w:w w:val="99"/>
          <w:sz w:val="20"/>
        </w:rPr>
        <w:t>s</w:t>
      </w:r>
      <w:r>
        <w:rPr>
          <w:sz w:val="20"/>
        </w:rPr>
        <w:t> </w:t>
      </w:r>
      <w:r>
        <w:rPr>
          <w:spacing w:val="19"/>
          <w:sz w:val="20"/>
        </w:rPr>
        <w:t> </w:t>
      </w:r>
      <w:r>
        <w:rPr>
          <w:spacing w:val="-2"/>
          <w:w w:val="99"/>
          <w:sz w:val="20"/>
        </w:rPr>
        <w:t>v</w:t>
      </w:r>
      <w:r>
        <w:rPr>
          <w:w w:val="99"/>
          <w:sz w:val="20"/>
        </w:rPr>
        <w:t>i</w:t>
      </w:r>
      <w:r>
        <w:rPr>
          <w:spacing w:val="-1"/>
          <w:w w:val="99"/>
          <w:sz w:val="20"/>
        </w:rPr>
        <w:t>s</w:t>
      </w:r>
      <w:r>
        <w:rPr>
          <w:spacing w:val="2"/>
          <w:w w:val="99"/>
          <w:sz w:val="20"/>
        </w:rPr>
        <w:t>a</w:t>
      </w:r>
      <w:r>
        <w:rPr>
          <w:spacing w:val="-2"/>
          <w:w w:val="99"/>
          <w:sz w:val="20"/>
        </w:rPr>
        <w:t>n</w:t>
      </w:r>
      <w:r>
        <w:rPr>
          <w:spacing w:val="1"/>
          <w:w w:val="99"/>
          <w:sz w:val="20"/>
        </w:rPr>
        <w:t>d</w:t>
      </w:r>
      <w:r>
        <w:rPr>
          <w:w w:val="99"/>
          <w:sz w:val="20"/>
        </w:rPr>
        <w:t>o</w:t>
      </w:r>
      <w:r>
        <w:rPr>
          <w:sz w:val="20"/>
        </w:rPr>
        <w:t> </w:t>
      </w:r>
      <w:r>
        <w:rPr>
          <w:spacing w:val="18"/>
          <w:sz w:val="20"/>
        </w:rPr>
        <w:t> </w:t>
      </w:r>
      <w:r>
        <w:rPr>
          <w:w w:val="99"/>
          <w:sz w:val="20"/>
        </w:rPr>
        <w:t>a</w:t>
      </w:r>
      <w:r>
        <w:rPr>
          <w:sz w:val="20"/>
        </w:rPr>
        <w:t> </w:t>
      </w:r>
      <w:r>
        <w:rPr>
          <w:spacing w:val="17"/>
          <w:sz w:val="20"/>
        </w:rPr>
        <w:t> </w:t>
      </w:r>
      <w:r>
        <w:rPr>
          <w:w w:val="99"/>
          <w:sz w:val="20"/>
        </w:rPr>
        <w:t>c</w:t>
      </w:r>
      <w:r>
        <w:rPr>
          <w:spacing w:val="3"/>
          <w:w w:val="99"/>
          <w:sz w:val="20"/>
        </w:rPr>
        <w:t>o</w:t>
      </w:r>
      <w:r>
        <w:rPr>
          <w:spacing w:val="-4"/>
          <w:w w:val="99"/>
          <w:sz w:val="20"/>
        </w:rPr>
        <w:t>m</w:t>
      </w:r>
      <w:r>
        <w:rPr>
          <w:spacing w:val="1"/>
          <w:w w:val="99"/>
          <w:sz w:val="20"/>
        </w:rPr>
        <w:t>p</w:t>
      </w:r>
      <w:r>
        <w:rPr>
          <w:w w:val="99"/>
          <w:sz w:val="20"/>
        </w:rPr>
        <w:t>r</w:t>
      </w:r>
      <w:r>
        <w:rPr>
          <w:w w:val="99"/>
          <w:sz w:val="20"/>
        </w:rPr>
        <w:t>ee</w:t>
      </w:r>
      <w:r>
        <w:rPr>
          <w:spacing w:val="-2"/>
          <w:w w:val="99"/>
          <w:sz w:val="20"/>
        </w:rPr>
        <w:t>n</w:t>
      </w:r>
      <w:r>
        <w:rPr>
          <w:spacing w:val="-1"/>
          <w:w w:val="99"/>
          <w:sz w:val="20"/>
        </w:rPr>
        <w:t>s</w:t>
      </w:r>
      <w:r>
        <w:rPr>
          <w:w w:val="99"/>
          <w:sz w:val="20"/>
        </w:rPr>
        <w:t>ão</w:t>
      </w:r>
      <w:r>
        <w:rPr>
          <w:sz w:val="20"/>
        </w:rPr>
        <w:t> </w:t>
      </w:r>
      <w:r>
        <w:rPr>
          <w:spacing w:val="18"/>
          <w:sz w:val="20"/>
        </w:rPr>
        <w:t> </w:t>
      </w:r>
      <w:r>
        <w:rPr>
          <w:spacing w:val="1"/>
          <w:w w:val="99"/>
          <w:sz w:val="20"/>
        </w:rPr>
        <w:t>d</w:t>
      </w:r>
      <w:r>
        <w:rPr>
          <w:w w:val="99"/>
          <w:sz w:val="20"/>
        </w:rPr>
        <w:t>e</w:t>
      </w:r>
      <w:r>
        <w:rPr>
          <w:sz w:val="20"/>
        </w:rPr>
        <w:t> </w:t>
      </w:r>
      <w:r>
        <w:rPr>
          <w:spacing w:val="20"/>
          <w:sz w:val="20"/>
        </w:rPr>
        <w:t> </w:t>
      </w:r>
      <w:r>
        <w:rPr>
          <w:spacing w:val="-1"/>
          <w:w w:val="99"/>
          <w:sz w:val="20"/>
        </w:rPr>
        <w:t>s</w:t>
      </w:r>
      <w:r>
        <w:rPr>
          <w:w w:val="99"/>
          <w:sz w:val="20"/>
        </w:rPr>
        <w:t>eu</w:t>
      </w:r>
      <w:r>
        <w:rPr>
          <w:sz w:val="20"/>
        </w:rPr>
        <w:t> </w:t>
      </w:r>
      <w:r>
        <w:rPr>
          <w:spacing w:val="16"/>
          <w:sz w:val="20"/>
        </w:rPr>
        <w:t> </w:t>
      </w:r>
      <w:r>
        <w:rPr>
          <w:spacing w:val="1"/>
          <w:w w:val="99"/>
          <w:sz w:val="20"/>
        </w:rPr>
        <w:t>p</w:t>
      </w:r>
      <w:r>
        <w:rPr>
          <w:w w:val="99"/>
          <w:sz w:val="20"/>
        </w:rPr>
        <w:t>r</w:t>
      </w:r>
      <w:r>
        <w:rPr>
          <w:spacing w:val="1"/>
          <w:w w:val="99"/>
          <w:sz w:val="20"/>
        </w:rPr>
        <w:t>o</w:t>
      </w:r>
      <w:r>
        <w:rPr>
          <w:w w:val="99"/>
          <w:sz w:val="20"/>
        </w:rPr>
        <w:t>ce</w:t>
      </w:r>
      <w:r>
        <w:rPr>
          <w:spacing w:val="-1"/>
          <w:w w:val="99"/>
          <w:sz w:val="20"/>
        </w:rPr>
        <w:t>ss</w:t>
      </w:r>
      <w:r>
        <w:rPr>
          <w:w w:val="99"/>
          <w:sz w:val="20"/>
        </w:rPr>
        <w:t>o</w:t>
      </w:r>
      <w:r>
        <w:rPr>
          <w:sz w:val="20"/>
        </w:rPr>
        <w:t> </w:t>
      </w:r>
      <w:r>
        <w:rPr>
          <w:spacing w:val="18"/>
          <w:sz w:val="20"/>
        </w:rPr>
        <w:t> </w:t>
      </w:r>
      <w:r>
        <w:rPr>
          <w:spacing w:val="1"/>
          <w:w w:val="99"/>
          <w:sz w:val="20"/>
        </w:rPr>
        <w:t>d</w:t>
      </w:r>
      <w:r>
        <w:rPr>
          <w:w w:val="99"/>
          <w:sz w:val="20"/>
        </w:rPr>
        <w:t>e </w:t>
      </w:r>
      <w:r>
        <w:rPr>
          <w:sz w:val="20"/>
        </w:rPr>
        <w:t>produção torna-se um importante mecanismo de análise discursiva, na  medida em que permite localizar as inconsistências dos textos, os pontos em que transgride os limites dentro dos quais foi construído. Composto por contradições, um texto não é restrito a uma única, harmoniosa leitura. Pelo contrário, torna-se plural, aberto a re-leituras, </w:t>
      </w:r>
      <w:r>
        <w:rPr>
          <w:b/>
          <w:sz w:val="20"/>
        </w:rPr>
        <w:t>não mais um objeto para consumo passivo</w:t>
      </w:r>
      <w:r>
        <w:rPr>
          <w:sz w:val="20"/>
        </w:rPr>
        <w:t>, mas um objeto a ser trabalhado pelo leitor para produzir sentido (BELSEY, 1980). Se os textos são, ao mesmo tempo, produto e produtores de orientações políticas no campo da educação, sua difusão e promulgação geram também situações de mudanças ou inovações, experienciadas no contexto das práticas educativas. Relembrando que os textos de políticas não são simplesmente recebidos e implementados, mas, ao contrário, dentro da arena da prática estão sujeitos à interpretação e recriação. (Grifos</w:t>
      </w:r>
      <w:r>
        <w:rPr>
          <w:spacing w:val="-9"/>
          <w:sz w:val="20"/>
        </w:rPr>
        <w:t> </w:t>
      </w:r>
      <w:r>
        <w:rPr>
          <w:sz w:val="20"/>
        </w:rPr>
        <w:t>nossos).</w:t>
      </w:r>
    </w:p>
    <w:p>
      <w:pPr>
        <w:pStyle w:val="BodyText"/>
        <w:rPr>
          <w:sz w:val="22"/>
        </w:rPr>
      </w:pPr>
    </w:p>
    <w:p>
      <w:pPr>
        <w:pStyle w:val="BodyText"/>
        <w:spacing w:line="362" w:lineRule="auto" w:before="164"/>
        <w:ind w:left="102" w:right="122" w:firstLine="851"/>
        <w:jc w:val="both"/>
      </w:pPr>
      <w:r>
        <w:rPr/>
        <w:t>Ajudando-nos a compreender as diferenças, mudanças, ambiguidades, contradições, omissões, transgressões nos Planos.</w:t>
      </w:r>
    </w:p>
    <w:p>
      <w:pPr>
        <w:spacing w:after="0" w:line="362" w:lineRule="auto"/>
        <w:jc w:val="both"/>
        <w:sectPr>
          <w:pgSz w:w="11910" w:h="16840"/>
          <w:pgMar w:header="749" w:footer="0" w:top="960" w:bottom="280" w:left="1600" w:right="1580"/>
        </w:sectPr>
      </w:pPr>
    </w:p>
    <w:p>
      <w:pPr>
        <w:pStyle w:val="BodyText"/>
        <w:rPr>
          <w:sz w:val="20"/>
        </w:rPr>
      </w:pPr>
    </w:p>
    <w:p>
      <w:pPr>
        <w:pStyle w:val="Heading1"/>
        <w:spacing w:line="362" w:lineRule="auto" w:before="215"/>
        <w:ind w:right="119"/>
      </w:pPr>
      <w:bookmarkStart w:name="_TOC_250008" w:id="9"/>
      <w:bookmarkEnd w:id="9"/>
      <w:r>
        <w:rPr/>
        <w:t>3.3 Planos municipais de educação no Tocantins: intencionalidades do processo e nos resultados (documentos)</w:t>
      </w:r>
    </w:p>
    <w:p>
      <w:pPr>
        <w:pStyle w:val="BodyText"/>
        <w:spacing w:before="8"/>
        <w:rPr>
          <w:b/>
          <w:sz w:val="35"/>
        </w:rPr>
      </w:pPr>
    </w:p>
    <w:p>
      <w:pPr>
        <w:pStyle w:val="BodyText"/>
        <w:spacing w:line="360" w:lineRule="auto"/>
        <w:ind w:left="102" w:right="116" w:firstLine="851"/>
        <w:jc w:val="both"/>
      </w:pPr>
      <w:r>
        <w:rPr/>
        <w:t>Alinhamento pode ser compreendido como ato ou efeito de pôr-se em linha reta, enfileiramento e, consonância, conformidade (DICIONÁRIO MICHAELIS, 2015). Nesse sentido, se tomarmos o art. 11 da LDB nº 9.394/1996 (BRASIL, 1996), veremos </w:t>
      </w:r>
      <w:r>
        <w:rPr>
          <w:w w:val="100"/>
        </w:rPr>
        <w:t>que </w:t>
      </w:r>
      <w:r>
        <w:rPr>
          <w:w w:val="99"/>
        </w:rPr>
        <w:t>os</w:t>
      </w:r>
      <w:r>
        <w:rPr/>
        <w:t> Muni</w:t>
      </w:r>
      <w:r>
        <w:rPr>
          <w:w w:val="100"/>
        </w:rPr>
        <w:t>cípi</w:t>
      </w:r>
      <w:r>
        <w:rPr>
          <w:w w:val="99"/>
        </w:rPr>
        <w:t>os</w:t>
      </w:r>
      <w:r>
        <w:rPr/>
        <w:t> </w:t>
      </w:r>
      <w:r>
        <w:rPr>
          <w:w w:val="100"/>
        </w:rPr>
        <w:t>têm</w:t>
      </w:r>
      <w:r>
        <w:rPr/>
        <w:t> </w:t>
      </w:r>
      <w:r>
        <w:rPr>
          <w:w w:val="100"/>
        </w:rPr>
        <w:t>a</w:t>
      </w:r>
      <w:r>
        <w:rPr/>
        <w:t> </w:t>
      </w:r>
      <w:r>
        <w:rPr>
          <w:w w:val="100"/>
        </w:rPr>
        <w:t>incumbênc</w:t>
      </w:r>
      <w:r>
        <w:rPr>
          <w:w w:val="100"/>
        </w:rPr>
        <w:t>ia</w:t>
      </w:r>
      <w:r>
        <w:rPr/>
        <w:t> </w:t>
      </w:r>
      <w:r>
        <w:rPr>
          <w:w w:val="100"/>
        </w:rPr>
        <w:t>de</w:t>
      </w:r>
      <w:r>
        <w:rPr/>
        <w:t> </w:t>
      </w:r>
      <w:r>
        <w:rPr>
          <w:w w:val="44"/>
        </w:rPr>
        <w:t>―</w:t>
      </w:r>
      <w:r>
        <w:rPr>
          <w:w w:val="99"/>
        </w:rPr>
        <w:t>I – organizar, manter e de</w:t>
      </w:r>
      <w:r>
        <w:rPr>
          <w:w w:val="99"/>
        </w:rPr>
        <w:t>s</w:t>
      </w:r>
      <w:r>
        <w:rPr/>
        <w:t>envolver </w:t>
      </w:r>
      <w:r>
        <w:rPr>
          <w:w w:val="99"/>
        </w:rPr>
        <w:t>os</w:t>
      </w:r>
      <w:r>
        <w:rPr/>
        <w:t> órgã</w:t>
      </w:r>
      <w:r>
        <w:rPr>
          <w:w w:val="99"/>
        </w:rPr>
        <w:t>os </w:t>
      </w:r>
      <w:r>
        <w:rPr/>
        <w:t>e instituições oficiais dos seus sistemas de ensino, </w:t>
      </w:r>
      <w:r>
        <w:rPr>
          <w:b/>
        </w:rPr>
        <w:t>integrando-os às políticas e planos educacionais da União e dos Estados</w:t>
      </w:r>
      <w:r>
        <w:rPr/>
        <w:t>‖; (Grifos nossos). Isto é, não poderá se desvincular da intencionalidade e do objetivo comum nacional no campo da educação, com vistas a garantir a sua nacionalidade, ou melhor, o SNE.</w:t>
      </w:r>
    </w:p>
    <w:p>
      <w:pPr>
        <w:pStyle w:val="BodyText"/>
        <w:spacing w:line="360" w:lineRule="auto" w:before="5"/>
        <w:ind w:left="102" w:right="120" w:firstLine="851"/>
        <w:jc w:val="both"/>
      </w:pPr>
      <w:r>
        <w:rPr/>
        <w:t>Assim posto, o alinhamento ou consonância não pode ser compreendido como simples reprodução ou cópia do PNE, mas deve, além de agregar as metas nacionais, garantir o atendimento das especificidades municipais, por meio da autonomia dos Municípios.</w:t>
      </w:r>
    </w:p>
    <w:p>
      <w:pPr>
        <w:pStyle w:val="BodyText"/>
        <w:spacing w:line="360" w:lineRule="auto" w:before="5"/>
        <w:ind w:left="102" w:right="120" w:firstLine="851"/>
        <w:jc w:val="both"/>
      </w:pPr>
      <w:r>
        <w:rPr/>
        <w:t>Observando as Leis dos PMEs, percebemos que a maioria dos Municípios seguiu a Minuta de Lei encaminhada pela Undime, cujos artigos apontam responsabilidades a serem assumidas pelos Municípios. No entanto, as Leis de alguns PMEs não apresentam todos os artigos contidos na Minuta. Assim, em análises posteriores será possível apreender quais artigos foram excluídos e, também, qual o compromisso que determinado Município não assume em relação ao Plano Nacional, ou melhor, com a educação nacional</w:t>
      </w:r>
    </w:p>
    <w:p>
      <w:pPr>
        <w:pStyle w:val="BodyText"/>
        <w:spacing w:line="360" w:lineRule="auto" w:before="3"/>
        <w:ind w:left="102" w:right="120" w:firstLine="851"/>
        <w:jc w:val="both"/>
      </w:pPr>
      <w:r>
        <w:rPr/>
        <w:t>Observando a quantidade de metas em cada Plano, nesta pesquisa ainda não é possível afirmarmos, necessariamente, que o alinhamento se deu em torno do PNE, com vinte metas, ou do PEE do Tocantins, com 24 metas, considerando que isto  será possível na medida em que nos determos ao conteúdo das estratégias.</w:t>
      </w:r>
    </w:p>
    <w:p>
      <w:pPr>
        <w:pStyle w:val="BodyText"/>
        <w:spacing w:line="360" w:lineRule="auto" w:before="3"/>
        <w:ind w:left="102" w:right="117" w:firstLine="851"/>
        <w:jc w:val="both"/>
      </w:pPr>
      <w:r>
        <w:rPr/>
        <w:t>Em relação aos PMEs com número menor que vinte metas, um questionamento a ser feito é sobre qual meta deixou de ser contemplada no PME, ou melhor, qual meta  o Município sinaliza não colaborar, não se alinhar, considerando que a numeração das metas não segue, necessariamente, a sequência ou do PNE ou do PEE do</w:t>
      </w:r>
      <w:r>
        <w:rPr>
          <w:spacing w:val="-8"/>
        </w:rPr>
        <w:t> </w:t>
      </w:r>
      <w:r>
        <w:rPr/>
        <w:t>Tocantins.</w:t>
      </w:r>
    </w:p>
    <w:p>
      <w:pPr>
        <w:pStyle w:val="BodyText"/>
        <w:spacing w:line="360" w:lineRule="auto" w:before="5"/>
        <w:ind w:left="102" w:right="121" w:firstLine="851"/>
        <w:jc w:val="both"/>
      </w:pPr>
      <w:r>
        <w:rPr/>
        <w:t>Em relação ao número reduzido de estratégias presentes em cada meta dos </w:t>
      </w:r>
      <w:r>
        <w:rPr>
          <w:u w:val="single"/>
        </w:rPr>
        <w:t>PMEs</w:t>
      </w:r>
      <w:r>
        <w:rPr/>
        <w:t>, tendo em vista os Planos que se alinharam tanto ao PEE como ao PNE, há que se questionar: quais estratégias não foram listadas como prioridade em cada Município?  As estratégias explicitadas representam, de fato, o que o Município pode contribuir ou</w:t>
      </w:r>
      <w:r>
        <w:rPr>
          <w:spacing w:val="22"/>
        </w:rPr>
        <w:t> </w:t>
      </w:r>
      <w:r>
        <w:rPr/>
        <w:t>o</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0" w:lineRule="auto" w:before="210"/>
        <w:ind w:left="102" w:right="123"/>
        <w:jc w:val="both"/>
      </w:pPr>
      <w:r>
        <w:rPr/>
        <w:t>que o Município já vem executando? Ainda, tal estratégia apenas preenche um espaço, tendo em vista que o Município se sentiu na obrigação de contemplar determinada meta e, assim, pontuar tal conteúdo, ou representa realmente o que o Município se propõe a contribuir?</w:t>
      </w:r>
    </w:p>
    <w:p>
      <w:pPr>
        <w:pStyle w:val="BodyText"/>
        <w:spacing w:line="360" w:lineRule="auto" w:before="3"/>
        <w:ind w:left="102" w:right="118" w:firstLine="851"/>
        <w:jc w:val="both"/>
      </w:pPr>
      <w:r>
        <w:rPr/>
        <w:t>Do esboço, em especial, das características gerais dos PMEs, relacionadas a formatação e ao conteúdo dos documentos, compreendemos que seja possível que o termo alinhamento tenha sido interpretado por Municípios [mas também pelos demais entes federados] de forma bastante distintas, significando, por vezes, reprodução/cópia, gerando, assim, Planos para satisfazer uma exigência legal, sem se ater às  consequências de um processo de planejamento; ou, até mesmo, construindo-o com um fim em si mesmo, sem intenções de implementá-lo; ou, entendendo que tal processo conduza, por si só, às transformações desejadas, e, desse modo, concebendo um planejamento</w:t>
      </w:r>
      <w:r>
        <w:rPr>
          <w:spacing w:val="-5"/>
        </w:rPr>
        <w:t> </w:t>
      </w:r>
      <w:r>
        <w:rPr/>
        <w:t>alienador/conservador.</w:t>
      </w:r>
    </w:p>
    <w:p>
      <w:pPr>
        <w:pStyle w:val="BodyText"/>
        <w:spacing w:line="360" w:lineRule="auto" w:before="6"/>
        <w:ind w:left="102" w:right="115" w:firstLine="851"/>
        <w:jc w:val="both"/>
      </w:pPr>
      <w:r>
        <w:rPr/>
        <w:t>De qualquer modo, o fenômeno nos leva a reiterar que a presença da confusão, ou do desconhecimento, ou da disputa acerca das competências constitucionais e legais dos entes federados no campo da educação, exige a reflexão a respeito do pacto federativo brasileiro (BRASIL, 1988, art. 211; ABRUCIO, FRANZESE 2012; ARRETCHE, 2002). Até mesmo, para compreendermos até que ponto os Municípios poderiam optar ou não pelo alinhamento e pela integração a Rede de Assistência Técnica</w:t>
      </w:r>
      <w:r>
        <w:rPr>
          <w:spacing w:val="-5"/>
        </w:rPr>
        <w:t> </w:t>
      </w:r>
      <w:r>
        <w:rPr/>
        <w:t>MEC/SASE!</w:t>
      </w:r>
    </w:p>
    <w:p>
      <w:pPr>
        <w:pStyle w:val="BodyText"/>
        <w:spacing w:line="360" w:lineRule="auto" w:before="3"/>
        <w:ind w:left="102" w:right="116" w:firstLine="851"/>
        <w:jc w:val="both"/>
      </w:pPr>
      <w:r>
        <w:rPr/>
        <w:t>Em pesquisa com esse sentido, ao tratar de aspectos do processo de planejamento da educação no Estado do Tocantins, especificamente, da elaboração e/ou adequação de PMEs no período de discussão, aprovação e sanção do PNE 2014-2024 até 25 de junho de 2014, inferimos que as suas características demonstram menos o regime de colaboração entre os entes federados, com relações podendo ser denominadas </w:t>
      </w:r>
      <w:r>
        <w:rPr>
          <w:w w:val="100"/>
        </w:rPr>
        <w:t>mais</w:t>
      </w:r>
      <w:r>
        <w:rPr/>
        <w:t> </w:t>
      </w:r>
      <w:r>
        <w:rPr>
          <w:spacing w:val="-1"/>
          <w:w w:val="100"/>
        </w:rPr>
        <w:t>c</w:t>
      </w:r>
      <w:r>
        <w:rPr>
          <w:w w:val="100"/>
        </w:rPr>
        <w:t>omo </w:t>
      </w:r>
      <w:r>
        <w:rPr>
          <w:spacing w:val="-1"/>
          <w:w w:val="44"/>
        </w:rPr>
        <w:t>―</w:t>
      </w:r>
      <w:r>
        <w:rPr>
          <w:spacing w:val="1"/>
        </w:rPr>
        <w:t>a</w:t>
      </w:r>
      <w:r>
        <w:rPr/>
        <w:t>r</w:t>
      </w:r>
      <w:r>
        <w:rPr>
          <w:spacing w:val="-2"/>
        </w:rPr>
        <w:t>r</w:t>
      </w:r>
      <w:r>
        <w:rPr>
          <w:spacing w:val="-1"/>
        </w:rPr>
        <w:t>a</w:t>
      </w:r>
      <w:r>
        <w:rPr/>
        <w:t>njos</w:t>
      </w:r>
      <w:r>
        <w:rPr>
          <w:spacing w:val="2"/>
        </w:rPr>
        <w:t> </w:t>
      </w:r>
      <w:r>
        <w:rPr>
          <w:spacing w:val="-1"/>
        </w:rPr>
        <w:t>a</w:t>
      </w:r>
      <w:r>
        <w:rPr>
          <w:spacing w:val="2"/>
        </w:rPr>
        <w:t>d</w:t>
      </w:r>
      <w:r>
        <w:rPr/>
        <w:t>mi</w:t>
      </w:r>
      <w:r>
        <w:rPr>
          <w:w w:val="99"/>
        </w:rPr>
        <w:t>nis</w:t>
      </w:r>
      <w:r>
        <w:rPr>
          <w:spacing w:val="1"/>
          <w:w w:val="99"/>
        </w:rPr>
        <w:t>t</w:t>
      </w:r>
      <w:r>
        <w:rPr>
          <w:w w:val="99"/>
        </w:rPr>
        <w:t>r</w:t>
      </w:r>
      <w:r>
        <w:rPr>
          <w:spacing w:val="-2"/>
          <w:w w:val="99"/>
        </w:rPr>
        <w:t>a</w:t>
      </w:r>
      <w:r>
        <w:rPr>
          <w:w w:val="99"/>
        </w:rPr>
        <w:t>tivos e</w:t>
      </w:r>
      <w:r>
        <w:rPr>
          <w:spacing w:val="-1"/>
          <w:w w:val="99"/>
        </w:rPr>
        <w:t> </w:t>
      </w:r>
      <w:r>
        <w:rPr>
          <w:w w:val="99"/>
        </w:rPr>
        <w:t>leg</w:t>
      </w:r>
      <w:r>
        <w:rPr>
          <w:spacing w:val="-2"/>
          <w:w w:val="99"/>
        </w:rPr>
        <w:t>a</w:t>
      </w:r>
      <w:r>
        <w:rPr>
          <w:w w:val="99"/>
        </w:rPr>
        <w:t>is,</w:t>
      </w:r>
      <w:r>
        <w:rPr>
          <w:spacing w:val="-1"/>
        </w:rPr>
        <w:t> </w:t>
      </w:r>
      <w:r>
        <w:rPr/>
        <w:t>ou</w:t>
      </w:r>
      <w:r>
        <w:rPr>
          <w:spacing w:val="2"/>
        </w:rPr>
        <w:t> </w:t>
      </w:r>
      <w:r>
        <w:rPr/>
        <w:t>mini pa</w:t>
      </w:r>
      <w:r>
        <w:rPr>
          <w:spacing w:val="-2"/>
        </w:rPr>
        <w:t>c</w:t>
      </w:r>
      <w:r>
        <w:rPr>
          <w:w w:val="99"/>
        </w:rPr>
        <w:t>tos,</w:t>
      </w:r>
      <w:r>
        <w:rPr>
          <w:spacing w:val="-1"/>
        </w:rPr>
        <w:t> </w:t>
      </w:r>
      <w:r>
        <w:rPr/>
        <w:t>ou fo</w:t>
      </w:r>
      <w:r>
        <w:rPr>
          <w:spacing w:val="-2"/>
        </w:rPr>
        <w:t>r</w:t>
      </w:r>
      <w:r>
        <w:rPr>
          <w:spacing w:val="2"/>
        </w:rPr>
        <w:t>m</w:t>
      </w:r>
      <w:r>
        <w:rPr>
          <w:spacing w:val="-1"/>
        </w:rPr>
        <w:t>a</w:t>
      </w:r>
      <w:r>
        <w:rPr>
          <w:w w:val="99"/>
        </w:rPr>
        <w:t>s</w:t>
      </w:r>
      <w:r>
        <w:rPr/>
        <w:t> </w:t>
      </w:r>
      <w:r>
        <w:rPr>
          <w:spacing w:val="2"/>
        </w:rPr>
        <w:t>d</w:t>
      </w:r>
      <w:r>
        <w:rPr/>
        <w:t>e</w:t>
      </w:r>
      <w:r>
        <w:rPr>
          <w:spacing w:val="-1"/>
        </w:rPr>
        <w:t> c</w:t>
      </w:r>
      <w:r>
        <w:rPr/>
        <w:t>olabo</w:t>
      </w:r>
      <w:r>
        <w:rPr>
          <w:spacing w:val="1"/>
        </w:rPr>
        <w:t>r</w:t>
      </w:r>
      <w:r>
        <w:rPr>
          <w:spacing w:val="-1"/>
        </w:rPr>
        <w:t>a</w:t>
      </w:r>
      <w:r>
        <w:rPr>
          <w:spacing w:val="1"/>
        </w:rPr>
        <w:t>ç</w:t>
      </w:r>
      <w:r>
        <w:rPr>
          <w:spacing w:val="-1"/>
        </w:rPr>
        <w:t>ã</w:t>
      </w:r>
      <w:r>
        <w:rPr/>
        <w:t>o, ou </w:t>
      </w:r>
      <w:r>
        <w:rPr>
          <w:spacing w:val="-27"/>
        </w:rPr>
        <w:t> </w:t>
      </w:r>
      <w:r>
        <w:rPr>
          <w:spacing w:val="-1"/>
          <w:w w:val="100"/>
        </w:rPr>
        <w:t>aç</w:t>
      </w:r>
      <w:r>
        <w:rPr>
          <w:w w:val="100"/>
        </w:rPr>
        <w:t>õ</w:t>
      </w:r>
      <w:r>
        <w:rPr>
          <w:spacing w:val="-1"/>
          <w:w w:val="100"/>
        </w:rPr>
        <w:t>e</w:t>
      </w:r>
      <w:r>
        <w:rPr>
          <w:w w:val="99"/>
        </w:rPr>
        <w:t>s</w:t>
      </w:r>
      <w:r>
        <w:rPr/>
        <w:t> </w:t>
      </w:r>
      <w:r>
        <w:rPr>
          <w:spacing w:val="-27"/>
        </w:rPr>
        <w:t> </w:t>
      </w:r>
      <w:r>
        <w:rPr>
          <w:spacing w:val="2"/>
        </w:rPr>
        <w:t>p</w:t>
      </w:r>
      <w:r>
        <w:rPr>
          <w:w w:val="100"/>
        </w:rPr>
        <w:t>re</w:t>
      </w:r>
      <w:r>
        <w:rPr>
          <w:spacing w:val="-1"/>
          <w:w w:val="100"/>
        </w:rPr>
        <w:t>cá</w:t>
      </w:r>
      <w:r>
        <w:rPr>
          <w:w w:val="100"/>
        </w:rPr>
        <w:t>ri</w:t>
      </w:r>
      <w:r>
        <w:rPr>
          <w:spacing w:val="-2"/>
          <w:w w:val="100"/>
        </w:rPr>
        <w:t>a</w:t>
      </w:r>
      <w:r>
        <w:rPr>
          <w:w w:val="99"/>
        </w:rPr>
        <w:t>s</w:t>
      </w:r>
      <w:r>
        <w:rPr/>
        <w:t> </w:t>
      </w:r>
      <w:r>
        <w:rPr>
          <w:spacing w:val="-24"/>
        </w:rPr>
        <w:t> </w:t>
      </w:r>
      <w:r>
        <w:rPr>
          <w:w w:val="100"/>
        </w:rPr>
        <w:t>e</w:t>
      </w:r>
      <w:r>
        <w:rPr/>
        <w:t> </w:t>
      </w:r>
      <w:r>
        <w:rPr>
          <w:spacing w:val="-28"/>
        </w:rPr>
        <w:t> </w:t>
      </w:r>
      <w:r>
        <w:rPr>
          <w:w w:val="100"/>
        </w:rPr>
        <w:t>n</w:t>
      </w:r>
      <w:r>
        <w:rPr>
          <w:spacing w:val="1"/>
          <w:w w:val="100"/>
        </w:rPr>
        <w:t>ã</w:t>
      </w:r>
      <w:r>
        <w:rPr/>
        <w:t>o </w:t>
      </w:r>
      <w:r>
        <w:rPr>
          <w:spacing w:val="-27"/>
        </w:rPr>
        <w:t> </w:t>
      </w:r>
      <w:r>
        <w:rPr>
          <w:w w:val="99"/>
        </w:rPr>
        <w:t>sis</w:t>
      </w:r>
      <w:r>
        <w:rPr>
          <w:w w:val="100"/>
        </w:rPr>
        <w:t>tem</w:t>
      </w:r>
      <w:r>
        <w:rPr>
          <w:spacing w:val="-1"/>
          <w:w w:val="100"/>
        </w:rPr>
        <w:t>á</w:t>
      </w:r>
      <w:r>
        <w:rPr>
          <w:w w:val="100"/>
        </w:rPr>
        <w:t>ti</w:t>
      </w:r>
      <w:r>
        <w:rPr>
          <w:spacing w:val="-1"/>
          <w:w w:val="100"/>
        </w:rPr>
        <w:t>ca</w:t>
      </w:r>
      <w:r>
        <w:rPr>
          <w:w w:val="117"/>
        </w:rPr>
        <w:t>s.‖</w:t>
      </w:r>
      <w:r>
        <w:rPr/>
        <w:t> </w:t>
      </w:r>
      <w:r>
        <w:rPr>
          <w:spacing w:val="-28"/>
        </w:rPr>
        <w:t> </w:t>
      </w:r>
      <w:r>
        <w:rPr>
          <w:w w:val="99"/>
        </w:rPr>
        <w:t>(CA</w:t>
      </w:r>
      <w:r>
        <w:rPr>
          <w:spacing w:val="1"/>
          <w:w w:val="99"/>
        </w:rPr>
        <w:t>VA</w:t>
      </w:r>
      <w:r>
        <w:rPr>
          <w:spacing w:val="-3"/>
          <w:w w:val="100"/>
        </w:rPr>
        <w:t>L</w:t>
      </w:r>
      <w:r>
        <w:rPr>
          <w:w w:val="100"/>
        </w:rPr>
        <w:t>C</w:t>
      </w:r>
      <w:r>
        <w:rPr>
          <w:w w:val="99"/>
        </w:rPr>
        <w:t>A</w:t>
      </w:r>
      <w:r>
        <w:rPr>
          <w:spacing w:val="-1"/>
          <w:w w:val="99"/>
        </w:rPr>
        <w:t>N</w:t>
      </w:r>
      <w:r>
        <w:rPr>
          <w:w w:val="100"/>
        </w:rPr>
        <w:t>TE,</w:t>
      </w:r>
      <w:r>
        <w:rPr/>
        <w:t> </w:t>
      </w:r>
      <w:r>
        <w:rPr>
          <w:spacing w:val="-25"/>
        </w:rPr>
        <w:t> </w:t>
      </w:r>
      <w:r>
        <w:rPr/>
        <w:t>2015, </w:t>
      </w:r>
      <w:r>
        <w:rPr>
          <w:spacing w:val="-27"/>
        </w:rPr>
        <w:t> </w:t>
      </w:r>
      <w:r>
        <w:rPr/>
        <w:t>p.117</w:t>
      </w:r>
      <w:r>
        <w:rPr>
          <w:spacing w:val="-1"/>
        </w:rPr>
        <w:t>)</w:t>
      </w:r>
      <w:r>
        <w:rPr>
          <w:w w:val="100"/>
        </w:rPr>
        <w:t>;</w:t>
      </w:r>
      <w:r>
        <w:rPr/>
        <w:t> </w:t>
      </w:r>
      <w:r>
        <w:rPr>
          <w:spacing w:val="-24"/>
        </w:rPr>
        <w:t> </w:t>
      </w:r>
      <w:r>
        <w:rPr/>
        <w:t>ou, </w:t>
      </w:r>
      <w:r>
        <w:rPr>
          <w:spacing w:val="-27"/>
        </w:rPr>
        <w:t> </w:t>
      </w:r>
      <w:r>
        <w:rPr>
          <w:spacing w:val="-1"/>
          <w:w w:val="44"/>
        </w:rPr>
        <w:t>―</w:t>
      </w:r>
      <w:r>
        <w:rPr>
          <w:spacing w:val="-1"/>
          <w:w w:val="100"/>
        </w:rPr>
        <w:t>a</w:t>
      </w:r>
      <w:r>
        <w:rPr>
          <w:w w:val="100"/>
        </w:rPr>
        <w:t>d</w:t>
      </w:r>
      <w:r>
        <w:rPr>
          <w:spacing w:val="-1"/>
          <w:w w:val="100"/>
        </w:rPr>
        <w:t>e</w:t>
      </w:r>
      <w:r>
        <w:rPr>
          <w:w w:val="99"/>
        </w:rPr>
        <w:t>s</w:t>
      </w:r>
      <w:r>
        <w:rPr>
          <w:spacing w:val="2"/>
          <w:w w:val="99"/>
        </w:rPr>
        <w:t>õ</w:t>
      </w:r>
      <w:r>
        <w:rPr>
          <w:spacing w:val="-1"/>
          <w:w w:val="100"/>
        </w:rPr>
        <w:t>e</w:t>
      </w:r>
      <w:r>
        <w:rPr>
          <w:w w:val="99"/>
        </w:rPr>
        <w:t>s </w:t>
      </w:r>
      <w:r>
        <w:rPr/>
        <w:t>compulsórias‖, revestidas como regime de colaboração (TEIXEIRA; MUTIM, 2009). O </w:t>
      </w:r>
      <w:r>
        <w:rPr>
          <w:w w:val="100"/>
        </w:rPr>
        <w:t>que</w:t>
      </w:r>
      <w:r>
        <w:rPr>
          <w:spacing w:val="3"/>
          <w:w w:val="100"/>
        </w:rPr>
        <w:t> </w:t>
      </w:r>
      <w:r>
        <w:rPr>
          <w:w w:val="100"/>
        </w:rPr>
        <w:t>pode</w:t>
      </w:r>
      <w:r>
        <w:rPr>
          <w:spacing w:val="5"/>
          <w:w w:val="100"/>
        </w:rPr>
        <w:t> </w:t>
      </w:r>
      <w:r>
        <w:rPr>
          <w:w w:val="99"/>
        </w:rPr>
        <w:t>s</w:t>
      </w:r>
      <w:r>
        <w:rPr>
          <w:spacing w:val="-1"/>
          <w:w w:val="99"/>
        </w:rPr>
        <w:t>e</w:t>
      </w:r>
      <w:r>
        <w:rPr>
          <w:w w:val="99"/>
        </w:rPr>
        <w:t>r</w:t>
      </w:r>
      <w:r>
        <w:rPr>
          <w:spacing w:val="6"/>
          <w:w w:val="99"/>
        </w:rPr>
        <w:t> </w:t>
      </w:r>
      <w:r>
        <w:rPr>
          <w:w w:val="100"/>
        </w:rPr>
        <w:t>r</w:t>
      </w:r>
      <w:r>
        <w:rPr>
          <w:spacing w:val="-2"/>
          <w:w w:val="100"/>
        </w:rPr>
        <w:t>e</w:t>
      </w:r>
      <w:r>
        <w:rPr>
          <w:w w:val="99"/>
        </w:rPr>
        <w:t>f</w:t>
      </w:r>
      <w:r>
        <w:rPr>
          <w:spacing w:val="1"/>
          <w:w w:val="99"/>
        </w:rPr>
        <w:t>o</w:t>
      </w:r>
      <w:r>
        <w:rPr>
          <w:w w:val="100"/>
        </w:rPr>
        <w:t>rç</w:t>
      </w:r>
      <w:r>
        <w:rPr>
          <w:spacing w:val="-1"/>
          <w:w w:val="100"/>
        </w:rPr>
        <w:t>a</w:t>
      </w:r>
      <w:r>
        <w:rPr/>
        <w:t>do</w:t>
      </w:r>
      <w:r>
        <w:rPr>
          <w:spacing w:val="4"/>
        </w:rPr>
        <w:t> </w:t>
      </w:r>
      <w:r>
        <w:rPr>
          <w:spacing w:val="1"/>
          <w:w w:val="100"/>
        </w:rPr>
        <w:t>c</w:t>
      </w:r>
      <w:r>
        <w:rPr>
          <w:w w:val="100"/>
        </w:rPr>
        <w:t>om</w:t>
      </w:r>
      <w:r>
        <w:rPr>
          <w:spacing w:val="5"/>
        </w:rPr>
        <w:t> </w:t>
      </w:r>
      <w:r>
        <w:rPr>
          <w:w w:val="99"/>
        </w:rPr>
        <w:t>os</w:t>
      </w:r>
      <w:r>
        <w:rPr>
          <w:spacing w:val="4"/>
        </w:rPr>
        <w:t> </w:t>
      </w:r>
      <w:r>
        <w:rPr>
          <w:spacing w:val="-1"/>
          <w:w w:val="100"/>
        </w:rPr>
        <w:t>a</w:t>
      </w:r>
      <w:r>
        <w:rPr>
          <w:spacing w:val="1"/>
          <w:w w:val="99"/>
        </w:rPr>
        <w:t>r</w:t>
      </w:r>
      <w:r>
        <w:rPr>
          <w:spacing w:val="-3"/>
          <w:w w:val="99"/>
        </w:rPr>
        <w:t>g</w:t>
      </w:r>
      <w:r>
        <w:rPr>
          <w:w w:val="100"/>
        </w:rPr>
        <w:t>umentos</w:t>
      </w:r>
      <w:r>
        <w:rPr>
          <w:spacing w:val="4"/>
          <w:w w:val="100"/>
        </w:rPr>
        <w:t> </w:t>
      </w:r>
      <w:r>
        <w:rPr>
          <w:spacing w:val="2"/>
          <w:w w:val="100"/>
        </w:rPr>
        <w:t>d</w:t>
      </w:r>
      <w:r>
        <w:rPr>
          <w:w w:val="100"/>
        </w:rPr>
        <w:t>e</w:t>
      </w:r>
      <w:r>
        <w:rPr>
          <w:spacing w:val="6"/>
        </w:rPr>
        <w:t> </w:t>
      </w:r>
      <w:r>
        <w:rPr>
          <w:spacing w:val="-2"/>
          <w:w w:val="99"/>
        </w:rPr>
        <w:t>F</w:t>
      </w:r>
      <w:r>
        <w:rPr>
          <w:spacing w:val="-1"/>
          <w:w w:val="100"/>
        </w:rPr>
        <w:t>e</w:t>
      </w:r>
      <w:r>
        <w:rPr>
          <w:spacing w:val="1"/>
          <w:w w:val="99"/>
        </w:rPr>
        <w:t>r</w:t>
      </w:r>
      <w:r>
        <w:rPr>
          <w:w w:val="100"/>
        </w:rPr>
        <w:t>n</w:t>
      </w:r>
      <w:r>
        <w:rPr>
          <w:spacing w:val="-1"/>
          <w:w w:val="100"/>
        </w:rPr>
        <w:t>a</w:t>
      </w:r>
      <w:r>
        <w:rPr>
          <w:w w:val="100"/>
        </w:rPr>
        <w:t>nd</w:t>
      </w:r>
      <w:r>
        <w:rPr>
          <w:spacing w:val="-1"/>
          <w:w w:val="100"/>
        </w:rPr>
        <w:t>e</w:t>
      </w:r>
      <w:r>
        <w:rPr>
          <w:w w:val="99"/>
        </w:rPr>
        <w:t>s</w:t>
      </w:r>
      <w:r>
        <w:rPr>
          <w:spacing w:val="4"/>
        </w:rPr>
        <w:t> </w:t>
      </w:r>
      <w:r>
        <w:rPr/>
        <w:t>(201</w:t>
      </w:r>
      <w:r>
        <w:rPr>
          <w:spacing w:val="-1"/>
        </w:rPr>
        <w:t>3</w:t>
      </w:r>
      <w:r>
        <w:rPr/>
        <w:t>,</w:t>
      </w:r>
      <w:r>
        <w:rPr>
          <w:spacing w:val="6"/>
        </w:rPr>
        <w:t> </w:t>
      </w:r>
      <w:r>
        <w:rPr/>
        <w:t>p.</w:t>
      </w:r>
      <w:r>
        <w:rPr>
          <w:spacing w:val="4"/>
        </w:rPr>
        <w:t> </w:t>
      </w:r>
      <w:r>
        <w:rPr/>
        <w:t>173):</w:t>
      </w:r>
      <w:r>
        <w:rPr>
          <w:spacing w:val="6"/>
        </w:rPr>
        <w:t> </w:t>
      </w:r>
      <w:r>
        <w:rPr>
          <w:spacing w:val="1"/>
          <w:w w:val="44"/>
        </w:rPr>
        <w:t>―</w:t>
      </w:r>
      <w:r>
        <w:rPr>
          <w:w w:val="99"/>
        </w:rPr>
        <w:t>Essa</w:t>
      </w:r>
      <w:r>
        <w:rPr>
          <w:spacing w:val="3"/>
          <w:w w:val="99"/>
        </w:rPr>
        <w:t> </w:t>
      </w:r>
      <w:r>
        <w:rPr>
          <w:spacing w:val="-1"/>
          <w:w w:val="100"/>
        </w:rPr>
        <w:t>a</w:t>
      </w:r>
      <w:r>
        <w:rPr>
          <w:w w:val="99"/>
        </w:rPr>
        <w:t>usê</w:t>
      </w:r>
      <w:r>
        <w:rPr>
          <w:spacing w:val="1"/>
          <w:w w:val="99"/>
        </w:rPr>
        <w:t>n</w:t>
      </w:r>
      <w:r>
        <w:rPr>
          <w:spacing w:val="-1"/>
          <w:w w:val="100"/>
        </w:rPr>
        <w:t>c</w:t>
      </w:r>
      <w:r>
        <w:rPr>
          <w:w w:val="100"/>
        </w:rPr>
        <w:t>ia </w:t>
      </w:r>
      <w:r>
        <w:rPr/>
        <w:t>possibilita, aos entes federados, a condução de suas políticas da maneira que bem lhes convém. Assim, as ações realizadas acabam por ficar na dependência da articulação e interesse dos dirigentes da União, estados e</w:t>
      </w:r>
      <w:r>
        <w:rPr>
          <w:spacing w:val="34"/>
        </w:rPr>
        <w:t> </w:t>
      </w:r>
      <w:r>
        <w:rPr/>
        <w:t>municípios‖.</w:t>
      </w:r>
    </w:p>
    <w:p>
      <w:pPr>
        <w:pStyle w:val="BodyText"/>
        <w:spacing w:line="360" w:lineRule="auto" w:before="5"/>
        <w:ind w:left="102" w:right="120" w:firstLine="851"/>
        <w:jc w:val="both"/>
      </w:pPr>
      <w:r>
        <w:rPr/>
        <w:t>Ao tentar apreender intencionalidades do processo e nos PMEs, considerando, em especial, as concepções do planejamento, se assentado na alienação/conservação  ou</w:t>
      </w:r>
    </w:p>
    <w:p>
      <w:pPr>
        <w:spacing w:after="0" w:line="360" w:lineRule="auto"/>
        <w:jc w:val="both"/>
        <w:sectPr>
          <w:headerReference w:type="default" r:id="rId121"/>
          <w:pgSz w:w="11910" w:h="16840"/>
          <w:pgMar w:header="749" w:footer="0" w:top="960" w:bottom="280" w:left="1600" w:right="1580"/>
          <w:pgNumType w:start="150"/>
        </w:sectPr>
      </w:pPr>
    </w:p>
    <w:p>
      <w:pPr>
        <w:pStyle w:val="BodyText"/>
        <w:rPr>
          <w:sz w:val="20"/>
        </w:rPr>
      </w:pPr>
    </w:p>
    <w:p>
      <w:pPr>
        <w:pStyle w:val="BodyText"/>
        <w:spacing w:line="360" w:lineRule="auto" w:before="210"/>
        <w:ind w:left="102" w:right="119"/>
        <w:jc w:val="both"/>
      </w:pPr>
      <w:r>
        <w:rPr/>
        <w:t>na transformação/compromisso social, arriscamos responder da presença da disputa, mas da força da conservação, em especial, se observarmos a própria ausência de diálogo quanto ao significado do aspecto chave do processo, ou seja, do alinhamento; das dificuldades em avançar as etapas do processo, no acesso aos dados e na efetivação dos trabalhos de forma democrática envolvendo as Comissões Representativas da Sociedade; na defesa dos mais variados tipos de consultas públicas, não especificamente das Conferências de Educação; na falta de transparência quanto aos critérios utilizados pelos envolvidos no processo para selecionarem as metas e as estratégias que foram estabelecidas nos PMEs; no próprio prazo de um ano para elaborar um PME, desconsiderando as especificidades locais [mas no Tocantins alguns Municípios elaboraram seus PMEs em quatro meses ou dois!]; da polarização das discussões nas plenárias de Câmaras de Vereadores quando da aprovação dos PMEs acerca de algumas poucas</w:t>
      </w:r>
      <w:r>
        <w:rPr>
          <w:spacing w:val="-6"/>
        </w:rPr>
        <w:t> </w:t>
      </w:r>
      <w:r>
        <w:rPr/>
        <w:t>temáticas.</w:t>
      </w:r>
    </w:p>
    <w:p>
      <w:pPr>
        <w:pStyle w:val="BodyText"/>
        <w:spacing w:line="360" w:lineRule="auto" w:before="5"/>
        <w:ind w:left="102" w:right="120" w:firstLine="851"/>
        <w:jc w:val="both"/>
      </w:pPr>
      <w:r>
        <w:rPr/>
        <w:t>Nesse sentido, Gentilini (s/d, p. 1) reitera nossa preocupação ao levantar a hipótese de que a elaboração de Planos pelos outros entes federados, que não a União, gera a possibilidade significativa para a inovação em gestão educacional e escolar, e deixa a questão de que é preciso investigar se isto está ocorrendo:</w:t>
      </w:r>
    </w:p>
    <w:p>
      <w:pPr>
        <w:pStyle w:val="BodyText"/>
        <w:spacing w:before="3"/>
        <w:rPr>
          <w:sz w:val="36"/>
        </w:rPr>
      </w:pPr>
    </w:p>
    <w:p>
      <w:pPr>
        <w:spacing w:before="0"/>
        <w:ind w:left="2370" w:right="123" w:firstLine="0"/>
        <w:jc w:val="both"/>
        <w:rPr>
          <w:sz w:val="20"/>
        </w:rPr>
      </w:pPr>
      <w:r>
        <w:rPr>
          <w:sz w:val="20"/>
        </w:rPr>
        <w:t>É uma novidade, de certa forma, na gestão da educação brasileira, já que os estados e Municípios sempre exerceram um papel secundário neste processo, </w:t>
      </w:r>
      <w:r>
        <w:rPr>
          <w:w w:val="99"/>
          <w:sz w:val="20"/>
        </w:rPr>
        <w:t>n</w:t>
      </w:r>
      <w:r>
        <w:rPr>
          <w:w w:val="99"/>
          <w:sz w:val="20"/>
        </w:rPr>
        <w:t>a</w:t>
      </w:r>
      <w:r>
        <w:rPr>
          <w:sz w:val="20"/>
        </w:rPr>
        <w:t>  </w:t>
      </w:r>
      <w:r>
        <w:rPr>
          <w:w w:val="99"/>
          <w:sz w:val="20"/>
        </w:rPr>
        <w:t>medid</w:t>
      </w:r>
      <w:r>
        <w:rPr>
          <w:w w:val="99"/>
          <w:sz w:val="20"/>
        </w:rPr>
        <w:t>a</w:t>
      </w:r>
      <w:r>
        <w:rPr>
          <w:sz w:val="20"/>
        </w:rPr>
        <w:t>  </w:t>
      </w:r>
      <w:r>
        <w:rPr>
          <w:w w:val="99"/>
          <w:sz w:val="20"/>
        </w:rPr>
        <w:t>e</w:t>
      </w:r>
      <w:r>
        <w:rPr>
          <w:w w:val="99"/>
          <w:sz w:val="20"/>
        </w:rPr>
        <w:t>m</w:t>
      </w:r>
      <w:r>
        <w:rPr>
          <w:sz w:val="20"/>
        </w:rPr>
        <w:t>  </w:t>
      </w:r>
      <w:r>
        <w:rPr>
          <w:w w:val="99"/>
          <w:sz w:val="20"/>
        </w:rPr>
        <w:t>qu</w:t>
      </w:r>
      <w:r>
        <w:rPr>
          <w:w w:val="99"/>
          <w:sz w:val="20"/>
        </w:rPr>
        <w:t>e</w:t>
      </w:r>
      <w:r>
        <w:rPr>
          <w:sz w:val="20"/>
        </w:rPr>
        <w:t>  </w:t>
      </w:r>
      <w:r>
        <w:rPr>
          <w:w w:val="44"/>
          <w:sz w:val="20"/>
        </w:rPr>
        <w:t>―</w:t>
      </w:r>
      <w:r>
        <w:rPr>
          <w:w w:val="99"/>
          <w:sz w:val="20"/>
        </w:rPr>
        <w:t>p</w:t>
      </w:r>
      <w:r>
        <w:rPr>
          <w:w w:val="99"/>
          <w:sz w:val="20"/>
        </w:rPr>
        <w:t>la</w:t>
      </w:r>
      <w:r>
        <w:rPr>
          <w:w w:val="99"/>
          <w:sz w:val="20"/>
        </w:rPr>
        <w:t>n</w:t>
      </w:r>
      <w:r>
        <w:rPr>
          <w:w w:val="99"/>
          <w:sz w:val="20"/>
        </w:rPr>
        <w:t>ej</w:t>
      </w:r>
      <w:r>
        <w:rPr>
          <w:w w:val="99"/>
          <w:sz w:val="20"/>
        </w:rPr>
        <w:t>ar</w:t>
      </w:r>
      <w:r>
        <w:rPr>
          <w:sz w:val="20"/>
        </w:rPr>
        <w:t>  </w:t>
      </w:r>
      <w:r>
        <w:rPr>
          <w:w w:val="99"/>
          <w:sz w:val="20"/>
        </w:rPr>
        <w:t>a</w:t>
      </w:r>
      <w:r>
        <w:rPr>
          <w:sz w:val="20"/>
        </w:rPr>
        <w:t>  </w:t>
      </w:r>
      <w:r>
        <w:rPr>
          <w:w w:val="99"/>
          <w:sz w:val="20"/>
        </w:rPr>
        <w:t>ed</w:t>
      </w:r>
      <w:r>
        <w:rPr>
          <w:w w:val="99"/>
          <w:sz w:val="20"/>
        </w:rPr>
        <w:t>u</w:t>
      </w:r>
      <w:r>
        <w:rPr>
          <w:w w:val="99"/>
          <w:sz w:val="20"/>
        </w:rPr>
        <w:t>caçã</w:t>
      </w:r>
      <w:r>
        <w:rPr>
          <w:w w:val="99"/>
          <w:sz w:val="20"/>
        </w:rPr>
        <w:t>o</w:t>
      </w:r>
      <w:r>
        <w:rPr>
          <w:w w:val="157"/>
          <w:sz w:val="20"/>
        </w:rPr>
        <w:t>‖</w:t>
      </w:r>
      <w:r>
        <w:rPr>
          <w:sz w:val="20"/>
        </w:rPr>
        <w:t>  </w:t>
      </w:r>
      <w:r>
        <w:rPr>
          <w:w w:val="99"/>
          <w:sz w:val="20"/>
        </w:rPr>
        <w:t>er</w:t>
      </w:r>
      <w:r>
        <w:rPr>
          <w:w w:val="99"/>
          <w:sz w:val="20"/>
        </w:rPr>
        <w:t>a</w:t>
      </w:r>
      <w:r>
        <w:rPr>
          <w:sz w:val="20"/>
        </w:rPr>
        <w:t>  </w:t>
      </w:r>
      <w:r>
        <w:rPr>
          <w:w w:val="99"/>
          <w:sz w:val="20"/>
        </w:rPr>
        <w:t>at</w:t>
      </w:r>
      <w:r>
        <w:rPr>
          <w:w w:val="99"/>
          <w:sz w:val="20"/>
        </w:rPr>
        <w:t>r</w:t>
      </w:r>
      <w:r>
        <w:rPr>
          <w:w w:val="99"/>
          <w:sz w:val="20"/>
        </w:rPr>
        <w:t>ib</w:t>
      </w:r>
      <w:r>
        <w:rPr>
          <w:w w:val="99"/>
          <w:sz w:val="20"/>
        </w:rPr>
        <w:t>u</w:t>
      </w:r>
      <w:r>
        <w:rPr>
          <w:w w:val="99"/>
          <w:sz w:val="20"/>
        </w:rPr>
        <w:t>ição</w:t>
      </w:r>
      <w:r>
        <w:rPr>
          <w:sz w:val="20"/>
        </w:rPr>
        <w:t>  </w:t>
      </w:r>
      <w:r>
        <w:rPr>
          <w:w w:val="99"/>
          <w:sz w:val="20"/>
        </w:rPr>
        <w:t>d</w:t>
      </w:r>
      <w:r>
        <w:rPr>
          <w:w w:val="99"/>
          <w:sz w:val="20"/>
        </w:rPr>
        <w:t>a</w:t>
      </w:r>
      <w:r>
        <w:rPr>
          <w:sz w:val="20"/>
        </w:rPr>
        <w:t>  </w:t>
      </w:r>
      <w:r>
        <w:rPr>
          <w:w w:val="99"/>
          <w:sz w:val="20"/>
        </w:rPr>
        <w:t>Un</w:t>
      </w:r>
      <w:r>
        <w:rPr>
          <w:w w:val="99"/>
          <w:sz w:val="20"/>
        </w:rPr>
        <w:t>ião</w:t>
      </w:r>
      <w:r>
        <w:rPr>
          <w:sz w:val="20"/>
        </w:rPr>
        <w:t>  </w:t>
      </w:r>
      <w:r>
        <w:rPr>
          <w:w w:val="99"/>
          <w:sz w:val="20"/>
        </w:rPr>
        <w:t>qu</w:t>
      </w:r>
      <w:r>
        <w:rPr>
          <w:w w:val="99"/>
          <w:sz w:val="20"/>
        </w:rPr>
        <w:t>e </w:t>
      </w:r>
      <w:r>
        <w:rPr>
          <w:sz w:val="20"/>
        </w:rPr>
        <w:t>elaborava os planos educacionais dentro dos limites estabelecidos pelo governo federal. O direito de o Estado e, agora, o Município, de planejarem sua educação dentro de seus limites político administrativos (ou em consórcio com outros Municípios em uma determinada região), abre segundo nossa hipótese, possibilidades significativas para a inovação em gestão educacional e escolar. Trata-se de saber se isto está ocorrendo.</w:t>
      </w:r>
    </w:p>
    <w:p>
      <w:pPr>
        <w:pStyle w:val="BodyText"/>
        <w:rPr>
          <w:sz w:val="22"/>
        </w:rPr>
      </w:pPr>
    </w:p>
    <w:p>
      <w:pPr>
        <w:pStyle w:val="BodyText"/>
        <w:spacing w:line="360" w:lineRule="auto" w:before="160"/>
        <w:ind w:left="102" w:right="119" w:firstLine="851"/>
        <w:jc w:val="both"/>
      </w:pPr>
      <w:r>
        <w:rPr/>
        <w:t>Por fim, do exposto, fica reforçado, em nossa concepção, a necessidade de </w:t>
      </w:r>
      <w:r>
        <w:rPr>
          <w:spacing w:val="-1"/>
        </w:rPr>
        <w:t>e</w:t>
      </w:r>
      <w:r>
        <w:rPr/>
        <w:t>studar  </w:t>
      </w:r>
      <w:r>
        <w:rPr>
          <w:spacing w:val="-16"/>
        </w:rPr>
        <w:t> </w:t>
      </w:r>
      <w:r>
        <w:rPr>
          <w:spacing w:val="-1"/>
        </w:rPr>
        <w:t>a</w:t>
      </w:r>
      <w:r>
        <w:rPr>
          <w:w w:val="99"/>
        </w:rPr>
        <w:t>s</w:t>
      </w:r>
      <w:r>
        <w:rPr/>
        <w:t>  </w:t>
      </w:r>
      <w:r>
        <w:rPr>
          <w:spacing w:val="-15"/>
        </w:rPr>
        <w:t> </w:t>
      </w:r>
      <w:r>
        <w:rPr/>
        <w:t>políti</w:t>
      </w:r>
      <w:r>
        <w:rPr>
          <w:spacing w:val="-1"/>
        </w:rPr>
        <w:t>ca</w:t>
      </w:r>
      <w:r>
        <w:rPr>
          <w:w w:val="99"/>
        </w:rPr>
        <w:t>s</w:t>
      </w:r>
      <w:r>
        <w:rPr/>
        <w:t>  </w:t>
      </w:r>
      <w:r>
        <w:rPr>
          <w:spacing w:val="-15"/>
        </w:rPr>
        <w:t> </w:t>
      </w:r>
      <w:r>
        <w:rPr>
          <w:w w:val="100"/>
        </w:rPr>
        <w:t>públi</w:t>
      </w:r>
      <w:r>
        <w:rPr>
          <w:spacing w:val="-1"/>
          <w:w w:val="100"/>
        </w:rPr>
        <w:t>ca</w:t>
      </w:r>
      <w:r>
        <w:rPr>
          <w:w w:val="99"/>
        </w:rPr>
        <w:t>s,</w:t>
      </w:r>
      <w:r>
        <w:rPr/>
        <w:t>  </w:t>
      </w:r>
      <w:r>
        <w:rPr>
          <w:spacing w:val="-15"/>
        </w:rPr>
        <w:t> </w:t>
      </w:r>
      <w:r>
        <w:rPr>
          <w:spacing w:val="-1"/>
          <w:w w:val="44"/>
        </w:rPr>
        <w:t>―</w:t>
      </w:r>
      <w:r>
        <w:rPr>
          <w:spacing w:val="-1"/>
          <w:w w:val="100"/>
        </w:rPr>
        <w:t>e</w:t>
      </w:r>
      <w:r>
        <w:rPr>
          <w:w w:val="100"/>
        </w:rPr>
        <w:t>ntendid</w:t>
      </w:r>
      <w:r>
        <w:rPr>
          <w:spacing w:val="-1"/>
          <w:w w:val="100"/>
        </w:rPr>
        <w:t>a</w:t>
      </w:r>
      <w:r>
        <w:rPr>
          <w:w w:val="99"/>
        </w:rPr>
        <w:t>s</w:t>
      </w:r>
      <w:r>
        <w:rPr/>
        <w:t>  </w:t>
      </w:r>
      <w:r>
        <w:rPr>
          <w:spacing w:val="-15"/>
        </w:rPr>
        <w:t> </w:t>
      </w:r>
      <w:r>
        <w:rPr>
          <w:spacing w:val="-1"/>
          <w:w w:val="100"/>
        </w:rPr>
        <w:t>c</w:t>
      </w:r>
      <w:r>
        <w:rPr>
          <w:spacing w:val="2"/>
        </w:rPr>
        <w:t>o</w:t>
      </w:r>
      <w:r>
        <w:rPr>
          <w:w w:val="100"/>
        </w:rPr>
        <w:t>mo</w:t>
      </w:r>
      <w:r>
        <w:rPr/>
        <w:t>  </w:t>
      </w:r>
      <w:r>
        <w:rPr>
          <w:spacing w:val="-15"/>
        </w:rPr>
        <w:t> </w:t>
      </w:r>
      <w:r>
        <w:rPr>
          <w:spacing w:val="-1"/>
          <w:w w:val="100"/>
        </w:rPr>
        <w:t>açã</w:t>
      </w:r>
      <w:r>
        <w:rPr/>
        <w:t>o  </w:t>
      </w:r>
      <w:r>
        <w:rPr>
          <w:spacing w:val="-15"/>
        </w:rPr>
        <w:t> </w:t>
      </w:r>
      <w:r>
        <w:rPr>
          <w:w w:val="100"/>
        </w:rPr>
        <w:t>públi</w:t>
      </w:r>
      <w:r>
        <w:rPr>
          <w:spacing w:val="-1"/>
          <w:w w:val="100"/>
        </w:rPr>
        <w:t>ca</w:t>
      </w:r>
      <w:r>
        <w:rPr>
          <w:spacing w:val="-1"/>
          <w:w w:val="158"/>
        </w:rPr>
        <w:t>‖</w:t>
      </w:r>
      <w:r>
        <w:rPr/>
        <w:t>,  </w:t>
      </w:r>
      <w:r>
        <w:rPr>
          <w:spacing w:val="-15"/>
        </w:rPr>
        <w:t> </w:t>
      </w:r>
      <w:r>
        <w:rPr>
          <w:spacing w:val="-1"/>
          <w:w w:val="100"/>
        </w:rPr>
        <w:t>c</w:t>
      </w:r>
      <w:r>
        <w:rPr>
          <w:spacing w:val="2"/>
        </w:rPr>
        <w:t>o</w:t>
      </w:r>
      <w:r>
        <w:rPr/>
        <w:t>nside</w:t>
      </w:r>
      <w:r>
        <w:rPr>
          <w:spacing w:val="-1"/>
        </w:rPr>
        <w:t>r</w:t>
      </w:r>
      <w:r>
        <w:rPr>
          <w:spacing w:val="-1"/>
          <w:w w:val="100"/>
        </w:rPr>
        <w:t>a</w:t>
      </w:r>
      <w:r>
        <w:rPr/>
        <w:t>ndo  </w:t>
      </w:r>
      <w:r>
        <w:rPr>
          <w:spacing w:val="-15"/>
        </w:rPr>
        <w:t> </w:t>
      </w:r>
      <w:r>
        <w:rPr>
          <w:spacing w:val="-1"/>
          <w:w w:val="100"/>
        </w:rPr>
        <w:t>a</w:t>
      </w:r>
      <w:r>
        <w:rPr>
          <w:w w:val="99"/>
        </w:rPr>
        <w:t>s</w:t>
      </w:r>
    </w:p>
    <w:p>
      <w:pPr>
        <w:pStyle w:val="BodyText"/>
        <w:spacing w:line="360" w:lineRule="auto" w:before="3"/>
        <w:ind w:left="102" w:right="121"/>
        <w:jc w:val="both"/>
      </w:pPr>
      <w:r>
        <w:rPr>
          <w:spacing w:val="-1"/>
          <w:w w:val="44"/>
        </w:rPr>
        <w:t>―</w:t>
      </w:r>
      <w:r>
        <w:rPr>
          <w:w w:val="100"/>
        </w:rPr>
        <w:t>int</w:t>
      </w:r>
      <w:r>
        <w:rPr>
          <w:spacing w:val="-1"/>
          <w:w w:val="100"/>
        </w:rPr>
        <w:t>e</w:t>
      </w:r>
      <w:r>
        <w:rPr>
          <w:w w:val="100"/>
        </w:rPr>
        <w:t>r</w:t>
      </w:r>
      <w:r>
        <w:rPr>
          <w:spacing w:val="-2"/>
          <w:w w:val="100"/>
        </w:rPr>
        <w:t>a</w:t>
      </w:r>
      <w:r>
        <w:rPr>
          <w:spacing w:val="-1"/>
          <w:w w:val="100"/>
        </w:rPr>
        <w:t>ç</w:t>
      </w:r>
      <w:r>
        <w:rPr>
          <w:spacing w:val="2"/>
        </w:rPr>
        <w:t>õ</w:t>
      </w:r>
      <w:r>
        <w:rPr>
          <w:spacing w:val="-1"/>
          <w:w w:val="100"/>
        </w:rPr>
        <w:t>e</w:t>
      </w:r>
      <w:r>
        <w:rPr>
          <w:w w:val="99"/>
        </w:rPr>
        <w:t>s,</w:t>
      </w:r>
      <w:r>
        <w:rPr>
          <w:spacing w:val="12"/>
        </w:rPr>
        <w:t> </w:t>
      </w:r>
      <w:r>
        <w:rPr>
          <w:w w:val="99"/>
        </w:rPr>
        <w:t>os</w:t>
      </w:r>
      <w:r>
        <w:rPr>
          <w:spacing w:val="12"/>
        </w:rPr>
        <w:t> </w:t>
      </w:r>
      <w:r>
        <w:rPr/>
        <w:t>s</w:t>
      </w:r>
      <w:r>
        <w:rPr>
          <w:spacing w:val="-1"/>
        </w:rPr>
        <w:t>e</w:t>
      </w:r>
      <w:r>
        <w:rPr>
          <w:w w:val="100"/>
        </w:rPr>
        <w:t>nti</w:t>
      </w:r>
      <w:r>
        <w:rPr>
          <w:w w:val="99"/>
        </w:rPr>
        <w:t>dos</w:t>
      </w:r>
      <w:r>
        <w:rPr>
          <w:spacing w:val="12"/>
        </w:rPr>
        <w:t> </w:t>
      </w:r>
      <w:r>
        <w:rPr>
          <w:spacing w:val="-1"/>
          <w:w w:val="100"/>
        </w:rPr>
        <w:t>e</w:t>
      </w:r>
      <w:r>
        <w:rPr>
          <w:w w:val="100"/>
        </w:rPr>
        <w:t>stab</w:t>
      </w:r>
      <w:r>
        <w:rPr>
          <w:spacing w:val="-2"/>
          <w:w w:val="100"/>
        </w:rPr>
        <w:t>e</w:t>
      </w:r>
      <w:r>
        <w:rPr>
          <w:w w:val="100"/>
        </w:rPr>
        <w:t>le</w:t>
      </w:r>
      <w:r>
        <w:rPr>
          <w:spacing w:val="-2"/>
          <w:w w:val="100"/>
        </w:rPr>
        <w:t>c</w:t>
      </w:r>
      <w:r>
        <w:rPr/>
        <w:t>idos</w:t>
      </w:r>
      <w:r>
        <w:rPr>
          <w:spacing w:val="12"/>
        </w:rPr>
        <w:t> </w:t>
      </w:r>
      <w:r>
        <w:rPr/>
        <w:t>por</w:t>
      </w:r>
      <w:r>
        <w:rPr>
          <w:spacing w:val="11"/>
        </w:rPr>
        <w:t> </w:t>
      </w:r>
      <w:r>
        <w:rPr>
          <w:w w:val="100"/>
        </w:rPr>
        <w:t>div</w:t>
      </w:r>
      <w:r>
        <w:rPr>
          <w:spacing w:val="1"/>
          <w:w w:val="100"/>
        </w:rPr>
        <w:t>e</w:t>
      </w:r>
      <w:r>
        <w:rPr>
          <w:w w:val="99"/>
        </w:rPr>
        <w:t>rsos</w:t>
      </w:r>
      <w:r>
        <w:rPr>
          <w:spacing w:val="11"/>
        </w:rPr>
        <w:t> </w:t>
      </w:r>
      <w:r>
        <w:rPr>
          <w:spacing w:val="-1"/>
          <w:w w:val="100"/>
        </w:rPr>
        <w:t>a</w:t>
      </w:r>
      <w:r>
        <w:rPr>
          <w:w w:val="100"/>
        </w:rPr>
        <w:t>tor</w:t>
      </w:r>
      <w:r>
        <w:rPr>
          <w:spacing w:val="-2"/>
          <w:w w:val="100"/>
        </w:rPr>
        <w:t>e</w:t>
      </w:r>
      <w:r>
        <w:rPr>
          <w:w w:val="99"/>
        </w:rPr>
        <w:t>s</w:t>
      </w:r>
      <w:r>
        <w:rPr>
          <w:spacing w:val="12"/>
        </w:rPr>
        <w:t> </w:t>
      </w:r>
      <w:r>
        <w:rPr>
          <w:w w:val="100"/>
        </w:rPr>
        <w:t>e</w:t>
      </w:r>
      <w:r>
        <w:rPr>
          <w:spacing w:val="10"/>
        </w:rPr>
        <w:t> </w:t>
      </w:r>
      <w:r>
        <w:rPr>
          <w:w w:val="99"/>
        </w:rPr>
        <w:t>os</w:t>
      </w:r>
      <w:r>
        <w:rPr>
          <w:spacing w:val="12"/>
        </w:rPr>
        <w:t> </w:t>
      </w:r>
      <w:r>
        <w:rPr/>
        <w:t>p</w:t>
      </w:r>
      <w:r>
        <w:rPr>
          <w:spacing w:val="-1"/>
        </w:rPr>
        <w:t>r</w:t>
      </w:r>
      <w:r>
        <w:rPr>
          <w:w w:val="100"/>
        </w:rPr>
        <w:t>o</w:t>
      </w:r>
      <w:r>
        <w:rPr>
          <w:spacing w:val="-1"/>
          <w:w w:val="100"/>
        </w:rPr>
        <w:t>c</w:t>
      </w:r>
      <w:r>
        <w:rPr>
          <w:spacing w:val="-1"/>
          <w:w w:val="100"/>
        </w:rPr>
        <w:t>e</w:t>
      </w:r>
      <w:r>
        <w:rPr>
          <w:w w:val="100"/>
        </w:rPr>
        <w:t>dim</w:t>
      </w:r>
      <w:r>
        <w:rPr>
          <w:spacing w:val="-1"/>
          <w:w w:val="100"/>
        </w:rPr>
        <w:t>e</w:t>
      </w:r>
      <w:r>
        <w:rPr>
          <w:spacing w:val="2"/>
        </w:rPr>
        <w:t>n</w:t>
      </w:r>
      <w:r>
        <w:rPr/>
        <w:t>tos,</w:t>
      </w:r>
      <w:r>
        <w:rPr>
          <w:spacing w:val="12"/>
        </w:rPr>
        <w:t> </w:t>
      </w:r>
      <w:r>
        <w:rPr>
          <w:w w:val="100"/>
        </w:rPr>
        <w:t>norm</w:t>
      </w:r>
      <w:r>
        <w:rPr>
          <w:spacing w:val="-2"/>
          <w:w w:val="100"/>
        </w:rPr>
        <w:t>a</w:t>
      </w:r>
      <w:r>
        <w:rPr>
          <w:w w:val="99"/>
        </w:rPr>
        <w:t>s</w:t>
      </w:r>
      <w:r>
        <w:rPr>
          <w:spacing w:val="12"/>
        </w:rPr>
        <w:t> </w:t>
      </w:r>
      <w:r>
        <w:rPr>
          <w:w w:val="100"/>
        </w:rPr>
        <w:t>e </w:t>
      </w:r>
      <w:r>
        <w:rPr/>
        <w:t>instituições pelos quais interagem‖, direcionando as investigações a respeito de como ações ou projetos governamentais são apropriados, transformados ou rejeitados pelos seus destinatários (DUARTE; SANTOS, 2012, p. 80; SHIROMA; CAMPOS; GARCIA,</w:t>
      </w:r>
      <w:r>
        <w:rPr>
          <w:spacing w:val="-5"/>
        </w:rPr>
        <w:t> </w:t>
      </w:r>
      <w:r>
        <w:rPr/>
        <w:t>2005).</w:t>
      </w:r>
    </w:p>
    <w:p>
      <w:pPr>
        <w:spacing w:after="0" w:line="360" w:lineRule="auto"/>
        <w:jc w:val="both"/>
        <w:sectPr>
          <w:pgSz w:w="11910" w:h="16840"/>
          <w:pgMar w:header="749" w:footer="0" w:top="960" w:bottom="280" w:left="1600" w:right="1580"/>
        </w:sectPr>
      </w:pPr>
    </w:p>
    <w:p>
      <w:pPr>
        <w:pStyle w:val="BodyText"/>
        <w:rPr>
          <w:sz w:val="20"/>
        </w:rPr>
      </w:pPr>
    </w:p>
    <w:p>
      <w:pPr>
        <w:pStyle w:val="Heading1"/>
        <w:spacing w:before="215"/>
        <w:ind w:left="2869"/>
      </w:pPr>
      <w:bookmarkStart w:name="_TOC_250007" w:id="10"/>
      <w:bookmarkEnd w:id="10"/>
      <w:r>
        <w:rPr/>
        <w:t>CONSIDERAÇÕES FINAIS</w:t>
      </w:r>
    </w:p>
    <w:p>
      <w:pPr>
        <w:pStyle w:val="BodyText"/>
        <w:rPr>
          <w:b/>
          <w:sz w:val="26"/>
        </w:rPr>
      </w:pPr>
    </w:p>
    <w:p>
      <w:pPr>
        <w:pStyle w:val="BodyText"/>
        <w:rPr>
          <w:b/>
          <w:sz w:val="26"/>
        </w:rPr>
      </w:pPr>
    </w:p>
    <w:p>
      <w:pPr>
        <w:pStyle w:val="BodyText"/>
        <w:spacing w:before="7"/>
        <w:rPr>
          <w:b/>
          <w:sz w:val="31"/>
        </w:rPr>
      </w:pPr>
    </w:p>
    <w:p>
      <w:pPr>
        <w:pStyle w:val="BodyText"/>
        <w:spacing w:line="360" w:lineRule="auto" w:before="1"/>
        <w:ind w:left="102" w:right="118" w:firstLine="851"/>
        <w:jc w:val="both"/>
      </w:pPr>
      <w:r>
        <w:rPr/>
        <w:t>Do percurso científico percorrido até o momento, para responder ao problema que intencionalidades e resultados, com suas concepções/racionalidades/conceitos, sobressaem nas diretrizes e orientações nacionais para o processo de planejamento da educação pelos Municípios, a partir da promulgação da Constituição Federal de 1988 [considerando este contexto como marco divisor no </w:t>
      </w:r>
      <w:r>
        <w:rPr>
          <w:i/>
        </w:rPr>
        <w:t>processo efetivo de </w:t>
      </w:r>
      <w:r>
        <w:rPr>
          <w:i/>
        </w:rPr>
        <w:t>institucionalização dos sistemas municipais de educação</w:t>
      </w:r>
      <w:r>
        <w:rPr/>
        <w:t>] e, também, no processo da política pública educacional de elaboração e/ou adequação de Planos Municipais de Educação (PMEs) no Estado do Tocantins, desencadeado no ano de 2013 pelo MEC/SASE, com uma Rede de Assistência Técnica, em decorrência da disposição do Projeto de Lei do PNE quanto a necessária elaboração dos Planos de Educação pelos Estados, Distrito Federal e Municípios, abordamos, na fundamentação teórica, a arena de disputas de projetos societários no campo do planejamento, que denominamos de intencionalidades, sendo a conservadora/alienadora e a transformadora/comprometida socialmente.</w:t>
      </w:r>
    </w:p>
    <w:p>
      <w:pPr>
        <w:pStyle w:val="BodyText"/>
        <w:spacing w:line="360" w:lineRule="auto" w:before="6"/>
        <w:ind w:left="102" w:right="117" w:firstLine="851"/>
        <w:jc w:val="both"/>
      </w:pPr>
      <w:r>
        <w:rPr/>
        <w:t>Essas duas concepções, assim caracterizadas, e em disputa, permeiam as bases normativas e os documentos oficiais, refletindo significativamente nas orientações e nas diretrizes, a partir da Constituição Federal de 1988, para o processo de planejamento da educação pelos Municípios brasileiros.</w:t>
      </w:r>
    </w:p>
    <w:p>
      <w:pPr>
        <w:pStyle w:val="BodyText"/>
        <w:spacing w:line="360" w:lineRule="auto" w:before="6"/>
        <w:ind w:left="102" w:right="116" w:firstLine="851"/>
        <w:jc w:val="both"/>
      </w:pPr>
      <w:r>
        <w:rPr/>
        <w:t>Assim, verificamos que os documentos nacionais agregam aspectos conceituais dos dois campos de intencionalidades no planejamento que ganham mais força na educação brasileira em sua história. No que tange a concepção transformadora/comprometida socialmente, os documentos e normativas apresentam-se ao compreender o PME como sendo um Plano de Estado, e não somente um Plano de Governo; ao orientar o planejamento conjunto entre governo e sociedade agregando como necessário a avaliação e o acompanhamento tanto no processo de elaboração quanto de implementação do plano; e, ao perceber o planejamento como processo de crescimento humano. Já, a concepção conservadora/alienadora, apresenta-se, por vezes, em documentos e normativas, com a contínua ideia de Plano em seu sentido final, como produto concluído e com fim em si mesmo, e, assim, possibilitando a conservação do sistema societário vigente, na medida em que provoca apenas reformas superficiais sem que as estruturas sejam questionadas.</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60" w:lineRule="auto" w:before="210"/>
        <w:ind w:left="102" w:right="114" w:firstLine="851"/>
        <w:jc w:val="both"/>
      </w:pPr>
      <w:r>
        <w:rPr/>
        <w:t>Os documentos apreendidos, desde o final dos anos 1980, se encontram inseridos em um contexto que apresenta concepções em disputa e, por esse motivo, trazem palavras que carregam significados que se modificam em situações distintas, de modo a confundir [intencionalmente]. Assim, acompanhar o momento de implementação possibilitará maior clareza e definição da concepção que efetivamente domina o espaço de planejamento no campo da política da</w:t>
      </w:r>
      <w:r>
        <w:rPr>
          <w:spacing w:val="-10"/>
        </w:rPr>
        <w:t> </w:t>
      </w:r>
      <w:r>
        <w:rPr/>
        <w:t>educação.</w:t>
      </w:r>
    </w:p>
    <w:p>
      <w:pPr>
        <w:pStyle w:val="BodyText"/>
        <w:spacing w:line="360" w:lineRule="auto" w:before="3"/>
        <w:ind w:left="102" w:right="115" w:firstLine="851"/>
        <w:jc w:val="both"/>
      </w:pPr>
      <w:r>
        <w:rPr/>
        <w:t>O processo de elaboração e/ou adequação de Planos de Educação no Estado do Tocantins, desde o ano de 2013, demonstra esta arena de disputas, especialmente, em torno do significado e do sentido do planejamento democrático ou centralizado, do avanço do planejamento democrático-participativo, do comprometimento social efetivo, da competência técnica dos Municípios, da esfera de competências dos Municípios em termos dos planos, da articulação dos planos municipais com o SNE, da parceria com a SASE/MEC, do regime efetivo de colaboração entre entes federados.</w:t>
      </w:r>
    </w:p>
    <w:p>
      <w:pPr>
        <w:pStyle w:val="BodyText"/>
        <w:spacing w:line="360" w:lineRule="auto" w:before="6"/>
        <w:ind w:left="102" w:right="116" w:firstLine="851"/>
        <w:jc w:val="both"/>
      </w:pPr>
      <w:r>
        <w:rPr/>
        <w:t>Em se tratando, especificamente da competência técnica dos Municípios, da esfera de competências dos Municípios em termos dos planos, da articulação dos planos municipais com o SNE, da parceria com a SASE/MEC, do regime efetivo de colaboração entre entes federados, chegamos a temática do alinhamento dos Planos ao PNE. O que, na realidade, é a discussão de intencionalidades.</w:t>
      </w:r>
    </w:p>
    <w:p>
      <w:pPr>
        <w:pStyle w:val="BodyText"/>
        <w:spacing w:line="360" w:lineRule="auto" w:before="3"/>
        <w:ind w:left="102" w:right="120" w:firstLine="851"/>
        <w:jc w:val="both"/>
      </w:pPr>
      <w:r>
        <w:rPr/>
        <w:t>Nos PMEs produzidos, de modo geral, foi possível perceber uma grande confusão em torno do alinhamento. Os Cadernos do MEC/SASE, ao mesmo tempo em que admitia ser o alinhamento uma atenção a ser dada aos aspectos pactuados em nível nacional, e assim não delimitando a quantidade de metas, mas exigindo a corresponsabilidade para com todas, também, advertia para a necessidade de manter a mesma formatação e o mesmo conteúdo. E, a esse aspecto, apontando para a  necessidade de que os PMEs contemplassem as mesmas temáticas do PNE, respeitadas as questões locais. Confuso, também, fica o entendimento dos Municípios frente às suas competências no campo da</w:t>
      </w:r>
      <w:r>
        <w:rPr>
          <w:spacing w:val="-6"/>
        </w:rPr>
        <w:t> </w:t>
      </w:r>
      <w:r>
        <w:rPr/>
        <w:t>educação.</w:t>
      </w:r>
    </w:p>
    <w:p>
      <w:pPr>
        <w:pStyle w:val="BodyText"/>
        <w:spacing w:line="360" w:lineRule="auto" w:before="5"/>
        <w:ind w:left="102" w:right="118" w:firstLine="851"/>
        <w:jc w:val="both"/>
      </w:pPr>
      <w:r>
        <w:rPr/>
        <w:t>Essas confusões, somadas à demora em cada território para iniciar os trabalhos, inclusive, com mais de 70% dos Municípios realizando o processo de elaboração dos PMEs em dois meses, reduzindo, assim, o debate, a participação e, consequentemente, o entendimento de questões relevantes como, por exemplo, as reais competências municipais em torno da educação, indicam que os encaminhamentos estabelecidos neste processo de elaboração e/ou adequação de PMEs refletem intenções de planejamento  em</w:t>
      </w:r>
      <w:r>
        <w:rPr>
          <w:spacing w:val="-2"/>
        </w:rPr>
        <w:t> </w:t>
      </w:r>
      <w:r>
        <w:rPr/>
        <w:t>disputa.</w:t>
      </w:r>
    </w:p>
    <w:p>
      <w:pPr>
        <w:spacing w:after="0" w:line="360" w:lineRule="auto"/>
        <w:jc w:val="both"/>
        <w:sectPr>
          <w:pgSz w:w="11910" w:h="16840"/>
          <w:pgMar w:header="749" w:footer="0" w:top="960" w:bottom="280" w:left="1600" w:right="1580"/>
        </w:sectPr>
      </w:pPr>
    </w:p>
    <w:p>
      <w:pPr>
        <w:pStyle w:val="BodyText"/>
        <w:rPr>
          <w:sz w:val="20"/>
        </w:rPr>
      </w:pPr>
    </w:p>
    <w:p>
      <w:pPr>
        <w:pStyle w:val="BodyText"/>
        <w:spacing w:line="345" w:lineRule="auto" w:before="210"/>
        <w:ind w:left="122" w:right="115" w:firstLine="851"/>
        <w:jc w:val="both"/>
      </w:pPr>
      <w:r>
        <w:rPr/>
        <w:t>No processo discutido, houve uma grande confusão na elaboração dos Planos de Educação, em especial, os municipais, no tocante à questão do alinhamento com o PNE</w:t>
      </w:r>
      <w:r>
        <w:rPr>
          <w:position w:val="11"/>
          <w:sz w:val="16"/>
        </w:rPr>
        <w:t>30</w:t>
      </w:r>
      <w:r>
        <w:rPr/>
        <w:t>, mesmo que os Cadernos do MEC/SASE explicitassem que deveria ser quanto</w:t>
      </w:r>
      <w:r>
        <w:rPr>
          <w:spacing w:val="11"/>
        </w:rPr>
        <w:t> </w:t>
      </w:r>
      <w:r>
        <w:rPr/>
        <w:t>ao</w:t>
      </w:r>
    </w:p>
    <w:p>
      <w:pPr>
        <w:pStyle w:val="BodyText"/>
        <w:spacing w:line="360" w:lineRule="auto" w:before="4"/>
        <w:ind w:left="122" w:right="115"/>
        <w:jc w:val="both"/>
      </w:pPr>
      <w:r>
        <w:rPr/>
        <w:t>conteúdo e a formatação. Nesse processo, sobressaíram [e permanecem] dúvidas como: era para fazer os Planos terem vinte metas e tratar de todas as temáticas do PNE?; alinhamento da forma e de conteúdo é cópia?; mesmo que um Município resolvesse tratar, por exemplo, da pós-graduação, deveria fazê-lo em relação à sua rede/sistema, no tocante a elevar a qualificação do pessoal, por exemplo?; o alinhamento era no que  fosse pertinente às competências do Município no sentido de articular para alcançar as metas próprias e contribuir com as metas nacionais?; outro aspecto seria, também, pensar em estratégias próprias, de modo articulado?. Podemos perguntar, até mesmo, se houve um erro de condução da SASE/MEC em não explicitar o que era o alinhamento na assistência aos Municípios. Questões que deverão, em nossa perspectiva, ser discutidas no processo de implementação dos</w:t>
      </w:r>
      <w:r>
        <w:rPr>
          <w:spacing w:val="-8"/>
        </w:rPr>
        <w:t> </w:t>
      </w:r>
      <w:r>
        <w:rPr/>
        <w:t>PMEs.</w:t>
      </w:r>
    </w:p>
    <w:p>
      <w:pPr>
        <w:pStyle w:val="BodyText"/>
        <w:spacing w:line="360" w:lineRule="auto" w:before="3"/>
        <w:ind w:left="122" w:right="116" w:firstLine="851"/>
        <w:jc w:val="both"/>
      </w:pPr>
      <w:r>
        <w:rPr/>
        <w:t>Compreendemos a necessidade de pensar [planejar, analisar, avaliar] em políticas contextualizadas, considerando que os textos são reinterpretados a partir dos contextos e seus sujeitos políticos, o que possivelmente contribuirá para que tal confusão seja esclarecida e reparada durante o monitoramento e avaliação dos PMEs e, acima de tudo, garantindo a discussão do pacto federativo e do regime de colaboração no campo da educação, estabelecendo uma cultura </w:t>
      </w:r>
      <w:r>
        <w:rPr>
          <w:spacing w:val="3"/>
        </w:rPr>
        <w:t>de </w:t>
      </w:r>
      <w:r>
        <w:rPr/>
        <w:t>planejamento com perspectiva transformadora/comprometida socialmente, ou, ao persistirem as intencionalidades observadas, tornará, de fato, como encaminhamentos de uma política  pública empenhada em conservar o projeto societário alienador</w:t>
      </w:r>
      <w:r>
        <w:rPr>
          <w:spacing w:val="-9"/>
        </w:rPr>
        <w:t> </w:t>
      </w:r>
      <w:r>
        <w:rPr/>
        <w:t>vigente.</w:t>
      </w:r>
    </w:p>
    <w:p>
      <w:pPr>
        <w:pStyle w:val="BodyText"/>
        <w:spacing w:line="360" w:lineRule="auto" w:before="6"/>
        <w:ind w:left="122" w:right="117" w:firstLine="851"/>
        <w:jc w:val="both"/>
      </w:pPr>
      <w:r>
        <w:rPr/>
        <w:t>Importa demarcarmos que, neste trabalho, de um modo geral, sistematizamos e discutimos informações/elementos que poderão ser acompanhados de análises que possam contribuir para uma melhor leitura de muitos outros questionamentos, inclusive pelo MEC e Municípios aqui mencionados.</w:t>
      </w:r>
    </w:p>
    <w:p>
      <w:pPr>
        <w:pStyle w:val="BodyText"/>
        <w:spacing w:line="360" w:lineRule="auto" w:before="6"/>
        <w:ind w:left="122" w:right="119" w:firstLine="851"/>
        <w:jc w:val="both"/>
      </w:pPr>
      <w:r>
        <w:rPr/>
        <w:pict>
          <v:line style="position:absolute;mso-position-horizontal-relative:page;mso-position-vertical-relative:paragraph;z-index:4384;mso-wrap-distance-left:0;mso-wrap-distance-right:0" from="85.103996pt,107.653137pt" to="229.123996pt,107.653137pt" stroked="true" strokeweight=".71997pt" strokecolor="#000000">
            <v:stroke dashstyle="solid"/>
            <w10:wrap type="topAndBottom"/>
          </v:line>
        </w:pict>
      </w:r>
      <w:r>
        <w:rPr/>
        <w:t>Por fim, compreendemos ser importante fazer referência que esta pesquisa será continuada por meio do Observatório dos Sistemas e Planos de Educação no Tocantins (Estadual e Municipais) vinculado a Associação Nacional de Política e Administração da Educação (Anpae) – Coordenação Tocantins, que tem como objeto desenvolver estudos,  pesquisas,  inovação  e  desenvolvimento  acerca  de  Sistemas  e  Planos     </w:t>
      </w:r>
      <w:r>
        <w:rPr>
          <w:spacing w:val="7"/>
        </w:rPr>
        <w:t> </w:t>
      </w:r>
      <w:r>
        <w:rPr/>
        <w:t>de</w:t>
      </w:r>
    </w:p>
    <w:p>
      <w:pPr>
        <w:spacing w:before="42"/>
        <w:ind w:left="122" w:right="0" w:firstLine="0"/>
        <w:jc w:val="left"/>
        <w:rPr>
          <w:sz w:val="20"/>
        </w:rPr>
      </w:pPr>
      <w:r>
        <w:rPr>
          <w:position w:val="9"/>
          <w:sz w:val="13"/>
        </w:rPr>
        <w:t>30 </w:t>
      </w:r>
      <w:r>
        <w:rPr>
          <w:sz w:val="20"/>
        </w:rPr>
        <w:t>O alinhamento dos PMEs do Tocantins com o PEE não foi objeto desta Dissertação.</w:t>
      </w:r>
    </w:p>
    <w:p>
      <w:pPr>
        <w:spacing w:after="0"/>
        <w:jc w:val="left"/>
        <w:rPr>
          <w:sz w:val="20"/>
        </w:rPr>
        <w:sectPr>
          <w:pgSz w:w="11910" w:h="16840"/>
          <w:pgMar w:header="749" w:footer="0" w:top="960" w:bottom="280" w:left="1580" w:right="1580"/>
        </w:sectPr>
      </w:pPr>
    </w:p>
    <w:p>
      <w:pPr>
        <w:pStyle w:val="BodyText"/>
        <w:rPr>
          <w:sz w:val="20"/>
        </w:rPr>
      </w:pPr>
    </w:p>
    <w:p>
      <w:pPr>
        <w:pStyle w:val="BodyText"/>
        <w:spacing w:line="362" w:lineRule="auto" w:before="210"/>
        <w:ind w:left="102"/>
      </w:pPr>
      <w:r>
        <w:rPr/>
        <w:t>Educação no Tocantins e de Políticas, Programas e Ações decorrentes destes Sistemas e Planos, como um compromisso com a implementação do SNE e do PNE.</w:t>
      </w:r>
    </w:p>
    <w:p>
      <w:pPr>
        <w:spacing w:after="0" w:line="362" w:lineRule="auto"/>
        <w:sectPr>
          <w:pgSz w:w="11910" w:h="16840"/>
          <w:pgMar w:header="749" w:footer="0" w:top="960" w:bottom="280" w:left="1600" w:right="1580"/>
        </w:sectPr>
      </w:pPr>
    </w:p>
    <w:p>
      <w:pPr>
        <w:pStyle w:val="BodyText"/>
        <w:rPr>
          <w:sz w:val="20"/>
        </w:rPr>
      </w:pPr>
    </w:p>
    <w:p>
      <w:pPr>
        <w:pStyle w:val="Heading1"/>
        <w:spacing w:before="213"/>
        <w:ind w:left="298" w:right="317"/>
        <w:jc w:val="center"/>
      </w:pPr>
      <w:bookmarkStart w:name="_TOC_250006" w:id="11"/>
      <w:bookmarkEnd w:id="11"/>
      <w:r>
        <w:rPr/>
        <w:t>REFERÊNCIAS</w:t>
      </w:r>
    </w:p>
    <w:p>
      <w:pPr>
        <w:pStyle w:val="BodyText"/>
        <w:rPr>
          <w:b/>
          <w:sz w:val="20"/>
        </w:rPr>
      </w:pPr>
    </w:p>
    <w:p>
      <w:pPr>
        <w:pStyle w:val="BodyText"/>
        <w:rPr>
          <w:b/>
          <w:sz w:val="20"/>
        </w:rPr>
      </w:pPr>
    </w:p>
    <w:p>
      <w:pPr>
        <w:pStyle w:val="BodyText"/>
        <w:spacing w:before="2"/>
        <w:rPr>
          <w:b/>
        </w:rPr>
      </w:pPr>
    </w:p>
    <w:p>
      <w:pPr>
        <w:pStyle w:val="Heading1"/>
        <w:spacing w:before="90"/>
      </w:pPr>
      <w:bookmarkStart w:name="_TOC_250005" w:id="12"/>
      <w:bookmarkEnd w:id="12"/>
      <w:r>
        <w:rPr/>
        <w:t>BIBLIOGRÁFICAS</w:t>
      </w:r>
    </w:p>
    <w:p>
      <w:pPr>
        <w:pStyle w:val="BodyText"/>
        <w:spacing w:before="6"/>
        <w:rPr>
          <w:b/>
          <w:sz w:val="23"/>
        </w:rPr>
      </w:pPr>
    </w:p>
    <w:p>
      <w:pPr>
        <w:spacing w:before="0"/>
        <w:ind w:left="102" w:right="104" w:firstLine="0"/>
        <w:jc w:val="left"/>
        <w:rPr>
          <w:sz w:val="24"/>
        </w:rPr>
      </w:pPr>
      <w:r>
        <w:rPr>
          <w:sz w:val="24"/>
        </w:rPr>
        <w:t>ABRUCIO, Fernando Luiz; FRANZESE, Cibele. </w:t>
      </w:r>
      <w:r>
        <w:rPr>
          <w:b/>
          <w:sz w:val="24"/>
        </w:rPr>
        <w:t>Federalismo e políticas públicas: o impacto das relações intergovernamentais no Brasil. </w:t>
      </w:r>
      <w:r>
        <w:rPr>
          <w:sz w:val="24"/>
        </w:rPr>
        <w:t>Disponível em </w:t>
      </w:r>
      <w:hyperlink r:id="rId122">
        <w:r>
          <w:rPr>
            <w:sz w:val="24"/>
          </w:rPr>
          <w:t>www.defesasocial.rn.gov.br/contentproducao/aplicacao/searh_escola/arquivos/pdf/paper</w:t>
        </w:r>
      </w:hyperlink>
    </w:p>
    <w:p>
      <w:pPr>
        <w:pStyle w:val="BodyText"/>
        <w:ind w:left="102"/>
      </w:pPr>
      <w:r>
        <w:rPr/>
        <w:t>-federalismo-fernando-abrucio.pdf. Acesso dia 21/10/2015.</w:t>
      </w:r>
    </w:p>
    <w:p>
      <w:pPr>
        <w:pStyle w:val="BodyText"/>
        <w:spacing w:before="9"/>
        <w:rPr>
          <w:sz w:val="27"/>
        </w:rPr>
      </w:pPr>
    </w:p>
    <w:p>
      <w:pPr>
        <w:pStyle w:val="BodyText"/>
        <w:ind w:left="102" w:right="119"/>
      </w:pPr>
      <w:r>
        <w:rPr>
          <w:spacing w:val="-3"/>
        </w:rPr>
        <w:t>AFFONSO, Sérgio </w:t>
      </w:r>
      <w:r>
        <w:rPr/>
        <w:t>de </w:t>
      </w:r>
      <w:r>
        <w:rPr>
          <w:spacing w:val="-3"/>
        </w:rPr>
        <w:t>Britto </w:t>
      </w:r>
      <w:r>
        <w:rPr>
          <w:spacing w:val="-4"/>
        </w:rPr>
        <w:t>Álvares. </w:t>
      </w:r>
      <w:r>
        <w:rPr>
          <w:spacing w:val="-3"/>
        </w:rPr>
        <w:t>Epitáfio. </w:t>
      </w:r>
      <w:r>
        <w:rPr>
          <w:spacing w:val="-4"/>
        </w:rPr>
        <w:t>In:. </w:t>
      </w:r>
      <w:r>
        <w:rPr>
          <w:spacing w:val="-3"/>
        </w:rPr>
        <w:t>Titãs. </w:t>
      </w:r>
      <w:r>
        <w:rPr/>
        <w:t>A </w:t>
      </w:r>
      <w:r>
        <w:rPr>
          <w:spacing w:val="-3"/>
        </w:rPr>
        <w:t>maior banda </w:t>
      </w:r>
      <w:r>
        <w:rPr/>
        <w:t>de </w:t>
      </w:r>
      <w:r>
        <w:rPr>
          <w:spacing w:val="-3"/>
        </w:rPr>
        <w:t>todos </w:t>
      </w:r>
      <w:r>
        <w:rPr/>
        <w:t>os </w:t>
      </w:r>
      <w:r>
        <w:rPr>
          <w:spacing w:val="-3"/>
        </w:rPr>
        <w:t>tempos </w:t>
      </w:r>
      <w:r>
        <w:rPr/>
        <w:t>da </w:t>
      </w:r>
      <w:r>
        <w:rPr>
          <w:spacing w:val="-3"/>
        </w:rPr>
        <w:t>ultima semana. Rio </w:t>
      </w:r>
      <w:r>
        <w:rPr/>
        <w:t>de </w:t>
      </w:r>
      <w:r>
        <w:rPr>
          <w:spacing w:val="-3"/>
        </w:rPr>
        <w:t>Janeiro: </w:t>
      </w:r>
      <w:r>
        <w:rPr/>
        <w:t>Ar </w:t>
      </w:r>
      <w:r>
        <w:rPr>
          <w:spacing w:val="-3"/>
        </w:rPr>
        <w:t>Studios, 2001.</w:t>
      </w:r>
    </w:p>
    <w:p>
      <w:pPr>
        <w:pStyle w:val="BodyText"/>
        <w:spacing w:before="8"/>
        <w:rPr>
          <w:sz w:val="27"/>
        </w:rPr>
      </w:pPr>
    </w:p>
    <w:p>
      <w:pPr>
        <w:pStyle w:val="BodyText"/>
        <w:spacing w:line="276" w:lineRule="auto"/>
        <w:ind w:left="102" w:right="442"/>
      </w:pPr>
      <w:r>
        <w:rPr>
          <w:spacing w:val="-3"/>
        </w:rPr>
        <w:t>ALVES, </w:t>
      </w:r>
      <w:r>
        <w:rPr/>
        <w:t>João </w:t>
      </w:r>
      <w:r>
        <w:rPr>
          <w:spacing w:val="-3"/>
        </w:rPr>
        <w:t>Roberto </w:t>
      </w:r>
      <w:r>
        <w:rPr>
          <w:spacing w:val="-4"/>
        </w:rPr>
        <w:t>Moreira. </w:t>
      </w:r>
      <w:r>
        <w:rPr>
          <w:b/>
          <w:spacing w:val="-3"/>
        </w:rPr>
        <w:t>Plano </w:t>
      </w:r>
      <w:r>
        <w:rPr>
          <w:b/>
          <w:spacing w:val="-4"/>
        </w:rPr>
        <w:t>Nacional </w:t>
      </w:r>
      <w:r>
        <w:rPr>
          <w:b/>
        </w:rPr>
        <w:t>de </w:t>
      </w:r>
      <w:r>
        <w:rPr>
          <w:b/>
          <w:spacing w:val="-3"/>
        </w:rPr>
        <w:t>Educação</w:t>
      </w:r>
      <w:r>
        <w:rPr>
          <w:spacing w:val="-3"/>
        </w:rPr>
        <w:t>. </w:t>
      </w:r>
      <w:r>
        <w:rPr>
          <w:spacing w:val="-4"/>
        </w:rPr>
        <w:t>Instituto </w:t>
      </w:r>
      <w:r>
        <w:rPr/>
        <w:t>de </w:t>
      </w:r>
      <w:r>
        <w:rPr>
          <w:spacing w:val="-3"/>
        </w:rPr>
        <w:t>Pesquisas </w:t>
      </w:r>
      <w:r>
        <w:rPr/>
        <w:t>e </w:t>
      </w:r>
      <w:r>
        <w:rPr>
          <w:spacing w:val="-4"/>
        </w:rPr>
        <w:t>Administração </w:t>
      </w:r>
      <w:r>
        <w:rPr/>
        <w:t>da </w:t>
      </w:r>
      <w:r>
        <w:rPr>
          <w:spacing w:val="-4"/>
        </w:rPr>
        <w:t>Educação. </w:t>
      </w:r>
      <w:r>
        <w:rPr>
          <w:spacing w:val="-3"/>
        </w:rPr>
        <w:t>Rio </w:t>
      </w:r>
      <w:r>
        <w:rPr/>
        <w:t>de </w:t>
      </w:r>
      <w:r>
        <w:rPr>
          <w:spacing w:val="-4"/>
        </w:rPr>
        <w:t>Janeiro, </w:t>
      </w:r>
      <w:r>
        <w:rPr>
          <w:spacing w:val="-3"/>
        </w:rPr>
        <w:t>2014.</w:t>
      </w:r>
    </w:p>
    <w:p>
      <w:pPr>
        <w:pStyle w:val="BodyText"/>
        <w:spacing w:before="6"/>
        <w:rPr>
          <w:sz w:val="27"/>
        </w:rPr>
      </w:pPr>
    </w:p>
    <w:p>
      <w:pPr>
        <w:pStyle w:val="Heading1"/>
      </w:pPr>
      <w:r>
        <w:rPr>
          <w:b w:val="0"/>
        </w:rPr>
        <w:t>ANPED. </w:t>
      </w:r>
      <w:r>
        <w:rPr/>
        <w:t>Por um Plano Nacional de Educação (2011-2020) como política de Estado.</w:t>
      </w:r>
    </w:p>
    <w:p>
      <w:pPr>
        <w:pStyle w:val="BodyText"/>
        <w:spacing w:before="42"/>
        <w:ind w:left="102"/>
      </w:pPr>
      <w:r>
        <w:rPr/>
        <w:t>Rio de Janeiro, 2011.</w:t>
      </w:r>
    </w:p>
    <w:p>
      <w:pPr>
        <w:pStyle w:val="BodyText"/>
        <w:rPr>
          <w:sz w:val="31"/>
        </w:rPr>
      </w:pPr>
    </w:p>
    <w:p>
      <w:pPr>
        <w:spacing w:line="276" w:lineRule="auto" w:before="0"/>
        <w:ind w:left="102" w:right="704" w:firstLine="0"/>
        <w:jc w:val="left"/>
        <w:rPr>
          <w:sz w:val="24"/>
        </w:rPr>
      </w:pPr>
      <w:r>
        <w:rPr>
          <w:sz w:val="24"/>
        </w:rPr>
        <w:t>ARAÚJO, Gilda Cardoso de. </w:t>
      </w:r>
      <w:r>
        <w:rPr>
          <w:b/>
          <w:sz w:val="24"/>
        </w:rPr>
        <w:t>Município, federação e Educação: história das instituições e das ideias Políticas no Brasil</w:t>
      </w:r>
      <w:r>
        <w:rPr>
          <w:sz w:val="24"/>
        </w:rPr>
        <w:t>. 2005. 333 p. Tese (Doutorado em Educação, Área: Estado Sociedade e Educação) – Programa de Pós Graduação em Educação, Universidade de São Paulo. São Paulo, 2005.</w:t>
      </w:r>
    </w:p>
    <w:p>
      <w:pPr>
        <w:pStyle w:val="BodyText"/>
        <w:spacing w:before="4"/>
        <w:rPr>
          <w:sz w:val="27"/>
        </w:rPr>
      </w:pPr>
    </w:p>
    <w:p>
      <w:pPr>
        <w:pStyle w:val="BodyText"/>
        <w:ind w:left="102" w:right="1203"/>
      </w:pPr>
      <w:r>
        <w:rPr/>
        <w:t>ARRETCHE, Marta. Relações federativas nas políticas sociais. </w:t>
      </w:r>
      <w:r>
        <w:rPr>
          <w:b/>
        </w:rPr>
        <w:t>Educação &amp; Sociedade, </w:t>
      </w:r>
      <w:r>
        <w:rPr/>
        <w:t>Campinas, v. 23, n. 80, p. 25-48, 2002.</w:t>
      </w:r>
    </w:p>
    <w:p>
      <w:pPr>
        <w:pStyle w:val="BodyText"/>
        <w:spacing w:before="8"/>
        <w:rPr>
          <w:sz w:val="27"/>
        </w:rPr>
      </w:pPr>
    </w:p>
    <w:p>
      <w:pPr>
        <w:pStyle w:val="BodyText"/>
        <w:spacing w:before="1"/>
        <w:ind w:left="102" w:right="183"/>
      </w:pPr>
      <w:r>
        <w:rPr/>
        <w:t>AZANHA, José Maria Pires. Políticas e Planos de Educação no Brasil: Alguns pontos para reflexão. </w:t>
      </w:r>
      <w:r>
        <w:rPr>
          <w:b/>
        </w:rPr>
        <w:t>Cad. Pesq, </w:t>
      </w:r>
      <w:r>
        <w:rPr/>
        <w:t>São Paulo, n. 85, p. 70-78, maio. 1993. Disponível em: </w:t>
      </w:r>
      <w:hyperlink r:id="rId123">
        <w:r>
          <w:rPr>
            <w:u w:val="single"/>
          </w:rPr>
          <w:t>http://www.fcc.org.br/pesquisa/publicacoes/cp/arquivos/943.pdf</w:t>
        </w:r>
      </w:hyperlink>
      <w:r>
        <w:rPr/>
        <w:t>. acesso dia 26/09/2015</w:t>
      </w:r>
    </w:p>
    <w:p>
      <w:pPr>
        <w:pStyle w:val="BodyText"/>
        <w:spacing w:before="2"/>
        <w:rPr>
          <w:sz w:val="16"/>
        </w:rPr>
      </w:pPr>
    </w:p>
    <w:p>
      <w:pPr>
        <w:pStyle w:val="BodyText"/>
        <w:spacing w:before="90"/>
        <w:ind w:left="102" w:right="281"/>
      </w:pPr>
      <w:r>
        <w:rPr/>
        <w:t>AZEVEDO, Fernando. et al. O Manifesto dos pioneiros da Educação Nova (1932). </w:t>
      </w:r>
      <w:r>
        <w:rPr>
          <w:b/>
        </w:rPr>
        <w:t>Revista Brasileira de Estudos pedagógicos</w:t>
      </w:r>
      <w:r>
        <w:rPr/>
        <w:t>. Rio de janeiro, v. 65, n. 150, p. 407-425, mai./ago. 1984. Disponível em </w:t>
      </w:r>
      <w:hyperlink r:id="rId124">
        <w:r>
          <w:rPr>
            <w:u w:val="single"/>
          </w:rPr>
          <w:t>http://www.histedbr.fe.unicamp.br/revista/edicoes/22e/doc1_22e.pdf</w:t>
        </w:r>
        <w:r>
          <w:rPr/>
          <w:t>.</w:t>
        </w:r>
      </w:hyperlink>
      <w:r>
        <w:rPr/>
        <w:t> acesso dia 26/09/2015</w:t>
      </w:r>
    </w:p>
    <w:p>
      <w:pPr>
        <w:pStyle w:val="BodyText"/>
        <w:spacing w:before="11"/>
        <w:rPr>
          <w:sz w:val="23"/>
        </w:rPr>
      </w:pPr>
    </w:p>
    <w:p>
      <w:pPr>
        <w:pStyle w:val="BodyText"/>
        <w:ind w:left="102" w:right="211"/>
      </w:pPr>
      <w:r>
        <w:rPr/>
        <w:t>AZEVEDO, Janete Maria Lins de. Implicações da nova lógica de ação do estado para a educação municipal. </w:t>
      </w:r>
      <w:r>
        <w:rPr>
          <w:b/>
        </w:rPr>
        <w:t>Educ. Soc., </w:t>
      </w:r>
      <w:r>
        <w:rPr/>
        <w:t>Campinas, v. 23, n. 80, set./2002. Disponível em </w:t>
      </w:r>
      <w:hyperlink r:id="rId125">
        <w:r>
          <w:rPr>
            <w:u w:val="single"/>
          </w:rPr>
          <w:t>http://www.cedes.unicamp.br</w:t>
        </w:r>
      </w:hyperlink>
      <w:r>
        <w:rPr/>
        <w:t>. Acesso dia 26/09/2015</w:t>
      </w:r>
    </w:p>
    <w:p>
      <w:pPr>
        <w:pStyle w:val="BodyText"/>
        <w:spacing w:before="10"/>
        <w:rPr>
          <w:sz w:val="15"/>
        </w:rPr>
      </w:pPr>
    </w:p>
    <w:p>
      <w:pPr>
        <w:spacing w:before="90"/>
        <w:ind w:left="102" w:right="341" w:firstLine="0"/>
        <w:jc w:val="left"/>
        <w:rPr>
          <w:sz w:val="24"/>
        </w:rPr>
      </w:pPr>
      <w:r>
        <w:rPr>
          <w:sz w:val="24"/>
        </w:rPr>
        <w:t>BOGDAN, Robert C.; BIKLEN, Sari Knopp.</w:t>
      </w:r>
      <w:r>
        <w:rPr>
          <w:b/>
          <w:sz w:val="24"/>
        </w:rPr>
        <w:t>Investigação qualitativa em educação: </w:t>
      </w:r>
      <w:r>
        <w:rPr>
          <w:sz w:val="24"/>
        </w:rPr>
        <w:t>uma introdução à teoria e aos métodos. Coleção Ciências da Educação. Portugal: Editora Porto, 1994.</w:t>
      </w:r>
    </w:p>
    <w:p>
      <w:pPr>
        <w:pStyle w:val="BodyText"/>
        <w:spacing w:before="10"/>
        <w:rPr>
          <w:sz w:val="23"/>
        </w:rPr>
      </w:pPr>
    </w:p>
    <w:p>
      <w:pPr>
        <w:spacing w:before="0"/>
        <w:ind w:left="102" w:right="221" w:firstLine="0"/>
        <w:jc w:val="left"/>
        <w:rPr>
          <w:sz w:val="24"/>
        </w:rPr>
      </w:pPr>
      <w:r>
        <w:rPr>
          <w:sz w:val="24"/>
        </w:rPr>
        <w:t>BORDIGNON, Genuíno. </w:t>
      </w:r>
      <w:r>
        <w:rPr>
          <w:b/>
          <w:sz w:val="24"/>
        </w:rPr>
        <w:t>O planejamento educacional no Brasil</w:t>
      </w:r>
      <w:r>
        <w:rPr>
          <w:sz w:val="24"/>
        </w:rPr>
        <w:t>. Fórum Nacional de Educação, Brasília: 2011.</w:t>
      </w:r>
    </w:p>
    <w:p>
      <w:pPr>
        <w:spacing w:after="0"/>
        <w:jc w:val="left"/>
        <w:rPr>
          <w:sz w:val="24"/>
        </w:rPr>
        <w:sectPr>
          <w:pgSz w:w="11910" w:h="16840"/>
          <w:pgMar w:header="749" w:footer="0" w:top="960" w:bottom="280" w:left="1600" w:right="1580"/>
        </w:sectPr>
      </w:pPr>
    </w:p>
    <w:p>
      <w:pPr>
        <w:pStyle w:val="BodyText"/>
        <w:rPr>
          <w:sz w:val="20"/>
        </w:rPr>
      </w:pPr>
    </w:p>
    <w:p>
      <w:pPr>
        <w:pStyle w:val="BodyText"/>
        <w:rPr>
          <w:sz w:val="20"/>
        </w:rPr>
      </w:pPr>
    </w:p>
    <w:p>
      <w:pPr>
        <w:pStyle w:val="BodyText"/>
        <w:spacing w:before="1"/>
        <w:rPr>
          <w:sz w:val="22"/>
        </w:rPr>
      </w:pPr>
    </w:p>
    <w:p>
      <w:pPr>
        <w:spacing w:before="0"/>
        <w:ind w:left="102" w:right="815" w:firstLine="0"/>
        <w:jc w:val="left"/>
        <w:rPr>
          <w:sz w:val="24"/>
        </w:rPr>
      </w:pPr>
      <w:r>
        <w:rPr>
          <w:sz w:val="24"/>
        </w:rPr>
        <w:t>CARDOSO, Fernando Henrique. Reforma do Estado. In: PEREIRA. Luiz Carlos Bresser; SPINK, Peter (Orgs). </w:t>
      </w:r>
      <w:r>
        <w:rPr>
          <w:b/>
          <w:sz w:val="24"/>
        </w:rPr>
        <w:t>Reforma do Estado e Administração Pública Gerencial</w:t>
      </w:r>
      <w:r>
        <w:rPr>
          <w:sz w:val="24"/>
        </w:rPr>
        <w:t>. Rio de Janeiro: Editora FGV, 2006. p. 15-19.</w:t>
      </w:r>
    </w:p>
    <w:p>
      <w:pPr>
        <w:pStyle w:val="BodyText"/>
        <w:spacing w:before="10"/>
        <w:rPr>
          <w:sz w:val="23"/>
        </w:rPr>
      </w:pPr>
    </w:p>
    <w:p>
      <w:pPr>
        <w:spacing w:line="240" w:lineRule="auto" w:before="0"/>
        <w:ind w:left="102" w:right="149" w:firstLine="0"/>
        <w:jc w:val="left"/>
        <w:rPr>
          <w:sz w:val="24"/>
        </w:rPr>
      </w:pPr>
      <w:r>
        <w:rPr>
          <w:sz w:val="24"/>
        </w:rPr>
        <w:t>CAVALCANTE, Jemima Gertrudes Barreira. </w:t>
      </w:r>
      <w:r>
        <w:rPr>
          <w:b/>
          <w:sz w:val="24"/>
        </w:rPr>
        <w:t>O princípio do Regime de Colaboração no Brasil e as relações entre os Sistemas de Ensino do Estado do Tocantins e do Município de Ponte Alta do Tocantins. </w:t>
      </w:r>
      <w:r>
        <w:rPr>
          <w:sz w:val="24"/>
        </w:rPr>
        <w:t>2015. 135 p. Dissertação (Mestrado em Educação) – programa de Pós-Graduação em Educação, Universidade Federal do Tocantins. Tocantins, 2015.</w:t>
      </w:r>
    </w:p>
    <w:p>
      <w:pPr>
        <w:pStyle w:val="BodyText"/>
        <w:spacing w:before="10"/>
        <w:rPr>
          <w:sz w:val="23"/>
        </w:rPr>
      </w:pPr>
    </w:p>
    <w:p>
      <w:pPr>
        <w:pStyle w:val="BodyText"/>
        <w:ind w:left="102"/>
      </w:pPr>
      <w:r>
        <w:rPr/>
        <w:t>COOMBS, Philip H. Que é planejamento educacional?.In.: COOMBS, Philip H. et al.</w:t>
      </w:r>
    </w:p>
    <w:p>
      <w:pPr>
        <w:spacing w:line="480" w:lineRule="auto" w:before="0"/>
        <w:ind w:left="102" w:right="774" w:firstLine="0"/>
        <w:jc w:val="left"/>
        <w:rPr>
          <w:sz w:val="24"/>
        </w:rPr>
      </w:pPr>
      <w:r>
        <w:rPr>
          <w:b/>
          <w:sz w:val="24"/>
        </w:rPr>
        <w:t>Fundamentos do Planejamento Educacional</w:t>
      </w:r>
      <w:r>
        <w:rPr>
          <w:sz w:val="24"/>
        </w:rPr>
        <w:t>. Editora Cultrix: São Paulo, 1981. CORNELY, Seno. </w:t>
      </w:r>
      <w:r>
        <w:rPr>
          <w:b/>
          <w:sz w:val="24"/>
        </w:rPr>
        <w:t>Participação comunitária. </w:t>
      </w:r>
      <w:r>
        <w:rPr>
          <w:sz w:val="24"/>
        </w:rPr>
        <w:t>São Paulo: ENPLA, 1977.</w:t>
      </w:r>
    </w:p>
    <w:p>
      <w:pPr>
        <w:spacing w:before="11"/>
        <w:ind w:left="102" w:right="119" w:firstLine="0"/>
        <w:jc w:val="left"/>
        <w:rPr>
          <w:sz w:val="24"/>
        </w:rPr>
      </w:pPr>
      <w:r>
        <w:rPr>
          <w:spacing w:val="-3"/>
          <w:sz w:val="24"/>
        </w:rPr>
        <w:t>CUNHA, </w:t>
      </w:r>
      <w:r>
        <w:rPr>
          <w:spacing w:val="-4"/>
          <w:sz w:val="24"/>
        </w:rPr>
        <w:t>Luiz </w:t>
      </w:r>
      <w:r>
        <w:rPr>
          <w:spacing w:val="-3"/>
          <w:sz w:val="24"/>
        </w:rPr>
        <w:t>Antônio. </w:t>
      </w:r>
      <w:r>
        <w:rPr>
          <w:b/>
          <w:spacing w:val="-3"/>
          <w:sz w:val="24"/>
        </w:rPr>
        <w:t>Educação, </w:t>
      </w:r>
      <w:r>
        <w:rPr>
          <w:b/>
          <w:spacing w:val="-4"/>
          <w:sz w:val="24"/>
        </w:rPr>
        <w:t>Estado </w:t>
      </w:r>
      <w:r>
        <w:rPr>
          <w:b/>
          <w:sz w:val="24"/>
        </w:rPr>
        <w:t>e </w:t>
      </w:r>
      <w:r>
        <w:rPr>
          <w:b/>
          <w:spacing w:val="-4"/>
          <w:sz w:val="24"/>
        </w:rPr>
        <w:t>Democracia </w:t>
      </w:r>
      <w:r>
        <w:rPr>
          <w:b/>
          <w:sz w:val="24"/>
        </w:rPr>
        <w:t>no </w:t>
      </w:r>
      <w:r>
        <w:rPr>
          <w:b/>
          <w:spacing w:val="-3"/>
          <w:sz w:val="24"/>
        </w:rPr>
        <w:t>Brasil</w:t>
      </w:r>
      <w:r>
        <w:rPr>
          <w:spacing w:val="-3"/>
          <w:sz w:val="24"/>
        </w:rPr>
        <w:t>. </w:t>
      </w:r>
      <w:r>
        <w:rPr>
          <w:sz w:val="24"/>
        </w:rPr>
        <w:t>2. </w:t>
      </w:r>
      <w:r>
        <w:rPr>
          <w:spacing w:val="-3"/>
          <w:sz w:val="24"/>
        </w:rPr>
        <w:t>ed. </w:t>
      </w:r>
      <w:r>
        <w:rPr>
          <w:spacing w:val="-2"/>
          <w:sz w:val="24"/>
        </w:rPr>
        <w:t>São </w:t>
      </w:r>
      <w:r>
        <w:rPr>
          <w:spacing w:val="-3"/>
          <w:sz w:val="24"/>
        </w:rPr>
        <w:t>Paulo: Cortez; Niteroi, RJ: </w:t>
      </w:r>
      <w:r>
        <w:rPr>
          <w:spacing w:val="-4"/>
          <w:sz w:val="24"/>
        </w:rPr>
        <w:t>Editora </w:t>
      </w:r>
      <w:r>
        <w:rPr>
          <w:sz w:val="24"/>
        </w:rPr>
        <w:t>da </w:t>
      </w:r>
      <w:r>
        <w:rPr>
          <w:spacing w:val="-3"/>
          <w:sz w:val="24"/>
        </w:rPr>
        <w:t>Universidade </w:t>
      </w:r>
      <w:r>
        <w:rPr>
          <w:spacing w:val="-4"/>
          <w:sz w:val="24"/>
        </w:rPr>
        <w:t>Federal Fluminense; Brasília, DF: </w:t>
      </w:r>
      <w:r>
        <w:rPr>
          <w:spacing w:val="-3"/>
          <w:sz w:val="24"/>
        </w:rPr>
        <w:t>FLACSO </w:t>
      </w:r>
      <w:r>
        <w:rPr>
          <w:sz w:val="24"/>
        </w:rPr>
        <w:t>do </w:t>
      </w:r>
      <w:r>
        <w:rPr>
          <w:spacing w:val="-4"/>
          <w:sz w:val="24"/>
        </w:rPr>
        <w:t>Brasil, </w:t>
      </w:r>
      <w:r>
        <w:rPr>
          <w:spacing w:val="-3"/>
          <w:sz w:val="24"/>
        </w:rPr>
        <w:t>1995.</w:t>
      </w:r>
    </w:p>
    <w:p>
      <w:pPr>
        <w:pStyle w:val="BodyText"/>
        <w:spacing w:before="10"/>
        <w:rPr>
          <w:sz w:val="23"/>
        </w:rPr>
      </w:pPr>
    </w:p>
    <w:p>
      <w:pPr>
        <w:pStyle w:val="BodyText"/>
        <w:spacing w:before="1"/>
        <w:ind w:left="102" w:right="190"/>
      </w:pPr>
      <w:r>
        <w:rPr/>
        <w:t>DOURADO, Luiz Fernandes. Políticas e Gestão da Educação Básica no Brasil: Limites e Perspectivas. </w:t>
      </w:r>
      <w:r>
        <w:rPr>
          <w:b/>
        </w:rPr>
        <w:t>Educ. Soc., </w:t>
      </w:r>
      <w:r>
        <w:rPr/>
        <w:t>Campinas, vol. 28, n. 100 - Especial, p. 921-946, out. 2007 921 Disponível em </w:t>
      </w:r>
      <w:hyperlink r:id="rId126">
        <w:r>
          <w:rPr>
            <w:u w:val="single"/>
          </w:rPr>
          <w:t>http://www.scielo.br/pdf/es/v28n100/a1428100.pdf</w:t>
        </w:r>
      </w:hyperlink>
      <w:r>
        <w:rPr/>
        <w:t>. Acesso em 26 de setembro de 2015.</w:t>
      </w:r>
    </w:p>
    <w:p>
      <w:pPr>
        <w:pStyle w:val="BodyText"/>
        <w:spacing w:before="2"/>
        <w:rPr>
          <w:sz w:val="16"/>
        </w:rPr>
      </w:pPr>
    </w:p>
    <w:p>
      <w:pPr>
        <w:pStyle w:val="BodyText"/>
        <w:tabs>
          <w:tab w:pos="821" w:val="left" w:leader="none"/>
        </w:tabs>
        <w:spacing w:before="90"/>
        <w:ind w:left="102" w:right="300"/>
      </w:pPr>
      <w:r>
        <w:rPr>
          <w:u w:val="single"/>
        </w:rPr>
        <w:t> </w:t>
        <w:tab/>
      </w:r>
      <w:r>
        <w:rPr/>
        <w:t>. Avaliação do Plano Nacional de Educação 2001-2009: questões</w:t>
      </w:r>
      <w:r>
        <w:rPr>
          <w:spacing w:val="-8"/>
        </w:rPr>
        <w:t> </w:t>
      </w:r>
      <w:r>
        <w:rPr/>
        <w:t>estruturais</w:t>
      </w:r>
      <w:r>
        <w:rPr>
          <w:spacing w:val="-1"/>
        </w:rPr>
        <w:t> </w:t>
      </w:r>
      <w:r>
        <w:rPr/>
        <w:t>e conjunturais de uma política. </w:t>
      </w:r>
      <w:r>
        <w:rPr>
          <w:b/>
        </w:rPr>
        <w:t>Educ. Soc.</w:t>
      </w:r>
      <w:r>
        <w:rPr/>
        <w:t>, Campinas, v. 31, n. 112, p. 677-705, jul.-set. 2010. Disponível em</w:t>
      </w:r>
      <w:r>
        <w:rPr>
          <w:spacing w:val="-6"/>
        </w:rPr>
        <w:t> </w:t>
      </w:r>
      <w:r>
        <w:rPr/>
        <w:t>&lt;</w:t>
      </w:r>
      <w:hyperlink r:id="rId125">
        <w:r>
          <w:rPr/>
          <w:t>http://www.cedes.unicamp.br</w:t>
        </w:r>
      </w:hyperlink>
      <w:r>
        <w:rPr/>
        <w:t>&gt;</w:t>
      </w:r>
    </w:p>
    <w:p>
      <w:pPr>
        <w:pStyle w:val="BodyText"/>
        <w:spacing w:before="2"/>
        <w:rPr>
          <w:sz w:val="16"/>
        </w:rPr>
      </w:pPr>
    </w:p>
    <w:p>
      <w:pPr>
        <w:tabs>
          <w:tab w:pos="805" w:val="left" w:leader="none"/>
        </w:tabs>
        <w:spacing w:before="90"/>
        <w:ind w:left="102" w:right="486" w:firstLine="0"/>
        <w:jc w:val="left"/>
        <w:rPr>
          <w:sz w:val="24"/>
        </w:rPr>
      </w:pPr>
      <w:r>
        <w:rPr>
          <w:sz w:val="24"/>
          <w:u w:val="single"/>
        </w:rPr>
        <w:t> </w:t>
        <w:tab/>
      </w:r>
      <w:r>
        <w:rPr>
          <w:sz w:val="24"/>
        </w:rPr>
        <w:t>. </w:t>
      </w:r>
      <w:r>
        <w:rPr>
          <w:spacing w:val="-4"/>
          <w:sz w:val="24"/>
        </w:rPr>
        <w:t>In.: </w:t>
      </w:r>
      <w:r>
        <w:rPr>
          <w:spacing w:val="-3"/>
          <w:sz w:val="24"/>
        </w:rPr>
        <w:t>DOURADO, </w:t>
      </w:r>
      <w:r>
        <w:rPr>
          <w:spacing w:val="-4"/>
          <w:sz w:val="24"/>
        </w:rPr>
        <w:t>Luiz Fernandes (Org). </w:t>
      </w:r>
      <w:r>
        <w:rPr>
          <w:b/>
          <w:spacing w:val="-3"/>
          <w:sz w:val="24"/>
        </w:rPr>
        <w:t>Plano </w:t>
      </w:r>
      <w:r>
        <w:rPr>
          <w:b/>
          <w:spacing w:val="-4"/>
          <w:sz w:val="24"/>
        </w:rPr>
        <w:t>Nacional </w:t>
      </w:r>
      <w:r>
        <w:rPr>
          <w:b/>
          <w:sz w:val="24"/>
        </w:rPr>
        <w:t>de</w:t>
      </w:r>
      <w:r>
        <w:rPr>
          <w:b/>
          <w:spacing w:val="6"/>
          <w:sz w:val="24"/>
        </w:rPr>
        <w:t> </w:t>
      </w:r>
      <w:r>
        <w:rPr>
          <w:b/>
          <w:spacing w:val="-4"/>
          <w:sz w:val="24"/>
        </w:rPr>
        <w:t>Educação</w:t>
      </w:r>
      <w:r>
        <w:rPr>
          <w:b/>
          <w:spacing w:val="-2"/>
          <w:sz w:val="24"/>
        </w:rPr>
        <w:t> </w:t>
      </w:r>
      <w:r>
        <w:rPr>
          <w:b/>
          <w:spacing w:val="-3"/>
          <w:sz w:val="24"/>
        </w:rPr>
        <w:t>(2011-</w:t>
      </w:r>
      <w:r>
        <w:rPr>
          <w:b/>
          <w:sz w:val="24"/>
        </w:rPr>
        <w:t> </w:t>
      </w:r>
      <w:r>
        <w:rPr>
          <w:b/>
          <w:spacing w:val="-3"/>
          <w:sz w:val="24"/>
        </w:rPr>
        <w:t>2020): </w:t>
      </w:r>
      <w:r>
        <w:rPr>
          <w:b/>
          <w:spacing w:val="-4"/>
          <w:sz w:val="24"/>
        </w:rPr>
        <w:t>Avaliação </w:t>
      </w:r>
      <w:r>
        <w:rPr>
          <w:b/>
          <w:sz w:val="24"/>
        </w:rPr>
        <w:t>e </w:t>
      </w:r>
      <w:r>
        <w:rPr>
          <w:b/>
          <w:spacing w:val="-4"/>
          <w:sz w:val="24"/>
        </w:rPr>
        <w:t>perspectivas</w:t>
      </w:r>
      <w:r>
        <w:rPr>
          <w:spacing w:val="-4"/>
          <w:sz w:val="24"/>
        </w:rPr>
        <w:t>. </w:t>
      </w:r>
      <w:r>
        <w:rPr>
          <w:spacing w:val="-3"/>
          <w:sz w:val="24"/>
        </w:rPr>
        <w:t>Editora UFG: Goiânia; Autêntica Editora: Belo Horizonte;</w:t>
      </w:r>
      <w:r>
        <w:rPr>
          <w:spacing w:val="-4"/>
          <w:sz w:val="24"/>
        </w:rPr>
        <w:t> </w:t>
      </w:r>
      <w:r>
        <w:rPr>
          <w:spacing w:val="-3"/>
          <w:sz w:val="24"/>
        </w:rPr>
        <w:t>2011.</w:t>
      </w:r>
    </w:p>
    <w:p>
      <w:pPr>
        <w:pStyle w:val="BodyText"/>
        <w:spacing w:before="11"/>
        <w:rPr>
          <w:sz w:val="23"/>
        </w:rPr>
      </w:pPr>
    </w:p>
    <w:p>
      <w:pPr>
        <w:pStyle w:val="BodyText"/>
        <w:ind w:left="102"/>
      </w:pPr>
      <w:r>
        <w:rPr>
          <w:spacing w:val="-3"/>
        </w:rPr>
        <w:t>DUARTE, Marisa </w:t>
      </w:r>
      <w:r>
        <w:rPr>
          <w:spacing w:val="-4"/>
        </w:rPr>
        <w:t>Ribeiro Teixeira; </w:t>
      </w:r>
      <w:r>
        <w:rPr>
          <w:spacing w:val="-3"/>
        </w:rPr>
        <w:t>SANTOS, Maria Rosimary Soares dos. Avaliação das políticas </w:t>
      </w:r>
      <w:r>
        <w:rPr/>
        <w:t>em </w:t>
      </w:r>
      <w:r>
        <w:rPr>
          <w:spacing w:val="-4"/>
        </w:rPr>
        <w:t>educação: </w:t>
      </w:r>
      <w:r>
        <w:rPr/>
        <w:t>a </w:t>
      </w:r>
      <w:r>
        <w:rPr>
          <w:spacing w:val="-4"/>
        </w:rPr>
        <w:t>coordenação </w:t>
      </w:r>
      <w:r>
        <w:rPr>
          <w:spacing w:val="-3"/>
        </w:rPr>
        <w:t>sistêmica pela União. </w:t>
      </w:r>
      <w:r>
        <w:rPr>
          <w:b/>
          <w:spacing w:val="-4"/>
        </w:rPr>
        <w:t>Revista Retratos </w:t>
      </w:r>
      <w:r>
        <w:rPr>
          <w:b/>
        </w:rPr>
        <w:t>da </w:t>
      </w:r>
      <w:r>
        <w:rPr>
          <w:b/>
          <w:spacing w:val="-3"/>
        </w:rPr>
        <w:t>Escola</w:t>
      </w:r>
      <w:r>
        <w:rPr>
          <w:spacing w:val="-3"/>
        </w:rPr>
        <w:t>, Brasília, </w:t>
      </w:r>
      <w:r>
        <w:rPr/>
        <w:t>v. </w:t>
      </w:r>
      <w:r>
        <w:rPr>
          <w:spacing w:val="-3"/>
        </w:rPr>
        <w:t>6, </w:t>
      </w:r>
      <w:r>
        <w:rPr/>
        <w:t>n. 10, p. </w:t>
      </w:r>
      <w:r>
        <w:rPr>
          <w:spacing w:val="-3"/>
        </w:rPr>
        <w:t>79-93, jan./jun. 2012. </w:t>
      </w:r>
      <w:r>
        <w:rPr>
          <w:spacing w:val="-4"/>
        </w:rPr>
        <w:t>Disponível </w:t>
      </w:r>
      <w:r>
        <w:rPr>
          <w:spacing w:val="-3"/>
        </w:rPr>
        <w:t>em: </w:t>
      </w:r>
      <w:r>
        <w:rPr>
          <w:spacing w:val="-4"/>
        </w:rPr>
        <w:t>&lt;http//</w:t>
      </w:r>
      <w:hyperlink r:id="rId127">
        <w:r>
          <w:rPr>
            <w:spacing w:val="-4"/>
          </w:rPr>
          <w:t>www.esforce.org.br</w:t>
        </w:r>
      </w:hyperlink>
      <w:r>
        <w:rPr>
          <w:spacing w:val="-4"/>
        </w:rPr>
        <w:t>&gt;</w:t>
      </w:r>
    </w:p>
    <w:p>
      <w:pPr>
        <w:pStyle w:val="BodyText"/>
        <w:spacing w:before="11"/>
        <w:rPr>
          <w:sz w:val="23"/>
        </w:rPr>
      </w:pPr>
    </w:p>
    <w:p>
      <w:pPr>
        <w:pStyle w:val="BodyText"/>
        <w:ind w:left="102" w:right="115"/>
        <w:jc w:val="both"/>
      </w:pPr>
      <w:r>
        <w:rPr/>
        <w:t>FERNANDES, Thamyres Wan de Pol. Regime de Colaboração: o contexto histórico  das ações e das práticas em Educação. </w:t>
      </w:r>
      <w:r>
        <w:rPr>
          <w:b/>
        </w:rPr>
        <w:t>Revista Educ. Foco</w:t>
      </w:r>
      <w:r>
        <w:rPr/>
        <w:t>, Juiz de Fora, v 17 n. 3, p. 153-176 nov 2012/fev</w:t>
      </w:r>
      <w:r>
        <w:rPr>
          <w:spacing w:val="-2"/>
        </w:rPr>
        <w:t> </w:t>
      </w:r>
      <w:r>
        <w:rPr/>
        <w:t>2013.</w:t>
      </w:r>
    </w:p>
    <w:p>
      <w:pPr>
        <w:pStyle w:val="BodyText"/>
        <w:spacing w:before="11"/>
        <w:rPr>
          <w:sz w:val="23"/>
        </w:rPr>
      </w:pPr>
    </w:p>
    <w:p>
      <w:pPr>
        <w:spacing w:before="0"/>
        <w:ind w:left="102" w:right="482" w:firstLine="0"/>
        <w:jc w:val="left"/>
        <w:rPr>
          <w:sz w:val="24"/>
        </w:rPr>
      </w:pPr>
      <w:r>
        <w:rPr>
          <w:sz w:val="24"/>
        </w:rPr>
        <w:t>FERREIRA, Francisco Whitaker. </w:t>
      </w:r>
      <w:r>
        <w:rPr>
          <w:b/>
          <w:sz w:val="24"/>
        </w:rPr>
        <w:t>Planejamento sim e não: um modo de agir num mundo em permanente mudança</w:t>
      </w:r>
      <w:r>
        <w:rPr>
          <w:sz w:val="24"/>
        </w:rPr>
        <w:t>. Rio de Janeiro: Paz e Terra, 1979.</w:t>
      </w:r>
    </w:p>
    <w:p>
      <w:pPr>
        <w:pStyle w:val="BodyText"/>
        <w:spacing w:before="11"/>
        <w:rPr>
          <w:sz w:val="23"/>
        </w:rPr>
      </w:pPr>
    </w:p>
    <w:p>
      <w:pPr>
        <w:spacing w:before="0"/>
        <w:ind w:left="102" w:right="197" w:firstLine="0"/>
        <w:jc w:val="both"/>
        <w:rPr>
          <w:b/>
          <w:sz w:val="24"/>
        </w:rPr>
      </w:pPr>
      <w:r>
        <w:rPr>
          <w:sz w:val="24"/>
        </w:rPr>
        <w:t>FONSECA, Marília. Planejamento educacional no Brasil: um campo de disputas entre as políticas de governo e as demandas da sociedade. In: FERREIRA, Eliza Bartolozzi; FONSECA, Marília (Orgs). </w:t>
      </w:r>
      <w:r>
        <w:rPr>
          <w:b/>
          <w:sz w:val="24"/>
        </w:rPr>
        <w:t>Política e planejamento educacional no Brasil do Século</w:t>
      </w:r>
    </w:p>
    <w:p>
      <w:pPr>
        <w:pStyle w:val="BodyText"/>
        <w:ind w:left="102"/>
      </w:pPr>
      <w:r>
        <w:rPr>
          <w:b/>
        </w:rPr>
        <w:t>21. </w:t>
      </w:r>
      <w:r>
        <w:rPr/>
        <w:t>Brasília: Liber Livro, 2013.</w:t>
      </w:r>
    </w:p>
    <w:p>
      <w:pPr>
        <w:spacing w:after="0"/>
        <w:sectPr>
          <w:pgSz w:w="11910" w:h="16840"/>
          <w:pgMar w:header="749" w:footer="0" w:top="960" w:bottom="280" w:left="1600" w:right="1580"/>
        </w:sectPr>
      </w:pPr>
    </w:p>
    <w:p>
      <w:pPr>
        <w:pStyle w:val="BodyText"/>
        <w:rPr>
          <w:sz w:val="20"/>
        </w:rPr>
      </w:pPr>
    </w:p>
    <w:p>
      <w:pPr>
        <w:spacing w:before="208"/>
        <w:ind w:left="102" w:right="522" w:firstLine="0"/>
        <w:jc w:val="left"/>
        <w:rPr>
          <w:sz w:val="24"/>
        </w:rPr>
      </w:pPr>
      <w:r>
        <w:rPr>
          <w:sz w:val="24"/>
        </w:rPr>
        <w:t>FREIRE, Paulo. </w:t>
      </w:r>
      <w:r>
        <w:rPr>
          <w:b/>
          <w:sz w:val="24"/>
        </w:rPr>
        <w:t>Pedagogia do Oprimido. </w:t>
      </w:r>
      <w:r>
        <w:rPr>
          <w:sz w:val="24"/>
        </w:rPr>
        <w:t>50. ed. ver. e atual. Rio de Janeiro: Paz e Terra, 2011.</w:t>
      </w:r>
    </w:p>
    <w:p>
      <w:pPr>
        <w:pStyle w:val="BodyText"/>
        <w:spacing w:before="11"/>
        <w:rPr>
          <w:sz w:val="23"/>
        </w:rPr>
      </w:pPr>
    </w:p>
    <w:p>
      <w:pPr>
        <w:pStyle w:val="BodyText"/>
        <w:ind w:left="102" w:right="543"/>
      </w:pPr>
      <w:r>
        <w:rPr/>
        <w:t>FREITAS, Katia Siqueira de. Planejamento Educacional: o instrumento na busca da qualidade e da eficácia. </w:t>
      </w:r>
      <w:r>
        <w:rPr>
          <w:b/>
        </w:rPr>
        <w:t>GERIR</w:t>
      </w:r>
      <w:r>
        <w:rPr/>
        <w:t>, Salvador, v.9, n.34, p.12-38, nov./dez. 2003.</w:t>
      </w:r>
    </w:p>
    <w:p>
      <w:pPr>
        <w:pStyle w:val="BodyText"/>
        <w:spacing w:before="11"/>
        <w:rPr>
          <w:sz w:val="23"/>
        </w:rPr>
      </w:pPr>
    </w:p>
    <w:p>
      <w:pPr>
        <w:pStyle w:val="BodyText"/>
        <w:ind w:left="102"/>
      </w:pPr>
      <w:r>
        <w:rPr/>
        <w:t>FRIGOTTO, Gaudêncio. As novas e velhas faces da crise do capital e o labirinto dos referenciais teóricos. In.: FRIGOTTO, Gaudêncio; CIAVATTA, Maria. </w:t>
      </w:r>
      <w:r>
        <w:rPr>
          <w:b/>
        </w:rPr>
        <w:t>Teoria e educação no labirinto do capital</w:t>
      </w:r>
      <w:r>
        <w:rPr/>
        <w:t>. 2. ed. São Paulo: Editora Expressão Popular, 2014</w:t>
      </w:r>
    </w:p>
    <w:p>
      <w:pPr>
        <w:pStyle w:val="BodyText"/>
        <w:spacing w:before="11"/>
        <w:rPr>
          <w:sz w:val="23"/>
        </w:rPr>
      </w:pPr>
    </w:p>
    <w:p>
      <w:pPr>
        <w:spacing w:before="0"/>
        <w:ind w:left="102" w:right="408" w:firstLine="0"/>
        <w:jc w:val="left"/>
        <w:rPr>
          <w:sz w:val="24"/>
        </w:rPr>
      </w:pPr>
      <w:r>
        <w:rPr>
          <w:sz w:val="24"/>
        </w:rPr>
        <w:t>GANDIN, Danilo. </w:t>
      </w:r>
      <w:r>
        <w:rPr>
          <w:b/>
          <w:sz w:val="24"/>
        </w:rPr>
        <w:t>A prática do planejamento participativo. </w:t>
      </w:r>
      <w:r>
        <w:rPr>
          <w:sz w:val="24"/>
        </w:rPr>
        <w:t>14. ed. Petrópolis, RJ: Vozes, 2007.</w:t>
      </w:r>
    </w:p>
    <w:p>
      <w:pPr>
        <w:pStyle w:val="BodyText"/>
        <w:spacing w:before="11"/>
        <w:rPr>
          <w:sz w:val="23"/>
        </w:rPr>
      </w:pPr>
    </w:p>
    <w:p>
      <w:pPr>
        <w:pStyle w:val="BodyText"/>
        <w:ind w:left="102" w:right="294"/>
      </w:pPr>
      <w:r>
        <w:rPr>
          <w:spacing w:val="-3"/>
        </w:rPr>
        <w:t>GARCIA, Walter E. Planejamento </w:t>
      </w:r>
      <w:r>
        <w:rPr/>
        <w:t>e </w:t>
      </w:r>
      <w:r>
        <w:rPr>
          <w:spacing w:val="-4"/>
        </w:rPr>
        <w:t>educação </w:t>
      </w:r>
      <w:r>
        <w:rPr>
          <w:spacing w:val="-3"/>
        </w:rPr>
        <w:t>no </w:t>
      </w:r>
      <w:r>
        <w:rPr>
          <w:spacing w:val="-4"/>
        </w:rPr>
        <w:t>Brasil: </w:t>
      </w:r>
      <w:r>
        <w:rPr/>
        <w:t>a </w:t>
      </w:r>
      <w:r>
        <w:rPr>
          <w:spacing w:val="-3"/>
        </w:rPr>
        <w:t>busca </w:t>
      </w:r>
      <w:r>
        <w:rPr/>
        <w:t>de </w:t>
      </w:r>
      <w:r>
        <w:rPr>
          <w:spacing w:val="-3"/>
        </w:rPr>
        <w:t>novos caminhos. </w:t>
      </w:r>
      <w:r>
        <w:rPr>
          <w:spacing w:val="-4"/>
        </w:rPr>
        <w:t>In.: </w:t>
      </w:r>
      <w:r>
        <w:rPr>
          <w:spacing w:val="-3"/>
        </w:rPr>
        <w:t>KUENZER, Acácia </w:t>
      </w:r>
      <w:r>
        <w:rPr>
          <w:spacing w:val="-4"/>
        </w:rPr>
        <w:t>Zeneida. </w:t>
      </w:r>
      <w:r>
        <w:rPr>
          <w:b/>
          <w:spacing w:val="-4"/>
        </w:rPr>
        <w:t>Planejamento </w:t>
      </w:r>
      <w:r>
        <w:rPr>
          <w:b/>
        </w:rPr>
        <w:t>e </w:t>
      </w:r>
      <w:r>
        <w:rPr>
          <w:b/>
          <w:spacing w:val="-4"/>
        </w:rPr>
        <w:t>educação </w:t>
      </w:r>
      <w:r>
        <w:rPr>
          <w:b/>
        </w:rPr>
        <w:t>no </w:t>
      </w:r>
      <w:r>
        <w:rPr>
          <w:b/>
          <w:spacing w:val="-3"/>
        </w:rPr>
        <w:t>Brasil</w:t>
      </w:r>
      <w:r>
        <w:rPr>
          <w:spacing w:val="-3"/>
        </w:rPr>
        <w:t>. </w:t>
      </w:r>
      <w:r>
        <w:rPr/>
        <w:t>6. </w:t>
      </w:r>
      <w:r>
        <w:rPr>
          <w:spacing w:val="-3"/>
        </w:rPr>
        <w:t>ed. </w:t>
      </w:r>
      <w:r>
        <w:rPr>
          <w:spacing w:val="-2"/>
        </w:rPr>
        <w:t>São </w:t>
      </w:r>
      <w:r>
        <w:rPr>
          <w:spacing w:val="-3"/>
        </w:rPr>
        <w:t>Paulo: Cortez, 2003.</w:t>
      </w:r>
    </w:p>
    <w:p>
      <w:pPr>
        <w:pStyle w:val="BodyText"/>
        <w:spacing w:before="11"/>
        <w:rPr>
          <w:sz w:val="23"/>
        </w:rPr>
      </w:pPr>
    </w:p>
    <w:p>
      <w:pPr>
        <w:pStyle w:val="BodyText"/>
        <w:ind w:left="102" w:right="263"/>
      </w:pPr>
      <w:r>
        <w:rPr/>
        <w:t>GENTILI, Pablo. Neoliberalismo e educação: manual do usuário. In: SILVA, Tomaz Tadeu da. GENTILI, Pablo (orgs). </w:t>
      </w:r>
      <w:r>
        <w:rPr>
          <w:b/>
        </w:rPr>
        <w:t>Escola S.A. </w:t>
      </w:r>
      <w:r>
        <w:rPr/>
        <w:t>Quem ganha e quem perde no mercado educacional do neoliberalismo. Brasília: CNTE, 1996. 9-49.</w:t>
      </w:r>
    </w:p>
    <w:p>
      <w:pPr>
        <w:pStyle w:val="BodyText"/>
        <w:spacing w:before="11"/>
        <w:rPr>
          <w:sz w:val="23"/>
        </w:rPr>
      </w:pPr>
    </w:p>
    <w:p>
      <w:pPr>
        <w:pStyle w:val="BodyText"/>
        <w:ind w:left="102"/>
      </w:pPr>
      <w:r>
        <w:rPr/>
        <w:t>GENTILINI, João Augusto.</w:t>
      </w:r>
    </w:p>
    <w:p>
      <w:pPr>
        <w:spacing w:before="0"/>
        <w:ind w:left="102" w:right="119" w:firstLine="0"/>
        <w:jc w:val="left"/>
        <w:rPr>
          <w:sz w:val="24"/>
        </w:rPr>
      </w:pPr>
      <w:r>
        <w:rPr>
          <w:b/>
          <w:sz w:val="24"/>
        </w:rPr>
        <w:t>Planejamento educacional no  âmbito  dos  sistemas  municipais de ensino: </w:t>
      </w:r>
      <w:r>
        <w:rPr>
          <w:sz w:val="24"/>
        </w:rPr>
        <w:t>o desaf io da autonomia. UNESP – Faculdade de ciências e Letras, Araraquara-SP, s/d.</w:t>
      </w:r>
    </w:p>
    <w:p>
      <w:pPr>
        <w:pStyle w:val="BodyText"/>
      </w:pPr>
    </w:p>
    <w:p>
      <w:pPr>
        <w:pStyle w:val="BodyText"/>
        <w:ind w:left="102" w:right="142"/>
      </w:pPr>
      <w:r>
        <w:rPr/>
        <w:t>GRACINDO, Regina Vinhaes. Sistemas Municipais de Ensino: limites e possibilidades. Inº: BRZEZINSKI, Iria (Org.). </w:t>
      </w:r>
      <w:r>
        <w:rPr>
          <w:b/>
        </w:rPr>
        <w:t>LDB dez anos depois: </w:t>
      </w:r>
      <w:r>
        <w:rPr/>
        <w:t>reinterpretação sob diversos olhares. 3. ed. São Paulo: Cortez, 2010.</w:t>
      </w:r>
    </w:p>
    <w:p>
      <w:pPr>
        <w:pStyle w:val="BodyText"/>
      </w:pPr>
    </w:p>
    <w:p>
      <w:pPr>
        <w:spacing w:before="0"/>
        <w:ind w:left="102" w:right="162" w:firstLine="0"/>
        <w:jc w:val="left"/>
        <w:rPr>
          <w:sz w:val="24"/>
        </w:rPr>
      </w:pPr>
      <w:r>
        <w:rPr>
          <w:sz w:val="24"/>
        </w:rPr>
        <w:t>IANNI, Octavio. </w:t>
      </w:r>
      <w:r>
        <w:rPr>
          <w:b/>
          <w:sz w:val="24"/>
        </w:rPr>
        <w:t>Estado e planejamento econômico no Brasil</w:t>
      </w:r>
      <w:r>
        <w:rPr>
          <w:sz w:val="24"/>
        </w:rPr>
        <w:t>. Rio de janeiro, Editora Civilização brasileira S.A., 1986, 4. edição.</w:t>
      </w:r>
    </w:p>
    <w:p>
      <w:pPr>
        <w:pStyle w:val="BodyText"/>
        <w:spacing w:before="11"/>
        <w:rPr>
          <w:sz w:val="23"/>
        </w:rPr>
      </w:pPr>
    </w:p>
    <w:p>
      <w:pPr>
        <w:pStyle w:val="BodyText"/>
        <w:ind w:left="102"/>
      </w:pPr>
      <w:r>
        <w:rPr>
          <w:spacing w:val="-3"/>
        </w:rPr>
        <w:t>KONDER, </w:t>
      </w:r>
      <w:r>
        <w:rPr>
          <w:spacing w:val="-4"/>
        </w:rPr>
        <w:t>Leandro. </w:t>
      </w:r>
      <w:r>
        <w:rPr>
          <w:b/>
        </w:rPr>
        <w:t>O </w:t>
      </w:r>
      <w:r>
        <w:rPr>
          <w:b/>
          <w:spacing w:val="-2"/>
        </w:rPr>
        <w:t>que </w:t>
      </w:r>
      <w:r>
        <w:rPr>
          <w:b/>
        </w:rPr>
        <w:t>é </w:t>
      </w:r>
      <w:r>
        <w:rPr>
          <w:b/>
          <w:spacing w:val="-3"/>
        </w:rPr>
        <w:t>dialética. </w:t>
      </w:r>
      <w:r>
        <w:rPr>
          <w:spacing w:val="-2"/>
        </w:rPr>
        <w:t>São </w:t>
      </w:r>
      <w:r>
        <w:rPr>
          <w:spacing w:val="-3"/>
        </w:rPr>
        <w:t>Paulo: </w:t>
      </w:r>
      <w:r>
        <w:rPr>
          <w:spacing w:val="-4"/>
        </w:rPr>
        <w:t>Brasiliense, </w:t>
      </w:r>
      <w:r>
        <w:rPr>
          <w:spacing w:val="-3"/>
        </w:rPr>
        <w:t>2004. </w:t>
      </w:r>
      <w:r>
        <w:rPr>
          <w:spacing w:val="-4"/>
        </w:rPr>
        <w:t>(Coleção </w:t>
      </w:r>
      <w:r>
        <w:rPr>
          <w:spacing w:val="-3"/>
        </w:rPr>
        <w:t>primeiros passos: 23)</w:t>
      </w:r>
    </w:p>
    <w:p>
      <w:pPr>
        <w:pStyle w:val="BodyText"/>
        <w:spacing w:before="11"/>
        <w:rPr>
          <w:sz w:val="23"/>
        </w:rPr>
      </w:pPr>
    </w:p>
    <w:p>
      <w:pPr>
        <w:pStyle w:val="BodyText"/>
        <w:ind w:left="102" w:right="122"/>
        <w:jc w:val="both"/>
      </w:pPr>
      <w:r>
        <w:rPr/>
        <w:t>LAGARES, R. Planejamento em Educação: concepções, tradições, características, discursos e práticas. </w:t>
      </w:r>
      <w:r>
        <w:rPr>
          <w:b/>
        </w:rPr>
        <w:t>Tempo Integral</w:t>
      </w:r>
      <w:r>
        <w:rPr/>
        <w:t>: Revista de Educação da Prefeitura de Palmas. Ano 2 Número 5 Janeiro a Março de 2006. ISSN 1808-2890</w:t>
      </w:r>
    </w:p>
    <w:p>
      <w:pPr>
        <w:pStyle w:val="BodyText"/>
        <w:spacing w:before="4"/>
        <w:rPr>
          <w:sz w:val="16"/>
        </w:rPr>
      </w:pPr>
    </w:p>
    <w:p>
      <w:pPr>
        <w:tabs>
          <w:tab w:pos="821" w:val="left" w:leader="none"/>
        </w:tabs>
        <w:spacing w:line="276" w:lineRule="auto" w:before="90"/>
        <w:ind w:left="102" w:right="364" w:firstLine="0"/>
        <w:jc w:val="left"/>
        <w:rPr>
          <w:sz w:val="24"/>
        </w:rPr>
      </w:pPr>
      <w:r>
        <w:rPr>
          <w:sz w:val="24"/>
          <w:u w:val="single"/>
        </w:rPr>
        <w:t> </w:t>
        <w:tab/>
      </w:r>
      <w:r>
        <w:rPr>
          <w:sz w:val="24"/>
        </w:rPr>
        <w:t>. </w:t>
      </w:r>
      <w:r>
        <w:rPr>
          <w:b/>
          <w:sz w:val="24"/>
        </w:rPr>
        <w:t>Organização da educação municipal no Tocantins: </w:t>
      </w:r>
      <w:r>
        <w:rPr>
          <w:sz w:val="24"/>
        </w:rPr>
        <w:t>entre a</w:t>
      </w:r>
      <w:r>
        <w:rPr>
          <w:spacing w:val="-11"/>
          <w:sz w:val="24"/>
        </w:rPr>
        <w:t> </w:t>
      </w:r>
      <w:r>
        <w:rPr>
          <w:sz w:val="24"/>
        </w:rPr>
        <w:t>conservação</w:t>
      </w:r>
      <w:r>
        <w:rPr>
          <w:spacing w:val="-2"/>
          <w:sz w:val="24"/>
        </w:rPr>
        <w:t> </w:t>
      </w:r>
      <w:r>
        <w:rPr>
          <w:sz w:val="24"/>
        </w:rPr>
        <w:t>de</w:t>
      </w:r>
      <w:r>
        <w:rPr>
          <w:w w:val="99"/>
          <w:sz w:val="24"/>
        </w:rPr>
        <w:t> </w:t>
      </w:r>
      <w:r>
        <w:rPr>
          <w:sz w:val="24"/>
        </w:rPr>
        <w:t>redes e o processo efetivo de institucionalização de sistemas. UFG. Faculdade de Educação. Goiânia,</w:t>
      </w:r>
      <w:r>
        <w:rPr>
          <w:spacing w:val="-3"/>
          <w:sz w:val="24"/>
        </w:rPr>
        <w:t> </w:t>
      </w:r>
      <w:r>
        <w:rPr>
          <w:sz w:val="24"/>
        </w:rPr>
        <w:t>2008.</w:t>
      </w:r>
    </w:p>
    <w:p>
      <w:pPr>
        <w:pStyle w:val="BodyText"/>
        <w:spacing w:before="7"/>
        <w:rPr>
          <w:sz w:val="19"/>
        </w:rPr>
      </w:pPr>
    </w:p>
    <w:p>
      <w:pPr>
        <w:pStyle w:val="BodyText"/>
        <w:tabs>
          <w:tab w:pos="805" w:val="left" w:leader="none"/>
        </w:tabs>
        <w:spacing w:before="90"/>
        <w:ind w:left="102" w:right="142"/>
      </w:pPr>
      <w:r>
        <w:rPr>
          <w:u w:val="single"/>
        </w:rPr>
        <w:t> </w:t>
        <w:tab/>
      </w:r>
      <w:r>
        <w:rPr/>
        <w:t>. </w:t>
      </w:r>
      <w:r>
        <w:rPr>
          <w:spacing w:val="-3"/>
        </w:rPr>
        <w:t>(re) </w:t>
      </w:r>
      <w:r>
        <w:rPr>
          <w:spacing w:val="-4"/>
        </w:rPr>
        <w:t>configuração </w:t>
      </w:r>
      <w:r>
        <w:rPr/>
        <w:t>da </w:t>
      </w:r>
      <w:r>
        <w:rPr>
          <w:spacing w:val="-4"/>
        </w:rPr>
        <w:t>educação municipal </w:t>
      </w:r>
      <w:r>
        <w:rPr>
          <w:spacing w:val="-3"/>
        </w:rPr>
        <w:t>no Brasil entre os anos 1990 </w:t>
      </w:r>
      <w:r>
        <w:rPr/>
        <w:t>e</w:t>
      </w:r>
      <w:r>
        <w:rPr>
          <w:spacing w:val="-20"/>
        </w:rPr>
        <w:t> </w:t>
      </w:r>
      <w:r>
        <w:rPr>
          <w:spacing w:val="-3"/>
        </w:rPr>
        <w:t>início</w:t>
      </w:r>
      <w:r>
        <w:rPr>
          <w:spacing w:val="-7"/>
        </w:rPr>
        <w:t> </w:t>
      </w:r>
      <w:r>
        <w:rPr/>
        <w:t>do </w:t>
      </w:r>
      <w:r>
        <w:rPr>
          <w:spacing w:val="-3"/>
        </w:rPr>
        <w:t>século</w:t>
      </w:r>
      <w:r>
        <w:rPr>
          <w:spacing w:val="-6"/>
        </w:rPr>
        <w:t> </w:t>
      </w:r>
      <w:r>
        <w:rPr>
          <w:spacing w:val="-4"/>
        </w:rPr>
        <w:t>XXI.</w:t>
      </w:r>
      <w:r>
        <w:rPr>
          <w:spacing w:val="-6"/>
        </w:rPr>
        <w:t> </w:t>
      </w:r>
      <w:r>
        <w:rPr>
          <w:b/>
        </w:rPr>
        <w:t>36ª</w:t>
      </w:r>
      <w:r>
        <w:rPr>
          <w:b/>
          <w:spacing w:val="-6"/>
        </w:rPr>
        <w:t> </w:t>
      </w:r>
      <w:r>
        <w:rPr>
          <w:b/>
          <w:spacing w:val="-3"/>
        </w:rPr>
        <w:t>Reunião</w:t>
      </w:r>
      <w:r>
        <w:rPr>
          <w:b/>
          <w:spacing w:val="-9"/>
        </w:rPr>
        <w:t> </w:t>
      </w:r>
      <w:r>
        <w:rPr>
          <w:b/>
          <w:spacing w:val="-3"/>
        </w:rPr>
        <w:t>Nacional</w:t>
      </w:r>
      <w:r>
        <w:rPr>
          <w:b/>
          <w:spacing w:val="-8"/>
        </w:rPr>
        <w:t> </w:t>
      </w:r>
      <w:r>
        <w:rPr>
          <w:b/>
        </w:rPr>
        <w:t>da</w:t>
      </w:r>
      <w:r>
        <w:rPr>
          <w:b/>
          <w:spacing w:val="-9"/>
        </w:rPr>
        <w:t> </w:t>
      </w:r>
      <w:r>
        <w:rPr>
          <w:b/>
          <w:spacing w:val="-3"/>
        </w:rPr>
        <w:t>ANPEd</w:t>
      </w:r>
      <w:r>
        <w:rPr>
          <w:b/>
          <w:spacing w:val="-5"/>
        </w:rPr>
        <w:t> </w:t>
      </w:r>
      <w:r>
        <w:rPr/>
        <w:t>–</w:t>
      </w:r>
      <w:r>
        <w:rPr>
          <w:spacing w:val="-9"/>
        </w:rPr>
        <w:t> </w:t>
      </w:r>
      <w:r>
        <w:rPr>
          <w:spacing w:val="-3"/>
        </w:rPr>
        <w:t>29</w:t>
      </w:r>
      <w:r>
        <w:rPr>
          <w:spacing w:val="-6"/>
        </w:rPr>
        <w:t> </w:t>
      </w:r>
      <w:r>
        <w:rPr/>
        <w:t>de</w:t>
      </w:r>
      <w:r>
        <w:rPr>
          <w:spacing w:val="-7"/>
        </w:rPr>
        <w:t> </w:t>
      </w:r>
      <w:r>
        <w:rPr>
          <w:spacing w:val="-3"/>
        </w:rPr>
        <w:t>setembro</w:t>
      </w:r>
      <w:r>
        <w:rPr>
          <w:spacing w:val="-9"/>
        </w:rPr>
        <w:t> </w:t>
      </w:r>
      <w:r>
        <w:rPr/>
        <w:t>a</w:t>
      </w:r>
      <w:r>
        <w:rPr>
          <w:spacing w:val="-7"/>
        </w:rPr>
        <w:t> </w:t>
      </w:r>
      <w:r>
        <w:rPr/>
        <w:t>02</w:t>
      </w:r>
      <w:r>
        <w:rPr>
          <w:spacing w:val="-9"/>
        </w:rPr>
        <w:t> </w:t>
      </w:r>
      <w:r>
        <w:rPr/>
        <w:t>de</w:t>
      </w:r>
      <w:r>
        <w:rPr>
          <w:spacing w:val="-7"/>
        </w:rPr>
        <w:t> </w:t>
      </w:r>
      <w:r>
        <w:rPr>
          <w:spacing w:val="-4"/>
        </w:rPr>
        <w:t>outubro</w:t>
      </w:r>
      <w:r>
        <w:rPr>
          <w:spacing w:val="-6"/>
        </w:rPr>
        <w:t> </w:t>
      </w:r>
      <w:r>
        <w:rPr/>
        <w:t>de</w:t>
      </w:r>
      <w:r>
        <w:rPr>
          <w:spacing w:val="-10"/>
        </w:rPr>
        <w:t> </w:t>
      </w:r>
      <w:r>
        <w:rPr>
          <w:spacing w:val="-3"/>
        </w:rPr>
        <w:t>2013, Goiânia-GO.</w:t>
      </w:r>
    </w:p>
    <w:p>
      <w:pPr>
        <w:pStyle w:val="BodyText"/>
        <w:spacing w:before="2"/>
        <w:rPr>
          <w:sz w:val="16"/>
        </w:rPr>
      </w:pPr>
    </w:p>
    <w:p>
      <w:pPr>
        <w:pStyle w:val="BodyText"/>
        <w:tabs>
          <w:tab w:pos="805" w:val="left" w:leader="none"/>
        </w:tabs>
        <w:spacing w:before="90"/>
        <w:ind w:left="102" w:right="594"/>
      </w:pPr>
      <w:r>
        <w:rPr>
          <w:u w:val="single"/>
        </w:rPr>
        <w:t> </w:t>
        <w:tab/>
      </w:r>
      <w:r>
        <w:rPr/>
        <w:t>. </w:t>
      </w:r>
      <w:r>
        <w:rPr>
          <w:spacing w:val="-3"/>
        </w:rPr>
        <w:t>Relações </w:t>
      </w:r>
      <w:r>
        <w:rPr>
          <w:spacing w:val="-4"/>
        </w:rPr>
        <w:t>intergovernamentais Estado-Municípios </w:t>
      </w:r>
      <w:r>
        <w:rPr/>
        <w:t>no </w:t>
      </w:r>
      <w:r>
        <w:rPr>
          <w:spacing w:val="-4"/>
        </w:rPr>
        <w:t>Tocantins</w:t>
      </w:r>
      <w:r>
        <w:rPr>
          <w:spacing w:val="5"/>
        </w:rPr>
        <w:t> </w:t>
      </w:r>
      <w:r>
        <w:rPr/>
        <w:t>na</w:t>
      </w:r>
      <w:r>
        <w:rPr>
          <w:spacing w:val="-4"/>
        </w:rPr>
        <w:t> Educação:</w:t>
      </w:r>
      <w:r>
        <w:rPr/>
        <w:t> </w:t>
      </w:r>
      <w:r>
        <w:rPr>
          <w:spacing w:val="-3"/>
        </w:rPr>
        <w:t>regime </w:t>
      </w:r>
      <w:r>
        <w:rPr/>
        <w:t>de </w:t>
      </w:r>
      <w:r>
        <w:rPr>
          <w:spacing w:val="-4"/>
        </w:rPr>
        <w:t>colaboração </w:t>
      </w:r>
      <w:r>
        <w:rPr/>
        <w:t>ou </w:t>
      </w:r>
      <w:r>
        <w:rPr>
          <w:spacing w:val="-3"/>
        </w:rPr>
        <w:t>arranjos </w:t>
      </w:r>
      <w:r>
        <w:rPr>
          <w:spacing w:val="-4"/>
        </w:rPr>
        <w:t>administrativo-legais. </w:t>
      </w:r>
      <w:r>
        <w:rPr>
          <w:b/>
        </w:rPr>
        <w:t>37ª Reunião Nacional da ANPED </w:t>
      </w:r>
      <w:r>
        <w:rPr/>
        <w:t>– Florianópolis-SC, 04 a 08 de outubro de</w:t>
      </w:r>
      <w:r>
        <w:rPr>
          <w:spacing w:val="-9"/>
        </w:rPr>
        <w:t> </w:t>
      </w:r>
      <w:r>
        <w:rPr/>
        <w:t>2015.</w:t>
      </w:r>
    </w:p>
    <w:p>
      <w:pPr>
        <w:spacing w:after="0"/>
        <w:sectPr>
          <w:pgSz w:w="11910" w:h="16840"/>
          <w:pgMar w:header="749" w:footer="0" w:top="960" w:bottom="280" w:left="1600" w:right="1580"/>
        </w:sectPr>
      </w:pPr>
    </w:p>
    <w:p>
      <w:pPr>
        <w:pStyle w:val="BodyText"/>
        <w:rPr>
          <w:sz w:val="20"/>
        </w:rPr>
      </w:pPr>
    </w:p>
    <w:p>
      <w:pPr>
        <w:pStyle w:val="BodyText"/>
        <w:rPr>
          <w:sz w:val="20"/>
        </w:rPr>
      </w:pPr>
    </w:p>
    <w:p>
      <w:pPr>
        <w:pStyle w:val="BodyText"/>
        <w:spacing w:before="1"/>
        <w:rPr>
          <w:sz w:val="22"/>
        </w:rPr>
      </w:pPr>
    </w:p>
    <w:p>
      <w:pPr>
        <w:pStyle w:val="BodyText"/>
        <w:tabs>
          <w:tab w:pos="805" w:val="left" w:leader="none"/>
        </w:tabs>
        <w:ind w:left="102" w:right="126"/>
      </w:pPr>
      <w:r>
        <w:rPr>
          <w:u w:val="single"/>
        </w:rPr>
        <w:t> </w:t>
        <w:tab/>
      </w:r>
      <w:r>
        <w:rPr/>
        <w:t>. et </w:t>
      </w:r>
      <w:r>
        <w:rPr>
          <w:spacing w:val="-2"/>
        </w:rPr>
        <w:t>al. </w:t>
      </w:r>
      <w:r>
        <w:rPr>
          <w:spacing w:val="-3"/>
        </w:rPr>
        <w:t>Planejamento </w:t>
      </w:r>
      <w:r>
        <w:rPr/>
        <w:t>da </w:t>
      </w:r>
      <w:r>
        <w:rPr>
          <w:spacing w:val="-4"/>
        </w:rPr>
        <w:t>Educação Municipal </w:t>
      </w:r>
      <w:r>
        <w:rPr/>
        <w:t>no </w:t>
      </w:r>
      <w:r>
        <w:rPr>
          <w:spacing w:val="-4"/>
        </w:rPr>
        <w:t>Tocantins: processos</w:t>
      </w:r>
      <w:r>
        <w:rPr>
          <w:spacing w:val="-24"/>
        </w:rPr>
        <w:t> </w:t>
      </w:r>
      <w:r>
        <w:rPr/>
        <w:t>de</w:t>
      </w:r>
      <w:r>
        <w:rPr>
          <w:spacing w:val="-4"/>
        </w:rPr>
        <w:t> construção</w:t>
      </w:r>
      <w:r>
        <w:rPr/>
        <w:t> de </w:t>
      </w:r>
      <w:r>
        <w:rPr>
          <w:spacing w:val="-3"/>
        </w:rPr>
        <w:t>planos, regime </w:t>
      </w:r>
      <w:r>
        <w:rPr/>
        <w:t>de </w:t>
      </w:r>
      <w:r>
        <w:rPr>
          <w:spacing w:val="-4"/>
        </w:rPr>
        <w:t>colaboração, </w:t>
      </w:r>
      <w:r>
        <w:rPr>
          <w:spacing w:val="-3"/>
        </w:rPr>
        <w:t>gestão </w:t>
      </w:r>
      <w:r>
        <w:rPr>
          <w:spacing w:val="-4"/>
        </w:rPr>
        <w:t>democrática. </w:t>
      </w:r>
      <w:r>
        <w:rPr>
          <w:b/>
          <w:spacing w:val="-3"/>
        </w:rPr>
        <w:t>Rev</w:t>
      </w:r>
      <w:r>
        <w:rPr>
          <w:spacing w:val="-3"/>
        </w:rPr>
        <w:t>. </w:t>
      </w:r>
      <w:r>
        <w:rPr>
          <w:b/>
          <w:spacing w:val="-4"/>
        </w:rPr>
        <w:t>Interacções. </w:t>
      </w:r>
      <w:r>
        <w:rPr>
          <w:spacing w:val="-3"/>
        </w:rPr>
        <w:t>Portugal. </w:t>
      </w:r>
      <w:r>
        <w:rPr/>
        <w:t>n.</w:t>
      </w:r>
      <w:r>
        <w:rPr>
          <w:spacing w:val="-27"/>
        </w:rPr>
        <w:t> </w:t>
      </w:r>
      <w:r>
        <w:rPr/>
        <w:t>35,</w:t>
      </w:r>
    </w:p>
    <w:p>
      <w:pPr>
        <w:pStyle w:val="BodyText"/>
        <w:ind w:left="102"/>
      </w:pPr>
      <w:r>
        <w:rPr/>
        <w:t>p. 75-86, 2015. Disponível em </w:t>
      </w:r>
      <w:hyperlink r:id="rId128">
        <w:r>
          <w:rPr/>
          <w:t>www.eses.pt/interaccoes.</w:t>
        </w:r>
      </w:hyperlink>
    </w:p>
    <w:p>
      <w:pPr>
        <w:pStyle w:val="BodyText"/>
        <w:spacing w:before="5"/>
        <w:rPr>
          <w:sz w:val="16"/>
        </w:rPr>
      </w:pPr>
    </w:p>
    <w:p>
      <w:pPr>
        <w:pStyle w:val="BodyText"/>
        <w:tabs>
          <w:tab w:pos="821" w:val="left" w:leader="none"/>
        </w:tabs>
        <w:spacing w:line="276" w:lineRule="auto" w:before="90"/>
        <w:ind w:left="102" w:right="258"/>
      </w:pPr>
      <w:r>
        <w:rPr>
          <w:u w:val="single"/>
        </w:rPr>
        <w:t> </w:t>
        <w:tab/>
      </w:r>
      <w:r>
        <w:rPr/>
        <w:t>; SOUSA, Adaires Rodrigues de. Em busca da(s)</w:t>
      </w:r>
      <w:r>
        <w:rPr>
          <w:spacing w:val="-5"/>
        </w:rPr>
        <w:t> </w:t>
      </w:r>
      <w:r>
        <w:rPr/>
        <w:t>intencionalidade(s)</w:t>
      </w:r>
      <w:r>
        <w:rPr>
          <w:spacing w:val="-1"/>
        </w:rPr>
        <w:t> </w:t>
      </w:r>
      <w:r>
        <w:rPr/>
        <w:t>da educação no Município de Palmas – um estudo acerca da elaboração do Plano Muni</w:t>
      </w:r>
      <w:r>
        <w:rPr>
          <w:spacing w:val="-1"/>
        </w:rPr>
        <w:t>c</w:t>
      </w:r>
      <w:r>
        <w:rPr/>
        <w:t>ipal.</w:t>
      </w:r>
      <w:r>
        <w:rPr>
          <w:spacing w:val="2"/>
        </w:rPr>
        <w:t> </w:t>
      </w:r>
      <w:r>
        <w:rPr>
          <w:spacing w:val="-6"/>
        </w:rPr>
        <w:t>I</w:t>
      </w:r>
      <w:r>
        <w:rPr/>
        <w:t>n.: </w:t>
      </w:r>
      <w:r>
        <w:rPr>
          <w:b/>
          <w:w w:val="99"/>
        </w:rPr>
        <w:t>S</w:t>
      </w:r>
      <w:r>
        <w:rPr>
          <w:b/>
          <w:spacing w:val="1"/>
        </w:rPr>
        <w:t>e</w:t>
      </w:r>
      <w:r>
        <w:rPr>
          <w:b/>
          <w:spacing w:val="-4"/>
        </w:rPr>
        <w:t>m</w:t>
      </w:r>
      <w:r>
        <w:rPr>
          <w:b/>
          <w:w w:val="99"/>
        </w:rPr>
        <w:t>i</w:t>
      </w:r>
      <w:r>
        <w:rPr>
          <w:b/>
          <w:spacing w:val="1"/>
          <w:w w:val="99"/>
        </w:rPr>
        <w:t>n</w:t>
      </w:r>
      <w:r>
        <w:rPr>
          <w:b/>
        </w:rPr>
        <w:t>á</w:t>
      </w:r>
      <w:r>
        <w:rPr>
          <w:b/>
          <w:spacing w:val="-1"/>
        </w:rPr>
        <w:t>r</w:t>
      </w:r>
      <w:r>
        <w:rPr>
          <w:b/>
          <w:spacing w:val="2"/>
        </w:rPr>
        <w:t>i</w:t>
      </w:r>
      <w:r>
        <w:rPr>
          <w:b/>
        </w:rPr>
        <w:t>o </w:t>
      </w:r>
      <w:r>
        <w:rPr>
          <w:b/>
          <w:w w:val="99"/>
        </w:rPr>
        <w:t>E</w:t>
      </w:r>
      <w:r>
        <w:rPr>
          <w:b/>
          <w:spacing w:val="1"/>
          <w:w w:val="99"/>
        </w:rPr>
        <w:t>d</w:t>
      </w:r>
      <w:r>
        <w:rPr>
          <w:b/>
          <w:w w:val="99"/>
        </w:rPr>
        <w:t>u</w:t>
      </w:r>
      <w:r>
        <w:rPr>
          <w:b/>
          <w:spacing w:val="-1"/>
        </w:rPr>
        <w:t>c</w:t>
      </w:r>
      <w:r>
        <w:rPr>
          <w:b/>
        </w:rPr>
        <w:t>a</w:t>
      </w:r>
      <w:r>
        <w:rPr>
          <w:b/>
          <w:spacing w:val="-1"/>
        </w:rPr>
        <w:t>ç</w:t>
      </w:r>
      <w:r>
        <w:rPr>
          <w:b/>
        </w:rPr>
        <w:t>ão 2012</w:t>
      </w:r>
      <w:r>
        <w:rPr>
          <w:b/>
          <w:spacing w:val="2"/>
        </w:rPr>
        <w:t> </w:t>
      </w:r>
      <w:r>
        <w:rPr/>
        <w:t>– </w:t>
      </w:r>
      <w:r>
        <w:rPr>
          <w:spacing w:val="-1"/>
          <w:w w:val="44"/>
        </w:rPr>
        <w:t>―</w:t>
      </w:r>
      <w:r>
        <w:rPr>
          <w:w w:val="99"/>
        </w:rPr>
        <w:t>D</w:t>
      </w:r>
      <w:r>
        <w:rPr>
          <w:spacing w:val="-2"/>
          <w:w w:val="99"/>
        </w:rPr>
        <w:t>a</w:t>
      </w:r>
      <w:r>
        <w:rPr>
          <w:w w:val="99"/>
        </w:rPr>
        <w:t>s</w:t>
      </w:r>
      <w:r>
        <w:rPr>
          <w:spacing w:val="2"/>
        </w:rPr>
        <w:t> </w:t>
      </w:r>
      <w:r>
        <w:rPr>
          <w:spacing w:val="-1"/>
          <w:w w:val="100"/>
        </w:rPr>
        <w:t>c</w:t>
      </w:r>
      <w:r>
        <w:rPr>
          <w:w w:val="100"/>
        </w:rPr>
        <w:t>ri</w:t>
      </w:r>
      <w:r>
        <w:rPr>
          <w:spacing w:val="-2"/>
          <w:w w:val="100"/>
        </w:rPr>
        <w:t>a</w:t>
      </w:r>
      <w:r>
        <w:rPr>
          <w:w w:val="100"/>
        </w:rPr>
        <w:t>n</w:t>
      </w:r>
      <w:r>
        <w:rPr>
          <w:spacing w:val="1"/>
          <w:w w:val="100"/>
        </w:rPr>
        <w:t>ç</w:t>
      </w:r>
      <w:r>
        <w:rPr>
          <w:spacing w:val="-1"/>
          <w:w w:val="100"/>
        </w:rPr>
        <w:t>a</w:t>
      </w:r>
      <w:r>
        <w:rPr>
          <w:w w:val="99"/>
        </w:rPr>
        <w:t>s</w:t>
      </w:r>
      <w:r>
        <w:rPr/>
        <w:t> nas </w:t>
      </w:r>
      <w:r>
        <w:rPr>
          <w:w w:val="100"/>
        </w:rPr>
        <w:t>inst</w:t>
      </w:r>
      <w:r>
        <w:rPr>
          <w:w w:val="100"/>
        </w:rPr>
        <w:t>it</w:t>
      </w:r>
      <w:r>
        <w:rPr>
          <w:w w:val="100"/>
        </w:rPr>
        <w:t>uiçõ</w:t>
      </w:r>
      <w:r>
        <w:rPr>
          <w:spacing w:val="-2"/>
          <w:w w:val="100"/>
        </w:rPr>
        <w:t>e</w:t>
      </w:r>
      <w:r>
        <w:rPr>
          <w:w w:val="99"/>
        </w:rPr>
        <w:t>s</w:t>
      </w:r>
      <w:r>
        <w:rPr/>
        <w:t> </w:t>
      </w:r>
      <w:r>
        <w:rPr>
          <w:w w:val="100"/>
        </w:rPr>
        <w:t>e</w:t>
      </w:r>
      <w:r>
        <w:rPr/>
        <w:t> </w:t>
      </w:r>
      <w:r>
        <w:rPr>
          <w:w w:val="100"/>
        </w:rPr>
        <w:t>d</w:t>
      </w:r>
      <w:r>
        <w:rPr>
          <w:spacing w:val="-2"/>
          <w:w w:val="100"/>
        </w:rPr>
        <w:t>a</w:t>
      </w:r>
      <w:r>
        <w:rPr>
          <w:w w:val="99"/>
        </w:rPr>
        <w:t>s </w:t>
      </w:r>
      <w:r>
        <w:rPr/>
        <w:t>crianças (in)visíveis: entre a sujeição e as possibilidades criativas‖. Cuiabá-MT de 04 a 07 de novembro,</w:t>
      </w:r>
      <w:r>
        <w:rPr>
          <w:spacing w:val="-4"/>
        </w:rPr>
        <w:t> </w:t>
      </w:r>
      <w:r>
        <w:rPr/>
        <w:t>2012.</w:t>
      </w:r>
    </w:p>
    <w:p>
      <w:pPr>
        <w:pStyle w:val="BodyText"/>
        <w:spacing w:before="9"/>
        <w:rPr>
          <w:sz w:val="19"/>
        </w:rPr>
      </w:pPr>
    </w:p>
    <w:p>
      <w:pPr>
        <w:pStyle w:val="BodyText"/>
        <w:tabs>
          <w:tab w:pos="821" w:val="left" w:leader="none"/>
          <w:tab w:pos="1609" w:val="left" w:leader="none"/>
        </w:tabs>
        <w:spacing w:before="90"/>
        <w:ind w:left="102" w:right="548"/>
        <w:jc w:val="both"/>
      </w:pPr>
      <w:r>
        <w:rPr>
          <w:u w:val="single"/>
        </w:rPr>
        <w:t> </w:t>
        <w:tab/>
      </w:r>
      <w:r>
        <w:rPr/>
        <w:t>;</w:t>
      </w:r>
      <w:r>
        <w:rPr>
          <w:u w:val="single"/>
        </w:rPr>
        <w:t> </w:t>
        <w:tab/>
      </w:r>
      <w:r>
        <w:rPr/>
        <w:t>. Planejamento da Educação Municipal: (in)formação</w:t>
      </w:r>
      <w:r>
        <w:rPr>
          <w:spacing w:val="-11"/>
        </w:rPr>
        <w:t> </w:t>
      </w:r>
      <w:r>
        <w:rPr/>
        <w:t>de</w:t>
      </w:r>
      <w:r>
        <w:rPr>
          <w:spacing w:val="-1"/>
        </w:rPr>
        <w:t> </w:t>
      </w:r>
      <w:r>
        <w:rPr/>
        <w:t>avaliadores</w:t>
      </w:r>
      <w:r>
        <w:rPr>
          <w:w w:val="99"/>
        </w:rPr>
        <w:t> </w:t>
      </w:r>
      <w:r>
        <w:rPr/>
        <w:t>educacionais. XXVII Simpósio Brasileiro de Política e Administração da Educação. Recife-PE, de 08 a 10 de abril de</w:t>
      </w:r>
      <w:r>
        <w:rPr>
          <w:spacing w:val="-7"/>
        </w:rPr>
        <w:t> </w:t>
      </w:r>
      <w:r>
        <w:rPr/>
        <w:t>2015.</w:t>
      </w:r>
    </w:p>
    <w:p>
      <w:pPr>
        <w:pStyle w:val="BodyText"/>
        <w:spacing w:before="2"/>
        <w:rPr>
          <w:sz w:val="16"/>
        </w:rPr>
      </w:pPr>
    </w:p>
    <w:p>
      <w:pPr>
        <w:tabs>
          <w:tab w:pos="821" w:val="left" w:leader="none"/>
        </w:tabs>
        <w:spacing w:before="90"/>
        <w:ind w:left="102" w:right="328" w:firstLine="0"/>
        <w:jc w:val="left"/>
        <w:rPr>
          <w:sz w:val="24"/>
        </w:rPr>
      </w:pPr>
      <w:r>
        <w:rPr>
          <w:sz w:val="24"/>
          <w:u w:val="single"/>
        </w:rPr>
        <w:t> </w:t>
        <w:tab/>
      </w:r>
      <w:r>
        <w:rPr>
          <w:sz w:val="24"/>
        </w:rPr>
        <w:t>; OLIVEIRA, Sabrina Copetti. Conferências Municipais de Educação</w:t>
      </w:r>
      <w:r>
        <w:rPr>
          <w:spacing w:val="-15"/>
          <w:sz w:val="24"/>
        </w:rPr>
        <w:t> </w:t>
      </w:r>
      <w:r>
        <w:rPr>
          <w:sz w:val="24"/>
        </w:rPr>
        <w:t>e</w:t>
      </w:r>
      <w:r>
        <w:rPr>
          <w:spacing w:val="-3"/>
          <w:sz w:val="24"/>
        </w:rPr>
        <w:t> </w:t>
      </w:r>
      <w:r>
        <w:rPr>
          <w:sz w:val="24"/>
        </w:rPr>
        <w:t>Gestão</w:t>
      </w:r>
      <w:r>
        <w:rPr>
          <w:w w:val="99"/>
          <w:sz w:val="24"/>
        </w:rPr>
        <w:t> </w:t>
      </w:r>
      <w:r>
        <w:rPr>
          <w:sz w:val="24"/>
        </w:rPr>
        <w:t>Democrática. A</w:t>
      </w:r>
      <w:r>
        <w:rPr>
          <w:b/>
          <w:sz w:val="24"/>
        </w:rPr>
        <w:t>nais do XI Simpósio de Educação do Campus Universitário de Miracema do Tocantins</w:t>
      </w:r>
      <w:r>
        <w:rPr>
          <w:sz w:val="24"/>
        </w:rPr>
        <w:t>. Universidade Federal do Tocantins, 2014.</w:t>
      </w:r>
      <w:r>
        <w:rPr>
          <w:spacing w:val="-10"/>
          <w:sz w:val="24"/>
        </w:rPr>
        <w:t> </w:t>
      </w:r>
      <w:r>
        <w:rPr>
          <w:sz w:val="24"/>
        </w:rPr>
        <w:t>(mimeo).</w:t>
      </w:r>
    </w:p>
    <w:p>
      <w:pPr>
        <w:pStyle w:val="BodyText"/>
        <w:spacing w:before="10"/>
        <w:rPr>
          <w:sz w:val="23"/>
        </w:rPr>
      </w:pPr>
    </w:p>
    <w:p>
      <w:pPr>
        <w:pStyle w:val="BodyText"/>
        <w:spacing w:before="1"/>
        <w:ind w:left="102" w:right="150"/>
      </w:pPr>
      <w:r>
        <w:rPr/>
        <w:t>LIMA; Telma Cristiane Sasso de; MIOTO, Regina Célia Tamaso. Procedimentos metodológicos na construção do conhecimento científico: a pesquisa bibliográfica. </w:t>
      </w:r>
      <w:r>
        <w:rPr>
          <w:b/>
        </w:rPr>
        <w:t>Rev. Katál</w:t>
      </w:r>
      <w:r>
        <w:rPr>
          <w:i/>
        </w:rPr>
        <w:t>. </w:t>
      </w:r>
      <w:r>
        <w:rPr/>
        <w:t>Florianópolis v. 10 n. esp., 2007.p. 37-45.</w:t>
      </w:r>
    </w:p>
    <w:p>
      <w:pPr>
        <w:pStyle w:val="BodyText"/>
        <w:spacing w:before="2"/>
      </w:pPr>
    </w:p>
    <w:p>
      <w:pPr>
        <w:spacing w:line="276" w:lineRule="auto" w:before="0"/>
        <w:ind w:left="102" w:right="476" w:firstLine="0"/>
        <w:jc w:val="left"/>
        <w:rPr>
          <w:sz w:val="24"/>
        </w:rPr>
      </w:pPr>
      <w:r>
        <w:rPr>
          <w:sz w:val="24"/>
        </w:rPr>
        <w:t>LOPES, Carlos Thomaz G. </w:t>
      </w:r>
      <w:r>
        <w:rPr>
          <w:b/>
          <w:sz w:val="24"/>
        </w:rPr>
        <w:t>Planejamento Estado e Crescimento. </w:t>
      </w:r>
      <w:r>
        <w:rPr>
          <w:sz w:val="24"/>
        </w:rPr>
        <w:t>Livraria Pioneira Editora: São Paulo, 1990.</w:t>
      </w:r>
    </w:p>
    <w:p>
      <w:pPr>
        <w:pStyle w:val="BodyText"/>
        <w:spacing w:before="4"/>
        <w:rPr>
          <w:sz w:val="27"/>
        </w:rPr>
      </w:pPr>
    </w:p>
    <w:p>
      <w:pPr>
        <w:pStyle w:val="BodyText"/>
        <w:ind w:left="102" w:right="122"/>
      </w:pPr>
      <w:r>
        <w:rPr>
          <w:spacing w:val="-3"/>
        </w:rPr>
        <w:t>MACHADO, </w:t>
      </w:r>
      <w:r>
        <w:rPr/>
        <w:t>Victoria Maria Brant Ribeiro. A questão da qualidade do ensino nos planos oficiais de desenvolvimento da educação: 1955-1980. </w:t>
      </w:r>
      <w:r>
        <w:rPr>
          <w:b/>
        </w:rPr>
        <w:t>Dissertação de Mestrado</w:t>
      </w:r>
      <w:r>
        <w:rPr/>
        <w:t>. Rio de Janeiro;</w:t>
      </w:r>
      <w:r>
        <w:rPr>
          <w:spacing w:val="-2"/>
        </w:rPr>
        <w:t> </w:t>
      </w:r>
      <w:r>
        <w:rPr>
          <w:spacing w:val="-3"/>
        </w:rPr>
        <w:t>1986.</w:t>
      </w:r>
    </w:p>
    <w:p>
      <w:pPr>
        <w:pStyle w:val="BodyText"/>
        <w:spacing w:before="11"/>
        <w:rPr>
          <w:sz w:val="23"/>
        </w:rPr>
      </w:pPr>
    </w:p>
    <w:p>
      <w:pPr>
        <w:pStyle w:val="BodyText"/>
        <w:ind w:left="102" w:right="503"/>
      </w:pPr>
      <w:r>
        <w:rPr/>
        <w:t>MAROY, Christian; VOISIN, Annelise. As transformações recentes das políticas de accountability na educação: desafios e incidências das ferramentas de ação pública. </w:t>
      </w:r>
      <w:r>
        <w:rPr>
          <w:b/>
        </w:rPr>
        <w:t>Educ. Soc</w:t>
      </w:r>
      <w:r>
        <w:rPr/>
        <w:t>., Campinas, v. 34, n. 124, p. 881-901, jul.-set. 2013. Disponível em </w:t>
      </w:r>
      <w:hyperlink r:id="rId129">
        <w:r>
          <w:rPr/>
          <w:t>www.redalyc.org/articulo.oa?id=87328534012</w:t>
        </w:r>
      </w:hyperlink>
    </w:p>
    <w:p>
      <w:pPr>
        <w:pStyle w:val="BodyText"/>
        <w:spacing w:before="11"/>
        <w:rPr>
          <w:sz w:val="23"/>
        </w:rPr>
      </w:pPr>
    </w:p>
    <w:p>
      <w:pPr>
        <w:spacing w:before="0"/>
        <w:ind w:left="102" w:right="795" w:firstLine="0"/>
        <w:jc w:val="left"/>
        <w:rPr>
          <w:sz w:val="24"/>
        </w:rPr>
      </w:pPr>
      <w:r>
        <w:rPr>
          <w:sz w:val="24"/>
        </w:rPr>
        <w:t>MENDES, Durmeval Trigueiro. </w:t>
      </w:r>
      <w:r>
        <w:rPr>
          <w:b/>
          <w:sz w:val="24"/>
        </w:rPr>
        <w:t>O planejamento educacional no Brasil</w:t>
      </w:r>
      <w:r>
        <w:rPr>
          <w:sz w:val="24"/>
        </w:rPr>
        <w:t>. Rio de Janeiro: EdUERJ, 2000.</w:t>
      </w:r>
    </w:p>
    <w:p>
      <w:pPr>
        <w:pStyle w:val="BodyText"/>
        <w:spacing w:before="11"/>
        <w:rPr>
          <w:sz w:val="23"/>
        </w:rPr>
      </w:pPr>
    </w:p>
    <w:p>
      <w:pPr>
        <w:spacing w:before="0"/>
        <w:ind w:left="102" w:right="355" w:firstLine="0"/>
        <w:jc w:val="left"/>
        <w:rPr>
          <w:sz w:val="24"/>
        </w:rPr>
      </w:pPr>
      <w:r>
        <w:rPr>
          <w:sz w:val="24"/>
        </w:rPr>
        <w:t>MENEGOLLA, Maximiliano; SANT‘ANNA, Ilza Martins. </w:t>
      </w:r>
      <w:r>
        <w:rPr>
          <w:b/>
          <w:sz w:val="24"/>
        </w:rPr>
        <w:t>Porque planejar? Como Planejar?. </w:t>
      </w:r>
      <w:r>
        <w:rPr>
          <w:sz w:val="24"/>
        </w:rPr>
        <w:t>4. ed. Petrópolis, RJ: Vozes, 1991. (Coleção Escola em Debate).</w:t>
      </w:r>
    </w:p>
    <w:p>
      <w:pPr>
        <w:pStyle w:val="BodyText"/>
      </w:pPr>
    </w:p>
    <w:p>
      <w:pPr>
        <w:pStyle w:val="BodyText"/>
        <w:ind w:left="102" w:right="119"/>
      </w:pPr>
      <w:r>
        <w:rPr>
          <w:spacing w:val="-4"/>
        </w:rPr>
        <w:t>OLIVEIRA, </w:t>
      </w:r>
      <w:r>
        <w:rPr>
          <w:spacing w:val="-3"/>
        </w:rPr>
        <w:t>Dalila </w:t>
      </w:r>
      <w:r>
        <w:rPr>
          <w:spacing w:val="-4"/>
        </w:rPr>
        <w:t>Andrade. Educação </w:t>
      </w:r>
      <w:r>
        <w:rPr/>
        <w:t>e </w:t>
      </w:r>
      <w:r>
        <w:rPr>
          <w:spacing w:val="-4"/>
        </w:rPr>
        <w:t>planejamento: </w:t>
      </w:r>
      <w:r>
        <w:rPr/>
        <w:t>a </w:t>
      </w:r>
      <w:r>
        <w:rPr>
          <w:spacing w:val="-3"/>
        </w:rPr>
        <w:t>escola como núcleo </w:t>
      </w:r>
      <w:r>
        <w:rPr/>
        <w:t>da </w:t>
      </w:r>
      <w:r>
        <w:rPr>
          <w:spacing w:val="-3"/>
        </w:rPr>
        <w:t>gestão. In.: </w:t>
      </w:r>
      <w:r>
        <w:rPr>
          <w:spacing w:val="-4"/>
        </w:rPr>
        <w:t>OLIVEIRA, </w:t>
      </w:r>
      <w:r>
        <w:rPr>
          <w:spacing w:val="-3"/>
        </w:rPr>
        <w:t>Dalila </w:t>
      </w:r>
      <w:r>
        <w:rPr>
          <w:spacing w:val="-4"/>
        </w:rPr>
        <w:t>Andrade (Org). </w:t>
      </w:r>
      <w:r>
        <w:rPr>
          <w:spacing w:val="-3"/>
        </w:rPr>
        <w:t>Gestão </w:t>
      </w:r>
      <w:r>
        <w:rPr>
          <w:spacing w:val="-4"/>
        </w:rPr>
        <w:t>democrática </w:t>
      </w:r>
      <w:r>
        <w:rPr/>
        <w:t>da </w:t>
      </w:r>
      <w:r>
        <w:rPr>
          <w:spacing w:val="-4"/>
        </w:rPr>
        <w:t>educação: </w:t>
      </w:r>
      <w:r>
        <w:rPr>
          <w:spacing w:val="-3"/>
        </w:rPr>
        <w:t>desafios </w:t>
      </w:r>
      <w:r>
        <w:rPr>
          <w:spacing w:val="-4"/>
        </w:rPr>
        <w:t>contemporâneos. </w:t>
      </w:r>
      <w:r>
        <w:rPr/>
        <w:t>9. </w:t>
      </w:r>
      <w:r>
        <w:rPr>
          <w:spacing w:val="-3"/>
        </w:rPr>
        <w:t>ed. Petrópolis, RJ: Vozes, 2009.</w:t>
      </w:r>
    </w:p>
    <w:p>
      <w:pPr>
        <w:pStyle w:val="BodyText"/>
        <w:spacing w:before="11"/>
        <w:rPr>
          <w:sz w:val="23"/>
        </w:rPr>
      </w:pPr>
    </w:p>
    <w:p>
      <w:pPr>
        <w:pStyle w:val="BodyText"/>
        <w:ind w:left="102" w:right="496"/>
      </w:pPr>
      <w:r>
        <w:rPr/>
        <w:t>DOURADO, Luiz Fernandes; OLIVEIRA, João Ferreira (org). Políticas e Gestão da Educação no Tocantins - Múltiplos Olhares. Editora Xamã, 2008.</w:t>
      </w:r>
    </w:p>
    <w:p>
      <w:pPr>
        <w:spacing w:after="0"/>
        <w:sectPr>
          <w:pgSz w:w="11910" w:h="16840"/>
          <w:pgMar w:header="749" w:footer="0" w:top="960" w:bottom="280" w:left="1600" w:right="1580"/>
        </w:sectPr>
      </w:pPr>
    </w:p>
    <w:p>
      <w:pPr>
        <w:pStyle w:val="BodyText"/>
        <w:rPr>
          <w:sz w:val="20"/>
        </w:rPr>
      </w:pPr>
    </w:p>
    <w:p>
      <w:pPr>
        <w:pStyle w:val="BodyText"/>
        <w:spacing w:before="208"/>
        <w:ind w:left="102" w:right="123"/>
      </w:pPr>
      <w:r>
        <w:rPr/>
        <w:t>OLIVEIRA, José Antonio Puppim de. Repensando Políticas Públicas: Por Que Frequentemente Falhamos no Planejamento?. s/d. disponível em: </w:t>
      </w:r>
      <w:hyperlink r:id="rId131">
        <w:r>
          <w:rPr>
            <w:u w:val="single"/>
          </w:rPr>
          <w:t>http://sites.multiweb.ufsm.br/residencia/images/Disciplinas/repensando%20polticas%20</w:t>
        </w:r>
      </w:hyperlink>
      <w:r>
        <w:rPr>
          <w:u w:val="single"/>
        </w:rPr>
        <w:t> </w:t>
      </w:r>
      <w:hyperlink r:id="rId131">
        <w:r>
          <w:rPr>
            <w:u w:val="single"/>
          </w:rPr>
          <w:t>pblicas.pdf</w:t>
        </w:r>
        <w:r>
          <w:rPr/>
          <w:t>.</w:t>
        </w:r>
      </w:hyperlink>
      <w:r>
        <w:rPr/>
        <w:t> Acesso dia 20/09/2015.</w:t>
      </w:r>
    </w:p>
    <w:p>
      <w:pPr>
        <w:pStyle w:val="BodyText"/>
        <w:spacing w:before="4"/>
        <w:rPr>
          <w:sz w:val="16"/>
        </w:rPr>
      </w:pPr>
    </w:p>
    <w:p>
      <w:pPr>
        <w:pStyle w:val="BodyText"/>
        <w:spacing w:line="278" w:lineRule="auto" w:before="90"/>
        <w:ind w:left="102"/>
      </w:pPr>
      <w:r>
        <w:rPr>
          <w:spacing w:val="-4"/>
        </w:rPr>
        <w:t>PADILHA, </w:t>
      </w:r>
      <w:r>
        <w:rPr>
          <w:spacing w:val="-3"/>
        </w:rPr>
        <w:t>Paulo Roberto. </w:t>
      </w:r>
      <w:r>
        <w:rPr>
          <w:b/>
          <w:spacing w:val="-4"/>
        </w:rPr>
        <w:t>Planejamento dialógico: </w:t>
      </w:r>
      <w:r>
        <w:rPr>
          <w:spacing w:val="-3"/>
        </w:rPr>
        <w:t>como </w:t>
      </w:r>
      <w:r>
        <w:rPr>
          <w:spacing w:val="-4"/>
        </w:rPr>
        <w:t>construir </w:t>
      </w:r>
      <w:r>
        <w:rPr/>
        <w:t>o </w:t>
      </w:r>
      <w:r>
        <w:rPr>
          <w:spacing w:val="-4"/>
        </w:rPr>
        <w:t>projeto </w:t>
      </w:r>
      <w:r>
        <w:rPr>
          <w:spacing w:val="-3"/>
        </w:rPr>
        <w:t>político- </w:t>
      </w:r>
      <w:r>
        <w:rPr>
          <w:spacing w:val="-4"/>
        </w:rPr>
        <w:t>pedagógico </w:t>
      </w:r>
      <w:r>
        <w:rPr/>
        <w:t>da </w:t>
      </w:r>
      <w:r>
        <w:rPr>
          <w:spacing w:val="-3"/>
        </w:rPr>
        <w:t>escola. São Paulo: </w:t>
      </w:r>
      <w:r>
        <w:rPr>
          <w:spacing w:val="-4"/>
        </w:rPr>
        <w:t>Cortez/IPF, </w:t>
      </w:r>
      <w:r>
        <w:rPr>
          <w:spacing w:val="-3"/>
        </w:rPr>
        <w:t>2001.</w:t>
      </w:r>
    </w:p>
    <w:p>
      <w:pPr>
        <w:pStyle w:val="BodyText"/>
        <w:spacing w:before="2"/>
        <w:rPr>
          <w:sz w:val="27"/>
        </w:rPr>
      </w:pPr>
    </w:p>
    <w:p>
      <w:pPr>
        <w:spacing w:before="0"/>
        <w:ind w:left="102" w:right="0" w:firstLine="0"/>
        <w:jc w:val="left"/>
        <w:rPr>
          <w:sz w:val="24"/>
        </w:rPr>
      </w:pPr>
      <w:r>
        <w:rPr>
          <w:spacing w:val="-3"/>
          <w:sz w:val="24"/>
        </w:rPr>
        <w:t>PARENTE, José. </w:t>
      </w:r>
      <w:r>
        <w:rPr>
          <w:b/>
          <w:spacing w:val="-4"/>
          <w:sz w:val="24"/>
        </w:rPr>
        <w:t>Planejamento estratégico </w:t>
      </w:r>
      <w:r>
        <w:rPr>
          <w:b/>
          <w:sz w:val="24"/>
        </w:rPr>
        <w:t>na </w:t>
      </w:r>
      <w:r>
        <w:rPr>
          <w:b/>
          <w:spacing w:val="-4"/>
          <w:sz w:val="24"/>
        </w:rPr>
        <w:t>educação. </w:t>
      </w:r>
      <w:r>
        <w:rPr>
          <w:sz w:val="24"/>
        </w:rPr>
        <w:t>2. </w:t>
      </w:r>
      <w:r>
        <w:rPr>
          <w:spacing w:val="-3"/>
          <w:sz w:val="24"/>
        </w:rPr>
        <w:t>ed. </w:t>
      </w:r>
      <w:r>
        <w:rPr>
          <w:spacing w:val="-4"/>
          <w:sz w:val="24"/>
        </w:rPr>
        <w:t>Brasília: Plano </w:t>
      </w:r>
      <w:r>
        <w:rPr>
          <w:spacing w:val="-3"/>
          <w:sz w:val="24"/>
        </w:rPr>
        <w:t>Editora, 2003.</w:t>
      </w:r>
    </w:p>
    <w:p>
      <w:pPr>
        <w:pStyle w:val="BodyText"/>
        <w:spacing w:before="11"/>
        <w:rPr>
          <w:sz w:val="23"/>
        </w:rPr>
      </w:pPr>
    </w:p>
    <w:p>
      <w:pPr>
        <w:spacing w:before="0"/>
        <w:ind w:left="102" w:right="183" w:firstLine="0"/>
        <w:jc w:val="left"/>
        <w:rPr>
          <w:sz w:val="24"/>
        </w:rPr>
      </w:pPr>
      <w:r>
        <w:rPr>
          <w:sz w:val="24"/>
        </w:rPr>
        <w:t>PEREIRA, Luiz Carlos Bresser. Gestão do Setor Público: estratégia e estrutura para um novo estado. In: PEREIRA, Luiz Carlos Bresser; SPINK, Peter (Orgs). </w:t>
      </w:r>
      <w:r>
        <w:rPr>
          <w:b/>
          <w:sz w:val="24"/>
        </w:rPr>
        <w:t>Reforma do Estado e Administração Pública Gerencial. </w:t>
      </w:r>
      <w:r>
        <w:rPr>
          <w:sz w:val="24"/>
        </w:rPr>
        <w:t>Rio de Janeiro: Editora FGV, 2006. p.</w:t>
      </w:r>
    </w:p>
    <w:p>
      <w:pPr>
        <w:pStyle w:val="BodyText"/>
        <w:ind w:left="102"/>
      </w:pPr>
      <w:r>
        <w:rPr/>
        <w:t>21-38.</w:t>
      </w:r>
    </w:p>
    <w:p>
      <w:pPr>
        <w:pStyle w:val="BodyText"/>
        <w:spacing w:before="3"/>
      </w:pPr>
    </w:p>
    <w:p>
      <w:pPr>
        <w:pStyle w:val="BodyText"/>
        <w:spacing w:line="276" w:lineRule="auto"/>
        <w:ind w:left="102" w:right="281"/>
      </w:pPr>
      <w:r>
        <w:rPr>
          <w:spacing w:val="-3"/>
        </w:rPr>
        <w:t>PERRY </w:t>
      </w:r>
      <w:r>
        <w:rPr>
          <w:spacing w:val="-4"/>
        </w:rPr>
        <w:t>Anderson. Balanço </w:t>
      </w:r>
      <w:r>
        <w:rPr/>
        <w:t>do </w:t>
      </w:r>
      <w:r>
        <w:rPr>
          <w:spacing w:val="-4"/>
        </w:rPr>
        <w:t>neoliberalismo. In: </w:t>
      </w:r>
      <w:r>
        <w:rPr>
          <w:spacing w:val="-3"/>
        </w:rPr>
        <w:t>SADER, Emir; </w:t>
      </w:r>
      <w:r>
        <w:rPr>
          <w:spacing w:val="-4"/>
        </w:rPr>
        <w:t>GENTILI, </w:t>
      </w:r>
      <w:r>
        <w:rPr>
          <w:spacing w:val="-3"/>
        </w:rPr>
        <w:t>Pablo </w:t>
      </w:r>
      <w:r>
        <w:rPr>
          <w:spacing w:val="-4"/>
        </w:rPr>
        <w:t>(Orgs.) </w:t>
      </w:r>
      <w:r>
        <w:rPr>
          <w:b/>
          <w:spacing w:val="-4"/>
        </w:rPr>
        <w:t>Pós-neoliberalismo: </w:t>
      </w:r>
      <w:r>
        <w:rPr/>
        <w:t>as </w:t>
      </w:r>
      <w:r>
        <w:rPr>
          <w:spacing w:val="-3"/>
        </w:rPr>
        <w:t>políticas sociais </w:t>
      </w:r>
      <w:r>
        <w:rPr/>
        <w:t>e o </w:t>
      </w:r>
      <w:r>
        <w:rPr>
          <w:spacing w:val="-3"/>
        </w:rPr>
        <w:t>Estado </w:t>
      </w:r>
      <w:r>
        <w:rPr>
          <w:spacing w:val="-4"/>
        </w:rPr>
        <w:t>democrático. </w:t>
      </w:r>
      <w:r>
        <w:rPr>
          <w:spacing w:val="-3"/>
        </w:rPr>
        <w:t>Rio </w:t>
      </w:r>
      <w:r>
        <w:rPr/>
        <w:t>de </w:t>
      </w:r>
      <w:r>
        <w:rPr>
          <w:spacing w:val="-3"/>
        </w:rPr>
        <w:t>Janeiro: </w:t>
      </w:r>
      <w:r>
        <w:rPr>
          <w:spacing w:val="-2"/>
        </w:rPr>
        <w:t>Paz </w:t>
      </w:r>
      <w:r>
        <w:rPr/>
        <w:t>e </w:t>
      </w:r>
      <w:r>
        <w:rPr>
          <w:spacing w:val="-4"/>
        </w:rPr>
        <w:t>Terra, </w:t>
      </w:r>
      <w:r>
        <w:rPr>
          <w:spacing w:val="-3"/>
        </w:rPr>
        <w:t>1995</w:t>
      </w:r>
    </w:p>
    <w:p>
      <w:pPr>
        <w:pStyle w:val="BodyText"/>
      </w:pPr>
    </w:p>
    <w:p>
      <w:pPr>
        <w:spacing w:before="0"/>
        <w:ind w:left="102" w:right="395" w:firstLine="0"/>
        <w:jc w:val="left"/>
        <w:rPr>
          <w:sz w:val="24"/>
        </w:rPr>
      </w:pPr>
      <w:r>
        <w:rPr>
          <w:sz w:val="24"/>
        </w:rPr>
        <w:t>SANDER, Benno. </w:t>
      </w:r>
      <w:r>
        <w:rPr>
          <w:b/>
          <w:sz w:val="24"/>
        </w:rPr>
        <w:t>Políticas públicas e Gestão Democrática da Educação</w:t>
      </w:r>
      <w:r>
        <w:rPr>
          <w:sz w:val="24"/>
        </w:rPr>
        <w:t>. Brasília: Liber Livro Editora, 2005.</w:t>
      </w:r>
    </w:p>
    <w:p>
      <w:pPr>
        <w:pStyle w:val="BodyText"/>
        <w:spacing w:before="1"/>
        <w:rPr>
          <w:sz w:val="16"/>
        </w:rPr>
      </w:pPr>
    </w:p>
    <w:p>
      <w:pPr>
        <w:pStyle w:val="BodyText"/>
        <w:tabs>
          <w:tab w:pos="822" w:val="left" w:leader="none"/>
        </w:tabs>
        <w:spacing w:before="90"/>
        <w:ind w:left="102" w:right="595"/>
      </w:pPr>
      <w:r>
        <w:rPr>
          <w:u w:val="single"/>
        </w:rPr>
        <w:t> </w:t>
        <w:tab/>
      </w:r>
      <w:r>
        <w:rPr/>
        <w:t>. Gestão educacional: Concepções em disputa. </w:t>
      </w:r>
      <w:r>
        <w:rPr>
          <w:b/>
        </w:rPr>
        <w:t>Revista Retratos</w:t>
      </w:r>
      <w:r>
        <w:rPr>
          <w:b/>
          <w:spacing w:val="-10"/>
        </w:rPr>
        <w:t> </w:t>
      </w:r>
      <w:r>
        <w:rPr>
          <w:b/>
        </w:rPr>
        <w:t>da Escola</w:t>
      </w:r>
      <w:r>
        <w:rPr/>
        <w:t>. Brasília, v.3, n 4, p. 69-80, jan./jun.2009. Disponível em: </w:t>
      </w:r>
      <w:hyperlink r:id="rId132">
        <w:r>
          <w:rPr/>
          <w:t>http://www.esforce.org.br/index.php/semestral/article/download/102/291</w:t>
        </w:r>
      </w:hyperlink>
    </w:p>
    <w:p>
      <w:pPr>
        <w:pStyle w:val="BodyText"/>
        <w:spacing w:before="11"/>
        <w:rPr>
          <w:sz w:val="23"/>
        </w:rPr>
      </w:pPr>
    </w:p>
    <w:p>
      <w:pPr>
        <w:pStyle w:val="BodyText"/>
        <w:ind w:left="102" w:right="743"/>
      </w:pPr>
      <w:r>
        <w:rPr/>
        <w:t>SAVIANI, Dermeval. </w:t>
      </w:r>
      <w:r>
        <w:rPr>
          <w:b/>
        </w:rPr>
        <w:t>A nova Lei da educação: </w:t>
      </w:r>
      <w:r>
        <w:rPr/>
        <w:t>trajetória, limites e perspectivas. Campinas, SP: Autores Associados, 1997. (Coleção educação contemporânea)</w:t>
      </w:r>
    </w:p>
    <w:p>
      <w:pPr>
        <w:pStyle w:val="BodyText"/>
        <w:spacing w:before="2"/>
        <w:rPr>
          <w:sz w:val="16"/>
        </w:rPr>
      </w:pPr>
    </w:p>
    <w:p>
      <w:pPr>
        <w:tabs>
          <w:tab w:pos="821" w:val="left" w:leader="none"/>
        </w:tabs>
        <w:spacing w:before="90"/>
        <w:ind w:left="102" w:right="407" w:firstLine="0"/>
        <w:jc w:val="left"/>
        <w:rPr>
          <w:sz w:val="24"/>
        </w:rPr>
      </w:pPr>
      <w:r>
        <w:rPr>
          <w:sz w:val="24"/>
          <w:u w:val="single"/>
        </w:rPr>
        <w:t> </w:t>
        <w:tab/>
      </w:r>
      <w:r>
        <w:rPr>
          <w:sz w:val="24"/>
        </w:rPr>
        <w:t>. </w:t>
      </w:r>
      <w:r>
        <w:rPr>
          <w:b/>
          <w:sz w:val="24"/>
        </w:rPr>
        <w:t>A nova LDB ao novo Plano Nacional de Educação: </w:t>
      </w:r>
      <w:r>
        <w:rPr>
          <w:sz w:val="24"/>
        </w:rPr>
        <w:t>por uma</w:t>
      </w:r>
      <w:r>
        <w:rPr>
          <w:spacing w:val="-4"/>
          <w:sz w:val="24"/>
        </w:rPr>
        <w:t> </w:t>
      </w:r>
      <w:r>
        <w:rPr>
          <w:sz w:val="24"/>
        </w:rPr>
        <w:t>outra</w:t>
      </w:r>
      <w:r>
        <w:rPr>
          <w:spacing w:val="-3"/>
          <w:sz w:val="24"/>
        </w:rPr>
        <w:t> </w:t>
      </w:r>
      <w:r>
        <w:rPr>
          <w:sz w:val="24"/>
        </w:rPr>
        <w:t>política educacional. Campinas, SP: Autores Associados,</w:t>
      </w:r>
      <w:r>
        <w:rPr>
          <w:spacing w:val="-8"/>
          <w:sz w:val="24"/>
        </w:rPr>
        <w:t> </w:t>
      </w:r>
      <w:r>
        <w:rPr>
          <w:sz w:val="24"/>
        </w:rPr>
        <w:t>1998.</w:t>
      </w:r>
    </w:p>
    <w:p>
      <w:pPr>
        <w:pStyle w:val="BodyText"/>
        <w:spacing w:before="4"/>
        <w:rPr>
          <w:sz w:val="16"/>
        </w:rPr>
      </w:pPr>
    </w:p>
    <w:p>
      <w:pPr>
        <w:pStyle w:val="BodyText"/>
        <w:tabs>
          <w:tab w:pos="821" w:val="left" w:leader="none"/>
        </w:tabs>
        <w:spacing w:line="276" w:lineRule="auto" w:before="90"/>
        <w:ind w:left="102" w:right="195"/>
      </w:pPr>
      <w:r>
        <w:rPr>
          <w:u w:val="single"/>
        </w:rPr>
        <w:t> </w:t>
        <w:tab/>
      </w:r>
      <w:r>
        <w:rPr/>
        <w:t>. Sistemas de ensino e planos de educação: O âmbito dos</w:t>
      </w:r>
      <w:r>
        <w:rPr>
          <w:spacing w:val="-13"/>
        </w:rPr>
        <w:t> </w:t>
      </w:r>
      <w:r>
        <w:rPr/>
        <w:t>municípios.</w:t>
      </w:r>
      <w:r>
        <w:rPr>
          <w:spacing w:val="2"/>
        </w:rPr>
        <w:t> </w:t>
      </w:r>
      <w:r>
        <w:rPr>
          <w:b/>
        </w:rPr>
        <w:t>Educação &amp; Sociedade</w:t>
      </w:r>
      <w:r>
        <w:rPr/>
        <w:t>, ano XX, nº 69, Dezembro/1999. p.</w:t>
      </w:r>
      <w:r>
        <w:rPr>
          <w:spacing w:val="-6"/>
        </w:rPr>
        <w:t> </w:t>
      </w:r>
      <w:r>
        <w:rPr/>
        <w:t>119-136.</w:t>
      </w:r>
    </w:p>
    <w:p>
      <w:pPr>
        <w:pStyle w:val="BodyText"/>
        <w:spacing w:before="9"/>
        <w:rPr>
          <w:sz w:val="19"/>
        </w:rPr>
      </w:pPr>
    </w:p>
    <w:p>
      <w:pPr>
        <w:tabs>
          <w:tab w:pos="821" w:val="left" w:leader="none"/>
        </w:tabs>
        <w:spacing w:line="278" w:lineRule="auto" w:before="90"/>
        <w:ind w:left="102" w:right="162" w:firstLine="0"/>
        <w:jc w:val="left"/>
        <w:rPr>
          <w:sz w:val="24"/>
        </w:rPr>
      </w:pPr>
      <w:r>
        <w:rPr>
          <w:sz w:val="24"/>
          <w:u w:val="single"/>
        </w:rPr>
        <w:t> </w:t>
        <w:tab/>
      </w:r>
      <w:r>
        <w:rPr>
          <w:sz w:val="24"/>
        </w:rPr>
        <w:t>. </w:t>
      </w:r>
      <w:r>
        <w:rPr>
          <w:b/>
          <w:sz w:val="24"/>
        </w:rPr>
        <w:t>PDE – Plano de Desenvolvimento da Educação: </w:t>
      </w:r>
      <w:r>
        <w:rPr>
          <w:sz w:val="24"/>
        </w:rPr>
        <w:t>análise crítica da</w:t>
      </w:r>
      <w:r>
        <w:rPr>
          <w:spacing w:val="-10"/>
          <w:sz w:val="24"/>
        </w:rPr>
        <w:t> </w:t>
      </w:r>
      <w:r>
        <w:rPr>
          <w:sz w:val="24"/>
        </w:rPr>
        <w:t>política</w:t>
      </w:r>
      <w:r>
        <w:rPr>
          <w:spacing w:val="-3"/>
          <w:sz w:val="24"/>
        </w:rPr>
        <w:t> </w:t>
      </w:r>
      <w:r>
        <w:rPr>
          <w:sz w:val="24"/>
        </w:rPr>
        <w:t>do MEC. Campinas, SP: Autores Associados, 2009. (Coleção Polêmicas do nosso</w:t>
      </w:r>
      <w:r>
        <w:rPr>
          <w:spacing w:val="-10"/>
          <w:sz w:val="24"/>
        </w:rPr>
        <w:t> </w:t>
      </w:r>
      <w:r>
        <w:rPr>
          <w:sz w:val="24"/>
        </w:rPr>
        <w:t>tempo).</w:t>
      </w:r>
    </w:p>
    <w:p>
      <w:pPr>
        <w:pStyle w:val="BodyText"/>
        <w:spacing w:before="4"/>
        <w:rPr>
          <w:sz w:val="19"/>
        </w:rPr>
      </w:pPr>
    </w:p>
    <w:p>
      <w:pPr>
        <w:tabs>
          <w:tab w:pos="821" w:val="left" w:leader="none"/>
        </w:tabs>
        <w:spacing w:before="90"/>
        <w:ind w:left="102" w:right="212" w:firstLine="0"/>
        <w:jc w:val="left"/>
        <w:rPr>
          <w:sz w:val="24"/>
        </w:rPr>
      </w:pPr>
      <w:r>
        <w:rPr>
          <w:sz w:val="24"/>
          <w:u w:val="single"/>
        </w:rPr>
        <w:t> </w:t>
        <w:tab/>
      </w:r>
      <w:r>
        <w:rPr>
          <w:sz w:val="24"/>
        </w:rPr>
        <w:t>. </w:t>
      </w:r>
      <w:r>
        <w:rPr>
          <w:b/>
          <w:sz w:val="24"/>
        </w:rPr>
        <w:t>Sistema Nacional de Educação e Plano Nacional de</w:t>
      </w:r>
      <w:r>
        <w:rPr>
          <w:b/>
          <w:spacing w:val="-12"/>
          <w:sz w:val="24"/>
        </w:rPr>
        <w:t> </w:t>
      </w:r>
      <w:r>
        <w:rPr>
          <w:b/>
          <w:sz w:val="24"/>
        </w:rPr>
        <w:t>Educação:</w:t>
      </w:r>
      <w:r>
        <w:rPr>
          <w:b/>
          <w:spacing w:val="-2"/>
          <w:sz w:val="24"/>
        </w:rPr>
        <w:t> </w:t>
      </w:r>
      <w:r>
        <w:rPr>
          <w:sz w:val="24"/>
        </w:rPr>
        <w:t>Significado, controvérsias e perspectivas. Campinas, SP: Autores Associados, 2014 (Coleção Polêmicas do nosso</w:t>
      </w:r>
      <w:r>
        <w:rPr>
          <w:spacing w:val="-3"/>
          <w:sz w:val="24"/>
        </w:rPr>
        <w:t> </w:t>
      </w:r>
      <w:r>
        <w:rPr>
          <w:sz w:val="24"/>
        </w:rPr>
        <w:t>tempo)</w:t>
      </w:r>
    </w:p>
    <w:p>
      <w:pPr>
        <w:pStyle w:val="BodyText"/>
        <w:spacing w:before="1"/>
        <w:rPr>
          <w:sz w:val="16"/>
        </w:rPr>
      </w:pPr>
    </w:p>
    <w:p>
      <w:pPr>
        <w:pStyle w:val="BodyText"/>
        <w:tabs>
          <w:tab w:pos="821" w:val="left" w:leader="none"/>
        </w:tabs>
        <w:spacing w:before="90"/>
        <w:ind w:left="102" w:right="945"/>
      </w:pPr>
      <w:r>
        <w:rPr>
          <w:u w:val="single"/>
        </w:rPr>
        <w:t> </w:t>
        <w:tab/>
      </w:r>
      <w:r>
        <w:rPr/>
        <w:t>. Sobre a natureza e especificidade da educação. </w:t>
      </w:r>
      <w:r>
        <w:rPr>
          <w:b/>
        </w:rPr>
        <w:t>Germinal:</w:t>
      </w:r>
      <w:r>
        <w:rPr>
          <w:b/>
          <w:spacing w:val="-10"/>
        </w:rPr>
        <w:t> </w:t>
      </w:r>
      <w:r>
        <w:rPr/>
        <w:t>Marxismo</w:t>
      </w:r>
      <w:r>
        <w:rPr>
          <w:spacing w:val="-1"/>
        </w:rPr>
        <w:t> </w:t>
      </w:r>
      <w:r>
        <w:rPr/>
        <w:t>e Educação em Debate, Salvador, v. 7, n. 1, p. 286-293, jun.</w:t>
      </w:r>
      <w:r>
        <w:rPr>
          <w:spacing w:val="-4"/>
        </w:rPr>
        <w:t> </w:t>
      </w:r>
      <w:r>
        <w:rPr/>
        <w:t>2015.</w:t>
      </w:r>
    </w:p>
    <w:p>
      <w:pPr>
        <w:pStyle w:val="BodyText"/>
        <w:spacing w:before="1"/>
      </w:pPr>
    </w:p>
    <w:p>
      <w:pPr>
        <w:pStyle w:val="BodyText"/>
        <w:spacing w:line="276" w:lineRule="auto" w:before="1"/>
        <w:ind w:left="102" w:right="509"/>
        <w:rPr>
          <w:b/>
        </w:rPr>
      </w:pPr>
      <w:r>
        <w:rPr/>
        <w:t>SÁ-Silva, Jackson Ronie; ALMEIDA, Cristóvão Domingos de; GUINDANI, Joel Felipe. Pesquisa documental: pistas teóricas e metodológicas. </w:t>
      </w:r>
      <w:r>
        <w:rPr>
          <w:b/>
        </w:rPr>
        <w:t>Revista Brasileira de</w:t>
      </w:r>
    </w:p>
    <w:p>
      <w:pPr>
        <w:spacing w:after="0" w:line="276" w:lineRule="auto"/>
        <w:sectPr>
          <w:headerReference w:type="default" r:id="rId130"/>
          <w:pgSz w:w="11910" w:h="16840"/>
          <w:pgMar w:header="749" w:footer="0" w:top="960" w:bottom="280" w:left="1600" w:right="1580"/>
          <w:pgNumType w:start="160"/>
        </w:sectPr>
      </w:pPr>
    </w:p>
    <w:p>
      <w:pPr>
        <w:pStyle w:val="BodyText"/>
        <w:rPr>
          <w:b/>
          <w:sz w:val="20"/>
        </w:rPr>
      </w:pPr>
    </w:p>
    <w:p>
      <w:pPr>
        <w:spacing w:line="278" w:lineRule="auto" w:before="210"/>
        <w:ind w:left="102" w:right="875" w:firstLine="0"/>
        <w:jc w:val="left"/>
        <w:rPr>
          <w:sz w:val="24"/>
        </w:rPr>
      </w:pPr>
      <w:r>
        <w:rPr>
          <w:b/>
          <w:sz w:val="24"/>
        </w:rPr>
        <w:t>História &amp; Ciências Sociais. </w:t>
      </w:r>
      <w:r>
        <w:rPr>
          <w:sz w:val="24"/>
        </w:rPr>
        <w:t>Ano I - Número I - Julho de 2009. Disponível em: </w:t>
      </w:r>
      <w:hyperlink r:id="rId133">
        <w:r>
          <w:rPr>
            <w:sz w:val="24"/>
            <w:u w:val="single"/>
          </w:rPr>
          <w:t>www.rbhcs.com</w:t>
        </w:r>
      </w:hyperlink>
      <w:r>
        <w:rPr>
          <w:sz w:val="24"/>
        </w:rPr>
        <w:t>. Acesso em: 02/12/2014.</w:t>
      </w:r>
    </w:p>
    <w:p>
      <w:pPr>
        <w:pStyle w:val="BodyText"/>
        <w:spacing w:before="3"/>
        <w:rPr>
          <w:sz w:val="19"/>
        </w:rPr>
      </w:pPr>
    </w:p>
    <w:p>
      <w:pPr>
        <w:pStyle w:val="BodyText"/>
        <w:spacing w:before="90"/>
        <w:ind w:left="102" w:right="277"/>
      </w:pPr>
      <w:r>
        <w:rPr/>
        <w:t>SCAFF, Elisângela Alves da Silva. Planejamento da educação e cooperação internacional: uma análise dos programas Monhangara e Fundescola. </w:t>
      </w:r>
      <w:r>
        <w:rPr>
          <w:b/>
        </w:rPr>
        <w:t>Tese. </w:t>
      </w:r>
      <w:r>
        <w:rPr/>
        <w:t>São Paulo- SP, 2007.</w:t>
      </w:r>
    </w:p>
    <w:p>
      <w:pPr>
        <w:pStyle w:val="BodyText"/>
        <w:spacing w:before="11"/>
        <w:rPr>
          <w:sz w:val="23"/>
        </w:rPr>
      </w:pPr>
    </w:p>
    <w:p>
      <w:pPr>
        <w:pStyle w:val="BodyText"/>
        <w:ind w:left="102" w:right="283"/>
      </w:pPr>
      <w:r>
        <w:rPr/>
        <w:t>SHIROMA, Eneida Oto; CAMPOS, Roselane Fátima; GARCIA, Rosalba Maria Cardoso. Decifrar textos para compreender a política: subsídios teórico-metodológicos para análise de documentos. </w:t>
      </w:r>
      <w:r>
        <w:rPr>
          <w:b/>
        </w:rPr>
        <w:t>PERSPECTIVA</w:t>
      </w:r>
      <w:r>
        <w:rPr/>
        <w:t>, Florianópolis, v. 23, n. 02, p. 427-446, jul./dez. 2005</w:t>
      </w:r>
    </w:p>
    <w:p>
      <w:pPr>
        <w:pStyle w:val="BodyText"/>
        <w:spacing w:before="6"/>
        <w:rPr>
          <w:sz w:val="27"/>
        </w:rPr>
      </w:pPr>
    </w:p>
    <w:p>
      <w:pPr>
        <w:pStyle w:val="BodyText"/>
        <w:ind w:left="102" w:right="297"/>
      </w:pPr>
      <w:r>
        <w:rPr/>
        <w:t>SOUSA, Adaíres Rodrigues de. Plano Municipal de Educação em Palmas: em busca da(s) intencionalidade(s) na educação municipal. </w:t>
      </w:r>
      <w:r>
        <w:rPr>
          <w:b/>
        </w:rPr>
        <w:t>(Monografia). </w:t>
      </w:r>
      <w:r>
        <w:rPr/>
        <w:t>Universidade Federal do Tocantins. Palmas, 2012.</w:t>
      </w:r>
    </w:p>
    <w:p>
      <w:pPr>
        <w:pStyle w:val="BodyText"/>
        <w:spacing w:before="1"/>
        <w:rPr>
          <w:sz w:val="16"/>
        </w:rPr>
      </w:pPr>
    </w:p>
    <w:p>
      <w:pPr>
        <w:pStyle w:val="BodyText"/>
        <w:tabs>
          <w:tab w:pos="821" w:val="left" w:leader="none"/>
        </w:tabs>
        <w:spacing w:before="90"/>
        <w:ind w:left="102"/>
      </w:pPr>
      <w:r>
        <w:rPr>
          <w:u w:val="single"/>
        </w:rPr>
        <w:t> </w:t>
        <w:tab/>
      </w:r>
      <w:r>
        <w:rPr/>
        <w:t>. Fragmentos do planejamento da educação municipal no Estado do</w:t>
      </w:r>
      <w:r>
        <w:rPr>
          <w:spacing w:val="-10"/>
        </w:rPr>
        <w:t> </w:t>
      </w:r>
      <w:r>
        <w:rPr/>
        <w:t>Tocantins.</w:t>
      </w:r>
    </w:p>
    <w:p>
      <w:pPr>
        <w:spacing w:before="0"/>
        <w:ind w:left="102" w:right="0" w:firstLine="0"/>
        <w:jc w:val="left"/>
        <w:rPr>
          <w:sz w:val="24"/>
        </w:rPr>
      </w:pPr>
      <w:r>
        <w:rPr>
          <w:b/>
          <w:sz w:val="24"/>
        </w:rPr>
        <w:t>37ª Reunião Nacional da ANPED </w:t>
      </w:r>
      <w:r>
        <w:rPr>
          <w:sz w:val="24"/>
        </w:rPr>
        <w:t>– Florianópolis-SC, 04 a 08 de outubro de 2015.</w:t>
      </w:r>
    </w:p>
    <w:p>
      <w:pPr>
        <w:pStyle w:val="BodyText"/>
        <w:spacing w:before="3"/>
        <w:rPr>
          <w:sz w:val="16"/>
        </w:rPr>
      </w:pPr>
    </w:p>
    <w:p>
      <w:pPr>
        <w:tabs>
          <w:tab w:pos="821" w:val="left" w:leader="none"/>
        </w:tabs>
        <w:spacing w:line="240" w:lineRule="auto" w:before="89"/>
        <w:ind w:left="102" w:right="228" w:firstLine="0"/>
        <w:jc w:val="left"/>
        <w:rPr>
          <w:sz w:val="24"/>
        </w:rPr>
      </w:pPr>
      <w:r>
        <w:rPr>
          <w:sz w:val="24"/>
          <w:u w:val="single"/>
        </w:rPr>
        <w:t> </w:t>
        <w:tab/>
      </w:r>
      <w:r>
        <w:rPr>
          <w:sz w:val="24"/>
        </w:rPr>
        <w:t>; LAGARES, Rosilene. Arqueologia do processo de planejamento</w:t>
      </w:r>
      <w:r>
        <w:rPr>
          <w:spacing w:val="-9"/>
          <w:sz w:val="24"/>
        </w:rPr>
        <w:t> </w:t>
      </w:r>
      <w:r>
        <w:rPr>
          <w:sz w:val="24"/>
        </w:rPr>
        <w:t>da</w:t>
      </w:r>
      <w:r>
        <w:rPr>
          <w:spacing w:val="-3"/>
          <w:sz w:val="24"/>
        </w:rPr>
        <w:t> </w:t>
      </w:r>
      <w:r>
        <w:rPr>
          <w:sz w:val="24"/>
        </w:rPr>
        <w:t>educação municipal em Palmas: um novo caminho na segunda década do Seculo XXI?. In: Anais </w:t>
      </w:r>
      <w:r>
        <w:rPr>
          <w:b/>
          <w:sz w:val="24"/>
        </w:rPr>
        <w:t>VIII Simpósio Nacional de Educação e II Colóquio Internacional de Políticas Educacionais e Formação de Professores – Transnacionalização das Políticas Educacionais: impactos na formação docente</w:t>
      </w:r>
      <w:r>
        <w:rPr>
          <w:sz w:val="24"/>
        </w:rPr>
        <w:t>. Universidade Regional Integrada do Alto Uruguai e das Missões. Pró-Reitoria de Pesquisa e Pós-Graduação, Departamento de Ciências Humanas, Programa de Pós-Graduação Stricto Sensu em</w:t>
      </w:r>
      <w:r>
        <w:rPr>
          <w:spacing w:val="-18"/>
          <w:sz w:val="24"/>
        </w:rPr>
        <w:t> </w:t>
      </w:r>
      <w:r>
        <w:rPr>
          <w:sz w:val="24"/>
        </w:rPr>
        <w:t>Educação.</w:t>
      </w:r>
    </w:p>
    <w:p>
      <w:pPr>
        <w:pStyle w:val="BodyText"/>
        <w:ind w:left="102"/>
      </w:pPr>
      <w:r>
        <w:rPr/>
        <w:t>Frederico Westphalen, RS, 2014.</w:t>
      </w:r>
    </w:p>
    <w:p>
      <w:pPr>
        <w:pStyle w:val="BodyText"/>
        <w:spacing w:before="1"/>
      </w:pPr>
    </w:p>
    <w:p>
      <w:pPr>
        <w:pStyle w:val="BodyText"/>
        <w:ind w:left="102"/>
      </w:pPr>
      <w:r>
        <w:rPr>
          <w:spacing w:val="-3"/>
        </w:rPr>
        <w:t>SOUZA, Donaldo </w:t>
      </w:r>
      <w:r>
        <w:rPr>
          <w:spacing w:val="-4"/>
        </w:rPr>
        <w:t>Bello </w:t>
      </w:r>
      <w:r>
        <w:rPr>
          <w:spacing w:val="-3"/>
        </w:rPr>
        <w:t>de; DUARTE, Maria </w:t>
      </w:r>
      <w:r>
        <w:rPr>
          <w:spacing w:val="-4"/>
        </w:rPr>
        <w:t>Ribeiro Teixeira. </w:t>
      </w:r>
      <w:r>
        <w:rPr>
          <w:spacing w:val="-3"/>
        </w:rPr>
        <w:t>Planos </w:t>
      </w:r>
      <w:r>
        <w:rPr/>
        <w:t>de </w:t>
      </w:r>
      <w:r>
        <w:rPr>
          <w:spacing w:val="-4"/>
        </w:rPr>
        <w:t>educação </w:t>
      </w:r>
      <w:r>
        <w:rPr/>
        <w:t>no </w:t>
      </w:r>
      <w:r>
        <w:rPr>
          <w:spacing w:val="-3"/>
        </w:rPr>
        <w:t>Brasil: </w:t>
      </w:r>
      <w:r>
        <w:rPr>
          <w:spacing w:val="-4"/>
        </w:rPr>
        <w:t>Projeções </w:t>
      </w:r>
      <w:r>
        <w:rPr>
          <w:spacing w:val="-3"/>
        </w:rPr>
        <w:t>do sistema </w:t>
      </w:r>
      <w:r>
        <w:rPr>
          <w:spacing w:val="-4"/>
        </w:rPr>
        <w:t>nacional </w:t>
      </w:r>
      <w:r>
        <w:rPr/>
        <w:t>de </w:t>
      </w:r>
      <w:r>
        <w:rPr>
          <w:spacing w:val="-4"/>
        </w:rPr>
        <w:t>educação </w:t>
      </w:r>
      <w:r>
        <w:rPr/>
        <w:t>e </w:t>
      </w:r>
      <w:r>
        <w:rPr>
          <w:spacing w:val="-3"/>
        </w:rPr>
        <w:t>suas </w:t>
      </w:r>
      <w:r>
        <w:rPr>
          <w:spacing w:val="-4"/>
        </w:rPr>
        <w:t>variantes subnacionais. </w:t>
      </w:r>
      <w:r>
        <w:rPr>
          <w:b/>
          <w:spacing w:val="-4"/>
        </w:rPr>
        <w:t>Revista </w:t>
      </w:r>
      <w:r>
        <w:rPr>
          <w:b/>
          <w:spacing w:val="-3"/>
        </w:rPr>
        <w:t>Educação Online</w:t>
      </w:r>
      <w:r>
        <w:rPr>
          <w:spacing w:val="-3"/>
        </w:rPr>
        <w:t>, </w:t>
      </w:r>
      <w:r>
        <w:rPr/>
        <w:t>n. </w:t>
      </w:r>
      <w:r>
        <w:rPr>
          <w:spacing w:val="-3"/>
        </w:rPr>
        <w:t>15, jan./abr. 2014, </w:t>
      </w:r>
      <w:r>
        <w:rPr/>
        <w:t>p. </w:t>
      </w:r>
      <w:r>
        <w:rPr>
          <w:spacing w:val="-3"/>
        </w:rPr>
        <w:t>174 </w:t>
      </w:r>
      <w:r>
        <w:rPr/>
        <w:t>– </w:t>
      </w:r>
      <w:r>
        <w:rPr>
          <w:spacing w:val="-3"/>
        </w:rPr>
        <w:t>194.</w:t>
      </w:r>
    </w:p>
    <w:p>
      <w:pPr>
        <w:pStyle w:val="BodyText"/>
        <w:spacing w:before="2"/>
        <w:rPr>
          <w:sz w:val="16"/>
        </w:rPr>
      </w:pPr>
    </w:p>
    <w:p>
      <w:pPr>
        <w:pStyle w:val="BodyText"/>
        <w:tabs>
          <w:tab w:pos="805" w:val="left" w:leader="none"/>
        </w:tabs>
        <w:spacing w:before="90"/>
        <w:ind w:left="102" w:right="152"/>
      </w:pPr>
      <w:r>
        <w:rPr>
          <w:u w:val="single"/>
        </w:rPr>
        <w:t> </w:t>
        <w:tab/>
      </w:r>
      <w:r>
        <w:rPr/>
        <w:t>; </w:t>
      </w:r>
      <w:r>
        <w:rPr>
          <w:spacing w:val="-3"/>
        </w:rPr>
        <w:t>MARTINS, Ângela Maria. Planos </w:t>
      </w:r>
      <w:r>
        <w:rPr/>
        <w:t>de </w:t>
      </w:r>
      <w:r>
        <w:rPr>
          <w:spacing w:val="-4"/>
        </w:rPr>
        <w:t>educação </w:t>
      </w:r>
      <w:r>
        <w:rPr/>
        <w:t>no </w:t>
      </w:r>
      <w:r>
        <w:rPr>
          <w:spacing w:val="-4"/>
        </w:rPr>
        <w:t>Brasil:</w:t>
      </w:r>
      <w:r>
        <w:rPr>
          <w:spacing w:val="-12"/>
        </w:rPr>
        <w:t> </w:t>
      </w:r>
      <w:r>
        <w:rPr>
          <w:spacing w:val="-4"/>
        </w:rPr>
        <w:t>planejamento,</w:t>
      </w:r>
      <w:r>
        <w:rPr>
          <w:spacing w:val="-6"/>
        </w:rPr>
        <w:t> </w:t>
      </w:r>
      <w:r>
        <w:rPr>
          <w:spacing w:val="-4"/>
        </w:rPr>
        <w:t>políticas,</w:t>
      </w:r>
      <w:r>
        <w:rPr/>
        <w:t> </w:t>
      </w:r>
      <w:r>
        <w:rPr>
          <w:spacing w:val="-3"/>
        </w:rPr>
        <w:t>práticas. </w:t>
      </w:r>
      <w:r>
        <w:rPr>
          <w:spacing w:val="-2"/>
        </w:rPr>
        <w:t>São </w:t>
      </w:r>
      <w:r>
        <w:rPr>
          <w:spacing w:val="-3"/>
        </w:rPr>
        <w:t>Paulo: </w:t>
      </w:r>
      <w:r>
        <w:rPr>
          <w:spacing w:val="-4"/>
        </w:rPr>
        <w:t>Edições Loyola,</w:t>
      </w:r>
      <w:r>
        <w:rPr>
          <w:spacing w:val="-8"/>
        </w:rPr>
        <w:t> </w:t>
      </w:r>
      <w:r>
        <w:rPr>
          <w:spacing w:val="-3"/>
        </w:rPr>
        <w:t>2014.</w:t>
      </w:r>
    </w:p>
    <w:p>
      <w:pPr>
        <w:pStyle w:val="BodyText"/>
        <w:spacing w:before="2"/>
      </w:pPr>
    </w:p>
    <w:p>
      <w:pPr>
        <w:pStyle w:val="BodyText"/>
        <w:spacing w:line="276" w:lineRule="auto"/>
        <w:ind w:left="102" w:right="183"/>
      </w:pPr>
      <w:r>
        <w:rPr/>
        <w:t>TEXEIRA, Ana Maria Silva; MUTIM, Avelar Luiz Bastos. Regime de Colaboração: meio para a organização dos Sistemas de Educação. </w:t>
      </w:r>
      <w:r>
        <w:rPr>
          <w:b/>
        </w:rPr>
        <w:t>Revista da FAEEBA</w:t>
      </w:r>
      <w:r>
        <w:rPr/>
        <w:t>. Salvador, n. especial p.155-160, jul./dez. 2009 Disponível em: </w:t>
      </w:r>
      <w:hyperlink r:id="rId134">
        <w:r>
          <w:rPr/>
          <w:t>www.uneb.br/revistadafaeeba.</w:t>
        </w:r>
      </w:hyperlink>
    </w:p>
    <w:p>
      <w:pPr>
        <w:pStyle w:val="BodyText"/>
        <w:ind w:left="102"/>
      </w:pPr>
      <w:r>
        <w:rPr/>
        <w:t>Acesso em: 13 de agosto de 2015.</w:t>
      </w:r>
    </w:p>
    <w:p>
      <w:pPr>
        <w:pStyle w:val="BodyText"/>
        <w:spacing w:before="9"/>
        <w:rPr>
          <w:sz w:val="30"/>
        </w:rPr>
      </w:pPr>
    </w:p>
    <w:p>
      <w:pPr>
        <w:spacing w:before="1"/>
        <w:ind w:left="102" w:right="729" w:firstLine="0"/>
        <w:jc w:val="left"/>
        <w:rPr>
          <w:sz w:val="24"/>
        </w:rPr>
      </w:pPr>
      <w:r>
        <w:rPr>
          <w:sz w:val="24"/>
        </w:rPr>
        <w:t>URIBE RIVIERA, FJ. </w:t>
      </w:r>
      <w:r>
        <w:rPr>
          <w:b/>
          <w:sz w:val="24"/>
        </w:rPr>
        <w:t>Agir comunicativo e planejamento social: </w:t>
      </w:r>
      <w:r>
        <w:rPr>
          <w:sz w:val="24"/>
        </w:rPr>
        <w:t>uma crítica ao enfoque estratégico. Rio de Janeiro: Editora FIOCRUZ, 1995.</w:t>
      </w:r>
    </w:p>
    <w:p>
      <w:pPr>
        <w:pStyle w:val="BodyText"/>
      </w:pPr>
    </w:p>
    <w:p>
      <w:pPr>
        <w:spacing w:before="0"/>
        <w:ind w:left="102" w:right="0" w:firstLine="0"/>
        <w:jc w:val="left"/>
        <w:rPr>
          <w:sz w:val="24"/>
        </w:rPr>
      </w:pPr>
      <w:r>
        <w:rPr>
          <w:sz w:val="24"/>
        </w:rPr>
        <w:t>VALENTE, Ivan. </w:t>
      </w:r>
      <w:r>
        <w:rPr>
          <w:b/>
          <w:sz w:val="24"/>
        </w:rPr>
        <w:t>Plano Nacional de Educação. </w:t>
      </w:r>
      <w:r>
        <w:rPr>
          <w:sz w:val="24"/>
        </w:rPr>
        <w:t>Rio de Janeiro: DP&amp;A, 2001</w:t>
      </w:r>
    </w:p>
    <w:p>
      <w:pPr>
        <w:pStyle w:val="BodyText"/>
        <w:spacing w:before="11"/>
        <w:rPr>
          <w:sz w:val="23"/>
        </w:rPr>
      </w:pPr>
    </w:p>
    <w:p>
      <w:pPr>
        <w:pStyle w:val="BodyText"/>
        <w:ind w:left="102" w:right="647"/>
      </w:pPr>
      <w:r>
        <w:rPr>
          <w:spacing w:val="-3"/>
        </w:rPr>
        <w:t>VASCONCELLOS, </w:t>
      </w:r>
      <w:r>
        <w:rPr>
          <w:spacing w:val="-4"/>
        </w:rPr>
        <w:t>Celso </w:t>
      </w:r>
      <w:r>
        <w:rPr/>
        <w:t>dos S. </w:t>
      </w:r>
      <w:r>
        <w:rPr>
          <w:b/>
          <w:spacing w:val="-4"/>
        </w:rPr>
        <w:t>Planejamento: </w:t>
      </w:r>
      <w:r>
        <w:rPr>
          <w:spacing w:val="-3"/>
        </w:rPr>
        <w:t>Projeto </w:t>
      </w:r>
      <w:r>
        <w:rPr/>
        <w:t>de </w:t>
      </w:r>
      <w:r>
        <w:rPr>
          <w:spacing w:val="-4"/>
        </w:rPr>
        <w:t>Ensino-Aprendizagem </w:t>
      </w:r>
      <w:r>
        <w:rPr/>
        <w:t>e </w:t>
      </w:r>
      <w:r>
        <w:rPr>
          <w:spacing w:val="-3"/>
        </w:rPr>
        <w:t>Projeto </w:t>
      </w:r>
      <w:r>
        <w:rPr>
          <w:spacing w:val="-4"/>
        </w:rPr>
        <w:t>Político-Pedagógico. </w:t>
      </w:r>
      <w:r>
        <w:rPr/>
        <w:t>5. </w:t>
      </w:r>
      <w:r>
        <w:rPr>
          <w:spacing w:val="-3"/>
        </w:rPr>
        <w:t>ed. </w:t>
      </w:r>
      <w:r>
        <w:rPr>
          <w:spacing w:val="-2"/>
        </w:rPr>
        <w:t>São </w:t>
      </w:r>
      <w:r>
        <w:rPr>
          <w:spacing w:val="-3"/>
        </w:rPr>
        <w:t>Paulo: </w:t>
      </w:r>
      <w:r>
        <w:rPr>
          <w:spacing w:val="-4"/>
        </w:rPr>
        <w:t>Libertad, </w:t>
      </w:r>
      <w:r>
        <w:rPr>
          <w:spacing w:val="-3"/>
        </w:rPr>
        <w:t>2010.</w:t>
      </w:r>
    </w:p>
    <w:p>
      <w:pPr>
        <w:spacing w:after="0"/>
        <w:sectPr>
          <w:pgSz w:w="11910" w:h="16840"/>
          <w:pgMar w:header="749" w:footer="0" w:top="960" w:bottom="280" w:left="1600" w:right="1580"/>
        </w:sectPr>
      </w:pPr>
    </w:p>
    <w:p>
      <w:pPr>
        <w:pStyle w:val="BodyText"/>
        <w:rPr>
          <w:sz w:val="20"/>
        </w:rPr>
      </w:pPr>
    </w:p>
    <w:p>
      <w:pPr>
        <w:spacing w:before="208"/>
        <w:ind w:left="102" w:right="0" w:firstLine="0"/>
        <w:jc w:val="left"/>
        <w:rPr>
          <w:sz w:val="24"/>
        </w:rPr>
      </w:pPr>
      <w:r>
        <w:rPr>
          <w:spacing w:val="-3"/>
          <w:sz w:val="24"/>
        </w:rPr>
        <w:t>VIANA, </w:t>
      </w:r>
      <w:r>
        <w:rPr>
          <w:spacing w:val="-4"/>
          <w:sz w:val="24"/>
        </w:rPr>
        <w:t>Ilca </w:t>
      </w:r>
      <w:r>
        <w:rPr>
          <w:spacing w:val="-3"/>
          <w:sz w:val="24"/>
        </w:rPr>
        <w:t>Oliveira </w:t>
      </w:r>
      <w:r>
        <w:rPr>
          <w:sz w:val="24"/>
        </w:rPr>
        <w:t>de </w:t>
      </w:r>
      <w:r>
        <w:rPr>
          <w:spacing w:val="-3"/>
          <w:sz w:val="24"/>
        </w:rPr>
        <w:t>Almeida. </w:t>
      </w:r>
      <w:r>
        <w:rPr>
          <w:b/>
          <w:spacing w:val="-4"/>
          <w:sz w:val="24"/>
        </w:rPr>
        <w:t>Planejamento participativo </w:t>
      </w:r>
      <w:r>
        <w:rPr>
          <w:b/>
          <w:sz w:val="24"/>
        </w:rPr>
        <w:t>na </w:t>
      </w:r>
      <w:r>
        <w:rPr>
          <w:b/>
          <w:spacing w:val="-4"/>
          <w:sz w:val="24"/>
        </w:rPr>
        <w:t>escola: </w:t>
      </w:r>
      <w:r>
        <w:rPr>
          <w:sz w:val="24"/>
        </w:rPr>
        <w:t>um </w:t>
      </w:r>
      <w:r>
        <w:rPr>
          <w:spacing w:val="-4"/>
          <w:sz w:val="24"/>
        </w:rPr>
        <w:t>desafio </w:t>
      </w:r>
      <w:r>
        <w:rPr>
          <w:sz w:val="24"/>
        </w:rPr>
        <w:t>ao </w:t>
      </w:r>
      <w:r>
        <w:rPr>
          <w:spacing w:val="-4"/>
          <w:sz w:val="24"/>
        </w:rPr>
        <w:t>educador. </w:t>
      </w:r>
      <w:r>
        <w:rPr>
          <w:sz w:val="24"/>
        </w:rPr>
        <w:t>2. </w:t>
      </w:r>
      <w:r>
        <w:rPr>
          <w:spacing w:val="-3"/>
          <w:sz w:val="24"/>
        </w:rPr>
        <w:t>ed. </w:t>
      </w:r>
      <w:r>
        <w:rPr>
          <w:spacing w:val="-2"/>
          <w:sz w:val="24"/>
        </w:rPr>
        <w:t>São </w:t>
      </w:r>
      <w:r>
        <w:rPr>
          <w:spacing w:val="-4"/>
          <w:sz w:val="24"/>
        </w:rPr>
        <w:t>Paulo: </w:t>
      </w:r>
      <w:r>
        <w:rPr>
          <w:spacing w:val="-3"/>
          <w:sz w:val="24"/>
        </w:rPr>
        <w:t>EPU, 2000.</w:t>
      </w:r>
    </w:p>
    <w:p>
      <w:pPr>
        <w:pStyle w:val="BodyText"/>
        <w:spacing w:before="11"/>
        <w:rPr>
          <w:sz w:val="23"/>
        </w:rPr>
      </w:pPr>
    </w:p>
    <w:p>
      <w:pPr>
        <w:spacing w:before="0"/>
        <w:ind w:left="102" w:right="119" w:firstLine="0"/>
        <w:jc w:val="left"/>
        <w:rPr>
          <w:sz w:val="24"/>
        </w:rPr>
      </w:pPr>
      <w:r>
        <w:rPr>
          <w:spacing w:val="-4"/>
          <w:sz w:val="24"/>
        </w:rPr>
        <w:t>VIEIRA, </w:t>
      </w:r>
      <w:r>
        <w:rPr>
          <w:spacing w:val="-3"/>
          <w:sz w:val="24"/>
        </w:rPr>
        <w:t>Sofia </w:t>
      </w:r>
      <w:r>
        <w:rPr>
          <w:spacing w:val="-4"/>
          <w:sz w:val="24"/>
        </w:rPr>
        <w:t>Lerche; </w:t>
      </w:r>
      <w:r>
        <w:rPr>
          <w:spacing w:val="-3"/>
          <w:sz w:val="24"/>
        </w:rPr>
        <w:t>ALBUQUERQUE, Maria Gláucia </w:t>
      </w:r>
      <w:r>
        <w:rPr>
          <w:spacing w:val="-4"/>
          <w:sz w:val="24"/>
        </w:rPr>
        <w:t>Menezes. </w:t>
      </w:r>
      <w:r>
        <w:rPr>
          <w:b/>
          <w:spacing w:val="-3"/>
          <w:sz w:val="24"/>
        </w:rPr>
        <w:t>Política </w:t>
      </w:r>
      <w:r>
        <w:rPr>
          <w:b/>
          <w:sz w:val="24"/>
        </w:rPr>
        <w:t>e </w:t>
      </w:r>
      <w:r>
        <w:rPr>
          <w:b/>
          <w:spacing w:val="-4"/>
          <w:sz w:val="24"/>
        </w:rPr>
        <w:t>planejamento educacional. </w:t>
      </w:r>
      <w:r>
        <w:rPr>
          <w:spacing w:val="-3"/>
          <w:sz w:val="24"/>
        </w:rPr>
        <w:t>3.ed. </w:t>
      </w:r>
      <w:r>
        <w:rPr>
          <w:spacing w:val="-4"/>
          <w:sz w:val="24"/>
        </w:rPr>
        <w:t>revista </w:t>
      </w:r>
      <w:r>
        <w:rPr>
          <w:sz w:val="24"/>
        </w:rPr>
        <w:t>e </w:t>
      </w:r>
      <w:r>
        <w:rPr>
          <w:spacing w:val="-4"/>
          <w:sz w:val="24"/>
        </w:rPr>
        <w:t>modificada. </w:t>
      </w:r>
      <w:r>
        <w:rPr>
          <w:spacing w:val="-3"/>
          <w:sz w:val="24"/>
        </w:rPr>
        <w:t>Fortaleza: Edições </w:t>
      </w:r>
      <w:r>
        <w:rPr>
          <w:spacing w:val="-4"/>
          <w:sz w:val="24"/>
        </w:rPr>
        <w:t>Demócrito </w:t>
      </w:r>
      <w:r>
        <w:rPr>
          <w:spacing w:val="-3"/>
          <w:sz w:val="24"/>
        </w:rPr>
        <w:t>Rocha, 2002.</w:t>
      </w:r>
    </w:p>
    <w:p>
      <w:pPr>
        <w:pStyle w:val="BodyText"/>
        <w:spacing w:before="4"/>
        <w:rPr>
          <w:sz w:val="16"/>
        </w:rPr>
      </w:pPr>
    </w:p>
    <w:p>
      <w:pPr>
        <w:tabs>
          <w:tab w:pos="821" w:val="left" w:leader="none"/>
        </w:tabs>
        <w:spacing w:line="278" w:lineRule="auto" w:before="90"/>
        <w:ind w:left="102" w:right="771" w:firstLine="0"/>
        <w:jc w:val="left"/>
        <w:rPr>
          <w:sz w:val="24"/>
        </w:rPr>
      </w:pPr>
      <w:r>
        <w:rPr>
          <w:sz w:val="24"/>
          <w:u w:val="single"/>
        </w:rPr>
        <w:t> </w:t>
        <w:tab/>
      </w:r>
      <w:r>
        <w:rPr>
          <w:sz w:val="24"/>
        </w:rPr>
        <w:t>; DAVIS, Claudia. </w:t>
      </w:r>
      <w:r>
        <w:rPr>
          <w:b/>
          <w:sz w:val="24"/>
        </w:rPr>
        <w:t>Gestão da escola: </w:t>
      </w:r>
      <w:r>
        <w:rPr>
          <w:sz w:val="24"/>
        </w:rPr>
        <w:t>desafios a enfrentar</w:t>
      </w:r>
      <w:r>
        <w:rPr>
          <w:i/>
          <w:sz w:val="24"/>
        </w:rPr>
        <w:t>. </w:t>
      </w:r>
      <w:r>
        <w:rPr>
          <w:sz w:val="24"/>
        </w:rPr>
        <w:t>Rio</w:t>
      </w:r>
      <w:r>
        <w:rPr>
          <w:spacing w:val="-8"/>
          <w:sz w:val="24"/>
        </w:rPr>
        <w:t> </w:t>
      </w:r>
      <w:r>
        <w:rPr>
          <w:sz w:val="24"/>
        </w:rPr>
        <w:t>de</w:t>
      </w:r>
      <w:r>
        <w:rPr>
          <w:spacing w:val="-1"/>
          <w:sz w:val="24"/>
        </w:rPr>
        <w:t> </w:t>
      </w:r>
      <w:r>
        <w:rPr>
          <w:sz w:val="24"/>
        </w:rPr>
        <w:t>Janeiro: DP&amp;A,</w:t>
      </w:r>
      <w:r>
        <w:rPr>
          <w:spacing w:val="-3"/>
          <w:sz w:val="24"/>
        </w:rPr>
        <w:t> </w:t>
      </w:r>
      <w:r>
        <w:rPr>
          <w:sz w:val="24"/>
        </w:rPr>
        <w:t>2002.</w:t>
      </w:r>
    </w:p>
    <w:p>
      <w:pPr>
        <w:pStyle w:val="BodyText"/>
        <w:rPr>
          <w:sz w:val="26"/>
        </w:rPr>
      </w:pPr>
    </w:p>
    <w:p>
      <w:pPr>
        <w:pStyle w:val="BodyText"/>
        <w:spacing w:before="3"/>
        <w:rPr>
          <w:sz w:val="32"/>
        </w:rPr>
      </w:pPr>
    </w:p>
    <w:p>
      <w:pPr>
        <w:pStyle w:val="BodyText"/>
        <w:spacing w:line="276" w:lineRule="auto"/>
        <w:ind w:left="102" w:right="119"/>
      </w:pPr>
      <w:r>
        <w:rPr>
          <w:spacing w:val="-3"/>
        </w:rPr>
        <w:t>ZAINKO, Maria Amelia Sabbag. </w:t>
      </w:r>
      <w:r>
        <w:rPr/>
        <w:t>O </w:t>
      </w:r>
      <w:r>
        <w:rPr>
          <w:spacing w:val="-4"/>
        </w:rPr>
        <w:t>Planejamento </w:t>
      </w:r>
      <w:r>
        <w:rPr>
          <w:spacing w:val="-3"/>
        </w:rPr>
        <w:t>como </w:t>
      </w:r>
      <w:r>
        <w:rPr>
          <w:spacing w:val="-4"/>
        </w:rPr>
        <w:t>Instrumento </w:t>
      </w:r>
      <w:r>
        <w:rPr/>
        <w:t>de </w:t>
      </w:r>
      <w:r>
        <w:rPr>
          <w:spacing w:val="-3"/>
        </w:rPr>
        <w:t>Gestão </w:t>
      </w:r>
      <w:r>
        <w:rPr>
          <w:spacing w:val="-4"/>
        </w:rPr>
        <w:t>Educacional: </w:t>
      </w:r>
      <w:r>
        <w:rPr>
          <w:spacing w:val="-3"/>
        </w:rPr>
        <w:t>uma análise </w:t>
      </w:r>
      <w:r>
        <w:rPr>
          <w:spacing w:val="-4"/>
        </w:rPr>
        <w:t>histórico-filosófica. </w:t>
      </w:r>
      <w:r>
        <w:rPr>
          <w:b/>
        </w:rPr>
        <w:t>Em </w:t>
      </w:r>
      <w:r>
        <w:rPr>
          <w:b/>
          <w:spacing w:val="-3"/>
        </w:rPr>
        <w:t>Aberto</w:t>
      </w:r>
      <w:r>
        <w:rPr>
          <w:spacing w:val="-3"/>
        </w:rPr>
        <w:t>, </w:t>
      </w:r>
      <w:r>
        <w:rPr>
          <w:spacing w:val="-4"/>
        </w:rPr>
        <w:t>Brasília, </w:t>
      </w:r>
      <w:r>
        <w:rPr/>
        <w:t>v. </w:t>
      </w:r>
      <w:r>
        <w:rPr>
          <w:spacing w:val="-3"/>
        </w:rPr>
        <w:t>17, n. </w:t>
      </w:r>
      <w:r>
        <w:rPr/>
        <w:t>72, </w:t>
      </w:r>
      <w:r>
        <w:rPr>
          <w:spacing w:val="-3"/>
        </w:rPr>
        <w:t>p. 125- 140, </w:t>
      </w:r>
      <w:r>
        <w:rPr>
          <w:spacing w:val="-4"/>
        </w:rPr>
        <w:t>fev./jun. </w:t>
      </w:r>
      <w:r>
        <w:rPr>
          <w:spacing w:val="-3"/>
        </w:rPr>
        <w:t>2000.</w:t>
      </w:r>
    </w:p>
    <w:p>
      <w:pPr>
        <w:pStyle w:val="BodyText"/>
        <w:rPr>
          <w:sz w:val="26"/>
        </w:rPr>
      </w:pPr>
    </w:p>
    <w:p>
      <w:pPr>
        <w:pStyle w:val="BodyText"/>
        <w:spacing w:before="8"/>
        <w:rPr>
          <w:sz w:val="22"/>
        </w:rPr>
      </w:pPr>
    </w:p>
    <w:p>
      <w:pPr>
        <w:pStyle w:val="Heading1"/>
      </w:pPr>
      <w:bookmarkStart w:name="_TOC_250004" w:id="13"/>
      <w:bookmarkEnd w:id="13"/>
      <w:r>
        <w:rPr/>
        <w:t>DOCUMENTAIS</w:t>
      </w:r>
    </w:p>
    <w:p>
      <w:pPr>
        <w:pStyle w:val="BodyText"/>
        <w:rPr>
          <w:b/>
          <w:sz w:val="31"/>
        </w:rPr>
      </w:pPr>
    </w:p>
    <w:p>
      <w:pPr>
        <w:spacing w:before="0"/>
        <w:ind w:left="102" w:right="0" w:firstLine="0"/>
        <w:jc w:val="left"/>
        <w:rPr>
          <w:b/>
          <w:sz w:val="24"/>
        </w:rPr>
      </w:pPr>
      <w:bookmarkStart w:name="_TOC_250003" w:id="14"/>
      <w:bookmarkEnd w:id="14"/>
      <w:r>
        <w:rPr>
          <w:b/>
          <w:sz w:val="24"/>
        </w:rPr>
        <w:t>Documentos Internacionais</w:t>
      </w:r>
    </w:p>
    <w:p>
      <w:pPr>
        <w:pStyle w:val="BodyText"/>
        <w:spacing w:before="7"/>
        <w:rPr>
          <w:b/>
          <w:sz w:val="30"/>
        </w:rPr>
      </w:pPr>
    </w:p>
    <w:p>
      <w:pPr>
        <w:spacing w:line="278" w:lineRule="auto" w:before="0"/>
        <w:ind w:left="102" w:right="208" w:firstLine="0"/>
        <w:jc w:val="left"/>
        <w:rPr>
          <w:sz w:val="24"/>
        </w:rPr>
      </w:pPr>
      <w:r>
        <w:rPr>
          <w:sz w:val="24"/>
        </w:rPr>
        <w:t>UNESCO. </w:t>
      </w:r>
      <w:r>
        <w:rPr>
          <w:b/>
          <w:sz w:val="24"/>
        </w:rPr>
        <w:t>Declaração Mundial sobre Educação para Todos e Marco de Ação para Satisfazer as Necessidades Básicas de Aprendizagem</w:t>
      </w:r>
      <w:r>
        <w:rPr>
          <w:sz w:val="24"/>
        </w:rPr>
        <w:t>. Jomtien, Tailândia. 1990.</w:t>
      </w:r>
    </w:p>
    <w:p>
      <w:pPr>
        <w:pStyle w:val="BodyText"/>
        <w:spacing w:before="9"/>
        <w:rPr>
          <w:sz w:val="27"/>
        </w:rPr>
      </w:pPr>
    </w:p>
    <w:p>
      <w:pPr>
        <w:pStyle w:val="Heading1"/>
      </w:pPr>
      <w:bookmarkStart w:name="_TOC_250002" w:id="15"/>
      <w:bookmarkEnd w:id="15"/>
      <w:r>
        <w:rPr/>
        <w:t>Documentos Nacionais</w:t>
      </w:r>
    </w:p>
    <w:p>
      <w:pPr>
        <w:pStyle w:val="BodyText"/>
        <w:spacing w:before="10"/>
        <w:rPr>
          <w:b/>
          <w:sz w:val="22"/>
        </w:rPr>
      </w:pPr>
    </w:p>
    <w:p>
      <w:pPr>
        <w:tabs>
          <w:tab w:pos="821" w:val="left" w:leader="none"/>
        </w:tabs>
        <w:spacing w:before="90"/>
        <w:ind w:left="102" w:right="116" w:firstLine="0"/>
        <w:jc w:val="left"/>
        <w:rPr>
          <w:sz w:val="24"/>
        </w:rPr>
      </w:pPr>
      <w:r>
        <w:rPr>
          <w:sz w:val="24"/>
          <w:u w:val="single"/>
        </w:rPr>
        <w:t> </w:t>
        <w:tab/>
      </w:r>
      <w:r>
        <w:rPr>
          <w:sz w:val="24"/>
        </w:rPr>
        <w:t>. Assembleia Constituinte. </w:t>
      </w:r>
      <w:r>
        <w:rPr>
          <w:b/>
          <w:sz w:val="24"/>
        </w:rPr>
        <w:t>Constituição da República Federativa do</w:t>
      </w:r>
      <w:r>
        <w:rPr>
          <w:b/>
          <w:spacing w:val="9"/>
          <w:sz w:val="24"/>
        </w:rPr>
        <w:t> </w:t>
      </w:r>
      <w:r>
        <w:rPr>
          <w:b/>
          <w:sz w:val="24"/>
        </w:rPr>
        <w:t>Brasil</w:t>
      </w:r>
      <w:r>
        <w:rPr>
          <w:b/>
          <w:spacing w:val="6"/>
          <w:sz w:val="24"/>
        </w:rPr>
        <w:t> </w:t>
      </w:r>
      <w:r>
        <w:rPr>
          <w:b/>
          <w:sz w:val="24"/>
        </w:rPr>
        <w:t>de 1988</w:t>
      </w:r>
      <w:r>
        <w:rPr>
          <w:sz w:val="24"/>
        </w:rPr>
        <w:t>. Brasília, 1988. Disponível em </w:t>
      </w:r>
      <w:hyperlink r:id="rId135">
        <w:r>
          <w:rPr>
            <w:sz w:val="24"/>
          </w:rPr>
          <w:t>www.planalto.org.br.</w:t>
        </w:r>
      </w:hyperlink>
      <w:r>
        <w:rPr>
          <w:sz w:val="24"/>
        </w:rPr>
        <w:t> Acesso em</w:t>
      </w:r>
      <w:r>
        <w:rPr>
          <w:spacing w:val="-8"/>
          <w:sz w:val="24"/>
        </w:rPr>
        <w:t> </w:t>
      </w:r>
      <w:r>
        <w:rPr>
          <w:sz w:val="24"/>
        </w:rPr>
        <w:t>26/09/2015.</w:t>
      </w:r>
    </w:p>
    <w:p>
      <w:pPr>
        <w:pStyle w:val="BodyText"/>
        <w:spacing w:before="2"/>
        <w:rPr>
          <w:sz w:val="16"/>
        </w:rPr>
      </w:pPr>
    </w:p>
    <w:p>
      <w:pPr>
        <w:tabs>
          <w:tab w:pos="821" w:val="left" w:leader="none"/>
        </w:tabs>
        <w:spacing w:before="90"/>
        <w:ind w:left="102" w:right="118" w:firstLine="0"/>
        <w:jc w:val="both"/>
        <w:rPr>
          <w:sz w:val="24"/>
        </w:rPr>
      </w:pPr>
      <w:r>
        <w:rPr>
          <w:sz w:val="24"/>
          <w:u w:val="single"/>
        </w:rPr>
        <w:t> </w:t>
        <w:tab/>
      </w:r>
      <w:r>
        <w:rPr>
          <w:sz w:val="24"/>
        </w:rPr>
        <w:t>.  Assembleia  Nacional  Constituinte.  </w:t>
      </w:r>
      <w:r>
        <w:rPr>
          <w:b/>
          <w:sz w:val="24"/>
        </w:rPr>
        <w:t>Constituição  dos  Estados  </w:t>
      </w:r>
      <w:r>
        <w:rPr>
          <w:b/>
          <w:spacing w:val="43"/>
          <w:sz w:val="24"/>
        </w:rPr>
        <w:t> </w:t>
      </w:r>
      <w:r>
        <w:rPr>
          <w:b/>
          <w:sz w:val="24"/>
        </w:rPr>
        <w:t>Unidos </w:t>
      </w:r>
      <w:r>
        <w:rPr>
          <w:b/>
          <w:spacing w:val="12"/>
          <w:sz w:val="24"/>
        </w:rPr>
        <w:t> </w:t>
      </w:r>
      <w:r>
        <w:rPr>
          <w:b/>
          <w:sz w:val="24"/>
        </w:rPr>
        <w:t>do Brasil de 1934. </w:t>
      </w:r>
      <w:r>
        <w:rPr>
          <w:sz w:val="24"/>
        </w:rPr>
        <w:t>Rio de Janeiro, 1937. Disponível em: </w:t>
      </w:r>
      <w:hyperlink r:id="rId68">
        <w:r>
          <w:rPr>
            <w:sz w:val="24"/>
            <w:u w:val="single"/>
          </w:rPr>
          <w:t>www.planalto.gov.br</w:t>
        </w:r>
      </w:hyperlink>
      <w:r>
        <w:rPr>
          <w:sz w:val="24"/>
        </w:rPr>
        <w:t>. Acesso em 25 de setembro de</w:t>
      </w:r>
      <w:r>
        <w:rPr>
          <w:spacing w:val="-7"/>
          <w:sz w:val="24"/>
        </w:rPr>
        <w:t> </w:t>
      </w:r>
      <w:r>
        <w:rPr>
          <w:sz w:val="24"/>
        </w:rPr>
        <w:t>2015.</w:t>
      </w:r>
    </w:p>
    <w:p>
      <w:pPr>
        <w:pStyle w:val="BodyText"/>
        <w:spacing w:before="2"/>
        <w:rPr>
          <w:sz w:val="16"/>
        </w:rPr>
      </w:pPr>
    </w:p>
    <w:p>
      <w:pPr>
        <w:pStyle w:val="BodyText"/>
        <w:tabs>
          <w:tab w:pos="821" w:val="left" w:leader="none"/>
        </w:tabs>
        <w:spacing w:before="90"/>
        <w:ind w:left="102" w:right="122"/>
        <w:jc w:val="both"/>
      </w:pPr>
      <w:r>
        <w:rPr>
          <w:u w:val="single"/>
        </w:rPr>
        <w:t> </w:t>
        <w:tab/>
      </w:r>
      <w:r>
        <w:rPr/>
        <w:t>. Senado Federal.  </w:t>
      </w:r>
      <w:r>
        <w:rPr>
          <w:b/>
        </w:rPr>
        <w:t>Lei nº 9.394</w:t>
      </w:r>
      <w:r>
        <w:rPr/>
        <w:t>. Estabelece as Diretrizes e  Bases   </w:t>
      </w:r>
      <w:r>
        <w:rPr>
          <w:spacing w:val="29"/>
        </w:rPr>
        <w:t> </w:t>
      </w:r>
      <w:r>
        <w:rPr/>
        <w:t>da</w:t>
      </w:r>
      <w:r>
        <w:rPr>
          <w:spacing w:val="28"/>
        </w:rPr>
        <w:t> </w:t>
      </w:r>
      <w:r>
        <w:rPr/>
        <w:t>Educação Nacional – Brasília, DF, 1996. Disponível em </w:t>
      </w:r>
      <w:hyperlink r:id="rId135">
        <w:r>
          <w:rPr/>
          <w:t>www.planalto.org.br.</w:t>
        </w:r>
      </w:hyperlink>
      <w:r>
        <w:rPr/>
        <w:t> Acesso em 26/09/2015.</w:t>
      </w:r>
    </w:p>
    <w:p>
      <w:pPr>
        <w:pStyle w:val="BodyText"/>
        <w:spacing w:before="2"/>
        <w:rPr>
          <w:sz w:val="16"/>
        </w:rPr>
      </w:pPr>
    </w:p>
    <w:p>
      <w:pPr>
        <w:pStyle w:val="BodyText"/>
        <w:tabs>
          <w:tab w:pos="821" w:val="left" w:leader="none"/>
        </w:tabs>
        <w:spacing w:before="90"/>
        <w:ind w:left="102" w:right="118"/>
        <w:jc w:val="both"/>
      </w:pPr>
      <w:r>
        <w:rPr>
          <w:u w:val="single"/>
        </w:rPr>
        <w:t> </w:t>
        <w:tab/>
      </w:r>
      <w:r>
        <w:rPr/>
        <w:t>. Congresso  Nacional.  </w:t>
      </w:r>
      <w:r>
        <w:rPr>
          <w:b/>
        </w:rPr>
        <w:t>Lei nº 4.024.  </w:t>
      </w:r>
      <w:r>
        <w:rPr/>
        <w:t>Fixa as Diretrizes e Bases    </w:t>
      </w:r>
      <w:r>
        <w:rPr>
          <w:spacing w:val="42"/>
        </w:rPr>
        <w:t> </w:t>
      </w:r>
      <w:r>
        <w:rPr/>
        <w:t>da</w:t>
      </w:r>
      <w:r>
        <w:rPr>
          <w:spacing w:val="40"/>
        </w:rPr>
        <w:t> </w:t>
      </w:r>
      <w:r>
        <w:rPr/>
        <w:t>Educação Nacional. Brasília, 1961. Disponível em </w:t>
      </w:r>
      <w:hyperlink r:id="rId136">
        <w:r>
          <w:rPr>
            <w:u w:val="single"/>
          </w:rPr>
          <w:t>http://www2.camara.leg.br</w:t>
        </w:r>
        <w:r>
          <w:rPr/>
          <w:t>.</w:t>
        </w:r>
      </w:hyperlink>
      <w:r>
        <w:rPr/>
        <w:t> Acesso em 25 de setembro de</w:t>
      </w:r>
      <w:r>
        <w:rPr>
          <w:spacing w:val="-4"/>
        </w:rPr>
        <w:t> </w:t>
      </w:r>
      <w:r>
        <w:rPr/>
        <w:t>2015.</w:t>
      </w:r>
    </w:p>
    <w:p>
      <w:pPr>
        <w:pStyle w:val="BodyText"/>
        <w:spacing w:before="2"/>
        <w:rPr>
          <w:sz w:val="16"/>
        </w:rPr>
      </w:pPr>
    </w:p>
    <w:p>
      <w:pPr>
        <w:pStyle w:val="BodyText"/>
        <w:tabs>
          <w:tab w:pos="821" w:val="left" w:leader="none"/>
          <w:tab w:pos="1601" w:val="left" w:leader="none"/>
        </w:tabs>
        <w:spacing w:line="274" w:lineRule="exact" w:before="95"/>
        <w:ind w:left="102" w:right="119"/>
      </w:pPr>
      <w:r>
        <w:rPr>
          <w:u w:val="single"/>
        </w:rPr>
        <w:t> </w:t>
        <w:tab/>
      </w:r>
      <w:r>
        <w:rPr/>
        <w:t>.</w:t>
      </w:r>
      <w:r>
        <w:rPr>
          <w:u w:val="single"/>
        </w:rPr>
        <w:t> </w:t>
        <w:tab/>
      </w:r>
      <w:r>
        <w:rPr/>
        <w:t>. </w:t>
      </w:r>
      <w:r>
        <w:rPr>
          <w:b/>
        </w:rPr>
        <w:t>Lei nº 10.172. </w:t>
      </w:r>
      <w:r>
        <w:rPr/>
        <w:t>Institui o Plano Nacional de   </w:t>
      </w:r>
      <w:r>
        <w:rPr>
          <w:spacing w:val="9"/>
        </w:rPr>
        <w:t> </w:t>
      </w:r>
      <w:r>
        <w:rPr/>
        <w:t>Educação</w:t>
      </w:r>
      <w:r>
        <w:rPr>
          <w:spacing w:val="22"/>
        </w:rPr>
        <w:t> </w:t>
      </w:r>
      <w:r>
        <w:rPr/>
        <w:t>(PNE).Brasília, DF, 2001. Disponível em: </w:t>
      </w:r>
      <w:hyperlink r:id="rId68">
        <w:r>
          <w:rPr/>
          <w:t>www.planalto.gov.br.</w:t>
        </w:r>
      </w:hyperlink>
      <w:r>
        <w:rPr/>
        <w:t> Acesso em:</w:t>
      </w:r>
      <w:r>
        <w:rPr>
          <w:spacing w:val="-8"/>
        </w:rPr>
        <w:t> </w:t>
      </w:r>
      <w:r>
        <w:rPr/>
        <w:t>26/09/2015.</w:t>
      </w:r>
    </w:p>
    <w:p>
      <w:pPr>
        <w:pStyle w:val="BodyText"/>
        <w:spacing w:before="10"/>
        <w:rPr>
          <w:sz w:val="15"/>
        </w:rPr>
      </w:pPr>
    </w:p>
    <w:p>
      <w:pPr>
        <w:tabs>
          <w:tab w:pos="821" w:val="left" w:leader="none"/>
          <w:tab w:pos="1601" w:val="left" w:leader="none"/>
        </w:tabs>
        <w:spacing w:before="90"/>
        <w:ind w:left="102" w:right="120" w:firstLine="0"/>
        <w:jc w:val="left"/>
        <w:rPr>
          <w:sz w:val="24"/>
        </w:rPr>
      </w:pPr>
      <w:r>
        <w:rPr>
          <w:sz w:val="24"/>
          <w:u w:val="single"/>
        </w:rPr>
        <w:t> </w:t>
        <w:tab/>
      </w:r>
      <w:r>
        <w:rPr>
          <w:sz w:val="24"/>
        </w:rPr>
        <w:t>.</w:t>
      </w:r>
      <w:r>
        <w:rPr>
          <w:sz w:val="24"/>
          <w:u w:val="single"/>
        </w:rPr>
        <w:t> </w:t>
        <w:tab/>
      </w:r>
      <w:r>
        <w:rPr>
          <w:sz w:val="24"/>
        </w:rPr>
        <w:t>. </w:t>
      </w:r>
      <w:r>
        <w:rPr>
          <w:b/>
          <w:sz w:val="24"/>
        </w:rPr>
        <w:t>Emenda Constitucional nº 59/2009</w:t>
      </w:r>
      <w:r>
        <w:rPr>
          <w:sz w:val="24"/>
        </w:rPr>
        <w:t>. Brasília, DF,    </w:t>
      </w:r>
      <w:r>
        <w:rPr>
          <w:spacing w:val="3"/>
          <w:sz w:val="24"/>
        </w:rPr>
        <w:t> </w:t>
      </w:r>
      <w:r>
        <w:rPr>
          <w:sz w:val="24"/>
        </w:rPr>
        <w:t>2009.</w:t>
      </w:r>
      <w:r>
        <w:rPr>
          <w:spacing w:val="34"/>
          <w:sz w:val="24"/>
        </w:rPr>
        <w:t> </w:t>
      </w:r>
      <w:r>
        <w:rPr>
          <w:sz w:val="24"/>
        </w:rPr>
        <w:t>Disponível em: </w:t>
      </w:r>
      <w:hyperlink r:id="rId68">
        <w:r>
          <w:rPr>
            <w:sz w:val="24"/>
          </w:rPr>
          <w:t>www.planalto.gov.br.</w:t>
        </w:r>
      </w:hyperlink>
      <w:r>
        <w:rPr>
          <w:sz w:val="24"/>
        </w:rPr>
        <w:t> Acesso em:</w:t>
      </w:r>
      <w:r>
        <w:rPr>
          <w:spacing w:val="-8"/>
          <w:sz w:val="24"/>
        </w:rPr>
        <w:t> </w:t>
      </w:r>
      <w:r>
        <w:rPr>
          <w:sz w:val="24"/>
        </w:rPr>
        <w:t>28/06/2014.</w:t>
      </w:r>
    </w:p>
    <w:p>
      <w:pPr>
        <w:spacing w:after="0"/>
        <w:jc w:val="left"/>
        <w:rPr>
          <w:sz w:val="24"/>
        </w:rPr>
        <w:sectPr>
          <w:pgSz w:w="11910" w:h="16840"/>
          <w:pgMar w:header="749" w:footer="0" w:top="960" w:bottom="280" w:left="1600" w:right="1580"/>
        </w:sectPr>
      </w:pPr>
    </w:p>
    <w:p>
      <w:pPr>
        <w:pStyle w:val="BodyText"/>
        <w:rPr>
          <w:sz w:val="20"/>
        </w:rPr>
      </w:pPr>
    </w:p>
    <w:p>
      <w:pPr>
        <w:pStyle w:val="BodyText"/>
        <w:tabs>
          <w:tab w:pos="821" w:val="left" w:leader="none"/>
          <w:tab w:pos="1601" w:val="left" w:leader="none"/>
        </w:tabs>
        <w:spacing w:line="276" w:lineRule="auto" w:before="210"/>
        <w:ind w:left="102" w:right="118"/>
        <w:jc w:val="both"/>
      </w:pPr>
      <w:r>
        <w:rPr>
          <w:u w:val="single"/>
        </w:rPr>
        <w:t> </w:t>
        <w:tab/>
      </w:r>
      <w:r>
        <w:rPr/>
        <w:t>.</w:t>
      </w:r>
      <w:r>
        <w:rPr>
          <w:u w:val="single"/>
        </w:rPr>
        <w:t> </w:t>
        <w:tab/>
      </w:r>
      <w:r>
        <w:rPr/>
        <w:t>. </w:t>
      </w:r>
      <w:r>
        <w:rPr>
          <w:b/>
        </w:rPr>
        <w:t>Projeto de Lei nº 8.035. </w:t>
      </w:r>
      <w:r>
        <w:rPr/>
        <w:t>Institui o Plano Nacional de Educação </w:t>
      </w:r>
      <w:r>
        <w:rPr>
          <w:spacing w:val="30"/>
        </w:rPr>
        <w:t> </w:t>
      </w:r>
      <w:r>
        <w:rPr/>
        <w:t>para</w:t>
      </w:r>
      <w:r>
        <w:rPr>
          <w:spacing w:val="5"/>
        </w:rPr>
        <w:t> </w:t>
      </w:r>
      <w:r>
        <w:rPr/>
        <w:t>o decênio 2011-2020. Brasília, 2010. Disponível em </w:t>
      </w:r>
      <w:hyperlink r:id="rId53">
        <w:r>
          <w:rPr>
            <w:u w:val="single"/>
          </w:rPr>
          <w:t>www.mec.gov.br</w:t>
        </w:r>
        <w:r>
          <w:rPr/>
          <w:t>.</w:t>
        </w:r>
      </w:hyperlink>
      <w:r>
        <w:rPr/>
        <w:t> Acesso em 26 de setembro de</w:t>
      </w:r>
      <w:r>
        <w:rPr>
          <w:spacing w:val="-4"/>
        </w:rPr>
        <w:t> </w:t>
      </w:r>
      <w:r>
        <w:rPr/>
        <w:t>2015.</w:t>
      </w:r>
    </w:p>
    <w:p>
      <w:pPr>
        <w:pStyle w:val="BodyText"/>
        <w:spacing w:before="8"/>
        <w:rPr>
          <w:sz w:val="19"/>
        </w:rPr>
      </w:pPr>
    </w:p>
    <w:p>
      <w:pPr>
        <w:pStyle w:val="BodyText"/>
        <w:tabs>
          <w:tab w:pos="821" w:val="left" w:leader="none"/>
          <w:tab w:pos="1601" w:val="left" w:leader="none"/>
        </w:tabs>
        <w:spacing w:line="278" w:lineRule="auto" w:before="90"/>
        <w:ind w:left="102" w:right="117"/>
      </w:pPr>
      <w:r>
        <w:rPr>
          <w:u w:val="single"/>
        </w:rPr>
        <w:t> </w:t>
        <w:tab/>
      </w:r>
      <w:r>
        <w:rPr/>
        <w:t>.</w:t>
      </w:r>
      <w:r>
        <w:rPr>
          <w:u w:val="single"/>
        </w:rPr>
        <w:t> </w:t>
        <w:tab/>
      </w:r>
      <w:r>
        <w:rPr/>
        <w:t>. </w:t>
      </w:r>
      <w:r>
        <w:rPr>
          <w:b/>
        </w:rPr>
        <w:t>Lei nº 13.005. </w:t>
      </w:r>
      <w:r>
        <w:rPr/>
        <w:t>Institui o Plano Nacional de Educação  </w:t>
      </w:r>
      <w:r>
        <w:rPr>
          <w:spacing w:val="17"/>
        </w:rPr>
        <w:t> </w:t>
      </w:r>
      <w:r>
        <w:rPr/>
        <w:t>(PNE).</w:t>
      </w:r>
      <w:r>
        <w:rPr>
          <w:spacing w:val="16"/>
        </w:rPr>
        <w:t> </w:t>
      </w:r>
      <w:r>
        <w:rPr/>
        <w:t>Brasília, DF, 2014a. Disponível em: </w:t>
      </w:r>
      <w:hyperlink r:id="rId68">
        <w:r>
          <w:rPr>
            <w:u w:val="single"/>
          </w:rPr>
          <w:t>www.planalto.gov.br</w:t>
        </w:r>
      </w:hyperlink>
      <w:r>
        <w:rPr/>
        <w:t>. Acesso em: 25 de setembro de</w:t>
      </w:r>
      <w:r>
        <w:rPr>
          <w:spacing w:val="-8"/>
        </w:rPr>
        <w:t> </w:t>
      </w:r>
      <w:r>
        <w:rPr/>
        <w:t>2015.</w:t>
      </w:r>
    </w:p>
    <w:p>
      <w:pPr>
        <w:pStyle w:val="BodyText"/>
        <w:spacing w:before="6"/>
        <w:rPr>
          <w:sz w:val="19"/>
        </w:rPr>
      </w:pPr>
    </w:p>
    <w:p>
      <w:pPr>
        <w:tabs>
          <w:tab w:pos="821" w:val="left" w:leader="none"/>
        </w:tabs>
        <w:spacing w:line="276" w:lineRule="auto" w:before="90"/>
        <w:ind w:left="102" w:right="115" w:firstLine="0"/>
        <w:jc w:val="both"/>
        <w:rPr>
          <w:sz w:val="24"/>
        </w:rPr>
      </w:pPr>
      <w:r>
        <w:rPr>
          <w:sz w:val="24"/>
          <w:u w:val="single"/>
        </w:rPr>
        <w:t> </w:t>
        <w:tab/>
      </w:r>
      <w:r>
        <w:rPr>
          <w:sz w:val="24"/>
        </w:rPr>
        <w:t>. Ministério da Educação.  </w:t>
      </w:r>
      <w:r>
        <w:rPr>
          <w:b/>
          <w:sz w:val="24"/>
        </w:rPr>
        <w:t>Plano Decenal de Educação para   </w:t>
      </w:r>
      <w:r>
        <w:rPr>
          <w:b/>
          <w:spacing w:val="4"/>
          <w:sz w:val="24"/>
        </w:rPr>
        <w:t> </w:t>
      </w:r>
      <w:r>
        <w:rPr>
          <w:b/>
          <w:sz w:val="24"/>
        </w:rPr>
        <w:t>Todos</w:t>
      </w:r>
      <w:r>
        <w:rPr>
          <w:sz w:val="24"/>
        </w:rPr>
        <w:t>.</w:t>
      </w:r>
      <w:r>
        <w:rPr>
          <w:spacing w:val="27"/>
          <w:sz w:val="24"/>
        </w:rPr>
        <w:t> </w:t>
      </w:r>
      <w:r>
        <w:rPr>
          <w:sz w:val="24"/>
        </w:rPr>
        <w:t>Brasília: Secretária de Educação Básica, 1993. Disponível em </w:t>
      </w:r>
      <w:hyperlink r:id="rId53">
        <w:r>
          <w:rPr>
            <w:sz w:val="24"/>
          </w:rPr>
          <w:t>www.mec.gov.br.</w:t>
        </w:r>
      </w:hyperlink>
      <w:r>
        <w:rPr>
          <w:sz w:val="24"/>
        </w:rPr>
        <w:t> Acesso em 26/09/2015.</w:t>
      </w:r>
    </w:p>
    <w:p>
      <w:pPr>
        <w:pStyle w:val="BodyText"/>
        <w:spacing w:before="6"/>
        <w:rPr>
          <w:sz w:val="19"/>
        </w:rPr>
      </w:pPr>
    </w:p>
    <w:p>
      <w:pPr>
        <w:tabs>
          <w:tab w:pos="821" w:val="left" w:leader="none"/>
          <w:tab w:pos="1601" w:val="left" w:leader="none"/>
        </w:tabs>
        <w:spacing w:before="90"/>
        <w:ind w:left="102" w:right="117" w:firstLine="0"/>
        <w:jc w:val="left"/>
        <w:rPr>
          <w:sz w:val="24"/>
        </w:rPr>
      </w:pPr>
      <w:r>
        <w:rPr>
          <w:sz w:val="24"/>
          <w:u w:val="single"/>
        </w:rPr>
        <w:t> </w:t>
        <w:tab/>
      </w:r>
      <w:r>
        <w:rPr>
          <w:sz w:val="24"/>
        </w:rPr>
        <w:t>.</w:t>
      </w:r>
      <w:r>
        <w:rPr>
          <w:sz w:val="24"/>
          <w:u w:val="single"/>
        </w:rPr>
        <w:t> </w:t>
        <w:tab/>
      </w:r>
      <w:r>
        <w:rPr>
          <w:sz w:val="24"/>
        </w:rPr>
        <w:t>.</w:t>
      </w:r>
      <w:r>
        <w:rPr>
          <w:spacing w:val="43"/>
          <w:sz w:val="24"/>
        </w:rPr>
        <w:t> </w:t>
      </w:r>
      <w:r>
        <w:rPr>
          <w:b/>
          <w:sz w:val="24"/>
        </w:rPr>
        <w:t>Conferência</w:t>
      </w:r>
      <w:r>
        <w:rPr>
          <w:b/>
          <w:spacing w:val="43"/>
          <w:sz w:val="24"/>
        </w:rPr>
        <w:t> </w:t>
      </w:r>
      <w:r>
        <w:rPr>
          <w:b/>
          <w:sz w:val="24"/>
        </w:rPr>
        <w:t>Nacional</w:t>
      </w:r>
      <w:r>
        <w:rPr>
          <w:b/>
          <w:spacing w:val="43"/>
          <w:sz w:val="24"/>
        </w:rPr>
        <w:t> </w:t>
      </w:r>
      <w:r>
        <w:rPr>
          <w:b/>
          <w:sz w:val="24"/>
        </w:rPr>
        <w:t>de</w:t>
      </w:r>
      <w:r>
        <w:rPr>
          <w:b/>
          <w:spacing w:val="42"/>
          <w:sz w:val="24"/>
        </w:rPr>
        <w:t> </w:t>
      </w:r>
      <w:r>
        <w:rPr>
          <w:b/>
          <w:sz w:val="24"/>
        </w:rPr>
        <w:t>Educação</w:t>
      </w:r>
      <w:r>
        <w:rPr>
          <w:b/>
          <w:spacing w:val="47"/>
          <w:sz w:val="24"/>
        </w:rPr>
        <w:t> </w:t>
      </w:r>
      <w:r>
        <w:rPr>
          <w:b/>
          <w:sz w:val="24"/>
        </w:rPr>
        <w:t>–</w:t>
      </w:r>
      <w:r>
        <w:rPr>
          <w:b/>
          <w:spacing w:val="46"/>
          <w:sz w:val="24"/>
        </w:rPr>
        <w:t> </w:t>
      </w:r>
      <w:r>
        <w:rPr>
          <w:b/>
          <w:sz w:val="24"/>
        </w:rPr>
        <w:t>Documento</w:t>
      </w:r>
      <w:r>
        <w:rPr>
          <w:b/>
          <w:spacing w:val="47"/>
          <w:sz w:val="24"/>
        </w:rPr>
        <w:t> </w:t>
      </w:r>
      <w:r>
        <w:rPr>
          <w:b/>
          <w:sz w:val="24"/>
        </w:rPr>
        <w:t>Final.</w:t>
      </w:r>
      <w:r>
        <w:rPr>
          <w:b/>
          <w:spacing w:val="46"/>
          <w:sz w:val="24"/>
        </w:rPr>
        <w:t> </w:t>
      </w:r>
      <w:r>
        <w:rPr>
          <w:sz w:val="24"/>
        </w:rPr>
        <w:t>Brasília, DF, 2010. Disponível em </w:t>
      </w:r>
      <w:hyperlink r:id="rId53">
        <w:r>
          <w:rPr>
            <w:sz w:val="24"/>
          </w:rPr>
          <w:t>www.mec.gov.br.</w:t>
        </w:r>
      </w:hyperlink>
      <w:r>
        <w:rPr>
          <w:sz w:val="24"/>
        </w:rPr>
        <w:t> Acesso em:</w:t>
      </w:r>
      <w:r>
        <w:rPr>
          <w:spacing w:val="-6"/>
          <w:sz w:val="24"/>
        </w:rPr>
        <w:t> </w:t>
      </w:r>
      <w:r>
        <w:rPr>
          <w:sz w:val="24"/>
        </w:rPr>
        <w:t>26/09/2015.</w:t>
      </w:r>
    </w:p>
    <w:p>
      <w:pPr>
        <w:pStyle w:val="BodyText"/>
        <w:spacing w:before="2"/>
        <w:rPr>
          <w:sz w:val="16"/>
        </w:rPr>
      </w:pPr>
    </w:p>
    <w:p>
      <w:pPr>
        <w:tabs>
          <w:tab w:pos="821" w:val="left" w:leader="none"/>
          <w:tab w:pos="1601" w:val="left" w:leader="none"/>
        </w:tabs>
        <w:spacing w:before="90"/>
        <w:ind w:left="102" w:right="116" w:firstLine="0"/>
        <w:jc w:val="both"/>
        <w:rPr>
          <w:sz w:val="24"/>
        </w:rPr>
      </w:pPr>
      <w:r>
        <w:rPr>
          <w:sz w:val="24"/>
          <w:u w:val="single"/>
        </w:rPr>
        <w:t> </w:t>
        <w:tab/>
      </w:r>
      <w:r>
        <w:rPr>
          <w:sz w:val="24"/>
        </w:rPr>
        <w:t>.</w:t>
      </w:r>
      <w:r>
        <w:rPr>
          <w:sz w:val="24"/>
          <w:u w:val="single"/>
        </w:rPr>
        <w:t> </w:t>
        <w:tab/>
      </w:r>
      <w:r>
        <w:rPr>
          <w:sz w:val="24"/>
        </w:rPr>
        <w:t>.   Secretária   de   Educação   Básica.   </w:t>
      </w:r>
      <w:r>
        <w:rPr>
          <w:b/>
          <w:sz w:val="24"/>
        </w:rPr>
        <w:t>Documento   </w:t>
      </w:r>
      <w:r>
        <w:rPr>
          <w:b/>
          <w:spacing w:val="54"/>
          <w:sz w:val="24"/>
        </w:rPr>
        <w:t> </w:t>
      </w:r>
      <w:r>
        <w:rPr>
          <w:b/>
          <w:sz w:val="24"/>
        </w:rPr>
        <w:t>Norteador  </w:t>
      </w:r>
      <w:r>
        <w:rPr>
          <w:b/>
          <w:spacing w:val="17"/>
          <w:sz w:val="24"/>
        </w:rPr>
        <w:t> </w:t>
      </w:r>
      <w:r>
        <w:rPr>
          <w:b/>
          <w:sz w:val="24"/>
        </w:rPr>
        <w:t>para Elaboração de Plano Municipal de Educação </w:t>
      </w:r>
      <w:r>
        <w:rPr>
          <w:sz w:val="24"/>
        </w:rPr>
        <w:t>- PME/elaboração Clodoaldo José de Almeida Souza. Brasília: Secretária de Educação Básica, 2005a. Disponível em </w:t>
      </w:r>
      <w:hyperlink r:id="rId53">
        <w:r>
          <w:rPr>
            <w:sz w:val="24"/>
          </w:rPr>
          <w:t>www.mec.gov.br.</w:t>
        </w:r>
      </w:hyperlink>
      <w:r>
        <w:rPr>
          <w:sz w:val="24"/>
        </w:rPr>
        <w:t> Acesso em</w:t>
      </w:r>
      <w:r>
        <w:rPr>
          <w:spacing w:val="-5"/>
          <w:sz w:val="24"/>
        </w:rPr>
        <w:t> </w:t>
      </w:r>
      <w:r>
        <w:rPr>
          <w:sz w:val="24"/>
        </w:rPr>
        <w:t>26/09/2015.</w:t>
      </w:r>
    </w:p>
    <w:p>
      <w:pPr>
        <w:pStyle w:val="BodyText"/>
        <w:spacing w:before="2"/>
        <w:rPr>
          <w:sz w:val="16"/>
        </w:rPr>
      </w:pPr>
    </w:p>
    <w:p>
      <w:pPr>
        <w:tabs>
          <w:tab w:pos="821" w:val="left" w:leader="none"/>
          <w:tab w:pos="1601" w:val="left" w:leader="none"/>
          <w:tab w:pos="2382" w:val="left" w:leader="none"/>
        </w:tabs>
        <w:spacing w:before="90"/>
        <w:ind w:left="102" w:right="123" w:firstLine="0"/>
        <w:jc w:val="both"/>
        <w:rPr>
          <w:sz w:val="24"/>
        </w:rPr>
      </w:pPr>
      <w:r>
        <w:rPr>
          <w:sz w:val="24"/>
          <w:u w:val="single"/>
        </w:rPr>
        <w:t> </w:t>
        <w:tab/>
      </w:r>
      <w:r>
        <w:rPr>
          <w:sz w:val="24"/>
        </w:rPr>
        <w:t>.</w:t>
      </w:r>
      <w:r>
        <w:rPr>
          <w:sz w:val="24"/>
          <w:u w:val="single"/>
        </w:rPr>
        <w:t> </w:t>
        <w:tab/>
      </w:r>
      <w:r>
        <w:rPr>
          <w:sz w:val="24"/>
        </w:rPr>
        <w:t>.</w:t>
      </w:r>
      <w:r>
        <w:rPr>
          <w:sz w:val="24"/>
          <w:u w:val="single"/>
        </w:rPr>
        <w:t> </w:t>
        <w:tab/>
      </w:r>
      <w:r>
        <w:rPr>
          <w:sz w:val="24"/>
        </w:rPr>
        <w:t>. </w:t>
      </w:r>
      <w:r>
        <w:rPr>
          <w:b/>
          <w:sz w:val="24"/>
        </w:rPr>
        <w:t>Subsídios para o planejamento da rede escolar com</w:t>
      </w:r>
      <w:r>
        <w:rPr>
          <w:b/>
          <w:spacing w:val="7"/>
          <w:sz w:val="24"/>
        </w:rPr>
        <w:t> </w:t>
      </w:r>
      <w:r>
        <w:rPr>
          <w:b/>
          <w:sz w:val="24"/>
        </w:rPr>
        <w:t>base na experiência em minicenso educacional</w:t>
      </w:r>
      <w:r>
        <w:rPr>
          <w:sz w:val="24"/>
        </w:rPr>
        <w:t>/Clodoaldo José de Almeida Souza. Brasília: Secretária de Educação Básica, 2005b. Disponível em </w:t>
      </w:r>
      <w:hyperlink r:id="rId53">
        <w:r>
          <w:rPr>
            <w:sz w:val="24"/>
          </w:rPr>
          <w:t>www.mec.gov.br.</w:t>
        </w:r>
      </w:hyperlink>
      <w:r>
        <w:rPr>
          <w:sz w:val="24"/>
        </w:rPr>
        <w:t> Acesso em 26/09/2015.</w:t>
      </w:r>
    </w:p>
    <w:p>
      <w:pPr>
        <w:pStyle w:val="BodyText"/>
        <w:spacing w:before="4"/>
        <w:rPr>
          <w:sz w:val="16"/>
        </w:rPr>
      </w:pPr>
    </w:p>
    <w:p>
      <w:pPr>
        <w:tabs>
          <w:tab w:pos="821" w:val="left" w:leader="none"/>
          <w:tab w:pos="1601" w:val="left" w:leader="none"/>
          <w:tab w:pos="2382" w:val="left" w:leader="none"/>
        </w:tabs>
        <w:spacing w:line="276" w:lineRule="auto" w:before="90"/>
        <w:ind w:left="102" w:right="115" w:firstLine="0"/>
        <w:jc w:val="both"/>
        <w:rPr>
          <w:sz w:val="24"/>
        </w:rPr>
      </w:pPr>
      <w:r>
        <w:rPr>
          <w:sz w:val="24"/>
          <w:u w:val="single"/>
        </w:rPr>
        <w:t> </w:t>
        <w:tab/>
      </w:r>
      <w:r>
        <w:rPr>
          <w:sz w:val="24"/>
        </w:rPr>
        <w:t>.</w:t>
      </w:r>
      <w:r>
        <w:rPr>
          <w:sz w:val="24"/>
          <w:u w:val="single"/>
        </w:rPr>
        <w:t> </w:t>
        <w:tab/>
      </w:r>
      <w:r>
        <w:rPr>
          <w:sz w:val="24"/>
        </w:rPr>
        <w:t>.</w:t>
      </w:r>
      <w:r>
        <w:rPr>
          <w:sz w:val="24"/>
          <w:u w:val="single"/>
        </w:rPr>
        <w:t> </w:t>
        <w:tab/>
      </w:r>
      <w:r>
        <w:rPr>
          <w:sz w:val="24"/>
        </w:rPr>
        <w:t>. </w:t>
      </w:r>
      <w:r>
        <w:rPr>
          <w:b/>
          <w:sz w:val="24"/>
        </w:rPr>
        <w:t>Subsídios para o planejamento da   </w:t>
      </w:r>
      <w:r>
        <w:rPr>
          <w:b/>
          <w:spacing w:val="14"/>
          <w:sz w:val="24"/>
        </w:rPr>
        <w:t> </w:t>
      </w:r>
      <w:r>
        <w:rPr>
          <w:b/>
          <w:sz w:val="24"/>
        </w:rPr>
        <w:t>conferência</w:t>
      </w:r>
      <w:r>
        <w:rPr>
          <w:b/>
          <w:spacing w:val="33"/>
          <w:sz w:val="24"/>
        </w:rPr>
        <w:t> </w:t>
      </w:r>
      <w:r>
        <w:rPr>
          <w:b/>
          <w:sz w:val="24"/>
        </w:rPr>
        <w:t>municipal</w:t>
      </w:r>
      <w:r>
        <w:rPr>
          <w:sz w:val="24"/>
        </w:rPr>
        <w:t>, Brasília: Secretária de Educação Básica, 2005c. Disponível em </w:t>
      </w:r>
      <w:hyperlink r:id="rId53">
        <w:r>
          <w:rPr>
            <w:sz w:val="24"/>
            <w:u w:val="single"/>
          </w:rPr>
          <w:t>www.mec.gov.br</w:t>
        </w:r>
        <w:r>
          <w:rPr>
            <w:sz w:val="24"/>
          </w:rPr>
          <w:t>.</w:t>
        </w:r>
      </w:hyperlink>
      <w:r>
        <w:rPr>
          <w:sz w:val="24"/>
        </w:rPr>
        <w:t> Acesso em</w:t>
      </w:r>
      <w:r>
        <w:rPr>
          <w:spacing w:val="-4"/>
          <w:sz w:val="24"/>
        </w:rPr>
        <w:t> </w:t>
      </w:r>
      <w:r>
        <w:rPr>
          <w:sz w:val="24"/>
        </w:rPr>
        <w:t>26/09/2015.</w:t>
      </w:r>
    </w:p>
    <w:p>
      <w:pPr>
        <w:pStyle w:val="BodyText"/>
        <w:spacing w:before="3"/>
        <w:rPr>
          <w:sz w:val="16"/>
        </w:rPr>
      </w:pPr>
    </w:p>
    <w:p>
      <w:pPr>
        <w:tabs>
          <w:tab w:pos="822" w:val="left" w:leader="none"/>
          <w:tab w:pos="1602" w:val="left" w:leader="none"/>
        </w:tabs>
        <w:spacing w:before="90"/>
        <w:ind w:left="102" w:right="120" w:firstLine="0"/>
        <w:jc w:val="both"/>
        <w:rPr>
          <w:sz w:val="24"/>
        </w:rPr>
      </w:pPr>
      <w:r>
        <w:rPr>
          <w:sz w:val="24"/>
          <w:u w:val="single"/>
        </w:rPr>
        <w:t> </w:t>
        <w:tab/>
      </w:r>
      <w:r>
        <w:rPr>
          <w:sz w:val="24"/>
        </w:rPr>
        <w:t>.</w:t>
      </w:r>
      <w:r>
        <w:rPr>
          <w:sz w:val="24"/>
          <w:u w:val="single"/>
        </w:rPr>
        <w:t> </w:t>
        <w:tab/>
      </w:r>
      <w:r>
        <w:rPr>
          <w:sz w:val="24"/>
        </w:rPr>
        <w:t>.  </w:t>
      </w:r>
      <w:r>
        <w:rPr>
          <w:b/>
          <w:sz w:val="24"/>
        </w:rPr>
        <w:t>Conferência  Nacional  de  Educação  (Conae  </w:t>
      </w:r>
      <w:r>
        <w:rPr>
          <w:b/>
          <w:spacing w:val="26"/>
          <w:sz w:val="24"/>
        </w:rPr>
        <w:t> </w:t>
      </w:r>
      <w:r>
        <w:rPr>
          <w:b/>
          <w:sz w:val="24"/>
        </w:rPr>
        <w:t>2014) </w:t>
      </w:r>
      <w:r>
        <w:rPr>
          <w:b/>
          <w:spacing w:val="16"/>
          <w:sz w:val="24"/>
        </w:rPr>
        <w:t> </w:t>
      </w:r>
      <w:r>
        <w:rPr>
          <w:b/>
          <w:sz w:val="24"/>
        </w:rPr>
        <w:t>–Documento</w:t>
      </w:r>
      <w:r>
        <w:rPr>
          <w:b/>
          <w:w w:val="99"/>
          <w:sz w:val="24"/>
        </w:rPr>
        <w:t> </w:t>
      </w:r>
      <w:r>
        <w:rPr>
          <w:b/>
          <w:sz w:val="24"/>
        </w:rPr>
        <w:t>Base. Vol.: I e II. </w:t>
      </w:r>
      <w:r>
        <w:rPr>
          <w:sz w:val="24"/>
        </w:rPr>
        <w:t>Brasília, 2014b. Disponível em </w:t>
      </w:r>
      <w:hyperlink r:id="rId53">
        <w:r>
          <w:rPr>
            <w:sz w:val="24"/>
          </w:rPr>
          <w:t>www.mec.gov.br.</w:t>
        </w:r>
      </w:hyperlink>
      <w:r>
        <w:rPr>
          <w:sz w:val="24"/>
        </w:rPr>
        <w:t> Acesso em 03/05/2014.</w:t>
      </w:r>
    </w:p>
    <w:p>
      <w:pPr>
        <w:pStyle w:val="BodyText"/>
        <w:spacing w:before="2"/>
        <w:rPr>
          <w:sz w:val="16"/>
        </w:rPr>
      </w:pPr>
    </w:p>
    <w:p>
      <w:pPr>
        <w:tabs>
          <w:tab w:pos="821" w:val="left" w:leader="none"/>
          <w:tab w:pos="1601" w:val="left" w:leader="none"/>
        </w:tabs>
        <w:spacing w:line="240" w:lineRule="auto" w:before="90"/>
        <w:ind w:left="102" w:right="118" w:firstLine="0"/>
        <w:jc w:val="both"/>
        <w:rPr>
          <w:sz w:val="24"/>
        </w:rPr>
      </w:pPr>
      <w:r>
        <w:rPr>
          <w:sz w:val="24"/>
          <w:u w:val="single"/>
        </w:rPr>
        <w:t> </w:t>
        <w:tab/>
      </w:r>
      <w:r>
        <w:rPr>
          <w:sz w:val="24"/>
        </w:rPr>
        <w:t>.</w:t>
      </w:r>
      <w:r>
        <w:rPr>
          <w:sz w:val="24"/>
          <w:u w:val="single"/>
        </w:rPr>
        <w:t> </w:t>
        <w:tab/>
      </w:r>
      <w:r>
        <w:rPr>
          <w:sz w:val="24"/>
        </w:rPr>
        <w:t>.</w:t>
      </w:r>
      <w:r>
        <w:rPr>
          <w:spacing w:val="46"/>
          <w:sz w:val="24"/>
        </w:rPr>
        <w:t> </w:t>
      </w:r>
      <w:r>
        <w:rPr>
          <w:sz w:val="24"/>
        </w:rPr>
        <w:t>Secretaria</w:t>
      </w:r>
      <w:r>
        <w:rPr>
          <w:spacing w:val="46"/>
          <w:sz w:val="24"/>
        </w:rPr>
        <w:t> </w:t>
      </w:r>
      <w:r>
        <w:rPr>
          <w:sz w:val="24"/>
        </w:rPr>
        <w:t>de</w:t>
      </w:r>
      <w:r>
        <w:rPr>
          <w:spacing w:val="45"/>
          <w:sz w:val="24"/>
        </w:rPr>
        <w:t> </w:t>
      </w:r>
      <w:r>
        <w:rPr>
          <w:sz w:val="24"/>
        </w:rPr>
        <w:t>Articulação</w:t>
      </w:r>
      <w:r>
        <w:rPr>
          <w:spacing w:val="46"/>
          <w:sz w:val="24"/>
        </w:rPr>
        <w:t> </w:t>
      </w:r>
      <w:r>
        <w:rPr>
          <w:sz w:val="24"/>
        </w:rPr>
        <w:t>com</w:t>
      </w:r>
      <w:r>
        <w:rPr>
          <w:spacing w:val="51"/>
          <w:sz w:val="24"/>
        </w:rPr>
        <w:t> </w:t>
      </w:r>
      <w:r>
        <w:rPr>
          <w:sz w:val="24"/>
        </w:rPr>
        <w:t>os</w:t>
      </w:r>
      <w:r>
        <w:rPr>
          <w:spacing w:val="47"/>
          <w:sz w:val="24"/>
        </w:rPr>
        <w:t> </w:t>
      </w:r>
      <w:r>
        <w:rPr>
          <w:sz w:val="24"/>
        </w:rPr>
        <w:t>Sistemas</w:t>
      </w:r>
      <w:r>
        <w:rPr>
          <w:spacing w:val="46"/>
          <w:sz w:val="24"/>
        </w:rPr>
        <w:t> </w:t>
      </w:r>
      <w:r>
        <w:rPr>
          <w:sz w:val="24"/>
        </w:rPr>
        <w:t>de</w:t>
      </w:r>
      <w:r>
        <w:rPr>
          <w:spacing w:val="45"/>
          <w:sz w:val="24"/>
        </w:rPr>
        <w:t> </w:t>
      </w:r>
      <w:r>
        <w:rPr>
          <w:sz w:val="24"/>
        </w:rPr>
        <w:t>Ensino.</w:t>
      </w:r>
      <w:r>
        <w:rPr>
          <w:spacing w:val="54"/>
          <w:sz w:val="24"/>
        </w:rPr>
        <w:t> </w:t>
      </w:r>
      <w:r>
        <w:rPr>
          <w:b/>
          <w:sz w:val="24"/>
        </w:rPr>
        <w:t>Orientações</w:t>
      </w:r>
      <w:r>
        <w:rPr>
          <w:b/>
          <w:w w:val="99"/>
          <w:sz w:val="24"/>
        </w:rPr>
        <w:t> </w:t>
      </w:r>
      <w:r>
        <w:rPr>
          <w:b/>
          <w:sz w:val="24"/>
        </w:rPr>
        <w:t>gerais aos(as) avaliadores(as) educacionais no trabalho de adequação/elaboração dos planos estaduais, distrital e municipais de educação. </w:t>
      </w:r>
      <w:r>
        <w:rPr>
          <w:sz w:val="24"/>
        </w:rPr>
        <w:t>MEC/SASE, Brasília, DF, 2013.</w:t>
      </w:r>
      <w:r>
        <w:rPr>
          <w:spacing w:val="-2"/>
          <w:sz w:val="24"/>
        </w:rPr>
        <w:t> </w:t>
      </w:r>
      <w:r>
        <w:rPr>
          <w:sz w:val="24"/>
        </w:rPr>
        <w:t>Mimeo.</w:t>
      </w:r>
    </w:p>
    <w:p>
      <w:pPr>
        <w:pStyle w:val="BodyText"/>
        <w:spacing w:before="2"/>
        <w:rPr>
          <w:sz w:val="16"/>
        </w:rPr>
      </w:pPr>
    </w:p>
    <w:p>
      <w:pPr>
        <w:tabs>
          <w:tab w:pos="821" w:val="left" w:leader="none"/>
          <w:tab w:pos="1601" w:val="left" w:leader="none"/>
          <w:tab w:pos="2382" w:val="left" w:leader="none"/>
        </w:tabs>
        <w:spacing w:before="90"/>
        <w:ind w:left="102" w:right="118" w:firstLine="0"/>
        <w:jc w:val="both"/>
        <w:rPr>
          <w:sz w:val="24"/>
        </w:rPr>
      </w:pPr>
      <w:r>
        <w:rPr>
          <w:sz w:val="24"/>
          <w:u w:val="single"/>
        </w:rPr>
        <w:t> </w:t>
        <w:tab/>
      </w:r>
      <w:r>
        <w:rPr>
          <w:sz w:val="24"/>
        </w:rPr>
        <w:t>.</w:t>
      </w:r>
      <w:r>
        <w:rPr>
          <w:sz w:val="24"/>
          <w:u w:val="single"/>
        </w:rPr>
        <w:t> </w:t>
        <w:tab/>
      </w:r>
      <w:r>
        <w:rPr>
          <w:sz w:val="24"/>
        </w:rPr>
        <w:t>.</w:t>
      </w:r>
      <w:r>
        <w:rPr>
          <w:sz w:val="24"/>
          <w:u w:val="single"/>
        </w:rPr>
        <w:t> </w:t>
        <w:tab/>
      </w:r>
      <w:r>
        <w:rPr>
          <w:sz w:val="24"/>
        </w:rPr>
        <w:t>. </w:t>
      </w:r>
      <w:r>
        <w:rPr>
          <w:b/>
          <w:sz w:val="24"/>
        </w:rPr>
        <w:t>Cadernos Planejando a Próxima Década </w:t>
      </w:r>
      <w:r>
        <w:rPr>
          <w:sz w:val="24"/>
        </w:rPr>
        <w:t>–   </w:t>
      </w:r>
      <w:r>
        <w:rPr>
          <w:spacing w:val="46"/>
          <w:sz w:val="24"/>
        </w:rPr>
        <w:t> </w:t>
      </w:r>
      <w:r>
        <w:rPr>
          <w:sz w:val="24"/>
        </w:rPr>
        <w:t>Construindo</w:t>
      </w:r>
      <w:r>
        <w:rPr>
          <w:spacing w:val="31"/>
          <w:sz w:val="24"/>
        </w:rPr>
        <w:t> </w:t>
      </w:r>
      <w:r>
        <w:rPr>
          <w:sz w:val="24"/>
        </w:rPr>
        <w:t>as</w:t>
      </w:r>
      <w:r>
        <w:rPr>
          <w:w w:val="99"/>
          <w:sz w:val="24"/>
        </w:rPr>
        <w:t> </w:t>
      </w:r>
      <w:r>
        <w:rPr>
          <w:sz w:val="24"/>
        </w:rPr>
        <w:t>metas do seu Município. MEC/SASE, Brasília, DF, 2014c. Disponível em pne.mec.gov.br. Acesso em</w:t>
      </w:r>
      <w:r>
        <w:rPr>
          <w:spacing w:val="-5"/>
          <w:sz w:val="24"/>
        </w:rPr>
        <w:t> </w:t>
      </w:r>
      <w:r>
        <w:rPr>
          <w:sz w:val="24"/>
        </w:rPr>
        <w:t>23/09/2015</w:t>
      </w:r>
    </w:p>
    <w:p>
      <w:pPr>
        <w:pStyle w:val="BodyText"/>
        <w:rPr>
          <w:sz w:val="16"/>
        </w:rPr>
      </w:pPr>
    </w:p>
    <w:p>
      <w:pPr>
        <w:tabs>
          <w:tab w:pos="821" w:val="left" w:leader="none"/>
          <w:tab w:pos="1601" w:val="left" w:leader="none"/>
          <w:tab w:pos="2382" w:val="left" w:leader="none"/>
        </w:tabs>
        <w:spacing w:before="90"/>
        <w:ind w:left="102" w:right="116" w:firstLine="0"/>
        <w:jc w:val="both"/>
        <w:rPr>
          <w:sz w:val="24"/>
        </w:rPr>
      </w:pPr>
      <w:r>
        <w:rPr>
          <w:sz w:val="24"/>
          <w:u w:val="single"/>
        </w:rPr>
        <w:t> </w:t>
        <w:tab/>
      </w:r>
      <w:r>
        <w:rPr>
          <w:sz w:val="24"/>
        </w:rPr>
        <w:t>.</w:t>
      </w:r>
      <w:r>
        <w:rPr>
          <w:sz w:val="24"/>
          <w:u w:val="single"/>
        </w:rPr>
        <w:t> </w:t>
        <w:tab/>
      </w:r>
      <w:r>
        <w:rPr>
          <w:sz w:val="24"/>
        </w:rPr>
        <w:t>.</w:t>
      </w:r>
      <w:r>
        <w:rPr>
          <w:sz w:val="24"/>
          <w:u w:val="single"/>
        </w:rPr>
        <w:t> </w:t>
        <w:tab/>
      </w:r>
      <w:r>
        <w:rPr>
          <w:sz w:val="24"/>
        </w:rPr>
        <w:t>.  </w:t>
      </w:r>
      <w:r>
        <w:rPr>
          <w:b/>
          <w:sz w:val="24"/>
        </w:rPr>
        <w:t>Cadernos  Planejando  a  Próxima  Década  </w:t>
      </w:r>
      <w:r>
        <w:rPr>
          <w:sz w:val="24"/>
        </w:rPr>
        <w:t>–</w:t>
      </w:r>
      <w:r>
        <w:rPr>
          <w:spacing w:val="11"/>
          <w:sz w:val="24"/>
        </w:rPr>
        <w:t> </w:t>
      </w:r>
      <w:r>
        <w:rPr>
          <w:sz w:val="24"/>
        </w:rPr>
        <w:t>Alinhando</w:t>
      </w:r>
      <w:r>
        <w:rPr>
          <w:spacing w:val="50"/>
          <w:sz w:val="24"/>
        </w:rPr>
        <w:t> </w:t>
      </w:r>
      <w:r>
        <w:rPr>
          <w:sz w:val="24"/>
        </w:rPr>
        <w:t>os</w:t>
      </w:r>
      <w:r>
        <w:rPr>
          <w:w w:val="99"/>
          <w:sz w:val="24"/>
        </w:rPr>
        <w:t> </w:t>
      </w:r>
      <w:r>
        <w:rPr>
          <w:sz w:val="24"/>
        </w:rPr>
        <w:t>Planos de Educação, MEC/SASE, Brasília. DF, 2014d. Disponível em pne.mec.gov.br. Acesso em</w:t>
      </w:r>
      <w:r>
        <w:rPr>
          <w:spacing w:val="-4"/>
          <w:sz w:val="24"/>
        </w:rPr>
        <w:t> </w:t>
      </w:r>
      <w:r>
        <w:rPr>
          <w:sz w:val="24"/>
        </w:rPr>
        <w:t>23/09/2015</w:t>
      </w:r>
    </w:p>
    <w:p>
      <w:pPr>
        <w:pStyle w:val="BodyText"/>
        <w:spacing w:before="2"/>
        <w:rPr>
          <w:sz w:val="16"/>
        </w:rPr>
      </w:pPr>
    </w:p>
    <w:p>
      <w:pPr>
        <w:pStyle w:val="BodyText"/>
        <w:tabs>
          <w:tab w:pos="821" w:val="left" w:leader="none"/>
          <w:tab w:pos="1601" w:val="left" w:leader="none"/>
          <w:tab w:pos="2382" w:val="left" w:leader="none"/>
        </w:tabs>
        <w:spacing w:before="90"/>
        <w:ind w:left="102" w:right="117"/>
        <w:jc w:val="both"/>
      </w:pPr>
      <w:r>
        <w:rPr>
          <w:u w:val="single"/>
        </w:rPr>
        <w:t> </w:t>
        <w:tab/>
      </w:r>
      <w:r>
        <w:rPr/>
        <w:t>.</w:t>
      </w:r>
      <w:r>
        <w:rPr>
          <w:u w:val="single"/>
        </w:rPr>
        <w:t> </w:t>
        <w:tab/>
      </w:r>
      <w:r>
        <w:rPr/>
        <w:t>.</w:t>
      </w:r>
      <w:r>
        <w:rPr>
          <w:u w:val="single"/>
        </w:rPr>
        <w:t> </w:t>
        <w:tab/>
      </w:r>
      <w:r>
        <w:rPr/>
        <w:t>. </w:t>
      </w:r>
      <w:r>
        <w:rPr>
          <w:b/>
        </w:rPr>
        <w:t>Cadernos Planejando a Próxima Década </w:t>
      </w:r>
      <w:r>
        <w:rPr/>
        <w:t>–   </w:t>
      </w:r>
      <w:r>
        <w:rPr>
          <w:spacing w:val="34"/>
        </w:rPr>
        <w:t> </w:t>
      </w:r>
      <w:r>
        <w:rPr/>
        <w:t>Conhecendo</w:t>
      </w:r>
      <w:r>
        <w:rPr>
          <w:spacing w:val="31"/>
        </w:rPr>
        <w:t> </w:t>
      </w:r>
      <w:r>
        <w:rPr/>
        <w:t>as</w:t>
      </w:r>
      <w:r>
        <w:rPr>
          <w:w w:val="99"/>
        </w:rPr>
        <w:t> </w:t>
      </w:r>
      <w:r>
        <w:rPr/>
        <w:t>20 Metas do Plano Nacional de Educação. MEC/SASE, Brasília, DF, 2014e. Disponível em pne.mec.gov.br. Acesso em</w:t>
      </w:r>
      <w:r>
        <w:rPr>
          <w:spacing w:val="-5"/>
        </w:rPr>
        <w:t> </w:t>
      </w:r>
      <w:r>
        <w:rPr/>
        <w:t>23/09/2015</w:t>
      </w:r>
    </w:p>
    <w:p>
      <w:pPr>
        <w:spacing w:after="0"/>
        <w:jc w:val="both"/>
        <w:sectPr>
          <w:pgSz w:w="11910" w:h="16840"/>
          <w:pgMar w:header="749" w:footer="0" w:top="960" w:bottom="280" w:left="1600" w:right="1580"/>
        </w:sectPr>
      </w:pPr>
    </w:p>
    <w:p>
      <w:pPr>
        <w:pStyle w:val="BodyText"/>
        <w:rPr>
          <w:sz w:val="20"/>
        </w:rPr>
      </w:pPr>
    </w:p>
    <w:p>
      <w:pPr>
        <w:pStyle w:val="BodyText"/>
        <w:rPr>
          <w:sz w:val="20"/>
        </w:rPr>
      </w:pPr>
    </w:p>
    <w:p>
      <w:pPr>
        <w:pStyle w:val="BodyText"/>
        <w:spacing w:before="4"/>
        <w:rPr>
          <w:sz w:val="22"/>
        </w:rPr>
      </w:pPr>
    </w:p>
    <w:p>
      <w:pPr>
        <w:tabs>
          <w:tab w:pos="821" w:val="left" w:leader="none"/>
          <w:tab w:pos="1601" w:val="left" w:leader="none"/>
          <w:tab w:pos="2382" w:val="left" w:leader="none"/>
        </w:tabs>
        <w:spacing w:line="276" w:lineRule="auto" w:before="0"/>
        <w:ind w:left="102" w:right="116" w:firstLine="0"/>
        <w:jc w:val="both"/>
        <w:rPr>
          <w:sz w:val="24"/>
        </w:rPr>
      </w:pPr>
      <w:r>
        <w:rPr>
          <w:sz w:val="24"/>
          <w:u w:val="single"/>
        </w:rPr>
        <w:t> </w:t>
        <w:tab/>
      </w:r>
      <w:r>
        <w:rPr>
          <w:sz w:val="24"/>
        </w:rPr>
        <w:t>.</w:t>
      </w:r>
      <w:r>
        <w:rPr>
          <w:sz w:val="24"/>
          <w:u w:val="single"/>
        </w:rPr>
        <w:t> </w:t>
        <w:tab/>
      </w:r>
      <w:r>
        <w:rPr>
          <w:sz w:val="24"/>
        </w:rPr>
        <w:t>.</w:t>
      </w:r>
      <w:r>
        <w:rPr>
          <w:sz w:val="24"/>
          <w:u w:val="single"/>
        </w:rPr>
        <w:t> </w:t>
        <w:tab/>
      </w:r>
      <w:r>
        <w:rPr>
          <w:sz w:val="24"/>
        </w:rPr>
        <w:t>. </w:t>
      </w:r>
      <w:r>
        <w:rPr>
          <w:b/>
          <w:sz w:val="24"/>
        </w:rPr>
        <w:t>Cadernos Planejando a Próxima Década </w:t>
      </w:r>
      <w:r>
        <w:rPr>
          <w:sz w:val="24"/>
        </w:rPr>
        <w:t>– </w:t>
      </w:r>
      <w:r>
        <w:rPr>
          <w:spacing w:val="40"/>
          <w:sz w:val="24"/>
        </w:rPr>
        <w:t> </w:t>
      </w:r>
      <w:r>
        <w:rPr>
          <w:sz w:val="24"/>
        </w:rPr>
        <w:t>Plano</w:t>
      </w:r>
      <w:r>
        <w:rPr>
          <w:spacing w:val="12"/>
          <w:sz w:val="24"/>
        </w:rPr>
        <w:t> </w:t>
      </w:r>
      <w:r>
        <w:rPr>
          <w:sz w:val="24"/>
        </w:rPr>
        <w:t>Municipal de Educação: caderno de orientações. MEC/SASE, Brasília, DF, 2014f. Disponível em pne.mec.gov.br. Acesso em</w:t>
      </w:r>
      <w:r>
        <w:rPr>
          <w:spacing w:val="-6"/>
          <w:sz w:val="24"/>
        </w:rPr>
        <w:t> </w:t>
      </w:r>
      <w:r>
        <w:rPr>
          <w:sz w:val="24"/>
        </w:rPr>
        <w:t>23/09/2015</w:t>
      </w:r>
    </w:p>
    <w:p>
      <w:pPr>
        <w:pStyle w:val="BodyText"/>
        <w:rPr>
          <w:sz w:val="28"/>
        </w:rPr>
      </w:pPr>
    </w:p>
    <w:p>
      <w:pPr>
        <w:pStyle w:val="Heading1"/>
        <w:jc w:val="both"/>
      </w:pPr>
      <w:bookmarkStart w:name="_TOC_250001" w:id="16"/>
      <w:bookmarkEnd w:id="16"/>
      <w:r>
        <w:rPr/>
        <w:t>Documentos no Estado do Tocantins</w:t>
      </w:r>
    </w:p>
    <w:p>
      <w:pPr>
        <w:pStyle w:val="BodyText"/>
        <w:spacing w:before="1"/>
        <w:rPr>
          <w:b/>
          <w:sz w:val="27"/>
        </w:rPr>
      </w:pPr>
    </w:p>
    <w:p>
      <w:pPr>
        <w:spacing w:before="0"/>
        <w:ind w:left="102" w:right="120" w:firstLine="0"/>
        <w:jc w:val="both"/>
        <w:rPr>
          <w:sz w:val="24"/>
        </w:rPr>
      </w:pPr>
      <w:r>
        <w:rPr>
          <w:sz w:val="24"/>
        </w:rPr>
        <w:t>TOCANTINS. Secretaria Estadual de educação. </w:t>
      </w:r>
      <w:r>
        <w:rPr>
          <w:b/>
          <w:sz w:val="24"/>
        </w:rPr>
        <w:t>Ofício nº 2.143/2014, </w:t>
      </w:r>
      <w:r>
        <w:rPr>
          <w:sz w:val="24"/>
        </w:rPr>
        <w:t>de 14 de maio de 2014, 2014. Mimeo.</w:t>
      </w:r>
    </w:p>
    <w:p>
      <w:pPr>
        <w:pStyle w:val="BodyText"/>
        <w:spacing w:before="2"/>
        <w:rPr>
          <w:sz w:val="16"/>
        </w:rPr>
      </w:pPr>
    </w:p>
    <w:p>
      <w:pPr>
        <w:pStyle w:val="BodyText"/>
        <w:tabs>
          <w:tab w:pos="821" w:val="left" w:leader="none"/>
          <w:tab w:pos="1601" w:val="left" w:leader="none"/>
        </w:tabs>
        <w:spacing w:before="90"/>
        <w:ind w:left="102" w:right="119"/>
        <w:jc w:val="both"/>
      </w:pPr>
      <w:r>
        <w:rPr>
          <w:u w:val="single"/>
        </w:rPr>
        <w:t> </w:t>
        <w:tab/>
      </w:r>
      <w:r>
        <w:rPr/>
        <w:t>.</w:t>
      </w:r>
      <w:r>
        <w:rPr>
          <w:u w:val="single"/>
        </w:rPr>
        <w:t> </w:t>
        <w:tab/>
      </w:r>
      <w:r>
        <w:rPr/>
        <w:t>. Undime – Seccional Tocantins. Projeto de apoio para   </w:t>
      </w:r>
      <w:r>
        <w:rPr>
          <w:spacing w:val="5"/>
        </w:rPr>
        <w:t> </w:t>
      </w:r>
      <w:r>
        <w:rPr/>
        <w:t>adequação</w:t>
      </w:r>
      <w:r>
        <w:rPr>
          <w:spacing w:val="20"/>
        </w:rPr>
        <w:t> </w:t>
      </w:r>
      <w:r>
        <w:rPr/>
        <w:t>e/ou</w:t>
      </w:r>
      <w:r>
        <w:rPr>
          <w:w w:val="99"/>
        </w:rPr>
        <w:t> </w:t>
      </w:r>
      <w:r>
        <w:rPr/>
        <w:t>elaboração dos Planos de Educação Estadual e Municipais no Tocantins </w:t>
      </w:r>
      <w:r>
        <w:rPr>
          <w:b/>
        </w:rPr>
        <w:t>(Projeto Piloto)</w:t>
      </w:r>
      <w:r>
        <w:rPr/>
        <w:t>, 2013.</w:t>
      </w:r>
      <w:r>
        <w:rPr>
          <w:spacing w:val="-6"/>
        </w:rPr>
        <w:t> </w:t>
      </w:r>
      <w:r>
        <w:rPr/>
        <w:t>Mimeo.</w:t>
      </w:r>
    </w:p>
    <w:p>
      <w:pPr>
        <w:pStyle w:val="BodyText"/>
        <w:spacing w:before="2"/>
        <w:rPr>
          <w:sz w:val="16"/>
        </w:rPr>
      </w:pPr>
    </w:p>
    <w:p>
      <w:pPr>
        <w:pStyle w:val="Heading1"/>
        <w:tabs>
          <w:tab w:pos="821" w:val="left" w:leader="none"/>
          <w:tab w:pos="1601" w:val="left" w:leader="none"/>
          <w:tab w:pos="2382" w:val="left" w:leader="none"/>
        </w:tabs>
        <w:spacing w:before="90"/>
        <w:ind w:right="122"/>
        <w:rPr>
          <w:b w:val="0"/>
        </w:rPr>
      </w:pPr>
      <w:r>
        <w:rPr>
          <w:b w:val="0"/>
          <w:u w:val="single"/>
        </w:rPr>
        <w:t> </w:t>
        <w:tab/>
      </w:r>
      <w:r>
        <w:rPr>
          <w:b w:val="0"/>
        </w:rPr>
        <w:t>.</w:t>
      </w:r>
      <w:r>
        <w:rPr>
          <w:b w:val="0"/>
          <w:u w:val="single"/>
        </w:rPr>
        <w:t> </w:t>
        <w:tab/>
      </w:r>
      <w:r>
        <w:rPr>
          <w:b w:val="0"/>
        </w:rPr>
        <w:t>.</w:t>
      </w:r>
      <w:r>
        <w:rPr>
          <w:b w:val="0"/>
          <w:u w:val="single"/>
        </w:rPr>
        <w:t> </w:t>
        <w:tab/>
      </w:r>
      <w:r>
        <w:rPr>
          <w:b w:val="0"/>
        </w:rPr>
        <w:t>.  </w:t>
      </w:r>
      <w:r>
        <w:rPr/>
        <w:t>Projeto  de  apoio  para  adequação  e/ou   </w:t>
      </w:r>
      <w:r>
        <w:rPr>
          <w:spacing w:val="21"/>
        </w:rPr>
        <w:t> </w:t>
      </w:r>
      <w:r>
        <w:rPr/>
        <w:t>elaboração </w:t>
      </w:r>
      <w:r>
        <w:rPr>
          <w:spacing w:val="20"/>
        </w:rPr>
        <w:t> </w:t>
      </w:r>
      <w:r>
        <w:rPr/>
        <w:t>dos</w:t>
      </w:r>
      <w:r>
        <w:rPr>
          <w:w w:val="99"/>
        </w:rPr>
        <w:t> </w:t>
      </w:r>
      <w:r>
        <w:rPr/>
        <w:t>Planos de Educação Estadual e Municipais no Tocantins</w:t>
      </w:r>
      <w:r>
        <w:rPr>
          <w:b w:val="0"/>
        </w:rPr>
        <w:t>, 2014a.</w:t>
      </w:r>
      <w:r>
        <w:rPr>
          <w:b w:val="0"/>
          <w:spacing w:val="-10"/>
        </w:rPr>
        <w:t> </w:t>
      </w:r>
      <w:r>
        <w:rPr>
          <w:b w:val="0"/>
        </w:rPr>
        <w:t>Mimeo.</w:t>
      </w:r>
    </w:p>
    <w:p>
      <w:pPr>
        <w:pStyle w:val="BodyText"/>
        <w:spacing w:before="10"/>
        <w:rPr>
          <w:sz w:val="15"/>
        </w:rPr>
      </w:pPr>
    </w:p>
    <w:p>
      <w:pPr>
        <w:tabs>
          <w:tab w:pos="821" w:val="left" w:leader="none"/>
          <w:tab w:pos="1601" w:val="left" w:leader="none"/>
          <w:tab w:pos="2382" w:val="left" w:leader="none"/>
        </w:tabs>
        <w:spacing w:before="90"/>
        <w:ind w:left="102" w:right="120" w:firstLine="0"/>
        <w:jc w:val="left"/>
        <w:rPr>
          <w:sz w:val="24"/>
        </w:rPr>
      </w:pPr>
      <w:r>
        <w:rPr>
          <w:sz w:val="24"/>
          <w:u w:val="single"/>
        </w:rPr>
        <w:t> </w:t>
        <w:tab/>
      </w:r>
      <w:r>
        <w:rPr>
          <w:sz w:val="24"/>
        </w:rPr>
        <w:t>.</w:t>
      </w:r>
      <w:r>
        <w:rPr>
          <w:sz w:val="24"/>
          <w:u w:val="single"/>
        </w:rPr>
        <w:t> </w:t>
        <w:tab/>
      </w:r>
      <w:r>
        <w:rPr>
          <w:sz w:val="24"/>
        </w:rPr>
        <w:t>.</w:t>
      </w:r>
      <w:r>
        <w:rPr>
          <w:sz w:val="24"/>
          <w:u w:val="single"/>
        </w:rPr>
        <w:t> </w:t>
        <w:tab/>
      </w:r>
      <w:r>
        <w:rPr>
          <w:sz w:val="24"/>
        </w:rPr>
        <w:t>.   </w:t>
      </w:r>
      <w:r>
        <w:rPr>
          <w:b/>
          <w:sz w:val="24"/>
        </w:rPr>
        <w:t>Orientações   e   Cronograma:   </w:t>
      </w:r>
      <w:r>
        <w:rPr>
          <w:sz w:val="24"/>
        </w:rPr>
        <w:t>DME,   Equipe  </w:t>
      </w:r>
      <w:r>
        <w:rPr>
          <w:spacing w:val="16"/>
          <w:sz w:val="24"/>
        </w:rPr>
        <w:t> </w:t>
      </w:r>
      <w:r>
        <w:rPr>
          <w:sz w:val="24"/>
        </w:rPr>
        <w:t>Técnica  </w:t>
      </w:r>
      <w:r>
        <w:rPr>
          <w:spacing w:val="1"/>
          <w:sz w:val="24"/>
        </w:rPr>
        <w:t> </w:t>
      </w:r>
      <w:r>
        <w:rPr>
          <w:sz w:val="24"/>
        </w:rPr>
        <w:t>e Comissão Municipal Representativa da Sociedade, 2014b.</w:t>
      </w:r>
      <w:r>
        <w:rPr>
          <w:spacing w:val="-5"/>
          <w:sz w:val="24"/>
        </w:rPr>
        <w:t> </w:t>
      </w:r>
      <w:r>
        <w:rPr>
          <w:sz w:val="24"/>
        </w:rPr>
        <w:t>Mimeo.</w:t>
      </w:r>
    </w:p>
    <w:p>
      <w:pPr>
        <w:pStyle w:val="BodyText"/>
        <w:spacing w:before="1"/>
        <w:rPr>
          <w:sz w:val="16"/>
        </w:rPr>
      </w:pPr>
    </w:p>
    <w:p>
      <w:pPr>
        <w:tabs>
          <w:tab w:pos="821" w:val="left" w:leader="none"/>
          <w:tab w:pos="1601" w:val="left" w:leader="none"/>
          <w:tab w:pos="2382" w:val="left" w:leader="none"/>
        </w:tabs>
        <w:spacing w:before="90"/>
        <w:ind w:left="102" w:right="123" w:firstLine="0"/>
        <w:jc w:val="left"/>
        <w:rPr>
          <w:sz w:val="24"/>
        </w:rPr>
      </w:pPr>
      <w:r>
        <w:rPr>
          <w:sz w:val="24"/>
          <w:u w:val="single"/>
        </w:rPr>
        <w:t> </w:t>
        <w:tab/>
      </w:r>
      <w:r>
        <w:rPr>
          <w:sz w:val="24"/>
        </w:rPr>
        <w:t>.</w:t>
      </w:r>
      <w:r>
        <w:rPr>
          <w:sz w:val="24"/>
          <w:u w:val="single"/>
        </w:rPr>
        <w:t> </w:t>
        <w:tab/>
      </w:r>
      <w:r>
        <w:rPr>
          <w:sz w:val="24"/>
        </w:rPr>
        <w:t>.</w:t>
      </w:r>
      <w:r>
        <w:rPr>
          <w:sz w:val="24"/>
          <w:u w:val="single"/>
        </w:rPr>
        <w:t> </w:t>
        <w:tab/>
      </w:r>
      <w:r>
        <w:rPr>
          <w:sz w:val="24"/>
        </w:rPr>
        <w:t>.  </w:t>
      </w:r>
      <w:r>
        <w:rPr>
          <w:b/>
          <w:sz w:val="24"/>
        </w:rPr>
        <w:t>Relação  de  Municípios  participantes  das</w:t>
      </w:r>
      <w:r>
        <w:rPr>
          <w:b/>
          <w:spacing w:val="58"/>
          <w:sz w:val="24"/>
        </w:rPr>
        <w:t> </w:t>
      </w:r>
      <w:r>
        <w:rPr>
          <w:b/>
          <w:sz w:val="24"/>
        </w:rPr>
        <w:t>formações  por Polo</w:t>
      </w:r>
      <w:r>
        <w:rPr>
          <w:sz w:val="24"/>
        </w:rPr>
        <w:t>, 2014c.</w:t>
      </w:r>
      <w:r>
        <w:rPr>
          <w:spacing w:val="-5"/>
          <w:sz w:val="24"/>
        </w:rPr>
        <w:t> </w:t>
      </w:r>
      <w:r>
        <w:rPr>
          <w:sz w:val="24"/>
        </w:rPr>
        <w:t>Mimeo.</w:t>
      </w:r>
    </w:p>
    <w:p>
      <w:pPr>
        <w:pStyle w:val="BodyText"/>
        <w:spacing w:before="10"/>
        <w:rPr>
          <w:sz w:val="23"/>
        </w:rPr>
      </w:pPr>
    </w:p>
    <w:p>
      <w:pPr>
        <w:spacing w:before="1"/>
        <w:ind w:left="102" w:right="0" w:firstLine="0"/>
        <w:jc w:val="left"/>
        <w:rPr>
          <w:sz w:val="24"/>
        </w:rPr>
      </w:pPr>
      <w:r>
        <w:rPr>
          <w:sz w:val="24"/>
        </w:rPr>
        <w:t>UNDIME-TO. </w:t>
      </w:r>
      <w:r>
        <w:rPr>
          <w:b/>
          <w:sz w:val="24"/>
        </w:rPr>
        <w:t>Ofício nº 105/2013</w:t>
      </w:r>
      <w:r>
        <w:rPr>
          <w:sz w:val="24"/>
        </w:rPr>
        <w:t>, de 28 de agosto de 2013, 2013. Mimeo.</w:t>
      </w:r>
    </w:p>
    <w:p>
      <w:pPr>
        <w:pStyle w:val="BodyText"/>
        <w:spacing w:before="2"/>
        <w:rPr>
          <w:sz w:val="16"/>
        </w:rPr>
      </w:pPr>
    </w:p>
    <w:p>
      <w:pPr>
        <w:tabs>
          <w:tab w:pos="821" w:val="left" w:leader="none"/>
        </w:tabs>
        <w:spacing w:before="90"/>
        <w:ind w:left="102" w:right="0" w:firstLine="0"/>
        <w:jc w:val="left"/>
        <w:rPr>
          <w:sz w:val="24"/>
        </w:rPr>
      </w:pPr>
      <w:r>
        <w:rPr>
          <w:sz w:val="24"/>
          <w:u w:val="single"/>
        </w:rPr>
        <w:t> </w:t>
        <w:tab/>
      </w:r>
      <w:r>
        <w:rPr>
          <w:sz w:val="24"/>
        </w:rPr>
        <w:t>. </w:t>
      </w:r>
      <w:r>
        <w:rPr>
          <w:b/>
          <w:sz w:val="24"/>
        </w:rPr>
        <w:t>Ofício nº 087/2014, </w:t>
      </w:r>
      <w:r>
        <w:rPr>
          <w:sz w:val="24"/>
        </w:rPr>
        <w:t>de 29 de abril de 2014, 2014a.</w:t>
      </w:r>
      <w:r>
        <w:rPr>
          <w:spacing w:val="-5"/>
          <w:sz w:val="24"/>
        </w:rPr>
        <w:t> </w:t>
      </w:r>
      <w:r>
        <w:rPr>
          <w:sz w:val="24"/>
        </w:rPr>
        <w:t>Mimeo.</w:t>
      </w:r>
    </w:p>
    <w:p>
      <w:pPr>
        <w:pStyle w:val="BodyText"/>
        <w:spacing w:before="2"/>
        <w:rPr>
          <w:sz w:val="16"/>
        </w:rPr>
      </w:pPr>
    </w:p>
    <w:p>
      <w:pPr>
        <w:tabs>
          <w:tab w:pos="821" w:val="left" w:leader="none"/>
        </w:tabs>
        <w:spacing w:before="90"/>
        <w:ind w:left="102" w:right="0" w:firstLine="0"/>
        <w:jc w:val="left"/>
        <w:rPr>
          <w:sz w:val="24"/>
        </w:rPr>
      </w:pPr>
      <w:r>
        <w:rPr>
          <w:sz w:val="24"/>
          <w:u w:val="single"/>
        </w:rPr>
        <w:t> </w:t>
        <w:tab/>
      </w:r>
      <w:r>
        <w:rPr>
          <w:sz w:val="24"/>
        </w:rPr>
        <w:t>. </w:t>
      </w:r>
      <w:r>
        <w:rPr>
          <w:b/>
          <w:sz w:val="24"/>
        </w:rPr>
        <w:t>Ofício nº 136/2014</w:t>
      </w:r>
      <w:r>
        <w:rPr>
          <w:sz w:val="24"/>
        </w:rPr>
        <w:t>, de 07 de agosto de 2014, 2014b.</w:t>
      </w:r>
      <w:r>
        <w:rPr>
          <w:spacing w:val="-4"/>
          <w:sz w:val="24"/>
        </w:rPr>
        <w:t> </w:t>
      </w:r>
      <w:r>
        <w:rPr>
          <w:sz w:val="24"/>
        </w:rPr>
        <w:t>Mimeo.</w:t>
      </w:r>
    </w:p>
    <w:p>
      <w:pPr>
        <w:pStyle w:val="BodyText"/>
        <w:spacing w:before="2"/>
        <w:rPr>
          <w:sz w:val="16"/>
        </w:rPr>
      </w:pPr>
    </w:p>
    <w:p>
      <w:pPr>
        <w:tabs>
          <w:tab w:pos="821" w:val="left" w:leader="none"/>
        </w:tabs>
        <w:spacing w:before="90"/>
        <w:ind w:left="102" w:right="118" w:firstLine="0"/>
        <w:jc w:val="left"/>
        <w:rPr>
          <w:sz w:val="24"/>
        </w:rPr>
      </w:pPr>
      <w:r>
        <w:rPr>
          <w:sz w:val="24"/>
          <w:u w:val="single"/>
        </w:rPr>
        <w:t> </w:t>
        <w:tab/>
      </w:r>
      <w:r>
        <w:rPr>
          <w:sz w:val="24"/>
        </w:rPr>
        <w:t>.  </w:t>
      </w:r>
      <w:r>
        <w:rPr>
          <w:b/>
          <w:sz w:val="24"/>
        </w:rPr>
        <w:t>Pauta das  Formações  </w:t>
      </w:r>
      <w:r>
        <w:rPr>
          <w:sz w:val="24"/>
        </w:rPr>
        <w:t>que  aconteceram em outubro  e novembro do </w:t>
      </w:r>
      <w:r>
        <w:rPr>
          <w:spacing w:val="38"/>
          <w:sz w:val="24"/>
        </w:rPr>
        <w:t> </w:t>
      </w:r>
      <w:r>
        <w:rPr>
          <w:sz w:val="24"/>
        </w:rPr>
        <w:t>ano</w:t>
      </w:r>
      <w:r>
        <w:rPr>
          <w:spacing w:val="34"/>
          <w:sz w:val="24"/>
        </w:rPr>
        <w:t> </w:t>
      </w:r>
      <w:r>
        <w:rPr>
          <w:sz w:val="24"/>
        </w:rPr>
        <w:t>de 2014, 2014c.</w:t>
      </w:r>
      <w:r>
        <w:rPr>
          <w:spacing w:val="-2"/>
          <w:sz w:val="24"/>
        </w:rPr>
        <w:t> </w:t>
      </w:r>
      <w:r>
        <w:rPr>
          <w:sz w:val="24"/>
        </w:rPr>
        <w:t>Mimeo.</w:t>
      </w:r>
    </w:p>
    <w:p>
      <w:pPr>
        <w:pStyle w:val="BodyText"/>
        <w:spacing w:before="1"/>
        <w:rPr>
          <w:sz w:val="16"/>
        </w:rPr>
      </w:pPr>
    </w:p>
    <w:p>
      <w:pPr>
        <w:tabs>
          <w:tab w:pos="821" w:val="left" w:leader="none"/>
        </w:tabs>
        <w:spacing w:before="90"/>
        <w:ind w:left="102" w:right="122" w:firstLine="0"/>
        <w:jc w:val="left"/>
        <w:rPr>
          <w:sz w:val="24"/>
        </w:rPr>
      </w:pPr>
      <w:r>
        <w:rPr>
          <w:sz w:val="24"/>
          <w:u w:val="single"/>
        </w:rPr>
        <w:t> </w:t>
        <w:tab/>
      </w:r>
      <w:r>
        <w:rPr>
          <w:sz w:val="24"/>
        </w:rPr>
        <w:t>. </w:t>
      </w:r>
      <w:r>
        <w:rPr>
          <w:b/>
          <w:sz w:val="24"/>
        </w:rPr>
        <w:t>Pauta das formações </w:t>
      </w:r>
      <w:r>
        <w:rPr>
          <w:sz w:val="24"/>
        </w:rPr>
        <w:t>que aconteceram entre fevereiro, março e abril </w:t>
      </w:r>
      <w:r>
        <w:rPr>
          <w:spacing w:val="42"/>
          <w:sz w:val="24"/>
        </w:rPr>
        <w:t> </w:t>
      </w:r>
      <w:r>
        <w:rPr>
          <w:sz w:val="24"/>
        </w:rPr>
        <w:t>de</w:t>
      </w:r>
      <w:r>
        <w:rPr>
          <w:spacing w:val="7"/>
          <w:sz w:val="24"/>
        </w:rPr>
        <w:t> </w:t>
      </w:r>
      <w:r>
        <w:rPr>
          <w:sz w:val="24"/>
        </w:rPr>
        <w:t>2015, 2015a.</w:t>
      </w:r>
      <w:r>
        <w:rPr>
          <w:spacing w:val="-2"/>
          <w:sz w:val="24"/>
        </w:rPr>
        <w:t> </w:t>
      </w:r>
      <w:r>
        <w:rPr>
          <w:sz w:val="24"/>
        </w:rPr>
        <w:t>Mimeo.</w:t>
      </w:r>
    </w:p>
    <w:p>
      <w:pPr>
        <w:pStyle w:val="BodyText"/>
        <w:spacing w:before="1"/>
        <w:rPr>
          <w:sz w:val="16"/>
        </w:rPr>
      </w:pPr>
    </w:p>
    <w:p>
      <w:pPr>
        <w:tabs>
          <w:tab w:pos="821" w:val="left" w:leader="none"/>
        </w:tabs>
        <w:spacing w:before="90"/>
        <w:ind w:left="102" w:right="0" w:firstLine="0"/>
        <w:jc w:val="left"/>
        <w:rPr>
          <w:sz w:val="24"/>
        </w:rPr>
      </w:pPr>
      <w:r>
        <w:rPr>
          <w:sz w:val="24"/>
          <w:u w:val="single"/>
        </w:rPr>
        <w:t> </w:t>
        <w:tab/>
      </w:r>
      <w:r>
        <w:rPr>
          <w:sz w:val="24"/>
        </w:rPr>
        <w:t>. </w:t>
      </w:r>
      <w:r>
        <w:rPr>
          <w:b/>
          <w:sz w:val="24"/>
        </w:rPr>
        <w:t>Minuta de Lei do PME</w:t>
      </w:r>
      <w:r>
        <w:rPr>
          <w:sz w:val="24"/>
        </w:rPr>
        <w:t>, 2015b.</w:t>
      </w:r>
      <w:r>
        <w:rPr>
          <w:spacing w:val="-4"/>
          <w:sz w:val="24"/>
        </w:rPr>
        <w:t> </w:t>
      </w:r>
      <w:r>
        <w:rPr>
          <w:sz w:val="24"/>
        </w:rPr>
        <w:t>Mimeo.</w:t>
      </w:r>
    </w:p>
    <w:p>
      <w:pPr>
        <w:pStyle w:val="BodyText"/>
        <w:rPr>
          <w:sz w:val="26"/>
        </w:rPr>
      </w:pPr>
    </w:p>
    <w:p>
      <w:pPr>
        <w:pStyle w:val="BodyText"/>
        <w:spacing w:before="4"/>
        <w:rPr>
          <w:sz w:val="22"/>
        </w:rPr>
      </w:pPr>
    </w:p>
    <w:p>
      <w:pPr>
        <w:pStyle w:val="Heading1"/>
      </w:pPr>
      <w:bookmarkStart w:name="_TOC_250000" w:id="17"/>
      <w:bookmarkEnd w:id="17"/>
      <w:r>
        <w:rPr/>
        <w:t>Documentos nos Municípios do Tocantins</w:t>
      </w:r>
    </w:p>
    <w:p>
      <w:pPr>
        <w:pStyle w:val="BodyText"/>
        <w:spacing w:before="6"/>
        <w:rPr>
          <w:b/>
          <w:sz w:val="23"/>
        </w:rPr>
      </w:pPr>
    </w:p>
    <w:p>
      <w:pPr>
        <w:pStyle w:val="BodyText"/>
        <w:ind w:left="102" w:right="295"/>
      </w:pPr>
      <w:r>
        <w:rPr/>
        <w:t>ABREULÂNDIA. Câmara Municipal de Vereadores. </w:t>
      </w:r>
      <w:r>
        <w:rPr>
          <w:b/>
        </w:rPr>
        <w:t>Plano Municipal de Educação</w:t>
      </w:r>
      <w:r>
        <w:rPr/>
        <w:t>. Abreulândia, 2015. Disponível e</w:t>
      </w:r>
      <w:hyperlink r:id="rId137">
        <w:r>
          <w:rPr/>
          <w:t>m http://pne.mec.gov.br/alinhando-os-planos-de-</w:t>
        </w:r>
      </w:hyperlink>
      <w:r>
        <w:rPr/>
        <w:t> educacao/situacao-dos-planos-de-educacao</w:t>
      </w:r>
    </w:p>
    <w:p>
      <w:pPr>
        <w:pStyle w:val="BodyText"/>
        <w:spacing w:before="11"/>
        <w:rPr>
          <w:sz w:val="23"/>
        </w:rPr>
      </w:pPr>
    </w:p>
    <w:p>
      <w:pPr>
        <w:pStyle w:val="BodyText"/>
        <w:ind w:left="102" w:right="116"/>
        <w:jc w:val="both"/>
      </w:pPr>
      <w:r>
        <w:rPr/>
        <w:t>AGUIARNÓPOLIS. Câmara Municipal de Vereadores. </w:t>
      </w:r>
      <w:r>
        <w:rPr>
          <w:b/>
        </w:rPr>
        <w:t>Plano Municipal de Educação</w:t>
      </w:r>
      <w:r>
        <w:rPr/>
        <w:t>. Aguiarnópolis, 2015. Disponível em </w:t>
      </w:r>
      <w:hyperlink r:id="rId138">
        <w:r>
          <w:rPr/>
          <w:t>http://pne.mec.gov.br/alinhando-os-</w:t>
        </w:r>
      </w:hyperlink>
      <w:r>
        <w:rPr/>
        <w:t> planos-de-educacao/situacao-dos-planos-de-educacao</w:t>
      </w:r>
    </w:p>
    <w:p>
      <w:pPr>
        <w:spacing w:after="0"/>
        <w:jc w:val="both"/>
        <w:sectPr>
          <w:pgSz w:w="11910" w:h="16840"/>
          <w:pgMar w:header="749" w:footer="0" w:top="960" w:bottom="280" w:left="1600" w:right="1580"/>
        </w:sectPr>
      </w:pPr>
    </w:p>
    <w:p>
      <w:pPr>
        <w:pStyle w:val="BodyText"/>
        <w:rPr>
          <w:sz w:val="20"/>
        </w:rPr>
      </w:pPr>
    </w:p>
    <w:p>
      <w:pPr>
        <w:pStyle w:val="BodyText"/>
        <w:tabs>
          <w:tab w:pos="1757" w:val="left" w:leader="none"/>
          <w:tab w:pos="3096" w:val="left" w:leader="none"/>
          <w:tab w:pos="3931" w:val="left" w:leader="none"/>
          <w:tab w:pos="5531" w:val="left" w:leader="none"/>
          <w:tab w:pos="6669" w:val="left" w:leader="none"/>
          <w:tab w:pos="8315" w:val="left" w:leader="none"/>
        </w:tabs>
        <w:spacing w:before="208"/>
        <w:ind w:left="102" w:right="116"/>
      </w:pPr>
      <w:r>
        <w:rPr/>
        <w:t>ALIANÇA DO TOCANTINS. Câmara Municipal de Vereadores. </w:t>
      </w:r>
      <w:r>
        <w:rPr>
          <w:b/>
        </w:rPr>
        <w:t>Plano Municipal de Educação</w:t>
      </w:r>
      <w:r>
        <w:rPr/>
        <w:t>.</w:t>
        <w:tab/>
        <w:t>Aliança</w:t>
        <w:tab/>
        <w:t>do</w:t>
        <w:tab/>
        <w:t>Tocantins,</w:t>
        <w:tab/>
        <w:t>2015.</w:t>
        <w:tab/>
        <w:t>Disponível</w:t>
        <w:tab/>
        <w:t>em </w:t>
      </w:r>
      <w:hyperlink r:id="rId139">
        <w:r>
          <w:rPr/>
          <w:t>http://pne.mec.gov.br/alinhando-os-planos-de-educacao/situacao-dos-planos-de-</w:t>
        </w:r>
      </w:hyperlink>
      <w:r>
        <w:rPr/>
        <w:t> educacao</w:t>
      </w:r>
    </w:p>
    <w:p>
      <w:pPr>
        <w:pStyle w:val="BodyText"/>
        <w:spacing w:before="11"/>
        <w:rPr>
          <w:sz w:val="23"/>
        </w:rPr>
      </w:pPr>
    </w:p>
    <w:p>
      <w:pPr>
        <w:pStyle w:val="BodyText"/>
        <w:ind w:left="102" w:right="116"/>
        <w:jc w:val="both"/>
      </w:pPr>
      <w:r>
        <w:rPr/>
        <w:t>ALMAS. Câmara Municipal de Vereadores. </w:t>
      </w:r>
      <w:r>
        <w:rPr>
          <w:b/>
        </w:rPr>
        <w:t>Plano Municipal de Educação</w:t>
      </w:r>
      <w:r>
        <w:rPr/>
        <w:t>. Almas, 2015. Disponível em </w:t>
      </w:r>
      <w:hyperlink r:id="rId140">
        <w:r>
          <w:rPr/>
          <w:t>http://pne.mec.gov.br/alinhando-os-planos-de-educacao/situacao-</w:t>
        </w:r>
      </w:hyperlink>
      <w:r>
        <w:rPr/>
        <w:t> dos-planos-de-educacao</w:t>
      </w:r>
    </w:p>
    <w:p>
      <w:pPr>
        <w:pStyle w:val="BodyText"/>
        <w:spacing w:before="11"/>
        <w:rPr>
          <w:sz w:val="23"/>
        </w:rPr>
      </w:pPr>
    </w:p>
    <w:p>
      <w:pPr>
        <w:pStyle w:val="BodyText"/>
        <w:ind w:left="102" w:right="117"/>
        <w:jc w:val="both"/>
      </w:pPr>
      <w:r>
        <w:rPr/>
        <w:t>ALVORADA. Câmara Municipal de Vereadores. </w:t>
      </w:r>
      <w:r>
        <w:rPr>
          <w:b/>
        </w:rPr>
        <w:t>Plano Municipal de Educação</w:t>
      </w:r>
      <w:r>
        <w:rPr/>
        <w:t>. Alvorada,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6"/>
        <w:jc w:val="both"/>
      </w:pPr>
      <w:r>
        <w:rPr/>
        <w:t>ANGICO. Câmara Municipal de Vereadores. </w:t>
      </w:r>
      <w:r>
        <w:rPr>
          <w:b/>
        </w:rPr>
        <w:t>Plano Municipal de Educação</w:t>
      </w:r>
      <w:r>
        <w:rPr/>
        <w:t>. Angico, 2015. Disponível em </w:t>
      </w:r>
      <w:hyperlink r:id="rId140">
        <w:r>
          <w:rPr/>
          <w:t>http://pne.mec.gov.br/alinhando-os-planos-de-educacao/situacao-</w:t>
        </w:r>
      </w:hyperlink>
      <w:r>
        <w:rPr/>
        <w:t> dos-planos-de-educacao</w:t>
      </w:r>
    </w:p>
    <w:p>
      <w:pPr>
        <w:pStyle w:val="BodyText"/>
        <w:spacing w:before="11"/>
        <w:rPr>
          <w:sz w:val="23"/>
        </w:rPr>
      </w:pPr>
    </w:p>
    <w:p>
      <w:pPr>
        <w:pStyle w:val="BodyText"/>
        <w:tabs>
          <w:tab w:pos="727" w:val="left" w:leader="none"/>
          <w:tab w:pos="2175" w:val="left" w:leader="none"/>
          <w:tab w:pos="3542" w:val="left" w:leader="none"/>
          <w:tab w:pos="4168" w:val="left" w:leader="none"/>
          <w:tab w:pos="4900" w:val="left" w:leader="none"/>
          <w:tab w:pos="5944" w:val="left" w:leader="none"/>
          <w:tab w:pos="6873" w:val="left" w:leader="none"/>
          <w:tab w:pos="8312" w:val="left" w:leader="none"/>
        </w:tabs>
        <w:ind w:left="102" w:right="117"/>
      </w:pPr>
      <w:r>
        <w:rPr/>
        <w:t>APARECIDA DO RIO NEGRO. Câmara Municipal de Vereadores. </w:t>
      </w:r>
      <w:r>
        <w:rPr>
          <w:b/>
        </w:rPr>
        <w:t>Plano Municipal de</w:t>
        <w:tab/>
        <w:t>Educação</w:t>
      </w:r>
      <w:r>
        <w:rPr/>
        <w:t>.</w:t>
        <w:tab/>
        <w:t>Aparecida</w:t>
        <w:tab/>
        <w:t>do</w:t>
        <w:tab/>
        <w:t>Rio</w:t>
        <w:tab/>
        <w:t>Negro,</w:t>
        <w:tab/>
        <w:t>2015.</w:t>
        <w:tab/>
        <w:t>Disponível</w:t>
        <w:tab/>
        <w:t>em </w:t>
      </w:r>
      <w:hyperlink r:id="rId139">
        <w:r>
          <w:rPr/>
          <w:t>http://pne.mec.gov.br/alinhando-os-planos-de-educacao/situacao-dos-planos-de-</w:t>
        </w:r>
      </w:hyperlink>
      <w:r>
        <w:rPr/>
        <w:t> educacao</w:t>
      </w:r>
    </w:p>
    <w:p>
      <w:pPr>
        <w:pStyle w:val="BodyText"/>
        <w:spacing w:before="11"/>
        <w:rPr>
          <w:sz w:val="23"/>
        </w:rPr>
      </w:pPr>
    </w:p>
    <w:p>
      <w:pPr>
        <w:pStyle w:val="BodyText"/>
        <w:ind w:left="102" w:right="116"/>
        <w:jc w:val="both"/>
      </w:pPr>
      <w:r>
        <w:rPr/>
        <w:t>ARAGOMINAS. Câmara Municipal de Vereadores. </w:t>
      </w:r>
      <w:r>
        <w:rPr>
          <w:b/>
        </w:rPr>
        <w:t>Plano Municipal de Educação</w:t>
      </w:r>
      <w:r>
        <w:rPr/>
        <w:t>. Aragominas,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5"/>
        <w:jc w:val="both"/>
      </w:pPr>
      <w:r>
        <w:rPr/>
        <w:t>ARAGUACEMA. Câmara Municipal de Vereadores. </w:t>
      </w:r>
      <w:r>
        <w:rPr>
          <w:b/>
        </w:rPr>
        <w:t>Plano Municipal de Educação</w:t>
      </w:r>
      <w:r>
        <w:rPr/>
        <w:t>. Araguacema, 2015. Disponível em </w:t>
      </w:r>
      <w:hyperlink r:id="rId137">
        <w:r>
          <w:rPr/>
          <w:t>http://pne.mec.gov.br/alinhando-os-planos-de-</w:t>
        </w:r>
      </w:hyperlink>
      <w:r>
        <w:rPr/>
        <w:t> educacao/situacao-dos-planos-de-educacao</w:t>
      </w:r>
    </w:p>
    <w:p>
      <w:pPr>
        <w:pStyle w:val="BodyText"/>
      </w:pPr>
    </w:p>
    <w:p>
      <w:pPr>
        <w:pStyle w:val="BodyText"/>
        <w:ind w:left="102" w:right="115"/>
        <w:jc w:val="both"/>
      </w:pPr>
      <w:r>
        <w:rPr/>
        <w:t>ARAGUAÇU. Câmara Municipal de Vereadores. </w:t>
      </w:r>
      <w:r>
        <w:rPr>
          <w:b/>
        </w:rPr>
        <w:t>Plano Municipal de Educação</w:t>
      </w:r>
      <w:r>
        <w:rPr/>
        <w:t>. Araguaçu,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5"/>
        <w:jc w:val="both"/>
      </w:pPr>
      <w:r>
        <w:rPr/>
        <w:t>ARAGUAÍNA. Câmara Municipal de Vereadores. </w:t>
      </w:r>
      <w:r>
        <w:rPr>
          <w:b/>
        </w:rPr>
        <w:t>Plano Municipal de Educação</w:t>
      </w:r>
      <w:r>
        <w:rPr/>
        <w:t>. Araguaína,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5"/>
        <w:jc w:val="both"/>
      </w:pPr>
      <w:r>
        <w:rPr/>
        <w:t>ARAGUATINS. Câmara Municipal de Vereadores. </w:t>
      </w:r>
      <w:r>
        <w:rPr>
          <w:b/>
        </w:rPr>
        <w:t>Plano Municipal de Educação</w:t>
      </w:r>
      <w:r>
        <w:rPr/>
        <w:t>. Araguatins, 2015. Disponível em </w:t>
      </w:r>
      <w:hyperlink r:id="rId137">
        <w:r>
          <w:rPr/>
          <w:t>http://pne.mec.gov.br/alinhando-os-planos-de-</w:t>
        </w:r>
      </w:hyperlink>
      <w:r>
        <w:rPr/>
        <w:t> educacao/situacao-dos-planos-de-educacao</w:t>
      </w:r>
    </w:p>
    <w:p>
      <w:pPr>
        <w:pStyle w:val="BodyText"/>
      </w:pPr>
    </w:p>
    <w:p>
      <w:pPr>
        <w:pStyle w:val="BodyText"/>
        <w:ind w:left="102" w:right="116"/>
        <w:jc w:val="both"/>
      </w:pPr>
      <w:r>
        <w:rPr/>
        <w:t>ARAPOEMA. Câmara Municipal de Vereadores. </w:t>
      </w:r>
      <w:r>
        <w:rPr>
          <w:b/>
        </w:rPr>
        <w:t>Plano Municipal de Educação</w:t>
      </w:r>
      <w:r>
        <w:rPr/>
        <w:t>. Arapoema,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6"/>
        <w:jc w:val="both"/>
      </w:pPr>
      <w:r>
        <w:rPr/>
        <w:t>ARRAIAS. Câmara Municipal de Vereadores. </w:t>
      </w:r>
      <w:r>
        <w:rPr>
          <w:b/>
        </w:rPr>
        <w:t>Plano Municipal de Educação</w:t>
      </w:r>
      <w:r>
        <w:rPr/>
        <w:t>. Arraias, 2015. Disponível em </w:t>
      </w:r>
      <w:hyperlink r:id="rId140">
        <w:r>
          <w:rPr/>
          <w:t>http://pne.mec.gov.br/alinhando-os-planos-de-educacao/situacao-</w:t>
        </w:r>
      </w:hyperlink>
      <w:r>
        <w:rPr/>
        <w:t> dos-planos-de-educacao</w:t>
      </w:r>
    </w:p>
    <w:p>
      <w:pPr>
        <w:spacing w:after="0"/>
        <w:jc w:val="both"/>
        <w:sectPr>
          <w:pgSz w:w="11910" w:h="16840"/>
          <w:pgMar w:header="749" w:footer="0" w:top="960" w:bottom="280" w:left="1600" w:right="1580"/>
        </w:sectPr>
      </w:pPr>
    </w:p>
    <w:p>
      <w:pPr>
        <w:pStyle w:val="BodyText"/>
        <w:rPr>
          <w:sz w:val="20"/>
        </w:rPr>
      </w:pPr>
    </w:p>
    <w:p>
      <w:pPr>
        <w:pStyle w:val="BodyText"/>
        <w:spacing w:before="208"/>
        <w:ind w:left="102" w:right="116"/>
        <w:jc w:val="both"/>
      </w:pPr>
      <w:r>
        <w:rPr/>
        <w:t>AUGUSTINÓPOLIS. Câmara Municipal de Vereadores. </w:t>
      </w:r>
      <w:r>
        <w:rPr>
          <w:b/>
        </w:rPr>
        <w:t>Plano Municipal de Educação</w:t>
      </w:r>
      <w:r>
        <w:rPr/>
        <w:t>. Augustinópolis, 2015. Disponível em </w:t>
      </w:r>
      <w:hyperlink r:id="rId138">
        <w:r>
          <w:rPr/>
          <w:t>http://pne.mec.gov.br/alinhando-os-</w:t>
        </w:r>
      </w:hyperlink>
      <w:r>
        <w:rPr/>
        <w:t> planos-de-educacao/situacao-dos-planos-de-educacao</w:t>
      </w:r>
    </w:p>
    <w:p>
      <w:pPr>
        <w:pStyle w:val="BodyText"/>
        <w:spacing w:before="11"/>
        <w:rPr>
          <w:sz w:val="23"/>
        </w:rPr>
      </w:pPr>
    </w:p>
    <w:p>
      <w:pPr>
        <w:pStyle w:val="BodyText"/>
        <w:ind w:left="102" w:right="116"/>
        <w:jc w:val="both"/>
      </w:pPr>
      <w:r>
        <w:rPr/>
        <w:t>AURORA. Câmara Municipal de Vereadores. </w:t>
      </w:r>
      <w:r>
        <w:rPr>
          <w:b/>
        </w:rPr>
        <w:t>Plano Municipal de Educação</w:t>
      </w:r>
      <w:r>
        <w:rPr/>
        <w:t>. Aurora, 2015. Disponível em </w:t>
      </w:r>
      <w:hyperlink r:id="rId140">
        <w:r>
          <w:rPr/>
          <w:t>http://pne.mec.gov.br/alinhando-os-planos-de-educacao/situacao-</w:t>
        </w:r>
      </w:hyperlink>
      <w:r>
        <w:rPr/>
        <w:t> dos-planos-de-educacao</w:t>
      </w:r>
    </w:p>
    <w:p>
      <w:pPr>
        <w:pStyle w:val="BodyText"/>
        <w:spacing w:before="11"/>
        <w:rPr>
          <w:sz w:val="23"/>
        </w:rPr>
      </w:pPr>
    </w:p>
    <w:p>
      <w:pPr>
        <w:pStyle w:val="BodyText"/>
        <w:ind w:left="102" w:right="115"/>
        <w:jc w:val="both"/>
      </w:pPr>
      <w:r>
        <w:rPr/>
        <w:t>AXIXÁ. Câmara Municipal de Vereadores. </w:t>
      </w:r>
      <w:r>
        <w:rPr>
          <w:b/>
        </w:rPr>
        <w:t>Plano Municipal de Educação</w:t>
      </w:r>
      <w:r>
        <w:rPr/>
        <w:t>. Axixá, 2015. Disponível em </w:t>
      </w:r>
      <w:hyperlink r:id="rId140">
        <w:r>
          <w:rPr/>
          <w:t>http://pne.mec.gov.br/alinhando-os-planos-de-educacao/situacao-</w:t>
        </w:r>
      </w:hyperlink>
      <w:r>
        <w:rPr/>
        <w:t> dos-planos-de-educacao</w:t>
      </w:r>
    </w:p>
    <w:p>
      <w:pPr>
        <w:pStyle w:val="BodyText"/>
        <w:spacing w:before="11"/>
        <w:rPr>
          <w:sz w:val="23"/>
        </w:rPr>
      </w:pPr>
    </w:p>
    <w:p>
      <w:pPr>
        <w:pStyle w:val="BodyText"/>
        <w:ind w:left="102" w:right="116"/>
        <w:jc w:val="both"/>
      </w:pPr>
      <w:r>
        <w:rPr/>
        <w:t>BABAÇULÂNDIA. Câmara Municipal de Vereadores. </w:t>
      </w:r>
      <w:r>
        <w:rPr>
          <w:b/>
        </w:rPr>
        <w:t>Plano Municipal  de Educação</w:t>
      </w:r>
      <w:r>
        <w:rPr/>
        <w:t>. Babaçulândia, 2015. Disponível em </w:t>
      </w:r>
      <w:hyperlink r:id="rId138">
        <w:r>
          <w:rPr/>
          <w:t>http://pne.mec.gov.br/alinhando-os-</w:t>
        </w:r>
      </w:hyperlink>
      <w:r>
        <w:rPr/>
        <w:t> planos-de-educacao/situacao-dos-planos-de-educacao</w:t>
      </w:r>
    </w:p>
    <w:p>
      <w:pPr>
        <w:pStyle w:val="BodyText"/>
      </w:pPr>
    </w:p>
    <w:p>
      <w:pPr>
        <w:pStyle w:val="BodyText"/>
        <w:tabs>
          <w:tab w:pos="1377" w:val="left" w:leader="none"/>
          <w:tab w:pos="1838" w:val="left" w:leader="none"/>
          <w:tab w:pos="3116" w:val="left" w:leader="none"/>
          <w:tab w:pos="4587" w:val="left" w:leader="none"/>
          <w:tab w:pos="5050" w:val="left" w:leader="none"/>
          <w:tab w:pos="6276" w:val="left" w:leader="none"/>
          <w:tab w:pos="7038" w:val="left" w:leader="none"/>
          <w:tab w:pos="8312" w:val="left" w:leader="none"/>
        </w:tabs>
        <w:ind w:left="102" w:right="115"/>
      </w:pPr>
      <w:r>
        <w:rPr/>
        <w:t>BANDEIRANTES DO TOCANTINS. Câmara Municipal de Vereadores. </w:t>
      </w:r>
      <w:r>
        <w:rPr>
          <w:b/>
        </w:rPr>
        <w:t>Plano Municipal</w:t>
        <w:tab/>
        <w:t>de</w:t>
        <w:tab/>
        <w:t>Educação</w:t>
      </w:r>
      <w:r>
        <w:rPr/>
        <w:t>.</w:t>
        <w:tab/>
        <w:t>Bandeirantes</w:t>
        <w:tab/>
        <w:t>do</w:t>
        <w:tab/>
        <w:t>Tocantins,</w:t>
        <w:tab/>
        <w:t>2015.</w:t>
        <w:tab/>
        <w:t>Disponível</w:t>
        <w:tab/>
        <w:t>em </w:t>
      </w:r>
      <w:hyperlink r:id="rId139">
        <w:r>
          <w:rPr/>
          <w:t>http://pne.mec.gov.br/alinhando-os-planos-de-educacao/situacao-dos-planos-de-</w:t>
        </w:r>
      </w:hyperlink>
      <w:r>
        <w:rPr/>
        <w:t> educacao</w:t>
      </w:r>
    </w:p>
    <w:p>
      <w:pPr>
        <w:pStyle w:val="BodyText"/>
        <w:spacing w:before="11"/>
        <w:rPr>
          <w:sz w:val="23"/>
        </w:rPr>
      </w:pPr>
    </w:p>
    <w:p>
      <w:pPr>
        <w:pStyle w:val="BodyText"/>
        <w:ind w:left="102" w:right="116"/>
        <w:jc w:val="both"/>
      </w:pPr>
      <w:r>
        <w:rPr/>
        <w:t>BERNARDO SAYÃO. Câmara Municipal de Vereadores. </w:t>
      </w:r>
      <w:r>
        <w:rPr>
          <w:b/>
        </w:rPr>
        <w:t>Plano Municipal de Educação</w:t>
      </w:r>
      <w:r>
        <w:rPr/>
        <w:t>. Bernardo Sayão, 2015. Disponível em </w:t>
      </w:r>
      <w:hyperlink r:id="rId138">
        <w:r>
          <w:rPr/>
          <w:t>http://pne.mec.gov.br/alinhando-os-</w:t>
        </w:r>
      </w:hyperlink>
      <w:r>
        <w:rPr/>
        <w:t> planos-de-educacao/situacao-dos-planos-de-educacao</w:t>
      </w:r>
    </w:p>
    <w:p>
      <w:pPr>
        <w:pStyle w:val="BodyText"/>
        <w:spacing w:before="11"/>
        <w:rPr>
          <w:sz w:val="23"/>
        </w:rPr>
      </w:pPr>
    </w:p>
    <w:p>
      <w:pPr>
        <w:pStyle w:val="BodyText"/>
        <w:tabs>
          <w:tab w:pos="727" w:val="left" w:leader="none"/>
          <w:tab w:pos="2175" w:val="left" w:leader="none"/>
          <w:tab w:pos="3029" w:val="left" w:leader="none"/>
          <w:tab w:pos="3923" w:val="left" w:leader="none"/>
          <w:tab w:pos="4550" w:val="left" w:leader="none"/>
          <w:tab w:pos="5941" w:val="left" w:leader="none"/>
          <w:tab w:pos="6870" w:val="left" w:leader="none"/>
          <w:tab w:pos="8312" w:val="left" w:leader="none"/>
        </w:tabs>
        <w:ind w:left="102" w:right="117"/>
      </w:pPr>
      <w:r>
        <w:rPr/>
        <w:t>BOM JESUS DO TOCANTINS. Câmara Municipal de Vereadores. </w:t>
      </w:r>
      <w:r>
        <w:rPr>
          <w:b/>
        </w:rPr>
        <w:t>Plano Municipal de</w:t>
        <w:tab/>
        <w:t>Educação</w:t>
      </w:r>
      <w:r>
        <w:rPr/>
        <w:t>.</w:t>
        <w:tab/>
        <w:t>Bom</w:t>
        <w:tab/>
        <w:t>Jesus</w:t>
        <w:tab/>
        <w:t>do</w:t>
        <w:tab/>
        <w:t>Tocantins,</w:t>
        <w:tab/>
        <w:t>2015.</w:t>
        <w:tab/>
        <w:t>Disponível</w:t>
        <w:tab/>
        <w:t>em </w:t>
      </w:r>
      <w:hyperlink r:id="rId139">
        <w:r>
          <w:rPr/>
          <w:t>http://pne.mec.gov.br/alinhando-os-planos-de-educacao/situacao-dos-planos-de-</w:t>
        </w:r>
      </w:hyperlink>
      <w:r>
        <w:rPr/>
        <w:t> educacao</w:t>
      </w:r>
    </w:p>
    <w:p>
      <w:pPr>
        <w:pStyle w:val="BodyText"/>
        <w:spacing w:before="11"/>
        <w:rPr>
          <w:sz w:val="23"/>
        </w:rPr>
      </w:pPr>
    </w:p>
    <w:p>
      <w:pPr>
        <w:pStyle w:val="BodyText"/>
        <w:ind w:left="102" w:right="116"/>
        <w:jc w:val="both"/>
      </w:pPr>
      <w:r>
        <w:rPr/>
        <w:t>BRASILÂNDIA. Câmara Municipal de Vereadores. </w:t>
      </w:r>
      <w:r>
        <w:rPr>
          <w:b/>
        </w:rPr>
        <w:t>Plano Municipal de Educação</w:t>
      </w:r>
      <w:r>
        <w:rPr/>
        <w:t>. Brasilândia,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6"/>
        <w:jc w:val="both"/>
      </w:pPr>
      <w:r>
        <w:rPr/>
        <w:t>BREJINHO DE NAZARÉ. Câmara Municipal de Vereadores. </w:t>
      </w:r>
      <w:r>
        <w:rPr>
          <w:b/>
        </w:rPr>
        <w:t>Plano Municipal de Educação</w:t>
      </w:r>
      <w:r>
        <w:rPr/>
        <w:t>. Brejinho de Nazaré, 2015. Disponível em </w:t>
      </w:r>
      <w:hyperlink r:id="rId141">
        <w:r>
          <w:rPr/>
          <w:t>http://pne.mec.gov.br/alinhando-</w:t>
        </w:r>
      </w:hyperlink>
      <w:r>
        <w:rPr/>
        <w:t> os-planos-de-educacao/situacao-dos-planos-de-educacao</w:t>
      </w:r>
    </w:p>
    <w:p>
      <w:pPr>
        <w:pStyle w:val="BodyText"/>
        <w:spacing w:before="11"/>
        <w:rPr>
          <w:sz w:val="23"/>
        </w:rPr>
      </w:pPr>
    </w:p>
    <w:p>
      <w:pPr>
        <w:pStyle w:val="BodyText"/>
        <w:ind w:left="102" w:right="116"/>
        <w:jc w:val="both"/>
      </w:pPr>
      <w:r>
        <w:rPr/>
        <w:t>BURITI DO TOCANTINS. Câmara Municipal de Vereadores. </w:t>
      </w:r>
      <w:r>
        <w:rPr>
          <w:b/>
        </w:rPr>
        <w:t>Plano Municipal de Educação</w:t>
      </w:r>
      <w:r>
        <w:rPr/>
        <w:t>. Buriti do Tocantins, 2015. Disponível em </w:t>
      </w:r>
      <w:hyperlink r:id="rId141">
        <w:r>
          <w:rPr/>
          <w:t>http://pne.mec.gov.br/alinhando-</w:t>
        </w:r>
      </w:hyperlink>
      <w:r>
        <w:rPr/>
        <w:t> os-planos-de-educacao/situacao-dos-planos-de-educacao</w:t>
      </w:r>
    </w:p>
    <w:p>
      <w:pPr>
        <w:pStyle w:val="BodyText"/>
      </w:pPr>
    </w:p>
    <w:p>
      <w:pPr>
        <w:pStyle w:val="BodyText"/>
        <w:ind w:left="102" w:right="116"/>
        <w:jc w:val="both"/>
      </w:pPr>
      <w:r>
        <w:rPr/>
        <w:t>CACHOEIRINHA. Câmara Municipal de Vereadores. </w:t>
      </w:r>
      <w:r>
        <w:rPr>
          <w:b/>
        </w:rPr>
        <w:t>Plano Municipal de Educação</w:t>
      </w:r>
      <w:r>
        <w:rPr/>
        <w:t>. Cachoeirinha,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6"/>
        <w:jc w:val="both"/>
      </w:pPr>
      <w:r>
        <w:rPr/>
        <w:t>CARIRI. Câmara Municipal de Vereadores. </w:t>
      </w:r>
      <w:r>
        <w:rPr>
          <w:b/>
        </w:rPr>
        <w:t>Plano Municipal de Educação</w:t>
      </w:r>
      <w:r>
        <w:rPr/>
        <w:t>. Cariri, 2015. Disponível em </w:t>
      </w:r>
      <w:hyperlink r:id="rId140">
        <w:r>
          <w:rPr/>
          <w:t>http://pne.mec.gov.br/alinhando-os-planos-de-educacao/situacao-</w:t>
        </w:r>
      </w:hyperlink>
      <w:r>
        <w:rPr/>
        <w:t> dos-planos-de-educacao</w:t>
      </w:r>
    </w:p>
    <w:p>
      <w:pPr>
        <w:spacing w:after="0"/>
        <w:jc w:val="both"/>
        <w:sectPr>
          <w:pgSz w:w="11910" w:h="16840"/>
          <w:pgMar w:header="749" w:footer="0" w:top="960" w:bottom="280" w:left="1600" w:right="1580"/>
        </w:sectPr>
      </w:pPr>
    </w:p>
    <w:p>
      <w:pPr>
        <w:pStyle w:val="BodyText"/>
        <w:rPr>
          <w:sz w:val="20"/>
        </w:rPr>
      </w:pPr>
    </w:p>
    <w:p>
      <w:pPr>
        <w:pStyle w:val="BodyText"/>
        <w:spacing w:before="208"/>
        <w:ind w:left="102" w:right="116"/>
        <w:jc w:val="both"/>
      </w:pPr>
      <w:r>
        <w:rPr/>
        <w:t>CARRASCO BONITO. Câmara Municipal de Vereadores. </w:t>
      </w:r>
      <w:r>
        <w:rPr>
          <w:b/>
        </w:rPr>
        <w:t>Plano Municipal de Educação</w:t>
      </w:r>
      <w:r>
        <w:rPr/>
        <w:t>. Carrasco Bonito, 2015. Disponível em </w:t>
      </w:r>
      <w:hyperlink r:id="rId138">
        <w:r>
          <w:rPr/>
          <w:t>http://pne.mec.gov.br/alinhando-os-</w:t>
        </w:r>
      </w:hyperlink>
      <w:r>
        <w:rPr/>
        <w:t> planos-de-educacao/situacao-dos-planos-de-educacao</w:t>
      </w:r>
    </w:p>
    <w:p>
      <w:pPr>
        <w:pStyle w:val="BodyText"/>
        <w:spacing w:before="11"/>
        <w:rPr>
          <w:sz w:val="23"/>
        </w:rPr>
      </w:pPr>
    </w:p>
    <w:p>
      <w:pPr>
        <w:pStyle w:val="BodyText"/>
        <w:ind w:left="102" w:right="115"/>
        <w:jc w:val="both"/>
      </w:pPr>
      <w:r>
        <w:rPr/>
        <w:t>CENTENÁRIO. Câmara Municipal de Vereadores. </w:t>
      </w:r>
      <w:r>
        <w:rPr>
          <w:b/>
        </w:rPr>
        <w:t>Plano Municipal de Educação</w:t>
      </w:r>
      <w:r>
        <w:rPr/>
        <w:t>. Centenário, 2015. Disponível em </w:t>
      </w:r>
      <w:hyperlink r:id="rId137">
        <w:r>
          <w:rPr/>
          <w:t>http://pne.mec.gov.br/alinhando-os-planos-de-</w:t>
        </w:r>
      </w:hyperlink>
      <w:r>
        <w:rPr/>
        <w:t> educacao/situacao-dos-planos-de-educacao</w:t>
      </w:r>
    </w:p>
    <w:p>
      <w:pPr>
        <w:pStyle w:val="BodyText"/>
        <w:spacing w:before="11"/>
        <w:rPr>
          <w:sz w:val="23"/>
        </w:rPr>
      </w:pPr>
    </w:p>
    <w:p>
      <w:pPr>
        <w:pStyle w:val="BodyText"/>
        <w:tabs>
          <w:tab w:pos="790" w:val="left" w:leader="none"/>
          <w:tab w:pos="2300" w:val="left" w:leader="none"/>
          <w:tab w:pos="3583" w:val="left" w:leader="none"/>
          <w:tab w:pos="4258" w:val="left" w:leader="none"/>
          <w:tab w:pos="5819" w:val="left" w:leader="none"/>
          <w:tab w:pos="6810" w:val="left" w:leader="none"/>
          <w:tab w:pos="8312" w:val="left" w:leader="none"/>
        </w:tabs>
        <w:ind w:left="102" w:right="117"/>
      </w:pPr>
      <w:r>
        <w:rPr/>
        <w:t>CHAPADA DA NATIVIDADE. Câmara Municipal de Vereadores. </w:t>
      </w:r>
      <w:r>
        <w:rPr>
          <w:b/>
        </w:rPr>
        <w:t>Plano Municipal de</w:t>
        <w:tab/>
        <w:t>Educação</w:t>
      </w:r>
      <w:r>
        <w:rPr/>
        <w:t>.</w:t>
        <w:tab/>
        <w:t>Chapada</w:t>
        <w:tab/>
        <w:t>da</w:t>
        <w:tab/>
        <w:t>Natividade,</w:t>
        <w:tab/>
        <w:t>2015.</w:t>
        <w:tab/>
        <w:t>Disponível</w:t>
        <w:tab/>
        <w:t>em </w:t>
      </w:r>
      <w:hyperlink r:id="rId139">
        <w:r>
          <w:rPr/>
          <w:t>http://pne.mec.gov.br/alinhando-os-planos-de-educacao/situacao-dos-planos-de-</w:t>
        </w:r>
      </w:hyperlink>
      <w:r>
        <w:rPr/>
        <w:t> educacao</w:t>
      </w:r>
    </w:p>
    <w:p>
      <w:pPr>
        <w:pStyle w:val="BodyText"/>
        <w:spacing w:before="11"/>
        <w:rPr>
          <w:sz w:val="23"/>
        </w:rPr>
      </w:pPr>
    </w:p>
    <w:p>
      <w:pPr>
        <w:pStyle w:val="BodyText"/>
        <w:ind w:left="102" w:right="116"/>
        <w:jc w:val="both"/>
      </w:pPr>
      <w:r>
        <w:rPr/>
        <w:t>COLINAS DO TOCANTINS. Câmara Municipal de Vereadores. </w:t>
      </w:r>
      <w:r>
        <w:rPr>
          <w:b/>
        </w:rPr>
        <w:t>Plano Municipal de Educação</w:t>
      </w:r>
      <w:r>
        <w:rPr/>
        <w:t>. Colinas do Tocantins, 2015. Disponíve</w:t>
      </w:r>
      <w:hyperlink r:id="rId141">
        <w:r>
          <w:rPr/>
          <w:t>l em http://pne.mec.gov.br/alinhando-</w:t>
        </w:r>
      </w:hyperlink>
      <w:r>
        <w:rPr/>
        <w:t> os-planos-de-educacao/situacao-dos-planos-de-educacao</w:t>
      </w:r>
    </w:p>
    <w:p>
      <w:pPr>
        <w:pStyle w:val="BodyText"/>
        <w:spacing w:before="11"/>
        <w:rPr>
          <w:sz w:val="23"/>
        </w:rPr>
      </w:pPr>
    </w:p>
    <w:p>
      <w:pPr>
        <w:pStyle w:val="BodyText"/>
        <w:ind w:left="102" w:right="116"/>
        <w:jc w:val="both"/>
      </w:pPr>
      <w:r>
        <w:rPr/>
        <w:t>COMBINADO. Câmara Municipal de Vereadores. </w:t>
      </w:r>
      <w:r>
        <w:rPr>
          <w:b/>
        </w:rPr>
        <w:t>Plano Municipal de Educação</w:t>
      </w:r>
      <w:r>
        <w:rPr/>
        <w:t>. Combinado, 2015. Disponível em </w:t>
      </w:r>
      <w:hyperlink r:id="rId137">
        <w:r>
          <w:rPr/>
          <w:t>http://pne.mec.gov.br/alinhando-os-planos-de-</w:t>
        </w:r>
      </w:hyperlink>
      <w:r>
        <w:rPr/>
        <w:t> educacao/situacao-dos-planos-de-educacao</w:t>
      </w:r>
    </w:p>
    <w:p>
      <w:pPr>
        <w:pStyle w:val="BodyText"/>
        <w:spacing w:before="11"/>
        <w:rPr>
          <w:sz w:val="23"/>
        </w:rPr>
      </w:pPr>
    </w:p>
    <w:p>
      <w:pPr>
        <w:pStyle w:val="BodyText"/>
        <w:tabs>
          <w:tab w:pos="778" w:val="left" w:leader="none"/>
          <w:tab w:pos="2276" w:val="left" w:leader="none"/>
          <w:tab w:pos="3722" w:val="left" w:leader="none"/>
          <w:tab w:pos="4401" w:val="left" w:leader="none"/>
          <w:tab w:pos="5845" w:val="left" w:leader="none"/>
          <w:tab w:pos="6825" w:val="left" w:leader="none"/>
          <w:tab w:pos="8315" w:val="left" w:leader="none"/>
        </w:tabs>
        <w:ind w:left="102" w:right="116"/>
      </w:pPr>
      <w:r>
        <w:rPr/>
        <w:t>CONCEIÇÃO DO TOCANTINS. Câmara Municipal de Vereadores. </w:t>
      </w:r>
      <w:r>
        <w:rPr>
          <w:b/>
        </w:rPr>
        <w:t>Plano Municipal de</w:t>
        <w:tab/>
        <w:t>Educação</w:t>
      </w:r>
      <w:r>
        <w:rPr/>
        <w:t>.</w:t>
        <w:tab/>
        <w:t>Conceição</w:t>
        <w:tab/>
        <w:t>do</w:t>
        <w:tab/>
        <w:t>Tocantins,</w:t>
        <w:tab/>
        <w:t>2015.</w:t>
        <w:tab/>
        <w:t>Disponível</w:t>
        <w:tab/>
        <w:t>em </w:t>
      </w:r>
      <w:hyperlink r:id="rId139">
        <w:r>
          <w:rPr/>
          <w:t>http://pne.mec.gov.br/alinhando-os-planos-de-educacao/situacao-dos-planos-de-</w:t>
        </w:r>
      </w:hyperlink>
      <w:r>
        <w:rPr/>
        <w:t> educacao</w:t>
      </w:r>
    </w:p>
    <w:p>
      <w:pPr>
        <w:pStyle w:val="BodyText"/>
        <w:spacing w:before="11"/>
        <w:rPr>
          <w:sz w:val="23"/>
        </w:rPr>
      </w:pPr>
    </w:p>
    <w:p>
      <w:pPr>
        <w:pStyle w:val="BodyText"/>
        <w:ind w:left="102" w:right="116"/>
        <w:jc w:val="both"/>
      </w:pPr>
      <w:r>
        <w:rPr/>
        <w:t>COUTO MAGALHÃES. Câmara Municipal de Vereadores. </w:t>
      </w:r>
      <w:r>
        <w:rPr>
          <w:b/>
        </w:rPr>
        <w:t>Plano Municipal de Educação</w:t>
      </w:r>
      <w:r>
        <w:rPr/>
        <w:t>. Couto Magalhães, 2015. Disponível em </w:t>
      </w:r>
      <w:hyperlink r:id="rId138">
        <w:r>
          <w:rPr/>
          <w:t>http://pne.mec.gov.br/alinhando-os-</w:t>
        </w:r>
      </w:hyperlink>
      <w:r>
        <w:rPr/>
        <w:t> planos-de-educacao/situacao-dos-planos-de-educacao</w:t>
      </w:r>
    </w:p>
    <w:p>
      <w:pPr>
        <w:pStyle w:val="BodyText"/>
      </w:pPr>
    </w:p>
    <w:p>
      <w:pPr>
        <w:pStyle w:val="BodyText"/>
        <w:ind w:left="102" w:right="115"/>
        <w:jc w:val="both"/>
      </w:pPr>
      <w:r>
        <w:rPr/>
        <w:t>CRISTALÂNDIA. Câmara Municipal de Vereadores. </w:t>
      </w:r>
      <w:r>
        <w:rPr>
          <w:b/>
        </w:rPr>
        <w:t>Plano Municipal de Educação</w:t>
      </w:r>
      <w:r>
        <w:rPr/>
        <w:t>. Cristalândia,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5"/>
        <w:jc w:val="both"/>
      </w:pPr>
      <w:r>
        <w:rPr/>
        <w:t>CRIXAS. Câmara Municipal de Vereadores. </w:t>
      </w:r>
      <w:r>
        <w:rPr>
          <w:b/>
        </w:rPr>
        <w:t>Plano Municipal de Educação</w:t>
      </w:r>
      <w:r>
        <w:rPr/>
        <w:t>. Crixas, 2015. Disponível em </w:t>
      </w:r>
      <w:hyperlink r:id="rId140">
        <w:r>
          <w:rPr/>
          <w:t>http://pne.mec.gov.br/alinhando-os-planos-de-educacao/situacao-</w:t>
        </w:r>
      </w:hyperlink>
      <w:r>
        <w:rPr/>
        <w:t> dos-planos-de-educacao</w:t>
      </w:r>
    </w:p>
    <w:p>
      <w:pPr>
        <w:pStyle w:val="BodyText"/>
        <w:spacing w:before="11"/>
        <w:rPr>
          <w:sz w:val="23"/>
        </w:rPr>
      </w:pPr>
    </w:p>
    <w:p>
      <w:pPr>
        <w:pStyle w:val="BodyText"/>
        <w:ind w:left="102" w:right="115"/>
        <w:jc w:val="both"/>
      </w:pPr>
      <w:r>
        <w:rPr/>
        <w:t>DIANÓPOLIS. Câmara Municipal de Vereadores. </w:t>
      </w:r>
      <w:r>
        <w:rPr>
          <w:b/>
        </w:rPr>
        <w:t>Plano Municipal de Educação</w:t>
      </w:r>
      <w:r>
        <w:rPr/>
        <w:t>. Dianópolis, 2015. Disponível em </w:t>
      </w:r>
      <w:hyperlink r:id="rId137">
        <w:r>
          <w:rPr/>
          <w:t>http://pne.mec.gov.br/alinhando-os-planos-de-</w:t>
        </w:r>
      </w:hyperlink>
      <w:r>
        <w:rPr/>
        <w:t> educacao/situacao-dos-planos-de-educacao</w:t>
      </w:r>
    </w:p>
    <w:p>
      <w:pPr>
        <w:pStyle w:val="BodyText"/>
      </w:pPr>
    </w:p>
    <w:p>
      <w:pPr>
        <w:pStyle w:val="BodyText"/>
        <w:ind w:left="102" w:right="115"/>
        <w:jc w:val="both"/>
      </w:pPr>
      <w:r>
        <w:rPr/>
        <w:t>DIVINÓPOLIS. Câmara Municipal de Vereadores. </w:t>
      </w:r>
      <w:r>
        <w:rPr>
          <w:b/>
        </w:rPr>
        <w:t>Plano Municipal de Educação</w:t>
      </w:r>
      <w:r>
        <w:rPr/>
        <w:t>. Divinópolis,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7"/>
        <w:jc w:val="both"/>
      </w:pPr>
      <w:r>
        <w:rPr/>
        <w:t>DOIS IRMÃOS. Câmara Municipal de Vereadores. </w:t>
      </w:r>
      <w:r>
        <w:rPr>
          <w:b/>
        </w:rPr>
        <w:t>Plano Municipal de Educação</w:t>
      </w:r>
      <w:r>
        <w:rPr/>
        <w:t>. Dois Irmãos, 2015. Disponível em </w:t>
      </w:r>
      <w:hyperlink r:id="rId137">
        <w:r>
          <w:rPr/>
          <w:t>http://pne.mec.gov.br/alinhando-os-planos-de-</w:t>
        </w:r>
      </w:hyperlink>
      <w:r>
        <w:rPr/>
        <w:t> educacao/situacao-dos-planos-de-educacao</w:t>
      </w:r>
    </w:p>
    <w:p>
      <w:pPr>
        <w:spacing w:after="0"/>
        <w:jc w:val="both"/>
        <w:sectPr>
          <w:pgSz w:w="11910" w:h="16840"/>
          <w:pgMar w:header="749" w:footer="0" w:top="960" w:bottom="280" w:left="1600" w:right="1580"/>
        </w:sectPr>
      </w:pPr>
    </w:p>
    <w:p>
      <w:pPr>
        <w:pStyle w:val="BodyText"/>
        <w:rPr>
          <w:sz w:val="20"/>
        </w:rPr>
      </w:pPr>
    </w:p>
    <w:p>
      <w:pPr>
        <w:pStyle w:val="BodyText"/>
        <w:spacing w:before="208"/>
        <w:ind w:left="102" w:right="116"/>
        <w:jc w:val="both"/>
      </w:pPr>
      <w:r>
        <w:rPr/>
        <w:t>DUERÉ. Câmara Municipal de Vereadores. </w:t>
      </w:r>
      <w:r>
        <w:rPr>
          <w:b/>
        </w:rPr>
        <w:t>Plano Municipal de Educação</w:t>
      </w:r>
      <w:r>
        <w:rPr/>
        <w:t>. Dueré, 2015. Disponível em </w:t>
      </w:r>
      <w:hyperlink r:id="rId140">
        <w:r>
          <w:rPr/>
          <w:t>http://pne.mec.gov.br/alinhando-os-planos-de-educacao/situacao-</w:t>
        </w:r>
      </w:hyperlink>
      <w:r>
        <w:rPr/>
        <w:t> dos-planos-de-educacao</w:t>
      </w:r>
    </w:p>
    <w:p>
      <w:pPr>
        <w:pStyle w:val="BodyText"/>
        <w:spacing w:before="11"/>
        <w:rPr>
          <w:sz w:val="23"/>
        </w:rPr>
      </w:pPr>
    </w:p>
    <w:p>
      <w:pPr>
        <w:pStyle w:val="BodyText"/>
        <w:ind w:left="102" w:right="117"/>
        <w:jc w:val="both"/>
      </w:pPr>
      <w:r>
        <w:rPr/>
        <w:t>ESPERANTINA. Câmara Municipal de Vereadores. </w:t>
      </w:r>
      <w:r>
        <w:rPr>
          <w:b/>
        </w:rPr>
        <w:t>Plano Municipal de Educação</w:t>
      </w:r>
      <w:r>
        <w:rPr/>
        <w:t>. Esperantina,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6"/>
        <w:jc w:val="both"/>
      </w:pPr>
      <w:r>
        <w:rPr/>
        <w:t>FÁTIMA. Câmara Municipal de Vereadores. </w:t>
      </w:r>
      <w:r>
        <w:rPr>
          <w:b/>
        </w:rPr>
        <w:t>Plano Municipal de Educação</w:t>
      </w:r>
      <w:r>
        <w:rPr/>
        <w:t>. Fátima, 2015. Disponível em </w:t>
      </w:r>
      <w:hyperlink r:id="rId140">
        <w:r>
          <w:rPr/>
          <w:t>http://pne.mec.gov.br/alinhando-os-planos-de-educacao/situacao-</w:t>
        </w:r>
      </w:hyperlink>
      <w:r>
        <w:rPr/>
        <w:t> dos-planos-de-educacao</w:t>
      </w:r>
    </w:p>
    <w:p>
      <w:pPr>
        <w:pStyle w:val="BodyText"/>
        <w:spacing w:before="11"/>
        <w:rPr>
          <w:sz w:val="23"/>
        </w:rPr>
      </w:pPr>
    </w:p>
    <w:p>
      <w:pPr>
        <w:pStyle w:val="BodyText"/>
        <w:ind w:left="102" w:right="115"/>
        <w:jc w:val="both"/>
      </w:pPr>
      <w:r>
        <w:rPr/>
        <w:t>FIGUEIRÓPOLIS. Câmara Municipal de Vereadores. </w:t>
      </w:r>
      <w:r>
        <w:rPr>
          <w:b/>
        </w:rPr>
        <w:t>Plano Municipal de Educação</w:t>
      </w:r>
      <w:r>
        <w:rPr/>
        <w:t>. Figueirópolis, 2015. Disponível em </w:t>
      </w:r>
      <w:hyperlink r:id="rId137">
        <w:r>
          <w:rPr/>
          <w:t>http://pne.mec.gov.br/alinhando-os-planos-de-</w:t>
        </w:r>
      </w:hyperlink>
      <w:r>
        <w:rPr/>
        <w:t> educacao/situacao-dos-planos-de-educacao</w:t>
      </w:r>
    </w:p>
    <w:p>
      <w:pPr>
        <w:pStyle w:val="BodyText"/>
      </w:pPr>
    </w:p>
    <w:p>
      <w:pPr>
        <w:pStyle w:val="BodyText"/>
        <w:ind w:left="102" w:right="116"/>
        <w:jc w:val="both"/>
      </w:pPr>
      <w:r>
        <w:rPr/>
        <w:t>FILADÉLFIA. Câmara Municipal de Vereadores. </w:t>
      </w:r>
      <w:r>
        <w:rPr>
          <w:b/>
        </w:rPr>
        <w:t>Plano Municipal de Educação</w:t>
      </w:r>
      <w:r>
        <w:rPr/>
        <w:t>. Filadélfia, 2015. Disponível em </w:t>
      </w:r>
      <w:hyperlink r:id="rId137">
        <w:r>
          <w:rPr/>
          <w:t>http://pne.mec.gov.br/alinhando-os-planos-de-</w:t>
        </w:r>
      </w:hyperlink>
      <w:r>
        <w:rPr/>
        <w:t> educacao/situacao-dos-planos-de-educacao</w:t>
      </w:r>
    </w:p>
    <w:p>
      <w:pPr>
        <w:pStyle w:val="BodyText"/>
        <w:spacing w:before="11"/>
        <w:rPr>
          <w:sz w:val="23"/>
        </w:rPr>
      </w:pPr>
    </w:p>
    <w:p>
      <w:pPr>
        <w:pStyle w:val="BodyText"/>
        <w:tabs>
          <w:tab w:pos="1750" w:val="left" w:leader="none"/>
          <w:tab w:pos="3191" w:val="left" w:leader="none"/>
          <w:tab w:pos="4019" w:val="left" w:leader="none"/>
          <w:tab w:pos="5544" w:val="left" w:leader="none"/>
          <w:tab w:pos="6674" w:val="left" w:leader="none"/>
          <w:tab w:pos="8315" w:val="left" w:leader="none"/>
        </w:tabs>
        <w:ind w:left="102" w:right="116"/>
      </w:pPr>
      <w:r>
        <w:rPr/>
        <w:t>FORMOSO DO ARAGUAIA. Câmara Municipal de Vereadores. </w:t>
      </w:r>
      <w:r>
        <w:rPr>
          <w:b/>
        </w:rPr>
        <w:t>Plano Municipal de Educação</w:t>
      </w:r>
      <w:r>
        <w:rPr/>
        <w:t>.</w:t>
        <w:tab/>
        <w:t>Formoso</w:t>
        <w:tab/>
        <w:t>do</w:t>
        <w:tab/>
        <w:t>Araguaia,</w:t>
        <w:tab/>
        <w:t>2015.</w:t>
        <w:tab/>
        <w:t>Disponível</w:t>
        <w:tab/>
        <w:t>em </w:t>
      </w:r>
      <w:hyperlink r:id="rId139">
        <w:r>
          <w:rPr/>
          <w:t>http://pne.mec.gov.br/alinhando-os-planos-de-educacao/situacao-dos-planos-de-</w:t>
        </w:r>
      </w:hyperlink>
      <w:r>
        <w:rPr/>
        <w:t> educacao</w:t>
      </w:r>
    </w:p>
    <w:p>
      <w:pPr>
        <w:pStyle w:val="BodyText"/>
        <w:spacing w:before="11"/>
        <w:rPr>
          <w:sz w:val="23"/>
        </w:rPr>
      </w:pPr>
    </w:p>
    <w:p>
      <w:pPr>
        <w:pStyle w:val="BodyText"/>
        <w:ind w:left="102" w:right="116"/>
        <w:jc w:val="both"/>
      </w:pPr>
      <w:r>
        <w:rPr/>
        <w:t>GURUPI. Câmara Municipal de Vereadores. </w:t>
      </w:r>
      <w:r>
        <w:rPr>
          <w:b/>
        </w:rPr>
        <w:t>Plano Municipal de Educação</w:t>
      </w:r>
      <w:r>
        <w:rPr/>
        <w:t>. Gurupi, 2015. Disponível em </w:t>
      </w:r>
      <w:hyperlink r:id="rId140">
        <w:r>
          <w:rPr/>
          <w:t>http://pne.mec.gov.br/alinhando-os-planos-de-educacao/situacao-</w:t>
        </w:r>
      </w:hyperlink>
      <w:r>
        <w:rPr/>
        <w:t> dos-planos-de-educacao</w:t>
      </w:r>
    </w:p>
    <w:p>
      <w:pPr>
        <w:pStyle w:val="BodyText"/>
        <w:spacing w:before="11"/>
        <w:rPr>
          <w:sz w:val="23"/>
        </w:rPr>
      </w:pPr>
    </w:p>
    <w:p>
      <w:pPr>
        <w:pStyle w:val="BodyText"/>
        <w:ind w:left="102" w:right="117"/>
        <w:jc w:val="both"/>
      </w:pPr>
      <w:r>
        <w:rPr/>
        <w:t>IPUEIRAS. Câmara Municipal de Vereadores. </w:t>
      </w:r>
      <w:r>
        <w:rPr>
          <w:b/>
        </w:rPr>
        <w:t>Plano Municipal de Educação</w:t>
      </w:r>
      <w:r>
        <w:rPr/>
        <w:t>. Ipueiras,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6"/>
        <w:jc w:val="both"/>
      </w:pPr>
      <w:r>
        <w:rPr/>
        <w:t>ITACAJÁ. Câmara Municipal de Vereadores. </w:t>
      </w:r>
      <w:r>
        <w:rPr>
          <w:b/>
        </w:rPr>
        <w:t>Plano Municipal de Educação</w:t>
      </w:r>
      <w:r>
        <w:rPr/>
        <w:t>. Itacajá, 2015. Disponível em </w:t>
      </w:r>
      <w:hyperlink r:id="rId140">
        <w:r>
          <w:rPr/>
          <w:t>http://pne.mec.gov.br/alinhando-os-planos-de-educacao/situacao-</w:t>
        </w:r>
      </w:hyperlink>
      <w:r>
        <w:rPr/>
        <w:t> dos-planos-de-educacao</w:t>
      </w:r>
    </w:p>
    <w:p>
      <w:pPr>
        <w:pStyle w:val="BodyText"/>
        <w:spacing w:before="11"/>
        <w:rPr>
          <w:sz w:val="23"/>
        </w:rPr>
      </w:pPr>
    </w:p>
    <w:p>
      <w:pPr>
        <w:pStyle w:val="BodyText"/>
        <w:ind w:left="102" w:right="115"/>
        <w:jc w:val="both"/>
      </w:pPr>
      <w:r>
        <w:rPr/>
        <w:t>ITAGUATINS. Câmara Municipal de Vereadores. </w:t>
      </w:r>
      <w:r>
        <w:rPr>
          <w:b/>
        </w:rPr>
        <w:t>Plano Municipal de Educação</w:t>
      </w:r>
      <w:r>
        <w:rPr/>
        <w:t>. Itaguatins,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6"/>
        <w:jc w:val="both"/>
      </w:pPr>
      <w:r>
        <w:rPr/>
        <w:t>ITAPIRATINS. Câmara Municipal de Vereadores. </w:t>
      </w:r>
      <w:r>
        <w:rPr>
          <w:b/>
        </w:rPr>
        <w:t>Plano Municipal de Educação</w:t>
      </w:r>
      <w:r>
        <w:rPr/>
        <w:t>. Itapiratins,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6"/>
        <w:jc w:val="both"/>
      </w:pPr>
      <w:r>
        <w:rPr/>
        <w:t>ITAPORÃ. Câmara Municipal de Vereadores. </w:t>
      </w:r>
      <w:r>
        <w:rPr>
          <w:b/>
        </w:rPr>
        <w:t>Plano Municipal de Educação</w:t>
      </w:r>
      <w:r>
        <w:rPr/>
        <w:t>. Itaporã, 2015. Disponível em </w:t>
      </w:r>
      <w:hyperlink r:id="rId140">
        <w:r>
          <w:rPr/>
          <w:t>http://pne.mec.gov.br/alinhando-os-planos-de-educacao/situacao-</w:t>
        </w:r>
      </w:hyperlink>
      <w:r>
        <w:rPr/>
        <w:t> dos-planos-de-educacao</w:t>
      </w:r>
    </w:p>
    <w:p>
      <w:pPr>
        <w:spacing w:after="0"/>
        <w:jc w:val="both"/>
        <w:sectPr>
          <w:pgSz w:w="11910" w:h="16840"/>
          <w:pgMar w:header="749" w:footer="0" w:top="960" w:bottom="280" w:left="1600" w:right="1580"/>
        </w:sectPr>
      </w:pPr>
    </w:p>
    <w:p>
      <w:pPr>
        <w:pStyle w:val="BodyText"/>
        <w:rPr>
          <w:sz w:val="20"/>
        </w:rPr>
      </w:pPr>
    </w:p>
    <w:p>
      <w:pPr>
        <w:pStyle w:val="BodyText"/>
        <w:spacing w:before="208"/>
        <w:ind w:left="102" w:right="116"/>
        <w:jc w:val="both"/>
      </w:pPr>
      <w:r>
        <w:rPr/>
        <w:t>JAU. Câmara Municipal de Vereadores. </w:t>
      </w:r>
      <w:r>
        <w:rPr>
          <w:b/>
        </w:rPr>
        <w:t>Plano Municipal de Educação</w:t>
      </w:r>
      <w:r>
        <w:rPr/>
        <w:t>. Jau, 2015. Disponível em </w:t>
      </w:r>
      <w:hyperlink r:id="rId142">
        <w:r>
          <w:rPr/>
          <w:t>http://pne.mec.gov.br/alinhando-os-planos-de-educacao/situacao-dos-</w:t>
        </w:r>
      </w:hyperlink>
      <w:r>
        <w:rPr/>
        <w:t> planos-de-educacao</w:t>
      </w:r>
    </w:p>
    <w:p>
      <w:pPr>
        <w:pStyle w:val="BodyText"/>
        <w:spacing w:before="11"/>
        <w:rPr>
          <w:sz w:val="23"/>
        </w:rPr>
      </w:pPr>
    </w:p>
    <w:p>
      <w:pPr>
        <w:pStyle w:val="BodyText"/>
        <w:ind w:left="102" w:right="116"/>
        <w:jc w:val="both"/>
      </w:pPr>
      <w:r>
        <w:rPr/>
        <w:t>JUARINA. Câmara Municipal de Vereadores. </w:t>
      </w:r>
      <w:r>
        <w:rPr>
          <w:b/>
        </w:rPr>
        <w:t>Plano Municipal de Educação</w:t>
      </w:r>
      <w:r>
        <w:rPr/>
        <w:t>. Juarina, 2015. Disponível em </w:t>
      </w:r>
      <w:hyperlink r:id="rId140">
        <w:r>
          <w:rPr/>
          <w:t>http://pne.mec.gov.br/alinhando-os-planos-de-educacao/situacao-</w:t>
        </w:r>
      </w:hyperlink>
      <w:r>
        <w:rPr/>
        <w:t> dos-planos-de-educacao</w:t>
      </w:r>
    </w:p>
    <w:p>
      <w:pPr>
        <w:pStyle w:val="BodyText"/>
        <w:spacing w:before="11"/>
        <w:rPr>
          <w:sz w:val="23"/>
        </w:rPr>
      </w:pPr>
    </w:p>
    <w:p>
      <w:pPr>
        <w:pStyle w:val="BodyText"/>
        <w:ind w:left="102" w:right="116"/>
        <w:jc w:val="both"/>
      </w:pPr>
      <w:r>
        <w:rPr/>
        <w:t>LAGOA DA CONFUSÃO. Câmara Municipal de Vereadores. </w:t>
      </w:r>
      <w:r>
        <w:rPr>
          <w:b/>
        </w:rPr>
        <w:t>Plano Municipal de Educação</w:t>
      </w:r>
      <w:r>
        <w:rPr/>
        <w:t>. Lagoa da Confusão, 2015. Disponível em </w:t>
      </w:r>
      <w:hyperlink r:id="rId141">
        <w:r>
          <w:rPr/>
          <w:t>http://pne.mec.gov.br/alinhando-</w:t>
        </w:r>
      </w:hyperlink>
      <w:r>
        <w:rPr/>
        <w:t> os-planos-de-educacao/situacao-dos-planos-de-educacao</w:t>
      </w:r>
    </w:p>
    <w:p>
      <w:pPr>
        <w:pStyle w:val="BodyText"/>
        <w:spacing w:before="11"/>
        <w:rPr>
          <w:sz w:val="23"/>
        </w:rPr>
      </w:pPr>
    </w:p>
    <w:p>
      <w:pPr>
        <w:pStyle w:val="BodyText"/>
        <w:ind w:left="102" w:right="116"/>
        <w:jc w:val="both"/>
      </w:pPr>
      <w:r>
        <w:rPr/>
        <w:t>LAGOA DO TOCANTINS. Câmara Municipal de Vereadores. </w:t>
      </w:r>
      <w:r>
        <w:rPr>
          <w:b/>
        </w:rPr>
        <w:t>Plano Municipal de Educação</w:t>
      </w:r>
      <w:r>
        <w:rPr/>
        <w:t>. Lagoa do Tocantins, 2015. Disponível em </w:t>
      </w:r>
      <w:hyperlink r:id="rId141">
        <w:r>
          <w:rPr/>
          <w:t>http://pne.mec.gov.br/alinhando-</w:t>
        </w:r>
      </w:hyperlink>
      <w:r>
        <w:rPr/>
        <w:t> os-planos-de-educacao/situacao-dos-planos-de-educacao</w:t>
      </w:r>
    </w:p>
    <w:p>
      <w:pPr>
        <w:pStyle w:val="BodyText"/>
      </w:pPr>
    </w:p>
    <w:p>
      <w:pPr>
        <w:pStyle w:val="BodyText"/>
        <w:ind w:left="102" w:right="115"/>
        <w:jc w:val="both"/>
      </w:pPr>
      <w:r>
        <w:rPr/>
        <w:t>LAJEADO. Câmara Municipal de Vereadores. </w:t>
      </w:r>
      <w:r>
        <w:rPr>
          <w:b/>
        </w:rPr>
        <w:t>Plano Municipal de Educação</w:t>
      </w:r>
      <w:r>
        <w:rPr/>
        <w:t>. Lajeado,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5"/>
        <w:jc w:val="both"/>
      </w:pPr>
      <w:r>
        <w:rPr/>
        <w:t>LAVANDEIRA. Câmara Municipal de Vereadores. </w:t>
      </w:r>
      <w:r>
        <w:rPr>
          <w:b/>
        </w:rPr>
        <w:t>Plano Municipal de Educação</w:t>
      </w:r>
      <w:r>
        <w:rPr/>
        <w:t>. Lavandeira,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5"/>
        <w:jc w:val="both"/>
      </w:pPr>
      <w:r>
        <w:rPr/>
        <w:t>LUZINÓPOLIS. Câmara Municipal de Vereadores. </w:t>
      </w:r>
      <w:r>
        <w:rPr>
          <w:b/>
        </w:rPr>
        <w:t>Plano Municipal de Educação</w:t>
      </w:r>
      <w:r>
        <w:rPr/>
        <w:t>. Luzinópolis,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5"/>
        <w:jc w:val="both"/>
      </w:pPr>
      <w:r>
        <w:rPr/>
        <w:t>MATEIROS. Câmara Municipal de Vereadores. </w:t>
      </w:r>
      <w:r>
        <w:rPr>
          <w:b/>
        </w:rPr>
        <w:t>Plano Municipal de Educação</w:t>
      </w:r>
      <w:r>
        <w:rPr/>
        <w:t>. Mateiros,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5"/>
        <w:jc w:val="both"/>
      </w:pPr>
      <w:r>
        <w:rPr/>
        <w:t>MAURILÂNDIA. Câmara Municipal de Vereadores. </w:t>
      </w:r>
      <w:r>
        <w:rPr>
          <w:b/>
        </w:rPr>
        <w:t>Plano Municipal de Educação</w:t>
      </w:r>
      <w:r>
        <w:rPr/>
        <w:t>. Maurilândia, 2015. Disponível em </w:t>
      </w:r>
      <w:hyperlink r:id="rId137">
        <w:r>
          <w:rPr/>
          <w:t>http://pne.mec.gov.br/alinhando-os-planos-de-</w:t>
        </w:r>
      </w:hyperlink>
      <w:r>
        <w:rPr/>
        <w:t> educacao/situacao-dos-planos-de-educacao</w:t>
      </w:r>
    </w:p>
    <w:p>
      <w:pPr>
        <w:pStyle w:val="BodyText"/>
        <w:spacing w:before="11"/>
        <w:rPr>
          <w:sz w:val="23"/>
        </w:rPr>
      </w:pPr>
    </w:p>
    <w:p>
      <w:pPr>
        <w:pStyle w:val="BodyText"/>
        <w:tabs>
          <w:tab w:pos="783" w:val="left" w:leader="none"/>
          <w:tab w:pos="2285" w:val="left" w:leader="none"/>
          <w:tab w:pos="3700" w:val="left" w:leader="none"/>
          <w:tab w:pos="4382" w:val="left" w:leader="none"/>
          <w:tab w:pos="5833" w:val="left" w:leader="none"/>
          <w:tab w:pos="6818" w:val="left" w:leader="none"/>
          <w:tab w:pos="8312" w:val="left" w:leader="none"/>
        </w:tabs>
        <w:ind w:left="102" w:right="117"/>
      </w:pPr>
      <w:r>
        <w:rPr/>
        <w:t>MIRACEMA DO TOCANTINS. Câmara Municipal de Vereadores. </w:t>
      </w:r>
      <w:r>
        <w:rPr>
          <w:b/>
        </w:rPr>
        <w:t>Plano Municipal de</w:t>
        <w:tab/>
        <w:t>Educação</w:t>
      </w:r>
      <w:r>
        <w:rPr/>
        <w:t>.</w:t>
        <w:tab/>
        <w:t>Miracema</w:t>
        <w:tab/>
        <w:t>do</w:t>
        <w:tab/>
        <w:t>Tocantins,</w:t>
        <w:tab/>
        <w:t>2015.</w:t>
        <w:tab/>
        <w:t>Disponível</w:t>
        <w:tab/>
        <w:t>em </w:t>
      </w:r>
      <w:hyperlink r:id="rId139">
        <w:r>
          <w:rPr/>
          <w:t>http://pne.mec.gov.br/alinhando-os-planos-de-educacao/situacao-dos-planos-de-</w:t>
        </w:r>
      </w:hyperlink>
      <w:r>
        <w:rPr/>
        <w:t> educacao</w:t>
      </w:r>
    </w:p>
    <w:p>
      <w:pPr>
        <w:pStyle w:val="BodyText"/>
        <w:spacing w:before="11"/>
        <w:rPr>
          <w:sz w:val="23"/>
        </w:rPr>
      </w:pPr>
    </w:p>
    <w:p>
      <w:pPr>
        <w:pStyle w:val="BodyText"/>
        <w:ind w:left="102" w:right="116"/>
        <w:jc w:val="both"/>
      </w:pPr>
      <w:r>
        <w:rPr/>
        <w:t>MONTE DO CARMO. Câmara Municipal de Vereadores. </w:t>
      </w:r>
      <w:r>
        <w:rPr>
          <w:b/>
        </w:rPr>
        <w:t>Plano Municipal de Educação</w:t>
      </w:r>
      <w:r>
        <w:rPr/>
        <w:t>. Monte do Carmo, 2015. Disponível em </w:t>
      </w:r>
      <w:hyperlink r:id="rId138">
        <w:r>
          <w:rPr/>
          <w:t>http://pne.mec.gov.br/alinhando-os-</w:t>
        </w:r>
      </w:hyperlink>
      <w:r>
        <w:rPr/>
        <w:t> planos-de-educacao/situacao-dos-planos-de-educacao</w:t>
      </w:r>
    </w:p>
    <w:p>
      <w:pPr>
        <w:pStyle w:val="BodyText"/>
        <w:spacing w:before="11"/>
        <w:rPr>
          <w:sz w:val="23"/>
        </w:rPr>
      </w:pPr>
    </w:p>
    <w:p>
      <w:pPr>
        <w:pStyle w:val="BodyText"/>
        <w:ind w:left="102" w:right="115"/>
        <w:jc w:val="both"/>
      </w:pPr>
      <w:r>
        <w:rPr/>
        <w:t>NATIVIDADE. Câmara Municipal de Vereadores. </w:t>
      </w:r>
      <w:r>
        <w:rPr>
          <w:b/>
        </w:rPr>
        <w:t>Plano Municipal de Educação</w:t>
      </w:r>
      <w:r>
        <w:rPr/>
        <w:t>. Natividade, 2015. Disponível em </w:t>
      </w:r>
      <w:hyperlink r:id="rId137">
        <w:r>
          <w:rPr/>
          <w:t>http://pne.mec.gov.br/alinhando-os-planos-de-</w:t>
        </w:r>
      </w:hyperlink>
      <w:r>
        <w:rPr/>
        <w:t> educacao/situacao-dos-planos-de-educacao</w:t>
      </w:r>
    </w:p>
    <w:p>
      <w:pPr>
        <w:spacing w:after="0"/>
        <w:jc w:val="both"/>
        <w:sectPr>
          <w:pgSz w:w="11910" w:h="16840"/>
          <w:pgMar w:header="749" w:footer="0" w:top="960" w:bottom="280" w:left="1600" w:right="1580"/>
        </w:sectPr>
      </w:pPr>
    </w:p>
    <w:p>
      <w:pPr>
        <w:pStyle w:val="BodyText"/>
        <w:rPr>
          <w:sz w:val="20"/>
        </w:rPr>
      </w:pPr>
    </w:p>
    <w:p>
      <w:pPr>
        <w:pStyle w:val="BodyText"/>
        <w:spacing w:before="208"/>
        <w:ind w:left="102" w:right="116"/>
        <w:jc w:val="both"/>
      </w:pPr>
      <w:r>
        <w:rPr/>
        <w:t>NAZARÉ. Câmara Municipal de Vereadores. </w:t>
      </w:r>
      <w:r>
        <w:rPr>
          <w:b/>
        </w:rPr>
        <w:t>Plano Municipal de Educação</w:t>
      </w:r>
      <w:r>
        <w:rPr/>
        <w:t>. Nazaré, 2015. Disponível em </w:t>
      </w:r>
      <w:hyperlink r:id="rId140">
        <w:r>
          <w:rPr/>
          <w:t>http://pne.mec.gov.br/alinhando-os-planos-de-educacao/situacao-</w:t>
        </w:r>
      </w:hyperlink>
      <w:r>
        <w:rPr/>
        <w:t> dos-planos-de-educacao</w:t>
      </w:r>
    </w:p>
    <w:p>
      <w:pPr>
        <w:pStyle w:val="BodyText"/>
        <w:spacing w:before="11"/>
        <w:rPr>
          <w:sz w:val="23"/>
        </w:rPr>
      </w:pPr>
    </w:p>
    <w:p>
      <w:pPr>
        <w:pStyle w:val="BodyText"/>
        <w:ind w:left="102" w:right="118"/>
        <w:jc w:val="both"/>
      </w:pPr>
      <w:r>
        <w:rPr/>
        <w:t>NOVA ROSALÂNDIA. Câmara Municipal de Vereadores. </w:t>
      </w:r>
      <w:r>
        <w:rPr>
          <w:b/>
        </w:rPr>
        <w:t>Plano Municipal de Educação</w:t>
      </w:r>
      <w:r>
        <w:rPr/>
        <w:t>. Nova Rosalândia, 2015. Disponível em </w:t>
      </w:r>
      <w:hyperlink r:id="rId138">
        <w:r>
          <w:rPr/>
          <w:t>http://pne.mec.gov.br/alinhando-os-</w:t>
        </w:r>
      </w:hyperlink>
      <w:r>
        <w:rPr/>
        <w:t> planos-de-educacao/situacao-dos-planos-de-educacao</w:t>
      </w:r>
    </w:p>
    <w:p>
      <w:pPr>
        <w:pStyle w:val="BodyText"/>
        <w:spacing w:before="11"/>
        <w:rPr>
          <w:sz w:val="23"/>
        </w:rPr>
      </w:pPr>
    </w:p>
    <w:p>
      <w:pPr>
        <w:pStyle w:val="BodyText"/>
        <w:ind w:left="102" w:right="115"/>
        <w:jc w:val="both"/>
      </w:pPr>
      <w:r>
        <w:rPr/>
        <w:t>NOVO ACORDO. Câmara Municipal de Vereadores. </w:t>
      </w:r>
      <w:r>
        <w:rPr>
          <w:b/>
        </w:rPr>
        <w:t>Plano Municipal de Educação</w:t>
      </w:r>
      <w:r>
        <w:rPr/>
        <w:t>. Novo acordo,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5"/>
        <w:jc w:val="both"/>
      </w:pPr>
      <w:r>
        <w:rPr/>
        <w:t>NOVO ALEGRE. Câmara Municipal de Vereadores. </w:t>
      </w:r>
      <w:r>
        <w:rPr>
          <w:b/>
        </w:rPr>
        <w:t>Plano Municipal de Educação</w:t>
      </w:r>
      <w:r>
        <w:rPr/>
        <w:t>. Novo Alegre, 2015. Disponível em </w:t>
      </w:r>
      <w:hyperlink r:id="rId137">
        <w:r>
          <w:rPr/>
          <w:t>http://pne.mec.gov.br/alinhando-os-planos-de-</w:t>
        </w:r>
      </w:hyperlink>
      <w:r>
        <w:rPr/>
        <w:t> educacao/situacao-dos-planos-de-educacao</w:t>
      </w:r>
    </w:p>
    <w:p>
      <w:pPr>
        <w:pStyle w:val="BodyText"/>
      </w:pPr>
    </w:p>
    <w:p>
      <w:pPr>
        <w:pStyle w:val="BodyText"/>
        <w:ind w:left="102" w:right="115"/>
        <w:jc w:val="both"/>
      </w:pPr>
      <w:r>
        <w:rPr/>
        <w:t>NOVO JARDIM. Câmara Municipal de Vereadores. </w:t>
      </w:r>
      <w:r>
        <w:rPr>
          <w:b/>
        </w:rPr>
        <w:t>Plano Municipal de Educação</w:t>
      </w:r>
      <w:r>
        <w:rPr/>
        <w:t>. Novo Jardim,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6"/>
        <w:jc w:val="both"/>
      </w:pPr>
      <w:r>
        <w:rPr/>
        <w:t>OLIVEIRA DE FÁTIMA. Câmara Municipal de Vereadores. </w:t>
      </w:r>
      <w:r>
        <w:rPr>
          <w:b/>
        </w:rPr>
        <w:t>Plano Municipal de Educação</w:t>
      </w:r>
      <w:r>
        <w:rPr/>
        <w:t>. Oliveira de Fátima, 2015. Disponível em </w:t>
      </w:r>
      <w:hyperlink r:id="rId141">
        <w:r>
          <w:rPr/>
          <w:t>http://pne.mec.gov.br/alinhando-</w:t>
        </w:r>
      </w:hyperlink>
      <w:r>
        <w:rPr/>
        <w:t> os-planos-de-educacao/situacao-dos-planos-de-educacao</w:t>
      </w:r>
    </w:p>
    <w:p>
      <w:pPr>
        <w:pStyle w:val="BodyText"/>
        <w:spacing w:before="11"/>
        <w:rPr>
          <w:sz w:val="23"/>
        </w:rPr>
      </w:pPr>
    </w:p>
    <w:p>
      <w:pPr>
        <w:pStyle w:val="BodyText"/>
        <w:ind w:left="102" w:right="117"/>
        <w:jc w:val="both"/>
      </w:pPr>
      <w:r>
        <w:rPr/>
        <w:t>PALMEIRANTE. Câmara Municipal de Vereadores. </w:t>
      </w:r>
      <w:r>
        <w:rPr>
          <w:b/>
        </w:rPr>
        <w:t>Plano Municipal de Educação</w:t>
      </w:r>
      <w:r>
        <w:rPr/>
        <w:t>. Palmeirante, 2015. Disponível em </w:t>
      </w:r>
      <w:hyperlink r:id="rId137">
        <w:r>
          <w:rPr/>
          <w:t>http://pne.mec.gov.br/alinhando-os-planos-de-</w:t>
        </w:r>
      </w:hyperlink>
      <w:r>
        <w:rPr/>
        <w:t> educacao/situacao-dos-planos-de-educacao</w:t>
      </w:r>
    </w:p>
    <w:p>
      <w:pPr>
        <w:pStyle w:val="BodyText"/>
        <w:spacing w:before="11"/>
        <w:rPr>
          <w:sz w:val="23"/>
        </w:rPr>
      </w:pPr>
    </w:p>
    <w:p>
      <w:pPr>
        <w:pStyle w:val="BodyText"/>
        <w:tabs>
          <w:tab w:pos="787" w:val="left" w:leader="none"/>
          <w:tab w:pos="2295" w:val="left" w:leader="none"/>
          <w:tab w:pos="3686" w:val="left" w:leader="none"/>
          <w:tab w:pos="4372" w:val="left" w:leader="none"/>
          <w:tab w:pos="5826" w:val="left" w:leader="none"/>
          <w:tab w:pos="6815" w:val="left" w:leader="none"/>
          <w:tab w:pos="8313" w:val="left" w:leader="none"/>
        </w:tabs>
        <w:ind w:left="102" w:right="115"/>
      </w:pPr>
      <w:r>
        <w:rPr/>
        <w:t>PALMEIRAS DO TOCANTINS. Câmara Municipal de Vereadores. </w:t>
      </w:r>
      <w:r>
        <w:rPr>
          <w:b/>
        </w:rPr>
        <w:t>Plano Municipal de</w:t>
        <w:tab/>
        <w:t>Educação</w:t>
      </w:r>
      <w:r>
        <w:rPr/>
        <w:t>.</w:t>
        <w:tab/>
        <w:t>Palmeiras</w:t>
        <w:tab/>
        <w:t>do</w:t>
        <w:tab/>
        <w:t>Tocantins,</w:t>
        <w:tab/>
        <w:t>2015.</w:t>
        <w:tab/>
        <w:t>Disponível</w:t>
        <w:tab/>
        <w:t>em </w:t>
      </w:r>
      <w:hyperlink r:id="rId139">
        <w:r>
          <w:rPr/>
          <w:t>http://pne.mec.gov.br/alinhando-os-planos-de-educacao/situacao-dos-planos-de-</w:t>
        </w:r>
      </w:hyperlink>
      <w:r>
        <w:rPr/>
        <w:t> educacao</w:t>
      </w:r>
    </w:p>
    <w:p>
      <w:pPr>
        <w:pStyle w:val="BodyText"/>
        <w:spacing w:before="11"/>
        <w:rPr>
          <w:sz w:val="23"/>
        </w:rPr>
      </w:pPr>
    </w:p>
    <w:p>
      <w:pPr>
        <w:pStyle w:val="BodyText"/>
        <w:ind w:left="102" w:right="115"/>
        <w:jc w:val="both"/>
      </w:pPr>
      <w:r>
        <w:rPr/>
        <w:t>PALMEIRÓPOLIS. Câmara Municipal de Vereadores. </w:t>
      </w:r>
      <w:r>
        <w:rPr>
          <w:b/>
        </w:rPr>
        <w:t>Plano Municipal de Educação</w:t>
      </w:r>
      <w:r>
        <w:rPr/>
        <w:t>. Palmeirópolis,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6"/>
        <w:jc w:val="both"/>
      </w:pPr>
      <w:r>
        <w:rPr/>
        <w:t>PARAÍSO DO TOCANTINS. Câmara Municipal de Vereadores. </w:t>
      </w:r>
      <w:r>
        <w:rPr>
          <w:b/>
        </w:rPr>
        <w:t>Plano Municipal de Educação</w:t>
      </w:r>
      <w:r>
        <w:rPr/>
        <w:t>. Paraíso do Tocantins, 2015. Disponível em </w:t>
      </w:r>
      <w:hyperlink r:id="rId141">
        <w:r>
          <w:rPr/>
          <w:t>http://pne.mec.gov.br/alinhando-</w:t>
        </w:r>
      </w:hyperlink>
      <w:r>
        <w:rPr/>
        <w:t> os-planos-de-educacao/situacao-dos-planos-de-educacao</w:t>
      </w:r>
    </w:p>
    <w:p>
      <w:pPr>
        <w:pStyle w:val="BodyText"/>
        <w:spacing w:before="11"/>
        <w:rPr>
          <w:sz w:val="23"/>
        </w:rPr>
      </w:pPr>
    </w:p>
    <w:p>
      <w:pPr>
        <w:pStyle w:val="BodyText"/>
        <w:ind w:left="102" w:right="115"/>
        <w:jc w:val="both"/>
      </w:pPr>
      <w:r>
        <w:rPr/>
        <w:t>PAU D'ARCO. Câmara Municipal de Vereadores. </w:t>
      </w:r>
      <w:r>
        <w:rPr>
          <w:b/>
        </w:rPr>
        <w:t>Plano Municipal de Educação</w:t>
      </w:r>
      <w:r>
        <w:rPr/>
        <w:t>. Pau D'arco,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5"/>
        <w:jc w:val="both"/>
      </w:pPr>
      <w:r>
        <w:rPr/>
        <w:t>PEDRO AFONSO. Câmara Municipal de Vereadores. </w:t>
      </w:r>
      <w:r>
        <w:rPr>
          <w:b/>
        </w:rPr>
        <w:t>Plano Municipal de Educação</w:t>
      </w:r>
      <w:r>
        <w:rPr/>
        <w:t>. Pedro Afonso, 2015. Disponível em </w:t>
      </w:r>
      <w:hyperlink r:id="rId137">
        <w:r>
          <w:rPr/>
          <w:t>http://pne.mec.gov.br/alinhando-os-planos-de-</w:t>
        </w:r>
      </w:hyperlink>
      <w:r>
        <w:rPr/>
        <w:t> educacao/situacao-dos-planos-de-educacao</w:t>
      </w:r>
    </w:p>
    <w:p>
      <w:pPr>
        <w:spacing w:after="0"/>
        <w:jc w:val="both"/>
        <w:sectPr>
          <w:headerReference w:type="default" r:id="rId143"/>
          <w:pgSz w:w="11910" w:h="16840"/>
          <w:pgMar w:header="749" w:footer="0" w:top="960" w:bottom="280" w:left="1600" w:right="1580"/>
          <w:pgNumType w:start="170"/>
        </w:sectPr>
      </w:pPr>
    </w:p>
    <w:p>
      <w:pPr>
        <w:pStyle w:val="BodyText"/>
        <w:rPr>
          <w:sz w:val="20"/>
        </w:rPr>
      </w:pPr>
    </w:p>
    <w:p>
      <w:pPr>
        <w:pStyle w:val="BodyText"/>
        <w:spacing w:before="208"/>
        <w:ind w:left="102" w:right="115"/>
        <w:jc w:val="both"/>
      </w:pPr>
      <w:r>
        <w:rPr/>
        <w:t>PEIXE. Câmara Municipal de Vereadores. </w:t>
      </w:r>
      <w:r>
        <w:rPr>
          <w:b/>
        </w:rPr>
        <w:t>Plano Municipal de Educação</w:t>
      </w:r>
      <w:r>
        <w:rPr/>
        <w:t>.  Peixe, 2015. Disponível em </w:t>
      </w:r>
      <w:hyperlink r:id="rId140">
        <w:r>
          <w:rPr/>
          <w:t>http://pne.mec.gov.br/alinhando-os-planos-de-educacao/situacao-</w:t>
        </w:r>
      </w:hyperlink>
      <w:r>
        <w:rPr/>
        <w:t> dos-planos-de-educacao</w:t>
      </w:r>
    </w:p>
    <w:p>
      <w:pPr>
        <w:pStyle w:val="BodyText"/>
        <w:spacing w:before="11"/>
        <w:rPr>
          <w:sz w:val="23"/>
        </w:rPr>
      </w:pPr>
    </w:p>
    <w:p>
      <w:pPr>
        <w:pStyle w:val="BodyText"/>
        <w:ind w:left="102" w:right="115"/>
        <w:jc w:val="both"/>
      </w:pPr>
      <w:r>
        <w:rPr/>
        <w:t>PEQUIZEIRO. Câmara Municipal de Vereadores. </w:t>
      </w:r>
      <w:r>
        <w:rPr>
          <w:b/>
        </w:rPr>
        <w:t>Plano Municipal de Educação</w:t>
      </w:r>
      <w:r>
        <w:rPr/>
        <w:t>. Pequizeiro,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5"/>
        <w:jc w:val="both"/>
      </w:pPr>
      <w:r>
        <w:rPr/>
        <w:t>PINDORAMA. Câmara Municipal de Vereadores. </w:t>
      </w:r>
      <w:r>
        <w:rPr>
          <w:b/>
        </w:rPr>
        <w:t>Plano Municipal de Educação</w:t>
      </w:r>
      <w:r>
        <w:rPr/>
        <w:t>. Pindorama,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6"/>
        <w:jc w:val="both"/>
      </w:pPr>
      <w:r>
        <w:rPr/>
        <w:t>PIUM. Câmara Municipal de Vereadores. </w:t>
      </w:r>
      <w:r>
        <w:rPr>
          <w:b/>
        </w:rPr>
        <w:t>Plano Municipal de Educação</w:t>
      </w:r>
      <w:r>
        <w:rPr/>
        <w:t>. Pium, 2015. Disponível em </w:t>
      </w:r>
      <w:hyperlink r:id="rId142">
        <w:r>
          <w:rPr/>
          <w:t>http://pne.mec.gov.br/alinhando-os-planos-de-educacao/situacao-dos-</w:t>
        </w:r>
      </w:hyperlink>
      <w:r>
        <w:rPr/>
        <w:t> planos-de-educacao</w:t>
      </w:r>
    </w:p>
    <w:p>
      <w:pPr>
        <w:pStyle w:val="BodyText"/>
      </w:pPr>
    </w:p>
    <w:p>
      <w:pPr>
        <w:pStyle w:val="BodyText"/>
        <w:tabs>
          <w:tab w:pos="685" w:val="left" w:leader="none"/>
          <w:tab w:pos="2088" w:val="left" w:leader="none"/>
          <w:tab w:pos="2976" w:val="left" w:leader="none"/>
          <w:tab w:pos="3732" w:val="left" w:leader="none"/>
          <w:tab w:pos="4315" w:val="left" w:leader="none"/>
          <w:tab w:pos="5123" w:val="left" w:leader="none"/>
          <w:tab w:pos="6035" w:val="left" w:leader="none"/>
          <w:tab w:pos="6921" w:val="left" w:leader="none"/>
          <w:tab w:pos="8315" w:val="left" w:leader="none"/>
        </w:tabs>
        <w:ind w:left="102" w:right="116"/>
      </w:pPr>
      <w:r>
        <w:rPr/>
        <w:t>PONTE ALTA DO BOM JESUS. Câmara Municipal de Vereadores. </w:t>
      </w:r>
      <w:r>
        <w:rPr>
          <w:b/>
        </w:rPr>
        <w:t>Plano Municipal de</w:t>
        <w:tab/>
        <w:t>Educação</w:t>
      </w:r>
      <w:r>
        <w:rPr/>
        <w:t>.</w:t>
        <w:tab/>
        <w:t>Ponte</w:t>
        <w:tab/>
        <w:t>Alta</w:t>
        <w:tab/>
        <w:t>do</w:t>
        <w:tab/>
        <w:t>Bom</w:t>
        <w:tab/>
        <w:t>Jesus,</w:t>
        <w:tab/>
        <w:t>2015.</w:t>
        <w:tab/>
        <w:t>Disponível</w:t>
        <w:tab/>
        <w:t>em </w:t>
      </w:r>
      <w:hyperlink r:id="rId139">
        <w:r>
          <w:rPr/>
          <w:t>http://pne.mec.gov.br/alinhando-os-planos-de-educacao/situacao-dos-planos-de-</w:t>
        </w:r>
      </w:hyperlink>
      <w:r>
        <w:rPr/>
        <w:t> educacao</w:t>
      </w:r>
    </w:p>
    <w:p>
      <w:pPr>
        <w:pStyle w:val="BodyText"/>
        <w:spacing w:before="11"/>
        <w:rPr>
          <w:sz w:val="23"/>
        </w:rPr>
      </w:pPr>
    </w:p>
    <w:p>
      <w:pPr>
        <w:pStyle w:val="BodyText"/>
        <w:tabs>
          <w:tab w:pos="730" w:val="left" w:leader="none"/>
          <w:tab w:pos="2180" w:val="left" w:leader="none"/>
          <w:tab w:pos="3113" w:val="left" w:leader="none"/>
          <w:tab w:pos="3914" w:val="left" w:leader="none"/>
          <w:tab w:pos="4543" w:val="left" w:leader="none"/>
          <w:tab w:pos="5939" w:val="left" w:leader="none"/>
          <w:tab w:pos="6870" w:val="left" w:leader="none"/>
          <w:tab w:pos="8312" w:val="left" w:leader="none"/>
        </w:tabs>
        <w:ind w:left="102" w:right="117"/>
      </w:pPr>
      <w:r>
        <w:rPr/>
        <w:t>PONTE ALTA DO TOCANTINS. Câmara Municipal de Vereadores. </w:t>
      </w:r>
      <w:r>
        <w:rPr>
          <w:b/>
        </w:rPr>
        <w:t>Plano Municipal de</w:t>
        <w:tab/>
        <w:t>Educação</w:t>
      </w:r>
      <w:r>
        <w:rPr/>
        <w:t>.</w:t>
        <w:tab/>
        <w:t>Ponte</w:t>
        <w:tab/>
        <w:t>Alta</w:t>
        <w:tab/>
        <w:t>do</w:t>
        <w:tab/>
        <w:t>Tocantins,</w:t>
        <w:tab/>
        <w:t>2015.</w:t>
        <w:tab/>
        <w:t>Disponível</w:t>
        <w:tab/>
        <w:t>em </w:t>
      </w:r>
      <w:hyperlink r:id="rId139">
        <w:r>
          <w:rPr/>
          <w:t>http://pne.mec.gov.br/alinhando-os-planos-de-educacao/situacao-dos-planos-de-</w:t>
        </w:r>
      </w:hyperlink>
      <w:r>
        <w:rPr/>
        <w:t> educacao</w:t>
      </w:r>
    </w:p>
    <w:p>
      <w:pPr>
        <w:pStyle w:val="BodyText"/>
        <w:spacing w:before="11"/>
        <w:rPr>
          <w:sz w:val="23"/>
        </w:rPr>
      </w:pPr>
    </w:p>
    <w:p>
      <w:pPr>
        <w:pStyle w:val="BodyText"/>
        <w:tabs>
          <w:tab w:pos="1361" w:val="left" w:leader="none"/>
          <w:tab w:pos="1804" w:val="left" w:leader="none"/>
          <w:tab w:pos="3068" w:val="left" w:leader="none"/>
          <w:tab w:pos="3793" w:val="left" w:leader="none"/>
          <w:tab w:pos="4649" w:val="left" w:leader="none"/>
          <w:tab w:pos="5095" w:val="left" w:leader="none"/>
          <w:tab w:pos="6304" w:val="left" w:leader="none"/>
          <w:tab w:pos="7053" w:val="left" w:leader="none"/>
          <w:tab w:pos="8312" w:val="left" w:leader="none"/>
        </w:tabs>
        <w:ind w:left="102" w:right="115"/>
      </w:pPr>
      <w:r>
        <w:rPr/>
        <w:t>PORTO ALEGRE DO TOCANTINS. Câmara Municipal de Vereadores. </w:t>
      </w:r>
      <w:r>
        <w:rPr>
          <w:b/>
        </w:rPr>
        <w:t>Plano Municipal</w:t>
        <w:tab/>
        <w:t>de</w:t>
        <w:tab/>
        <w:t>Educação</w:t>
      </w:r>
      <w:r>
        <w:rPr/>
        <w:t>.</w:t>
        <w:tab/>
        <w:t>Porto</w:t>
        <w:tab/>
        <w:t>Alegre</w:t>
        <w:tab/>
        <w:t>do</w:t>
        <w:tab/>
        <w:t>Tocantins,</w:t>
        <w:tab/>
        <w:t>2015.</w:t>
        <w:tab/>
        <w:t>Disponível</w:t>
        <w:tab/>
        <w:t>em </w:t>
      </w:r>
      <w:hyperlink r:id="rId139">
        <w:r>
          <w:rPr/>
          <w:t>http://pne.mec.gov.br/alinhando-os-planos-de-educacao/situacao-dos-planos-de-</w:t>
        </w:r>
      </w:hyperlink>
      <w:r>
        <w:rPr/>
        <w:t> educacao</w:t>
      </w:r>
    </w:p>
    <w:p>
      <w:pPr>
        <w:pStyle w:val="BodyText"/>
        <w:spacing w:before="11"/>
        <w:rPr>
          <w:sz w:val="23"/>
        </w:rPr>
      </w:pPr>
    </w:p>
    <w:p>
      <w:pPr>
        <w:pStyle w:val="BodyText"/>
        <w:ind w:left="102" w:right="116"/>
        <w:jc w:val="both"/>
      </w:pPr>
      <w:r>
        <w:rPr/>
        <w:t>PORTO NACIONAL. Câmara Municipal de Vereadores. </w:t>
      </w:r>
      <w:r>
        <w:rPr>
          <w:b/>
        </w:rPr>
        <w:t>Plano Municipal de Educação</w:t>
      </w:r>
      <w:r>
        <w:rPr/>
        <w:t>. Porto Nacional, 2015. Disponível em </w:t>
      </w:r>
      <w:hyperlink r:id="rId138">
        <w:r>
          <w:rPr/>
          <w:t>http://pne.mec.gov.br/alinhando-os-</w:t>
        </w:r>
      </w:hyperlink>
      <w:r>
        <w:rPr/>
        <w:t> planos-de-educacao/situacao-dos-planos-de-educacao</w:t>
      </w:r>
    </w:p>
    <w:p>
      <w:pPr>
        <w:pStyle w:val="BodyText"/>
        <w:spacing w:before="11"/>
        <w:rPr>
          <w:sz w:val="23"/>
        </w:rPr>
      </w:pPr>
    </w:p>
    <w:p>
      <w:pPr>
        <w:pStyle w:val="BodyText"/>
        <w:ind w:left="102" w:right="115"/>
        <w:jc w:val="both"/>
      </w:pPr>
      <w:r>
        <w:rPr/>
        <w:t>PRAIA NORTE. Câmara Municipal de Vereadores. </w:t>
      </w:r>
      <w:r>
        <w:rPr>
          <w:b/>
        </w:rPr>
        <w:t>Plano Municipal de Educação</w:t>
      </w:r>
      <w:r>
        <w:rPr/>
        <w:t>. Praia Norte,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6"/>
        <w:jc w:val="both"/>
      </w:pPr>
      <w:r>
        <w:rPr/>
        <w:t>RIO DA CONCEIÇÃO. Câmara Municipal de Vereadores. </w:t>
      </w:r>
      <w:r>
        <w:rPr>
          <w:b/>
        </w:rPr>
        <w:t>Plano Municipal de Educação</w:t>
      </w:r>
      <w:r>
        <w:rPr/>
        <w:t>. Rio da Conceição, 2015. Disponível em </w:t>
      </w:r>
      <w:hyperlink r:id="rId138">
        <w:r>
          <w:rPr/>
          <w:t>http://pne.mec.gov.br/alinhando-os-</w:t>
        </w:r>
      </w:hyperlink>
      <w:r>
        <w:rPr/>
        <w:t> planos-de-educacao/situacao-dos-planos-de-educacao</w:t>
      </w:r>
    </w:p>
    <w:p>
      <w:pPr>
        <w:pStyle w:val="BodyText"/>
      </w:pPr>
    </w:p>
    <w:p>
      <w:pPr>
        <w:pStyle w:val="BodyText"/>
        <w:ind w:left="102" w:right="115"/>
        <w:jc w:val="both"/>
      </w:pPr>
      <w:r>
        <w:rPr/>
        <w:t>RIO DOS BOIS. Câmara Municipal de Vereadores. </w:t>
      </w:r>
      <w:r>
        <w:rPr>
          <w:b/>
        </w:rPr>
        <w:t>Plano Municipal de Educação</w:t>
      </w:r>
      <w:r>
        <w:rPr/>
        <w:t>. Rio dos Bois,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5"/>
        <w:jc w:val="both"/>
      </w:pPr>
      <w:r>
        <w:rPr/>
        <w:t>RIO SONO. Câmara Municipal de Vereadores. </w:t>
      </w:r>
      <w:r>
        <w:rPr>
          <w:b/>
        </w:rPr>
        <w:t>Plano Municipal de Educação</w:t>
      </w:r>
      <w:r>
        <w:rPr/>
        <w:t>. Rio Sono, 2015. Disponível em </w:t>
      </w:r>
      <w:hyperlink r:id="rId137">
        <w:r>
          <w:rPr/>
          <w:t>http://pne.mec.gov.br/alinhando-os-planos-de-</w:t>
        </w:r>
      </w:hyperlink>
      <w:r>
        <w:rPr/>
        <w:t> educacao/situacao-dos-planos-de-educacao</w:t>
      </w:r>
    </w:p>
    <w:p>
      <w:pPr>
        <w:spacing w:after="0"/>
        <w:jc w:val="both"/>
        <w:sectPr>
          <w:pgSz w:w="11910" w:h="16840"/>
          <w:pgMar w:header="749" w:footer="0" w:top="960" w:bottom="280" w:left="1600" w:right="1580"/>
        </w:sectPr>
      </w:pPr>
    </w:p>
    <w:p>
      <w:pPr>
        <w:pStyle w:val="BodyText"/>
        <w:rPr>
          <w:sz w:val="20"/>
        </w:rPr>
      </w:pPr>
    </w:p>
    <w:p>
      <w:pPr>
        <w:pStyle w:val="BodyText"/>
        <w:rPr>
          <w:sz w:val="20"/>
        </w:rPr>
      </w:pPr>
    </w:p>
    <w:p>
      <w:pPr>
        <w:pStyle w:val="BodyText"/>
        <w:spacing w:before="1"/>
        <w:rPr>
          <w:sz w:val="22"/>
        </w:rPr>
      </w:pPr>
    </w:p>
    <w:p>
      <w:pPr>
        <w:pStyle w:val="BodyText"/>
        <w:ind w:left="102" w:right="117"/>
        <w:jc w:val="both"/>
      </w:pPr>
      <w:r>
        <w:rPr/>
        <w:t>SAMPAIO. Câmara Municipal de Vereadores. </w:t>
      </w:r>
      <w:r>
        <w:rPr>
          <w:b/>
        </w:rPr>
        <w:t>Plano Municipal de Educação</w:t>
      </w:r>
      <w:r>
        <w:rPr/>
        <w:t>. Sampaio, 2015. Disponível em </w:t>
      </w:r>
      <w:hyperlink r:id="rId137">
        <w:r>
          <w:rPr/>
          <w:t>http://pne.mec.gov.br/alinhando-os-planos-de-</w:t>
        </w:r>
      </w:hyperlink>
      <w:r>
        <w:rPr/>
        <w:t> educacao/situacao-dos-planos-de-educacao</w:t>
      </w:r>
    </w:p>
    <w:p>
      <w:pPr>
        <w:pStyle w:val="BodyText"/>
        <w:spacing w:before="10"/>
        <w:rPr>
          <w:sz w:val="23"/>
        </w:rPr>
      </w:pPr>
    </w:p>
    <w:p>
      <w:pPr>
        <w:pStyle w:val="BodyText"/>
        <w:ind w:left="102" w:right="115"/>
        <w:jc w:val="both"/>
      </w:pPr>
      <w:r>
        <w:rPr/>
        <w:t>SANDOLÂNDIA. Câmara Municipal de Vereadores. </w:t>
      </w:r>
      <w:r>
        <w:rPr>
          <w:b/>
        </w:rPr>
        <w:t>Plano Municipal de Educação</w:t>
      </w:r>
      <w:r>
        <w:rPr/>
        <w:t>. Sandolândia, 2015. Disponível em </w:t>
      </w:r>
      <w:hyperlink r:id="rId137">
        <w:r>
          <w:rPr/>
          <w:t>http://pne.mec.gov.br/alinhando-os-planos-de-</w:t>
        </w:r>
      </w:hyperlink>
      <w:r>
        <w:rPr/>
        <w:t> educacao/situacao-dos-planos-de-educacao</w:t>
      </w:r>
    </w:p>
    <w:p>
      <w:pPr>
        <w:pStyle w:val="BodyText"/>
        <w:spacing w:before="10"/>
        <w:rPr>
          <w:sz w:val="23"/>
        </w:rPr>
      </w:pPr>
    </w:p>
    <w:p>
      <w:pPr>
        <w:pStyle w:val="BodyText"/>
        <w:tabs>
          <w:tab w:pos="1368" w:val="left" w:leader="none"/>
          <w:tab w:pos="1818" w:val="left" w:leader="none"/>
          <w:tab w:pos="3090" w:val="left" w:leader="none"/>
          <w:tab w:pos="3835" w:val="left" w:leader="none"/>
          <w:tab w:pos="4621" w:val="left" w:leader="none"/>
          <w:tab w:pos="5074" w:val="left" w:leader="none"/>
          <w:tab w:pos="6291" w:val="left" w:leader="none"/>
          <w:tab w:pos="7046" w:val="left" w:leader="none"/>
          <w:tab w:pos="8312" w:val="left" w:leader="none"/>
        </w:tabs>
        <w:ind w:left="102" w:right="117"/>
      </w:pPr>
      <w:r>
        <w:rPr/>
        <w:t>SANTA MARIA DO TOCANTINS. Câmara Municipal de Vereadores. </w:t>
      </w:r>
      <w:r>
        <w:rPr>
          <w:b/>
        </w:rPr>
        <w:t>Plano Municipal</w:t>
        <w:tab/>
        <w:t>de</w:t>
        <w:tab/>
        <w:t>Educação</w:t>
      </w:r>
      <w:r>
        <w:rPr/>
        <w:t>.</w:t>
        <w:tab/>
        <w:t>Santa</w:t>
        <w:tab/>
        <w:t>Maria</w:t>
        <w:tab/>
        <w:t>do</w:t>
        <w:tab/>
        <w:t>Tocantins,</w:t>
        <w:tab/>
        <w:t>2015.</w:t>
        <w:tab/>
        <w:t>Disponível</w:t>
        <w:tab/>
        <w:t>em </w:t>
      </w:r>
      <w:hyperlink r:id="rId139">
        <w:r>
          <w:rPr/>
          <w:t>http://pne.mec.gov.br/alinhando-os-planos-de-educacao/situacao-dos-planos-de-</w:t>
        </w:r>
      </w:hyperlink>
      <w:r>
        <w:rPr/>
        <w:t> educacao</w:t>
      </w:r>
    </w:p>
    <w:p>
      <w:pPr>
        <w:pStyle w:val="BodyText"/>
        <w:spacing w:before="10"/>
        <w:rPr>
          <w:sz w:val="23"/>
        </w:rPr>
      </w:pPr>
    </w:p>
    <w:p>
      <w:pPr>
        <w:pStyle w:val="BodyText"/>
        <w:tabs>
          <w:tab w:pos="732" w:val="left" w:leader="none"/>
          <w:tab w:pos="2184" w:val="left" w:leader="none"/>
          <w:tab w:pos="3110" w:val="left" w:leader="none"/>
          <w:tab w:pos="3901" w:val="left" w:leader="none"/>
          <w:tab w:pos="4532" w:val="left" w:leader="none"/>
          <w:tab w:pos="5933" w:val="left" w:leader="none"/>
          <w:tab w:pos="6868" w:val="left" w:leader="none"/>
          <w:tab w:pos="8315" w:val="left" w:leader="none"/>
        </w:tabs>
        <w:ind w:left="102" w:right="116"/>
      </w:pPr>
      <w:r>
        <w:rPr/>
        <w:t>SANTA RITA DO TOCANTINS. Câmara Municipal de Vereadores. </w:t>
      </w:r>
      <w:r>
        <w:rPr>
          <w:b/>
        </w:rPr>
        <w:t>Plano Municipal de</w:t>
        <w:tab/>
        <w:t>Educação</w:t>
      </w:r>
      <w:r>
        <w:rPr/>
        <w:t>.</w:t>
        <w:tab/>
        <w:t>Santa</w:t>
        <w:tab/>
        <w:t>Rita</w:t>
        <w:tab/>
        <w:t>do</w:t>
        <w:tab/>
        <w:t>Tocantins,</w:t>
        <w:tab/>
        <w:t>2015.</w:t>
        <w:tab/>
        <w:t>Disponível</w:t>
        <w:tab/>
        <w:t>em </w:t>
      </w:r>
      <w:hyperlink r:id="rId139">
        <w:r>
          <w:rPr/>
          <w:t>http://pne.mec.gov.br/alinhando-os-planos-de-educacao/situacao-dos-planos-de-</w:t>
        </w:r>
      </w:hyperlink>
      <w:r>
        <w:rPr/>
        <w:t> educacao</w:t>
      </w:r>
    </w:p>
    <w:p>
      <w:pPr>
        <w:pStyle w:val="BodyText"/>
        <w:spacing w:before="10"/>
        <w:rPr>
          <w:sz w:val="23"/>
        </w:rPr>
      </w:pPr>
    </w:p>
    <w:p>
      <w:pPr>
        <w:pStyle w:val="BodyText"/>
        <w:tabs>
          <w:tab w:pos="723" w:val="left" w:leader="none"/>
          <w:tab w:pos="2165" w:val="left" w:leader="none"/>
          <w:tab w:pos="3079" w:val="left" w:leader="none"/>
          <w:tab w:pos="3940" w:val="left" w:leader="none"/>
          <w:tab w:pos="4562" w:val="left" w:leader="none"/>
          <w:tab w:pos="5953" w:val="left" w:leader="none"/>
          <w:tab w:pos="6878" w:val="left" w:leader="none"/>
          <w:tab w:pos="8312" w:val="left" w:leader="none"/>
        </w:tabs>
        <w:ind w:left="102" w:right="117"/>
      </w:pPr>
      <w:r>
        <w:rPr/>
        <w:t>SANTA ROSA DO TOCANTINS. Câmara Municipal de Vereadores. </w:t>
      </w:r>
      <w:r>
        <w:rPr>
          <w:b/>
        </w:rPr>
        <w:t>Plano Municipal de</w:t>
        <w:tab/>
        <w:t>Educação</w:t>
      </w:r>
      <w:r>
        <w:rPr/>
        <w:t>.</w:t>
        <w:tab/>
        <w:t>Santa</w:t>
        <w:tab/>
        <w:t>Rosa</w:t>
        <w:tab/>
        <w:t>do</w:t>
        <w:tab/>
        <w:t>Tocantins,</w:t>
        <w:tab/>
        <w:t>2015.</w:t>
        <w:tab/>
        <w:t>Disponível</w:t>
        <w:tab/>
        <w:t>em </w:t>
      </w:r>
      <w:hyperlink r:id="rId139">
        <w:r>
          <w:rPr/>
          <w:t>http://pne.mec.gov.br/alinhando-os-planos-de-educacao/situacao-dos-planos-de-</w:t>
        </w:r>
      </w:hyperlink>
      <w:r>
        <w:rPr/>
        <w:t> educacao</w:t>
      </w:r>
    </w:p>
    <w:p>
      <w:pPr>
        <w:pStyle w:val="BodyText"/>
        <w:spacing w:before="10"/>
        <w:rPr>
          <w:sz w:val="23"/>
        </w:rPr>
      </w:pPr>
    </w:p>
    <w:p>
      <w:pPr>
        <w:pStyle w:val="BodyText"/>
        <w:tabs>
          <w:tab w:pos="1358" w:val="left" w:leader="none"/>
          <w:tab w:pos="1802" w:val="left" w:leader="none"/>
          <w:tab w:pos="3066" w:val="left" w:leader="none"/>
          <w:tab w:pos="3802" w:val="left" w:leader="none"/>
          <w:tab w:pos="4656" w:val="left" w:leader="none"/>
          <w:tab w:pos="5102" w:val="left" w:leader="none"/>
          <w:tab w:pos="6311" w:val="left" w:leader="none"/>
          <w:tab w:pos="7058" w:val="left" w:leader="none"/>
          <w:tab w:pos="8315" w:val="left" w:leader="none"/>
        </w:tabs>
        <w:ind w:left="102" w:right="116"/>
      </w:pPr>
      <w:r>
        <w:rPr/>
        <w:t>SANTA TEREZA DO TOCANTINS. Câmara Municipal de Vereadores. </w:t>
      </w:r>
      <w:r>
        <w:rPr>
          <w:b/>
        </w:rPr>
        <w:t>Plano Municipal</w:t>
        <w:tab/>
        <w:t>de</w:t>
        <w:tab/>
        <w:t>Educação</w:t>
      </w:r>
      <w:r>
        <w:rPr/>
        <w:t>.</w:t>
        <w:tab/>
        <w:t>Santa</w:t>
        <w:tab/>
        <w:t>Tereza</w:t>
        <w:tab/>
        <w:t>do</w:t>
        <w:tab/>
        <w:t>Tocantins,</w:t>
        <w:tab/>
        <w:t>2015.</w:t>
        <w:tab/>
        <w:t>Disponível</w:t>
        <w:tab/>
        <w:t>em </w:t>
      </w:r>
      <w:hyperlink r:id="rId139">
        <w:r>
          <w:rPr/>
          <w:t>http://pne.mec.gov.br/alinhando-os-planos-de-educacao/situacao-dos-planos-de-</w:t>
        </w:r>
      </w:hyperlink>
      <w:r>
        <w:rPr/>
        <w:t> educacao</w:t>
      </w:r>
    </w:p>
    <w:p>
      <w:pPr>
        <w:pStyle w:val="BodyText"/>
        <w:spacing w:before="11"/>
        <w:rPr>
          <w:sz w:val="23"/>
        </w:rPr>
      </w:pPr>
    </w:p>
    <w:p>
      <w:pPr>
        <w:pStyle w:val="BodyText"/>
        <w:ind w:left="102" w:right="116"/>
      </w:pPr>
      <w:r>
        <w:rPr/>
        <w:t>SANTA TEREZINHA DO TOCANTINS. Câmara Municipal de Vereadores. </w:t>
      </w:r>
      <w:r>
        <w:rPr>
          <w:b/>
        </w:rPr>
        <w:t>Plano Municipal de Educação</w:t>
      </w:r>
      <w:r>
        <w:rPr/>
        <w:t>. Santa Terezinha do Tocantins, 2015. Disponível em </w:t>
      </w:r>
      <w:hyperlink r:id="rId139">
        <w:r>
          <w:rPr/>
          <w:t>http://pne.mec.gov.br/alinhando-os-planos-de-educacao/situacao-dos-planos-de-</w:t>
        </w:r>
      </w:hyperlink>
      <w:r>
        <w:rPr/>
        <w:t> educacao</w:t>
      </w:r>
    </w:p>
    <w:p>
      <w:pPr>
        <w:pStyle w:val="BodyText"/>
        <w:spacing w:before="11"/>
        <w:rPr>
          <w:sz w:val="23"/>
        </w:rPr>
      </w:pPr>
    </w:p>
    <w:p>
      <w:pPr>
        <w:pStyle w:val="BodyText"/>
        <w:tabs>
          <w:tab w:pos="732" w:val="left" w:leader="none"/>
          <w:tab w:pos="2184" w:val="left" w:leader="none"/>
          <w:tab w:pos="2937" w:val="left" w:leader="none"/>
          <w:tab w:pos="3902" w:val="left" w:leader="none"/>
          <w:tab w:pos="4533" w:val="left" w:leader="none"/>
          <w:tab w:pos="5933" w:val="left" w:leader="none"/>
          <w:tab w:pos="6868" w:val="left" w:leader="none"/>
          <w:tab w:pos="8315" w:val="left" w:leader="none"/>
        </w:tabs>
        <w:ind w:left="102" w:right="116"/>
      </w:pPr>
      <w:r>
        <w:rPr/>
        <w:t>SÃO BENTO DO TOCANTINS. Câmara Municipal de Vereadores. </w:t>
      </w:r>
      <w:r>
        <w:rPr>
          <w:b/>
        </w:rPr>
        <w:t>Plano Municipal de</w:t>
        <w:tab/>
        <w:t>Educação</w:t>
      </w:r>
      <w:r>
        <w:rPr/>
        <w:t>.</w:t>
        <w:tab/>
        <w:t>São</w:t>
        <w:tab/>
        <w:t>Bento</w:t>
        <w:tab/>
        <w:t>do</w:t>
        <w:tab/>
        <w:t>Tocantins,</w:t>
        <w:tab/>
        <w:t>2015.</w:t>
        <w:tab/>
        <w:t>Disponível</w:t>
        <w:tab/>
        <w:t>em </w:t>
      </w:r>
      <w:hyperlink r:id="rId139">
        <w:r>
          <w:rPr/>
          <w:t>http://pne.mec.gov.br/alinhando-os-planos-de-educacao/situacao-dos-planos-de-</w:t>
        </w:r>
      </w:hyperlink>
      <w:r>
        <w:rPr/>
        <w:t> educacao</w:t>
      </w:r>
    </w:p>
    <w:p>
      <w:pPr>
        <w:pStyle w:val="BodyText"/>
        <w:spacing w:before="11"/>
        <w:rPr>
          <w:sz w:val="23"/>
        </w:rPr>
      </w:pPr>
    </w:p>
    <w:p>
      <w:pPr>
        <w:pStyle w:val="BodyText"/>
        <w:tabs>
          <w:tab w:pos="744" w:val="left" w:leader="none"/>
          <w:tab w:pos="2208" w:val="left" w:leader="none"/>
          <w:tab w:pos="2969" w:val="left" w:leader="none"/>
          <w:tab w:pos="3866" w:val="left" w:leader="none"/>
          <w:tab w:pos="4506" w:val="left" w:leader="none"/>
          <w:tab w:pos="5914" w:val="left" w:leader="none"/>
          <w:tab w:pos="6861" w:val="left" w:leader="none"/>
          <w:tab w:pos="8315" w:val="left" w:leader="none"/>
        </w:tabs>
        <w:ind w:left="102" w:right="116"/>
      </w:pPr>
      <w:r>
        <w:rPr/>
        <w:t>SÃO FÉLIX DO TOCANTINS. Câmara Municipal de Vereadores. </w:t>
      </w:r>
      <w:r>
        <w:rPr>
          <w:b/>
        </w:rPr>
        <w:t>Plano Municipal  de</w:t>
        <w:tab/>
        <w:t>Educação</w:t>
      </w:r>
      <w:r>
        <w:rPr/>
        <w:t>.</w:t>
        <w:tab/>
        <w:t>São</w:t>
        <w:tab/>
        <w:t>Félix</w:t>
        <w:tab/>
        <w:t>do</w:t>
        <w:tab/>
        <w:t>Tocantins,</w:t>
        <w:tab/>
        <w:t>2015.</w:t>
        <w:tab/>
        <w:t>Disponível</w:t>
        <w:tab/>
        <w:t>em </w:t>
      </w:r>
      <w:hyperlink r:id="rId139">
        <w:r>
          <w:rPr/>
          <w:t>http://pne.mec.gov.br/alinhando-os-planos-de-educacao/situacao-dos-planos-de-</w:t>
        </w:r>
      </w:hyperlink>
      <w:r>
        <w:rPr/>
        <w:t> educacao</w:t>
      </w:r>
    </w:p>
    <w:p>
      <w:pPr>
        <w:pStyle w:val="BodyText"/>
        <w:spacing w:before="11"/>
        <w:rPr>
          <w:sz w:val="23"/>
        </w:rPr>
      </w:pPr>
    </w:p>
    <w:p>
      <w:pPr>
        <w:pStyle w:val="BodyText"/>
        <w:tabs>
          <w:tab w:pos="718" w:val="left" w:leader="none"/>
          <w:tab w:pos="2156" w:val="left" w:leader="none"/>
          <w:tab w:pos="2892" w:val="left" w:leader="none"/>
          <w:tab w:pos="3959" w:val="left" w:leader="none"/>
          <w:tab w:pos="4578" w:val="left" w:leader="none"/>
          <w:tab w:pos="5962" w:val="left" w:leader="none"/>
          <w:tab w:pos="6882" w:val="left" w:leader="none"/>
          <w:tab w:pos="8312" w:val="left" w:leader="none"/>
        </w:tabs>
        <w:ind w:left="102" w:right="117"/>
      </w:pPr>
      <w:r>
        <w:rPr/>
        <w:t>SÃO MIGUEL DO TOCANTINS. Câmara Municipal de Vereadores. </w:t>
      </w:r>
      <w:r>
        <w:rPr>
          <w:b/>
        </w:rPr>
        <w:t>Plano Municipal de</w:t>
        <w:tab/>
        <w:t>Educação</w:t>
      </w:r>
      <w:r>
        <w:rPr/>
        <w:t>.</w:t>
        <w:tab/>
        <w:t>São</w:t>
        <w:tab/>
        <w:t>Miguel</w:t>
        <w:tab/>
        <w:t>do</w:t>
        <w:tab/>
        <w:t>Tocantins,</w:t>
        <w:tab/>
        <w:t>2015.</w:t>
        <w:tab/>
        <w:t>Disponível</w:t>
        <w:tab/>
        <w:t>em </w:t>
      </w:r>
      <w:hyperlink r:id="rId139">
        <w:r>
          <w:rPr/>
          <w:t>http://pne.mec.gov.br/alinhando-os-planos-de-educacao/situacao-dos-planos-de-</w:t>
        </w:r>
      </w:hyperlink>
      <w:r>
        <w:rPr/>
        <w:t> educacao</w:t>
      </w:r>
    </w:p>
    <w:p>
      <w:pPr>
        <w:spacing w:after="0"/>
        <w:sectPr>
          <w:pgSz w:w="11910" w:h="16840"/>
          <w:pgMar w:header="749" w:footer="0" w:top="960" w:bottom="280" w:left="1600" w:right="1580"/>
        </w:sectPr>
      </w:pPr>
    </w:p>
    <w:p>
      <w:pPr>
        <w:pStyle w:val="BodyText"/>
        <w:rPr>
          <w:sz w:val="20"/>
        </w:rPr>
      </w:pPr>
    </w:p>
    <w:p>
      <w:pPr>
        <w:pStyle w:val="BodyText"/>
        <w:spacing w:before="208"/>
        <w:ind w:left="102" w:right="116"/>
        <w:jc w:val="both"/>
      </w:pPr>
      <w:r>
        <w:rPr/>
        <w:t>SÃO SALVADOR. Câmara Municipal de Vereadores. </w:t>
      </w:r>
      <w:r>
        <w:rPr>
          <w:b/>
        </w:rPr>
        <w:t>Plano Municipal de Educação</w:t>
      </w:r>
      <w:r>
        <w:rPr/>
        <w:t>. São Salvador,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6"/>
        <w:jc w:val="both"/>
      </w:pPr>
      <w:r>
        <w:rPr/>
        <w:t>SÃO SEBASTIÃO. Câmara Municipal de Vereadores. </w:t>
      </w:r>
      <w:r>
        <w:rPr>
          <w:b/>
        </w:rPr>
        <w:t>Plano Municipal de Educação</w:t>
      </w:r>
      <w:r>
        <w:rPr/>
        <w:t>. São Sebastião,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5"/>
        <w:jc w:val="both"/>
      </w:pPr>
      <w:r>
        <w:rPr/>
        <w:t>SÃO VALÉRIO. Câmara Municipal de Vereadores. </w:t>
      </w:r>
      <w:r>
        <w:rPr>
          <w:b/>
        </w:rPr>
        <w:t>Plano Municipal de Educação</w:t>
      </w:r>
      <w:r>
        <w:rPr/>
        <w:t>. São Valério,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5"/>
        <w:jc w:val="both"/>
      </w:pPr>
      <w:r>
        <w:rPr/>
        <w:t>SILVANÓPOLIS. Câmara Municipal de Vereadores. </w:t>
      </w:r>
      <w:r>
        <w:rPr>
          <w:b/>
        </w:rPr>
        <w:t>Plano Municipal de Educação</w:t>
      </w:r>
      <w:r>
        <w:rPr/>
        <w:t>. Silvanópolis, 2015. Disponível em </w:t>
      </w:r>
      <w:hyperlink r:id="rId137">
        <w:r>
          <w:rPr/>
          <w:t>http://pne.mec.gov.br/alinhando-os-planos-de-</w:t>
        </w:r>
      </w:hyperlink>
      <w:r>
        <w:rPr/>
        <w:t> educacao/situacao-dos-planos-de-educacao</w:t>
      </w:r>
    </w:p>
    <w:p>
      <w:pPr>
        <w:pStyle w:val="BodyText"/>
      </w:pPr>
    </w:p>
    <w:p>
      <w:pPr>
        <w:pStyle w:val="BodyText"/>
        <w:tabs>
          <w:tab w:pos="727" w:val="left" w:leader="none"/>
          <w:tab w:pos="2175" w:val="left" w:leader="none"/>
          <w:tab w:pos="3012" w:val="left" w:leader="none"/>
          <w:tab w:pos="3931" w:val="left" w:leader="none"/>
          <w:tab w:pos="4557" w:val="left" w:leader="none"/>
          <w:tab w:pos="5949" w:val="left" w:leader="none"/>
          <w:tab w:pos="6878" w:val="left" w:leader="none"/>
          <w:tab w:pos="8315" w:val="left" w:leader="none"/>
        </w:tabs>
        <w:ind w:left="102" w:right="116"/>
      </w:pPr>
      <w:r>
        <w:rPr/>
        <w:t>SITIO NOVO DO TOCANTINS. Câmara Municipal de Vereadores. </w:t>
      </w:r>
      <w:r>
        <w:rPr>
          <w:b/>
        </w:rPr>
        <w:t>Plano Municipal de</w:t>
        <w:tab/>
        <w:t>Educação</w:t>
      </w:r>
      <w:r>
        <w:rPr/>
        <w:t>.</w:t>
        <w:tab/>
        <w:t>Sitio</w:t>
        <w:tab/>
        <w:t>Novo</w:t>
        <w:tab/>
        <w:t>do</w:t>
        <w:tab/>
        <w:t>Tocantins,</w:t>
        <w:tab/>
        <w:t>2015.</w:t>
        <w:tab/>
        <w:t>Disponível</w:t>
        <w:tab/>
        <w:t>em </w:t>
      </w:r>
      <w:hyperlink r:id="rId139">
        <w:r>
          <w:rPr/>
          <w:t>http://pne.mec.gov.br/alinhando-os-planos-de-educacao/situacao-dos-planos-de-</w:t>
        </w:r>
      </w:hyperlink>
      <w:r>
        <w:rPr/>
        <w:t> educacao</w:t>
      </w:r>
    </w:p>
    <w:p>
      <w:pPr>
        <w:pStyle w:val="BodyText"/>
        <w:spacing w:before="11"/>
        <w:rPr>
          <w:sz w:val="23"/>
        </w:rPr>
      </w:pPr>
    </w:p>
    <w:p>
      <w:pPr>
        <w:pStyle w:val="BodyText"/>
        <w:ind w:left="102" w:right="115"/>
        <w:jc w:val="both"/>
      </w:pPr>
      <w:r>
        <w:rPr/>
        <w:t>SUCUPIRA. Câmara Municipal de Vereadores. </w:t>
      </w:r>
      <w:r>
        <w:rPr>
          <w:b/>
        </w:rPr>
        <w:t>Plano Municipal de Educação</w:t>
      </w:r>
      <w:r>
        <w:rPr/>
        <w:t>. Sucupira,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5"/>
        <w:jc w:val="both"/>
      </w:pPr>
      <w:r>
        <w:rPr/>
        <w:t>TAGUATINGA. Câmara Municipal de Vereadores. </w:t>
      </w:r>
      <w:r>
        <w:rPr>
          <w:b/>
        </w:rPr>
        <w:t>Plano Municipal de Educação</w:t>
      </w:r>
      <w:r>
        <w:rPr/>
        <w:t>. Taguatinga,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6"/>
        <w:jc w:val="both"/>
      </w:pPr>
      <w:r>
        <w:rPr/>
        <w:t>TAIPAS. Câmara Municipal de Vereadores. </w:t>
      </w:r>
      <w:r>
        <w:rPr>
          <w:b/>
        </w:rPr>
        <w:t>Plano Municipal de Educação</w:t>
      </w:r>
      <w:r>
        <w:rPr/>
        <w:t>. Taipas, 2015. Disponível em </w:t>
      </w:r>
      <w:hyperlink r:id="rId140">
        <w:r>
          <w:rPr/>
          <w:t>http://pne.mec.gov.br/alinhando-os-planos-de-educacao/situacao-</w:t>
        </w:r>
      </w:hyperlink>
      <w:r>
        <w:rPr/>
        <w:t> dos-planos-de-educacao</w:t>
      </w:r>
    </w:p>
    <w:p>
      <w:pPr>
        <w:pStyle w:val="BodyText"/>
        <w:spacing w:before="11"/>
        <w:rPr>
          <w:sz w:val="23"/>
        </w:rPr>
      </w:pPr>
    </w:p>
    <w:p>
      <w:pPr>
        <w:pStyle w:val="BodyText"/>
        <w:ind w:left="102" w:right="115"/>
        <w:jc w:val="both"/>
      </w:pPr>
      <w:r>
        <w:rPr/>
        <w:t>TALISMÃ. Câmara Municipal de Vereadores. </w:t>
      </w:r>
      <w:r>
        <w:rPr>
          <w:b/>
        </w:rPr>
        <w:t>Plano Municipal de Educação</w:t>
      </w:r>
      <w:r>
        <w:rPr/>
        <w:t>. Talismã,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5"/>
        <w:jc w:val="both"/>
      </w:pPr>
      <w:r>
        <w:rPr/>
        <w:t>TOCANTÍNIA. Câmara Municipal de Vereadores. </w:t>
      </w:r>
      <w:r>
        <w:rPr>
          <w:b/>
        </w:rPr>
        <w:t>Plano Municipal de Educação</w:t>
      </w:r>
      <w:r>
        <w:rPr/>
        <w:t>. Tocantínia, 2015. Disponível em </w:t>
      </w:r>
      <w:hyperlink r:id="rId137">
        <w:r>
          <w:rPr/>
          <w:t>http://pne.mec.gov.br/alinhando-os-planos-de-</w:t>
        </w:r>
      </w:hyperlink>
      <w:r>
        <w:rPr/>
        <w:t> educacao/situacao-dos-planos-de-educacao</w:t>
      </w:r>
    </w:p>
    <w:p>
      <w:pPr>
        <w:pStyle w:val="BodyText"/>
        <w:spacing w:before="11"/>
        <w:rPr>
          <w:sz w:val="23"/>
        </w:rPr>
      </w:pPr>
    </w:p>
    <w:p>
      <w:pPr>
        <w:pStyle w:val="BodyText"/>
        <w:ind w:left="102" w:right="116"/>
        <w:jc w:val="both"/>
      </w:pPr>
      <w:r>
        <w:rPr/>
        <w:t>TOCANTINÓPOLIS. Câmara Municipal de Vereadores. </w:t>
      </w:r>
      <w:r>
        <w:rPr>
          <w:b/>
        </w:rPr>
        <w:t>Plano Municipal de Educação</w:t>
      </w:r>
      <w:r>
        <w:rPr/>
        <w:t>. Tocantinópolis, 2015. Disponível em </w:t>
      </w:r>
      <w:hyperlink r:id="rId138">
        <w:r>
          <w:rPr/>
          <w:t>http://pne.mec.gov.br/alinhando-os-</w:t>
        </w:r>
      </w:hyperlink>
      <w:r>
        <w:rPr/>
        <w:t> planos-de-educacao/situacao-dos-planos-de-educacao</w:t>
      </w:r>
    </w:p>
    <w:p>
      <w:pPr>
        <w:pStyle w:val="BodyText"/>
        <w:spacing w:before="11"/>
        <w:rPr>
          <w:sz w:val="23"/>
        </w:rPr>
      </w:pPr>
    </w:p>
    <w:p>
      <w:pPr>
        <w:pStyle w:val="BodyText"/>
        <w:ind w:left="102" w:right="115"/>
        <w:jc w:val="both"/>
      </w:pPr>
      <w:r>
        <w:rPr/>
        <w:t>TUPIRATINS. Câmara Municipal de Vereadores. </w:t>
      </w:r>
      <w:r>
        <w:rPr>
          <w:b/>
        </w:rPr>
        <w:t>Plano Municipal de Educação</w:t>
      </w:r>
      <w:r>
        <w:rPr/>
        <w:t>. Tupiratins, 2015. Disponível em </w:t>
      </w:r>
      <w:hyperlink r:id="rId137">
        <w:r>
          <w:rPr/>
          <w:t>http://pne.mec.gov.br/alinhando-os-planos-de-</w:t>
        </w:r>
      </w:hyperlink>
      <w:r>
        <w:rPr/>
        <w:t> educacao/situacao-dos-planos-de-educacao</w:t>
      </w:r>
    </w:p>
    <w:p>
      <w:pPr>
        <w:spacing w:after="0"/>
        <w:jc w:val="both"/>
        <w:sectPr>
          <w:pgSz w:w="11910" w:h="16840"/>
          <w:pgMar w:header="749" w:footer="0" w:top="960" w:bottom="280" w:left="1600" w:right="1580"/>
        </w:sectPr>
      </w:pPr>
    </w:p>
    <w:p>
      <w:pPr>
        <w:pStyle w:val="BodyText"/>
        <w:rPr>
          <w:sz w:val="20"/>
        </w:rPr>
      </w:pPr>
    </w:p>
    <w:p>
      <w:pPr>
        <w:pStyle w:val="BodyText"/>
        <w:spacing w:before="208"/>
        <w:ind w:left="102" w:right="116"/>
        <w:jc w:val="both"/>
      </w:pPr>
      <w:r>
        <w:rPr/>
        <w:t>WANDERLÂNDIA. Câmara Municipal de Vereadores. </w:t>
      </w:r>
      <w:r>
        <w:rPr>
          <w:b/>
        </w:rPr>
        <w:t>Plano Municipal de Educação</w:t>
      </w:r>
      <w:r>
        <w:rPr/>
        <w:t>. Wanderlândia, 2015. Disponível em </w:t>
      </w:r>
      <w:hyperlink r:id="rId138">
        <w:r>
          <w:rPr/>
          <w:t>http://pne.mec.gov.br/alinhando-os-</w:t>
        </w:r>
      </w:hyperlink>
      <w:r>
        <w:rPr/>
        <w:t> planos-de-educacao/situacao-dos-planos-de-educacao</w:t>
      </w:r>
    </w:p>
    <w:p>
      <w:pPr>
        <w:pStyle w:val="BodyText"/>
        <w:spacing w:before="11"/>
        <w:rPr>
          <w:sz w:val="23"/>
        </w:rPr>
      </w:pPr>
    </w:p>
    <w:p>
      <w:pPr>
        <w:pStyle w:val="BodyText"/>
        <w:ind w:left="102" w:right="117"/>
        <w:jc w:val="both"/>
      </w:pPr>
      <w:r>
        <w:rPr/>
        <w:t>XAMBIOÁ. Câmara Municipal de Vereadores. </w:t>
      </w:r>
      <w:r>
        <w:rPr>
          <w:b/>
        </w:rPr>
        <w:t>Plano Municipal de Educação</w:t>
      </w:r>
      <w:r>
        <w:rPr/>
        <w:t>. Xambioá, 2015. Disponível em </w:t>
      </w:r>
      <w:hyperlink r:id="rId137">
        <w:r>
          <w:rPr/>
          <w:t>http://pne.mec.gov.br/alinhando-os-planos-de-</w:t>
        </w:r>
      </w:hyperlink>
      <w:r>
        <w:rPr/>
        <w:t> educacao/situacao-dos-planos-de-educacao</w:t>
      </w:r>
    </w:p>
    <w:sectPr>
      <w:pgSz w:w="11910" w:h="16840"/>
      <w:pgMar w:header="749" w:footer="0" w:top="96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Math">
    <w:altName w:val="Cambria Math"/>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25.009995pt;margin-top:70.266624pt;width:145.25pt;height:15.3pt;mso-position-horizontal-relative:page;mso-position-vertical-relative:page;z-index:-365008" type="#_x0000_t202" filled="false" stroked="false">
          <v:textbox inset="0,0,0,0">
            <w:txbxContent>
              <w:p>
                <w:pPr>
                  <w:spacing w:before="10"/>
                  <w:ind w:left="20" w:right="0" w:firstLine="0"/>
                  <w:jc w:val="left"/>
                  <w:rPr>
                    <w:b/>
                    <w:sz w:val="24"/>
                  </w:rPr>
                </w:pPr>
                <w:r>
                  <w:rPr>
                    <w:b/>
                    <w:sz w:val="24"/>
                  </w:rPr>
                  <w:t>FOLHA DE APROVAÇÃO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369995pt;margin-top:70.146622pt;width:120.75pt;height:15.3pt;mso-position-horizontal-relative:page;mso-position-vertical-relative:page;z-index:-364888" type="#_x0000_t202" filled="false" stroked="false">
          <v:textbox inset="0,0,0,0">
            <w:txbxContent>
              <w:p>
                <w:pPr>
                  <w:spacing w:before="10"/>
                  <w:ind w:left="20" w:right="0" w:firstLine="0"/>
                  <w:jc w:val="left"/>
                  <w:rPr>
                    <w:b/>
                    <w:sz w:val="24"/>
                  </w:rPr>
                </w:pPr>
                <w:r>
                  <w:rPr>
                    <w:b/>
                    <w:sz w:val="24"/>
                  </w:rPr>
                  <w:t>LISTA DE QUADROS</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289993pt;margin-top:70.146622pt;width:116.75pt;height:15.3pt;mso-position-horizontal-relative:page;mso-position-vertical-relative:page;z-index:-364864" type="#_x0000_t202" filled="false" stroked="false">
          <v:textbox inset="0,0,0,0">
            <w:txbxContent>
              <w:p>
                <w:pPr>
                  <w:spacing w:before="10"/>
                  <w:ind w:left="20" w:right="0" w:firstLine="0"/>
                  <w:jc w:val="left"/>
                  <w:rPr>
                    <w:b/>
                    <w:sz w:val="24"/>
                  </w:rPr>
                </w:pPr>
                <w:r>
                  <w:rPr>
                    <w:b/>
                    <w:sz w:val="24"/>
                  </w:rPr>
                  <w:t>LISTA DE TABELAS</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369995pt;margin-top:70.146622pt;width:114.6pt;height:15.3pt;mso-position-horizontal-relative:page;mso-position-vertical-relative:page;z-index:-364840" type="#_x0000_t202" filled="false" stroked="false">
          <v:textbox inset="0,0,0,0">
            <w:txbxContent>
              <w:p>
                <w:pPr>
                  <w:spacing w:before="10"/>
                  <w:ind w:left="20" w:right="0" w:firstLine="0"/>
                  <w:jc w:val="left"/>
                  <w:rPr>
                    <w:b/>
                    <w:sz w:val="24"/>
                  </w:rPr>
                </w:pPr>
                <w:r>
                  <w:rPr>
                    <w:b/>
                    <w:sz w:val="24"/>
                  </w:rPr>
                  <w:t>LISTA DE FIGURAS</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7.730011pt;margin-top:70.146622pt;width:59.95pt;height:15.3pt;mso-position-horizontal-relative:page;mso-position-vertical-relative:page;z-index:-364816" type="#_x0000_t202" filled="false" stroked="false">
          <v:textbox inset="0,0,0,0">
            <w:txbxContent>
              <w:p>
                <w:pPr>
                  <w:spacing w:before="10"/>
                  <w:ind w:left="20" w:right="0" w:firstLine="0"/>
                  <w:jc w:val="left"/>
                  <w:rPr>
                    <w:b/>
                    <w:sz w:val="24"/>
                  </w:rPr>
                </w:pPr>
                <w:r>
                  <w:rPr>
                    <w:b/>
                    <w:sz w:val="24"/>
                  </w:rPr>
                  <w:t>SUMÁRIO</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36.439983pt;width:15.3pt;height:13.05pt;mso-position-horizontal-relative:page;mso-position-vertical-relative:page;z-index:-3647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w:t>
                </w:r>
                <w:r>
                  <w:rPr/>
                  <w:fldChar w:fldCharType="end"/>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36.439983pt;width:13.3pt;height:13.05pt;mso-position-horizontal-relative:page;mso-position-vertical-relative:page;z-index:-364768"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36.439983pt;width:15.3pt;height:13.05pt;mso-position-horizontal-relative:page;mso-position-vertical-relative:page;z-index:-3647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36.439983pt;width:13.3pt;height:13.05pt;mso-position-horizontal-relative:page;mso-position-vertical-relative:page;z-index:-36472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36.439983pt;width:15.3pt;height:13.05pt;mso-position-horizontal-relative:page;mso-position-vertical-relative:page;z-index:-364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36.439983pt;width:13.3pt;height:13.05pt;mso-position-horizontal-relative:page;mso-position-vertical-relative:page;z-index:-364672"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36.439983pt;width:15.3pt;height:13.05pt;mso-position-horizontal-relative:page;mso-position-vertical-relative:page;z-index:-364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36.439983pt;width:13.3pt;height:13.05pt;mso-position-horizontal-relative:page;mso-position-vertical-relative:page;z-index:-364624"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36.439983pt;width:15.3pt;height:13.05pt;mso-position-horizontal-relative:page;mso-position-vertical-relative:page;z-index:-364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36.439983pt;width:13.3pt;height:13.05pt;mso-position-horizontal-relative:page;mso-position-vertical-relative:page;z-index:-364576"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36.439983pt;width:15.3pt;height:13.05pt;mso-position-horizontal-relative:page;mso-position-vertical-relative:page;z-index:-3645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36.439983pt;width:13.3pt;height:13.05pt;mso-position-horizontal-relative:page;mso-position-vertical-relative:page;z-index:-364528"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36.439983pt;width:15.3pt;height:13.05pt;mso-position-horizontal-relative:page;mso-position-vertical-relative:page;z-index:-364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36.439983pt;width:13.3pt;height:13.05pt;mso-position-horizontal-relative:page;mso-position-vertical-relative:page;z-index:-364480"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970001pt;margin-top:70.266624pt;width:119.3pt;height:15.3pt;mso-position-horizontal-relative:page;mso-position-vertical-relative:page;z-index:-364984" type="#_x0000_t202" filled="false" stroked="false">
          <v:textbox inset="0,0,0,0">
            <w:txbxContent>
              <w:p>
                <w:pPr>
                  <w:spacing w:before="10"/>
                  <w:ind w:left="20" w:right="0" w:firstLine="0"/>
                  <w:jc w:val="left"/>
                  <w:rPr>
                    <w:b/>
                    <w:sz w:val="24"/>
                  </w:rPr>
                </w:pPr>
                <w:r>
                  <w:rPr>
                    <w:b/>
                    <w:sz w:val="24"/>
                  </w:rPr>
                  <w:t>AGRADECIMENTOS</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36.439983pt;width:15.3pt;height:13.05pt;mso-position-horizontal-relative:page;mso-position-vertical-relative:page;z-index:-364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36.439983pt;width:13.3pt;height:13.05pt;mso-position-horizontal-relative:page;mso-position-vertical-relative:page;z-index:-364432"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36.439983pt;width:15.3pt;height:13.05pt;mso-position-horizontal-relative:page;mso-position-vertical-relative:page;z-index:-3644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36.439983pt;width:20.75pt;height:13.05pt;mso-position-horizontal-relative:page;mso-position-vertical-relative:page;z-index:-364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36.439983pt;width:20.75pt;height:13.05pt;mso-position-horizontal-relative:page;mso-position-vertical-relative:page;z-index:-364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36.439983pt;width:20.75pt;height:13.05pt;mso-position-horizontal-relative:page;mso-position-vertical-relative:page;z-index:-3643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2.419983pt;margin-top:36.440006pt;width:19.75pt;height:13.05pt;mso-position-horizontal-relative:page;mso-position-vertical-relative:page;z-index:-364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w:t>
                </w:r>
                <w:r>
                  <w:rPr/>
                  <w:fldChar w:fldCharType="end"/>
                </w:r>
                <w:r>
                  <w:rPr>
                    <w:rFonts w:ascii="Calibri"/>
                    <w:sz w:val="22"/>
                  </w:rPr>
                  <w:t>9</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2.419983pt;margin-top:36.440006pt;width:19.75pt;height:13.05pt;mso-position-horizontal-relative:page;mso-position-vertical-relative:page;z-index:-3642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w:t>
                </w:r>
                <w:r>
                  <w:rPr/>
                  <w:fldChar w:fldCharType="end"/>
                </w:r>
                <w:r>
                  <w:rPr>
                    <w:rFonts w:ascii="Calibri"/>
                    <w:sz w:val="22"/>
                  </w:rPr>
                  <w:t>0</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2.419983pt;margin-top:36.440006pt;width:20.75pt;height:13.05pt;mso-position-horizontal-relative:page;mso-position-vertical-relative:page;z-index:-364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131</w:t>
                </w:r>
                <w:r>
                  <w:rPr/>
                  <w:fldChar w:fldCharType="end"/>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2.419983pt;margin-top:36.440006pt;width:19.75pt;height:13.05pt;mso-position-horizontal-relative:page;mso-position-vertical-relative:page;z-index:-3642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w:t>
                </w:r>
                <w:r>
                  <w:rPr/>
                  <w:fldChar w:fldCharType="end"/>
                </w:r>
                <w:r>
                  <w:rPr>
                    <w:rFonts w:ascii="Calibri"/>
                    <w:sz w:val="22"/>
                  </w:rPr>
                  <w:t>9</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2.419983pt;margin-top:36.440006pt;width:19.75pt;height:13.05pt;mso-position-horizontal-relative:page;mso-position-vertical-relative:page;z-index:-364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w:t>
                </w:r>
                <w:r>
                  <w:rPr/>
                  <w:fldChar w:fldCharType="end"/>
                </w:r>
                <w:r>
                  <w:rPr>
                    <w:rFonts w:ascii="Calibri"/>
                    <w:sz w:val="22"/>
                  </w:rPr>
                  <w:t>0</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36.439983pt;width:20.75pt;height:13.05pt;mso-position-horizontal-relative:page;mso-position-vertical-relative:page;z-index:-3641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141</w:t>
                </w:r>
                <w:r>
                  <w:rPr/>
                  <w:fldChar w:fldCharType="end"/>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36.439983pt;width:20.75pt;height:13.05pt;mso-position-horizontal-relative:page;mso-position-vertical-relative:page;z-index:-3641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36.439983pt;width:20.75pt;height:13.05pt;mso-position-horizontal-relative:page;mso-position-vertical-relative:page;z-index:-3641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36.439983pt;width:20.75pt;height:13.05pt;mso-position-horizontal-relative:page;mso-position-vertical-relative:page;z-index:-364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170</w:t>
                </w:r>
                <w:r>
                  <w:rPr/>
                  <w:fldChar w:fldCharType="end"/>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0.369995pt;margin-top:70.146622pt;width:54.65pt;height:15.3pt;mso-position-horizontal-relative:page;mso-position-vertical-relative:page;z-index:-364960" type="#_x0000_t202" filled="false" stroked="false">
          <v:textbox inset="0,0,0,0">
            <w:txbxContent>
              <w:p>
                <w:pPr>
                  <w:spacing w:before="10"/>
                  <w:ind w:left="20" w:right="0" w:firstLine="0"/>
                  <w:jc w:val="left"/>
                  <w:rPr>
                    <w:b/>
                    <w:sz w:val="24"/>
                  </w:rPr>
                </w:pPr>
                <w:r>
                  <w:rPr>
                    <w:b/>
                    <w:sz w:val="24"/>
                  </w:rPr>
                  <w:t>RESUMO</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4.010010pt;margin-top:70.146622pt;width:67.4pt;height:15.3pt;mso-position-horizontal-relative:page;mso-position-vertical-relative:page;z-index:-364936" type="#_x0000_t202" filled="false" stroked="false">
          <v:textbox inset="0,0,0,0">
            <w:txbxContent>
              <w:p>
                <w:pPr>
                  <w:spacing w:before="10"/>
                  <w:ind w:left="20" w:right="0" w:firstLine="0"/>
                  <w:jc w:val="left"/>
                  <w:rPr>
                    <w:b/>
                    <w:sz w:val="24"/>
                  </w:rPr>
                </w:pPr>
                <w:r>
                  <w:rPr>
                    <w:b/>
                    <w:sz w:val="24"/>
                  </w:rPr>
                  <w:t>ABSTRACT</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0.300003pt;margin-top:70.146622pt;width:214.7pt;height:15.3pt;mso-position-horizontal-relative:page;mso-position-vertical-relative:page;z-index:-364912" type="#_x0000_t202" filled="false" stroked="false">
          <v:textbox inset="0,0,0,0">
            <w:txbxContent>
              <w:p>
                <w:pPr>
                  <w:spacing w:before="10"/>
                  <w:ind w:left="20" w:right="0" w:firstLine="0"/>
                  <w:jc w:val="left"/>
                  <w:rPr>
                    <w:b/>
                    <w:sz w:val="24"/>
                  </w:rPr>
                </w:pPr>
                <w:r>
                  <w:rPr>
                    <w:b/>
                    <w:sz w:val="24"/>
                  </w:rPr>
                  <w:t>LISTA DE ABREVIATURAS E SIGLAS</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0">
    <w:multiLevelType w:val="hybridMultilevel"/>
    <w:lvl w:ilvl="0">
      <w:start w:val="1"/>
      <w:numFmt w:val="lowerLetter"/>
      <w:lvlText w:val="%1)"/>
      <w:lvlJc w:val="left"/>
      <w:pPr>
        <w:ind w:left="2370" w:hanging="206"/>
        <w:jc w:val="left"/>
      </w:pPr>
      <w:rPr>
        <w:rFonts w:hint="default" w:ascii="Times New Roman" w:hAnsi="Times New Roman" w:eastAsia="Times New Roman" w:cs="Times New Roman"/>
        <w:w w:val="99"/>
        <w:sz w:val="20"/>
        <w:szCs w:val="20"/>
      </w:rPr>
    </w:lvl>
    <w:lvl w:ilvl="1">
      <w:start w:val="0"/>
      <w:numFmt w:val="bullet"/>
      <w:lvlText w:val="•"/>
      <w:lvlJc w:val="left"/>
      <w:pPr>
        <w:ind w:left="3014" w:hanging="206"/>
      </w:pPr>
      <w:rPr>
        <w:rFonts w:hint="default"/>
      </w:rPr>
    </w:lvl>
    <w:lvl w:ilvl="2">
      <w:start w:val="0"/>
      <w:numFmt w:val="bullet"/>
      <w:lvlText w:val="•"/>
      <w:lvlJc w:val="left"/>
      <w:pPr>
        <w:ind w:left="3649" w:hanging="206"/>
      </w:pPr>
      <w:rPr>
        <w:rFonts w:hint="default"/>
      </w:rPr>
    </w:lvl>
    <w:lvl w:ilvl="3">
      <w:start w:val="0"/>
      <w:numFmt w:val="bullet"/>
      <w:lvlText w:val="•"/>
      <w:lvlJc w:val="left"/>
      <w:pPr>
        <w:ind w:left="4283" w:hanging="206"/>
      </w:pPr>
      <w:rPr>
        <w:rFonts w:hint="default"/>
      </w:rPr>
    </w:lvl>
    <w:lvl w:ilvl="4">
      <w:start w:val="0"/>
      <w:numFmt w:val="bullet"/>
      <w:lvlText w:val="•"/>
      <w:lvlJc w:val="left"/>
      <w:pPr>
        <w:ind w:left="4918" w:hanging="206"/>
      </w:pPr>
      <w:rPr>
        <w:rFonts w:hint="default"/>
      </w:rPr>
    </w:lvl>
    <w:lvl w:ilvl="5">
      <w:start w:val="0"/>
      <w:numFmt w:val="bullet"/>
      <w:lvlText w:val="•"/>
      <w:lvlJc w:val="left"/>
      <w:pPr>
        <w:ind w:left="5553" w:hanging="206"/>
      </w:pPr>
      <w:rPr>
        <w:rFonts w:hint="default"/>
      </w:rPr>
    </w:lvl>
    <w:lvl w:ilvl="6">
      <w:start w:val="0"/>
      <w:numFmt w:val="bullet"/>
      <w:lvlText w:val="•"/>
      <w:lvlJc w:val="left"/>
      <w:pPr>
        <w:ind w:left="6187" w:hanging="206"/>
      </w:pPr>
      <w:rPr>
        <w:rFonts w:hint="default"/>
      </w:rPr>
    </w:lvl>
    <w:lvl w:ilvl="7">
      <w:start w:val="0"/>
      <w:numFmt w:val="bullet"/>
      <w:lvlText w:val="•"/>
      <w:lvlJc w:val="left"/>
      <w:pPr>
        <w:ind w:left="6822" w:hanging="206"/>
      </w:pPr>
      <w:rPr>
        <w:rFonts w:hint="default"/>
      </w:rPr>
    </w:lvl>
    <w:lvl w:ilvl="8">
      <w:start w:val="0"/>
      <w:numFmt w:val="bullet"/>
      <w:lvlText w:val="•"/>
      <w:lvlJc w:val="left"/>
      <w:pPr>
        <w:ind w:left="7457" w:hanging="206"/>
      </w:pPr>
      <w:rPr>
        <w:rFonts w:hint="default"/>
      </w:rPr>
    </w:lvl>
  </w:abstractNum>
  <w:abstractNum w:abstractNumId="29">
    <w:multiLevelType w:val="hybridMultilevel"/>
    <w:lvl w:ilvl="0">
      <w:start w:val="1"/>
      <w:numFmt w:val="decimal"/>
      <w:lvlText w:val="%1."/>
      <w:lvlJc w:val="left"/>
      <w:pPr>
        <w:ind w:left="2370" w:hanging="209"/>
        <w:jc w:val="left"/>
      </w:pPr>
      <w:rPr>
        <w:rFonts w:hint="default" w:ascii="Times New Roman" w:hAnsi="Times New Roman" w:eastAsia="Times New Roman" w:cs="Times New Roman"/>
        <w:spacing w:val="0"/>
        <w:w w:val="99"/>
        <w:sz w:val="20"/>
        <w:szCs w:val="20"/>
      </w:rPr>
    </w:lvl>
    <w:lvl w:ilvl="1">
      <w:start w:val="0"/>
      <w:numFmt w:val="bullet"/>
      <w:lvlText w:val="•"/>
      <w:lvlJc w:val="left"/>
      <w:pPr>
        <w:ind w:left="3014" w:hanging="209"/>
      </w:pPr>
      <w:rPr>
        <w:rFonts w:hint="default"/>
      </w:rPr>
    </w:lvl>
    <w:lvl w:ilvl="2">
      <w:start w:val="0"/>
      <w:numFmt w:val="bullet"/>
      <w:lvlText w:val="•"/>
      <w:lvlJc w:val="left"/>
      <w:pPr>
        <w:ind w:left="3649" w:hanging="209"/>
      </w:pPr>
      <w:rPr>
        <w:rFonts w:hint="default"/>
      </w:rPr>
    </w:lvl>
    <w:lvl w:ilvl="3">
      <w:start w:val="0"/>
      <w:numFmt w:val="bullet"/>
      <w:lvlText w:val="•"/>
      <w:lvlJc w:val="left"/>
      <w:pPr>
        <w:ind w:left="4283" w:hanging="209"/>
      </w:pPr>
      <w:rPr>
        <w:rFonts w:hint="default"/>
      </w:rPr>
    </w:lvl>
    <w:lvl w:ilvl="4">
      <w:start w:val="0"/>
      <w:numFmt w:val="bullet"/>
      <w:lvlText w:val="•"/>
      <w:lvlJc w:val="left"/>
      <w:pPr>
        <w:ind w:left="4918" w:hanging="209"/>
      </w:pPr>
      <w:rPr>
        <w:rFonts w:hint="default"/>
      </w:rPr>
    </w:lvl>
    <w:lvl w:ilvl="5">
      <w:start w:val="0"/>
      <w:numFmt w:val="bullet"/>
      <w:lvlText w:val="•"/>
      <w:lvlJc w:val="left"/>
      <w:pPr>
        <w:ind w:left="5553" w:hanging="209"/>
      </w:pPr>
      <w:rPr>
        <w:rFonts w:hint="default"/>
      </w:rPr>
    </w:lvl>
    <w:lvl w:ilvl="6">
      <w:start w:val="0"/>
      <w:numFmt w:val="bullet"/>
      <w:lvlText w:val="•"/>
      <w:lvlJc w:val="left"/>
      <w:pPr>
        <w:ind w:left="6187" w:hanging="209"/>
      </w:pPr>
      <w:rPr>
        <w:rFonts w:hint="default"/>
      </w:rPr>
    </w:lvl>
    <w:lvl w:ilvl="7">
      <w:start w:val="0"/>
      <w:numFmt w:val="bullet"/>
      <w:lvlText w:val="•"/>
      <w:lvlJc w:val="left"/>
      <w:pPr>
        <w:ind w:left="6822" w:hanging="209"/>
      </w:pPr>
      <w:rPr>
        <w:rFonts w:hint="default"/>
      </w:rPr>
    </w:lvl>
    <w:lvl w:ilvl="8">
      <w:start w:val="0"/>
      <w:numFmt w:val="bullet"/>
      <w:lvlText w:val="•"/>
      <w:lvlJc w:val="left"/>
      <w:pPr>
        <w:ind w:left="7457" w:hanging="209"/>
      </w:pPr>
      <w:rPr>
        <w:rFonts w:hint="default"/>
      </w:rPr>
    </w:lvl>
  </w:abstractNum>
  <w:abstractNum w:abstractNumId="19">
    <w:multiLevelType w:val="hybridMultilevel"/>
    <w:lvl w:ilvl="0">
      <w:start w:val="0"/>
      <w:numFmt w:val="bullet"/>
      <w:lvlText w:val="-"/>
      <w:lvlJc w:val="left"/>
      <w:pPr>
        <w:ind w:left="2370" w:hanging="176"/>
      </w:pPr>
      <w:rPr>
        <w:rFonts w:hint="default" w:ascii="Times New Roman" w:hAnsi="Times New Roman" w:eastAsia="Times New Roman" w:cs="Times New Roman"/>
        <w:w w:val="99"/>
        <w:sz w:val="20"/>
        <w:szCs w:val="20"/>
      </w:rPr>
    </w:lvl>
    <w:lvl w:ilvl="1">
      <w:start w:val="0"/>
      <w:numFmt w:val="bullet"/>
      <w:lvlText w:val="•"/>
      <w:lvlJc w:val="left"/>
      <w:pPr>
        <w:ind w:left="3014" w:hanging="176"/>
      </w:pPr>
      <w:rPr>
        <w:rFonts w:hint="default"/>
      </w:rPr>
    </w:lvl>
    <w:lvl w:ilvl="2">
      <w:start w:val="0"/>
      <w:numFmt w:val="bullet"/>
      <w:lvlText w:val="•"/>
      <w:lvlJc w:val="left"/>
      <w:pPr>
        <w:ind w:left="3649" w:hanging="176"/>
      </w:pPr>
      <w:rPr>
        <w:rFonts w:hint="default"/>
      </w:rPr>
    </w:lvl>
    <w:lvl w:ilvl="3">
      <w:start w:val="0"/>
      <w:numFmt w:val="bullet"/>
      <w:lvlText w:val="•"/>
      <w:lvlJc w:val="left"/>
      <w:pPr>
        <w:ind w:left="4283" w:hanging="176"/>
      </w:pPr>
      <w:rPr>
        <w:rFonts w:hint="default"/>
      </w:rPr>
    </w:lvl>
    <w:lvl w:ilvl="4">
      <w:start w:val="0"/>
      <w:numFmt w:val="bullet"/>
      <w:lvlText w:val="•"/>
      <w:lvlJc w:val="left"/>
      <w:pPr>
        <w:ind w:left="4918" w:hanging="176"/>
      </w:pPr>
      <w:rPr>
        <w:rFonts w:hint="default"/>
      </w:rPr>
    </w:lvl>
    <w:lvl w:ilvl="5">
      <w:start w:val="0"/>
      <w:numFmt w:val="bullet"/>
      <w:lvlText w:val="•"/>
      <w:lvlJc w:val="left"/>
      <w:pPr>
        <w:ind w:left="5553" w:hanging="176"/>
      </w:pPr>
      <w:rPr>
        <w:rFonts w:hint="default"/>
      </w:rPr>
    </w:lvl>
    <w:lvl w:ilvl="6">
      <w:start w:val="0"/>
      <w:numFmt w:val="bullet"/>
      <w:lvlText w:val="•"/>
      <w:lvlJc w:val="left"/>
      <w:pPr>
        <w:ind w:left="6187" w:hanging="176"/>
      </w:pPr>
      <w:rPr>
        <w:rFonts w:hint="default"/>
      </w:rPr>
    </w:lvl>
    <w:lvl w:ilvl="7">
      <w:start w:val="0"/>
      <w:numFmt w:val="bullet"/>
      <w:lvlText w:val="•"/>
      <w:lvlJc w:val="left"/>
      <w:pPr>
        <w:ind w:left="6822" w:hanging="176"/>
      </w:pPr>
      <w:rPr>
        <w:rFonts w:hint="default"/>
      </w:rPr>
    </w:lvl>
    <w:lvl w:ilvl="8">
      <w:start w:val="0"/>
      <w:numFmt w:val="bullet"/>
      <w:lvlText w:val="•"/>
      <w:lvlJc w:val="left"/>
      <w:pPr>
        <w:ind w:left="7457" w:hanging="176"/>
      </w:pPr>
      <w:rPr>
        <w:rFonts w:hint="default"/>
      </w:rPr>
    </w:lvl>
  </w:abstractNum>
  <w:abstractNum w:abstractNumId="39">
    <w:multiLevelType w:val="hybridMultilevel"/>
    <w:lvl w:ilvl="0">
      <w:start w:val="0"/>
      <w:numFmt w:val="bullet"/>
      <w:lvlText w:val="-"/>
      <w:lvlJc w:val="left"/>
      <w:pPr>
        <w:ind w:left="102" w:hanging="147"/>
      </w:pPr>
      <w:rPr>
        <w:rFonts w:hint="default" w:ascii="Times New Roman" w:hAnsi="Times New Roman" w:eastAsia="Times New Roman" w:cs="Times New Roman"/>
        <w:w w:val="99"/>
        <w:sz w:val="24"/>
        <w:szCs w:val="24"/>
      </w:rPr>
    </w:lvl>
    <w:lvl w:ilvl="1">
      <w:start w:val="0"/>
      <w:numFmt w:val="bullet"/>
      <w:lvlText w:val="•"/>
      <w:lvlJc w:val="left"/>
      <w:pPr>
        <w:ind w:left="962" w:hanging="147"/>
      </w:pPr>
      <w:rPr>
        <w:rFonts w:hint="default"/>
      </w:rPr>
    </w:lvl>
    <w:lvl w:ilvl="2">
      <w:start w:val="0"/>
      <w:numFmt w:val="bullet"/>
      <w:lvlText w:val="•"/>
      <w:lvlJc w:val="left"/>
      <w:pPr>
        <w:ind w:left="1825" w:hanging="147"/>
      </w:pPr>
      <w:rPr>
        <w:rFonts w:hint="default"/>
      </w:rPr>
    </w:lvl>
    <w:lvl w:ilvl="3">
      <w:start w:val="0"/>
      <w:numFmt w:val="bullet"/>
      <w:lvlText w:val="•"/>
      <w:lvlJc w:val="left"/>
      <w:pPr>
        <w:ind w:left="2687" w:hanging="147"/>
      </w:pPr>
      <w:rPr>
        <w:rFonts w:hint="default"/>
      </w:rPr>
    </w:lvl>
    <w:lvl w:ilvl="4">
      <w:start w:val="0"/>
      <w:numFmt w:val="bullet"/>
      <w:lvlText w:val="•"/>
      <w:lvlJc w:val="left"/>
      <w:pPr>
        <w:ind w:left="3550" w:hanging="147"/>
      </w:pPr>
      <w:rPr>
        <w:rFonts w:hint="default"/>
      </w:rPr>
    </w:lvl>
    <w:lvl w:ilvl="5">
      <w:start w:val="0"/>
      <w:numFmt w:val="bullet"/>
      <w:lvlText w:val="•"/>
      <w:lvlJc w:val="left"/>
      <w:pPr>
        <w:ind w:left="4413" w:hanging="147"/>
      </w:pPr>
      <w:rPr>
        <w:rFonts w:hint="default"/>
      </w:rPr>
    </w:lvl>
    <w:lvl w:ilvl="6">
      <w:start w:val="0"/>
      <w:numFmt w:val="bullet"/>
      <w:lvlText w:val="•"/>
      <w:lvlJc w:val="left"/>
      <w:pPr>
        <w:ind w:left="5275" w:hanging="147"/>
      </w:pPr>
      <w:rPr>
        <w:rFonts w:hint="default"/>
      </w:rPr>
    </w:lvl>
    <w:lvl w:ilvl="7">
      <w:start w:val="0"/>
      <w:numFmt w:val="bullet"/>
      <w:lvlText w:val="•"/>
      <w:lvlJc w:val="left"/>
      <w:pPr>
        <w:ind w:left="6138" w:hanging="147"/>
      </w:pPr>
      <w:rPr>
        <w:rFonts w:hint="default"/>
      </w:rPr>
    </w:lvl>
    <w:lvl w:ilvl="8">
      <w:start w:val="0"/>
      <w:numFmt w:val="bullet"/>
      <w:lvlText w:val="•"/>
      <w:lvlJc w:val="left"/>
      <w:pPr>
        <w:ind w:left="7001" w:hanging="147"/>
      </w:pPr>
      <w:rPr>
        <w:rFonts w:hint="default"/>
      </w:rPr>
    </w:lvl>
  </w:abstractNum>
  <w:abstractNum w:abstractNumId="38">
    <w:multiLevelType w:val="hybridMultilevel"/>
    <w:lvl w:ilvl="0">
      <w:start w:val="3"/>
      <w:numFmt w:val="decimal"/>
      <w:lvlText w:val="%1"/>
      <w:lvlJc w:val="left"/>
      <w:pPr>
        <w:ind w:left="762" w:hanging="540"/>
        <w:jc w:val="left"/>
      </w:pPr>
      <w:rPr>
        <w:rFonts w:hint="default"/>
      </w:rPr>
    </w:lvl>
    <w:lvl w:ilvl="1">
      <w:start w:val="2"/>
      <w:numFmt w:val="decimal"/>
      <w:lvlText w:val="%1.%2"/>
      <w:lvlJc w:val="left"/>
      <w:pPr>
        <w:ind w:left="762" w:hanging="540"/>
        <w:jc w:val="left"/>
      </w:pPr>
      <w:rPr>
        <w:rFonts w:hint="default"/>
      </w:rPr>
    </w:lvl>
    <w:lvl w:ilvl="2">
      <w:start w:val="1"/>
      <w:numFmt w:val="decimal"/>
      <w:lvlText w:val="%1.%2.%3"/>
      <w:lvlJc w:val="left"/>
      <w:pPr>
        <w:ind w:left="762" w:hanging="540"/>
        <w:jc w:val="right"/>
      </w:pPr>
      <w:rPr>
        <w:rFonts w:hint="default" w:ascii="Times New Roman" w:hAnsi="Times New Roman" w:eastAsia="Times New Roman" w:cs="Times New Roman"/>
        <w:b/>
        <w:bCs/>
        <w:i/>
        <w:spacing w:val="-3"/>
        <w:w w:val="99"/>
        <w:sz w:val="24"/>
        <w:szCs w:val="24"/>
      </w:rPr>
    </w:lvl>
    <w:lvl w:ilvl="3">
      <w:start w:val="0"/>
      <w:numFmt w:val="bullet"/>
      <w:lvlText w:val="-"/>
      <w:lvlJc w:val="left"/>
      <w:pPr>
        <w:ind w:left="222" w:hanging="142"/>
      </w:pPr>
      <w:rPr>
        <w:rFonts w:hint="default" w:ascii="Times New Roman" w:hAnsi="Times New Roman" w:eastAsia="Times New Roman" w:cs="Times New Roman"/>
        <w:w w:val="99"/>
        <w:sz w:val="24"/>
        <w:szCs w:val="24"/>
      </w:rPr>
    </w:lvl>
    <w:lvl w:ilvl="4">
      <w:start w:val="0"/>
      <w:numFmt w:val="bullet"/>
      <w:lvlText w:val="•"/>
      <w:lvlJc w:val="left"/>
      <w:pPr>
        <w:ind w:left="3455" w:hanging="142"/>
      </w:pPr>
      <w:rPr>
        <w:rFonts w:hint="default"/>
      </w:rPr>
    </w:lvl>
    <w:lvl w:ilvl="5">
      <w:start w:val="0"/>
      <w:numFmt w:val="bullet"/>
      <w:lvlText w:val="•"/>
      <w:lvlJc w:val="left"/>
      <w:pPr>
        <w:ind w:left="4353" w:hanging="142"/>
      </w:pPr>
      <w:rPr>
        <w:rFonts w:hint="default"/>
      </w:rPr>
    </w:lvl>
    <w:lvl w:ilvl="6">
      <w:start w:val="0"/>
      <w:numFmt w:val="bullet"/>
      <w:lvlText w:val="•"/>
      <w:lvlJc w:val="left"/>
      <w:pPr>
        <w:ind w:left="5252" w:hanging="142"/>
      </w:pPr>
      <w:rPr>
        <w:rFonts w:hint="default"/>
      </w:rPr>
    </w:lvl>
    <w:lvl w:ilvl="7">
      <w:start w:val="0"/>
      <w:numFmt w:val="bullet"/>
      <w:lvlText w:val="•"/>
      <w:lvlJc w:val="left"/>
      <w:pPr>
        <w:ind w:left="6150" w:hanging="142"/>
      </w:pPr>
      <w:rPr>
        <w:rFonts w:hint="default"/>
      </w:rPr>
    </w:lvl>
    <w:lvl w:ilvl="8">
      <w:start w:val="0"/>
      <w:numFmt w:val="bullet"/>
      <w:lvlText w:val="•"/>
      <w:lvlJc w:val="left"/>
      <w:pPr>
        <w:ind w:left="7049" w:hanging="142"/>
      </w:pPr>
      <w:rPr>
        <w:rFonts w:hint="default"/>
      </w:rPr>
    </w:lvl>
  </w:abstractNum>
  <w:abstractNum w:abstractNumId="37">
    <w:multiLevelType w:val="hybridMultilevel"/>
    <w:lvl w:ilvl="0">
      <w:start w:val="3"/>
      <w:numFmt w:val="decimal"/>
      <w:lvlText w:val="%1"/>
      <w:lvlJc w:val="left"/>
      <w:pPr>
        <w:ind w:left="222" w:hanging="466"/>
        <w:jc w:val="left"/>
      </w:pPr>
      <w:rPr>
        <w:rFonts w:hint="default"/>
      </w:rPr>
    </w:lvl>
    <w:lvl w:ilvl="1">
      <w:start w:val="2"/>
      <w:numFmt w:val="decimal"/>
      <w:lvlText w:val="%1.%2"/>
      <w:lvlJc w:val="left"/>
      <w:pPr>
        <w:ind w:left="222" w:hanging="466"/>
        <w:jc w:val="left"/>
      </w:pPr>
      <w:rPr>
        <w:rFonts w:hint="default" w:ascii="Times New Roman" w:hAnsi="Times New Roman" w:eastAsia="Times New Roman" w:cs="Times New Roman"/>
        <w:b/>
        <w:bCs/>
        <w:spacing w:val="-18"/>
        <w:w w:val="99"/>
        <w:sz w:val="24"/>
        <w:szCs w:val="24"/>
      </w:rPr>
    </w:lvl>
    <w:lvl w:ilvl="2">
      <w:start w:val="1"/>
      <w:numFmt w:val="lowerLetter"/>
      <w:lvlText w:val="%3)"/>
      <w:lvlJc w:val="left"/>
      <w:pPr>
        <w:ind w:left="1434" w:hanging="360"/>
        <w:jc w:val="left"/>
      </w:pPr>
      <w:rPr>
        <w:rFonts w:hint="default" w:ascii="Times New Roman" w:hAnsi="Times New Roman" w:eastAsia="Times New Roman" w:cs="Times New Roman"/>
        <w:spacing w:val="-6"/>
        <w:w w:val="99"/>
        <w:sz w:val="24"/>
        <w:szCs w:val="24"/>
      </w:rPr>
    </w:lvl>
    <w:lvl w:ilvl="3">
      <w:start w:val="0"/>
      <w:numFmt w:val="bullet"/>
      <w:lvlText w:val="•"/>
      <w:lvlJc w:val="left"/>
      <w:pPr>
        <w:ind w:left="3085" w:hanging="360"/>
      </w:pPr>
      <w:rPr>
        <w:rFonts w:hint="default"/>
      </w:rPr>
    </w:lvl>
    <w:lvl w:ilvl="4">
      <w:start w:val="0"/>
      <w:numFmt w:val="bullet"/>
      <w:lvlText w:val="•"/>
      <w:lvlJc w:val="left"/>
      <w:pPr>
        <w:ind w:left="3908" w:hanging="360"/>
      </w:pPr>
      <w:rPr>
        <w:rFonts w:hint="default"/>
      </w:rPr>
    </w:lvl>
    <w:lvl w:ilvl="5">
      <w:start w:val="0"/>
      <w:numFmt w:val="bullet"/>
      <w:lvlText w:val="•"/>
      <w:lvlJc w:val="left"/>
      <w:pPr>
        <w:ind w:left="4731" w:hanging="360"/>
      </w:pPr>
      <w:rPr>
        <w:rFonts w:hint="default"/>
      </w:rPr>
    </w:lvl>
    <w:lvl w:ilvl="6">
      <w:start w:val="0"/>
      <w:numFmt w:val="bullet"/>
      <w:lvlText w:val="•"/>
      <w:lvlJc w:val="left"/>
      <w:pPr>
        <w:ind w:left="5554" w:hanging="360"/>
      </w:pPr>
      <w:rPr>
        <w:rFonts w:hint="default"/>
      </w:rPr>
    </w:lvl>
    <w:lvl w:ilvl="7">
      <w:start w:val="0"/>
      <w:numFmt w:val="bullet"/>
      <w:lvlText w:val="•"/>
      <w:lvlJc w:val="left"/>
      <w:pPr>
        <w:ind w:left="6377" w:hanging="360"/>
      </w:pPr>
      <w:rPr>
        <w:rFonts w:hint="default"/>
      </w:rPr>
    </w:lvl>
    <w:lvl w:ilvl="8">
      <w:start w:val="0"/>
      <w:numFmt w:val="bullet"/>
      <w:lvlText w:val="•"/>
      <w:lvlJc w:val="left"/>
      <w:pPr>
        <w:ind w:left="7200" w:hanging="360"/>
      </w:pPr>
      <w:rPr>
        <w:rFonts w:hint="default"/>
      </w:rPr>
    </w:lvl>
  </w:abstractNum>
  <w:abstractNum w:abstractNumId="36">
    <w:multiLevelType w:val="hybridMultilevel"/>
    <w:lvl w:ilvl="0">
      <w:start w:val="0"/>
      <w:numFmt w:val="bullet"/>
      <w:lvlText w:val="-"/>
      <w:lvlJc w:val="left"/>
      <w:pPr>
        <w:ind w:left="122" w:hanging="156"/>
      </w:pPr>
      <w:rPr>
        <w:rFonts w:hint="default" w:ascii="Times New Roman" w:hAnsi="Times New Roman" w:eastAsia="Times New Roman" w:cs="Times New Roman"/>
        <w:w w:val="99"/>
        <w:sz w:val="24"/>
        <w:szCs w:val="24"/>
      </w:rPr>
    </w:lvl>
    <w:lvl w:ilvl="1">
      <w:start w:val="0"/>
      <w:numFmt w:val="bullet"/>
      <w:lvlText w:val="•"/>
      <w:lvlJc w:val="left"/>
      <w:pPr>
        <w:ind w:left="982" w:hanging="156"/>
      </w:pPr>
      <w:rPr>
        <w:rFonts w:hint="default"/>
      </w:rPr>
    </w:lvl>
    <w:lvl w:ilvl="2">
      <w:start w:val="0"/>
      <w:numFmt w:val="bullet"/>
      <w:lvlText w:val="•"/>
      <w:lvlJc w:val="left"/>
      <w:pPr>
        <w:ind w:left="1845" w:hanging="156"/>
      </w:pPr>
      <w:rPr>
        <w:rFonts w:hint="default"/>
      </w:rPr>
    </w:lvl>
    <w:lvl w:ilvl="3">
      <w:start w:val="0"/>
      <w:numFmt w:val="bullet"/>
      <w:lvlText w:val="•"/>
      <w:lvlJc w:val="left"/>
      <w:pPr>
        <w:ind w:left="2707" w:hanging="156"/>
      </w:pPr>
      <w:rPr>
        <w:rFonts w:hint="default"/>
      </w:rPr>
    </w:lvl>
    <w:lvl w:ilvl="4">
      <w:start w:val="0"/>
      <w:numFmt w:val="bullet"/>
      <w:lvlText w:val="•"/>
      <w:lvlJc w:val="left"/>
      <w:pPr>
        <w:ind w:left="3570" w:hanging="156"/>
      </w:pPr>
      <w:rPr>
        <w:rFonts w:hint="default"/>
      </w:rPr>
    </w:lvl>
    <w:lvl w:ilvl="5">
      <w:start w:val="0"/>
      <w:numFmt w:val="bullet"/>
      <w:lvlText w:val="•"/>
      <w:lvlJc w:val="left"/>
      <w:pPr>
        <w:ind w:left="4433" w:hanging="156"/>
      </w:pPr>
      <w:rPr>
        <w:rFonts w:hint="default"/>
      </w:rPr>
    </w:lvl>
    <w:lvl w:ilvl="6">
      <w:start w:val="0"/>
      <w:numFmt w:val="bullet"/>
      <w:lvlText w:val="•"/>
      <w:lvlJc w:val="left"/>
      <w:pPr>
        <w:ind w:left="5295" w:hanging="156"/>
      </w:pPr>
      <w:rPr>
        <w:rFonts w:hint="default"/>
      </w:rPr>
    </w:lvl>
    <w:lvl w:ilvl="7">
      <w:start w:val="0"/>
      <w:numFmt w:val="bullet"/>
      <w:lvlText w:val="•"/>
      <w:lvlJc w:val="left"/>
      <w:pPr>
        <w:ind w:left="6158" w:hanging="156"/>
      </w:pPr>
      <w:rPr>
        <w:rFonts w:hint="default"/>
      </w:rPr>
    </w:lvl>
    <w:lvl w:ilvl="8">
      <w:start w:val="0"/>
      <w:numFmt w:val="bullet"/>
      <w:lvlText w:val="•"/>
      <w:lvlJc w:val="left"/>
      <w:pPr>
        <w:ind w:left="7021" w:hanging="156"/>
      </w:pPr>
      <w:rPr>
        <w:rFonts w:hint="default"/>
      </w:rPr>
    </w:lvl>
  </w:abstractNum>
  <w:abstractNum w:abstractNumId="35">
    <w:multiLevelType w:val="hybridMultilevel"/>
    <w:lvl w:ilvl="0">
      <w:start w:val="0"/>
      <w:numFmt w:val="bullet"/>
      <w:lvlText w:val="-"/>
      <w:lvlJc w:val="left"/>
      <w:pPr>
        <w:ind w:left="103" w:hanging="156"/>
      </w:pPr>
      <w:rPr>
        <w:rFonts w:hint="default" w:ascii="Times New Roman" w:hAnsi="Times New Roman" w:eastAsia="Times New Roman" w:cs="Times New Roman"/>
        <w:w w:val="99"/>
        <w:sz w:val="20"/>
        <w:szCs w:val="20"/>
      </w:rPr>
    </w:lvl>
    <w:lvl w:ilvl="1">
      <w:start w:val="0"/>
      <w:numFmt w:val="bullet"/>
      <w:lvlText w:val="•"/>
      <w:lvlJc w:val="left"/>
      <w:pPr>
        <w:ind w:left="556" w:hanging="156"/>
      </w:pPr>
      <w:rPr>
        <w:rFonts w:hint="default"/>
      </w:rPr>
    </w:lvl>
    <w:lvl w:ilvl="2">
      <w:start w:val="0"/>
      <w:numFmt w:val="bullet"/>
      <w:lvlText w:val="•"/>
      <w:lvlJc w:val="left"/>
      <w:pPr>
        <w:ind w:left="1013" w:hanging="156"/>
      </w:pPr>
      <w:rPr>
        <w:rFonts w:hint="default"/>
      </w:rPr>
    </w:lvl>
    <w:lvl w:ilvl="3">
      <w:start w:val="0"/>
      <w:numFmt w:val="bullet"/>
      <w:lvlText w:val="•"/>
      <w:lvlJc w:val="left"/>
      <w:pPr>
        <w:ind w:left="1470" w:hanging="156"/>
      </w:pPr>
      <w:rPr>
        <w:rFonts w:hint="default"/>
      </w:rPr>
    </w:lvl>
    <w:lvl w:ilvl="4">
      <w:start w:val="0"/>
      <w:numFmt w:val="bullet"/>
      <w:lvlText w:val="•"/>
      <w:lvlJc w:val="left"/>
      <w:pPr>
        <w:ind w:left="1927" w:hanging="156"/>
      </w:pPr>
      <w:rPr>
        <w:rFonts w:hint="default"/>
      </w:rPr>
    </w:lvl>
    <w:lvl w:ilvl="5">
      <w:start w:val="0"/>
      <w:numFmt w:val="bullet"/>
      <w:lvlText w:val="•"/>
      <w:lvlJc w:val="left"/>
      <w:pPr>
        <w:ind w:left="2384" w:hanging="156"/>
      </w:pPr>
      <w:rPr>
        <w:rFonts w:hint="default"/>
      </w:rPr>
    </w:lvl>
    <w:lvl w:ilvl="6">
      <w:start w:val="0"/>
      <w:numFmt w:val="bullet"/>
      <w:lvlText w:val="•"/>
      <w:lvlJc w:val="left"/>
      <w:pPr>
        <w:ind w:left="2841" w:hanging="156"/>
      </w:pPr>
      <w:rPr>
        <w:rFonts w:hint="default"/>
      </w:rPr>
    </w:lvl>
    <w:lvl w:ilvl="7">
      <w:start w:val="0"/>
      <w:numFmt w:val="bullet"/>
      <w:lvlText w:val="•"/>
      <w:lvlJc w:val="left"/>
      <w:pPr>
        <w:ind w:left="3298" w:hanging="156"/>
      </w:pPr>
      <w:rPr>
        <w:rFonts w:hint="default"/>
      </w:rPr>
    </w:lvl>
    <w:lvl w:ilvl="8">
      <w:start w:val="0"/>
      <w:numFmt w:val="bullet"/>
      <w:lvlText w:val="•"/>
      <w:lvlJc w:val="left"/>
      <w:pPr>
        <w:ind w:left="3755" w:hanging="156"/>
      </w:pPr>
      <w:rPr>
        <w:rFonts w:hint="default"/>
      </w:rPr>
    </w:lvl>
  </w:abstractNum>
  <w:abstractNum w:abstractNumId="34">
    <w:multiLevelType w:val="hybridMultilevel"/>
    <w:lvl w:ilvl="0">
      <w:start w:val="0"/>
      <w:numFmt w:val="bullet"/>
      <w:lvlText w:val="-"/>
      <w:lvlJc w:val="left"/>
      <w:pPr>
        <w:ind w:left="103" w:hanging="168"/>
      </w:pPr>
      <w:rPr>
        <w:rFonts w:hint="default" w:ascii="Times New Roman" w:hAnsi="Times New Roman" w:eastAsia="Times New Roman" w:cs="Times New Roman"/>
        <w:w w:val="99"/>
        <w:sz w:val="20"/>
        <w:szCs w:val="20"/>
      </w:rPr>
    </w:lvl>
    <w:lvl w:ilvl="1">
      <w:start w:val="0"/>
      <w:numFmt w:val="bullet"/>
      <w:lvlText w:val="•"/>
      <w:lvlJc w:val="left"/>
      <w:pPr>
        <w:ind w:left="557" w:hanging="168"/>
      </w:pPr>
      <w:rPr>
        <w:rFonts w:hint="default"/>
      </w:rPr>
    </w:lvl>
    <w:lvl w:ilvl="2">
      <w:start w:val="0"/>
      <w:numFmt w:val="bullet"/>
      <w:lvlText w:val="•"/>
      <w:lvlJc w:val="left"/>
      <w:pPr>
        <w:ind w:left="1014" w:hanging="168"/>
      </w:pPr>
      <w:rPr>
        <w:rFonts w:hint="default"/>
      </w:rPr>
    </w:lvl>
    <w:lvl w:ilvl="3">
      <w:start w:val="0"/>
      <w:numFmt w:val="bullet"/>
      <w:lvlText w:val="•"/>
      <w:lvlJc w:val="left"/>
      <w:pPr>
        <w:ind w:left="1471" w:hanging="168"/>
      </w:pPr>
      <w:rPr>
        <w:rFonts w:hint="default"/>
      </w:rPr>
    </w:lvl>
    <w:lvl w:ilvl="4">
      <w:start w:val="0"/>
      <w:numFmt w:val="bullet"/>
      <w:lvlText w:val="•"/>
      <w:lvlJc w:val="left"/>
      <w:pPr>
        <w:ind w:left="1928" w:hanging="168"/>
      </w:pPr>
      <w:rPr>
        <w:rFonts w:hint="default"/>
      </w:rPr>
    </w:lvl>
    <w:lvl w:ilvl="5">
      <w:start w:val="0"/>
      <w:numFmt w:val="bullet"/>
      <w:lvlText w:val="•"/>
      <w:lvlJc w:val="left"/>
      <w:pPr>
        <w:ind w:left="2385" w:hanging="168"/>
      </w:pPr>
      <w:rPr>
        <w:rFonts w:hint="default"/>
      </w:rPr>
    </w:lvl>
    <w:lvl w:ilvl="6">
      <w:start w:val="0"/>
      <w:numFmt w:val="bullet"/>
      <w:lvlText w:val="•"/>
      <w:lvlJc w:val="left"/>
      <w:pPr>
        <w:ind w:left="2842" w:hanging="168"/>
      </w:pPr>
      <w:rPr>
        <w:rFonts w:hint="default"/>
      </w:rPr>
    </w:lvl>
    <w:lvl w:ilvl="7">
      <w:start w:val="0"/>
      <w:numFmt w:val="bullet"/>
      <w:lvlText w:val="•"/>
      <w:lvlJc w:val="left"/>
      <w:pPr>
        <w:ind w:left="3299" w:hanging="168"/>
      </w:pPr>
      <w:rPr>
        <w:rFonts w:hint="default"/>
      </w:rPr>
    </w:lvl>
    <w:lvl w:ilvl="8">
      <w:start w:val="0"/>
      <w:numFmt w:val="bullet"/>
      <w:lvlText w:val="•"/>
      <w:lvlJc w:val="left"/>
      <w:pPr>
        <w:ind w:left="3757" w:hanging="168"/>
      </w:pPr>
      <w:rPr>
        <w:rFonts w:hint="default"/>
      </w:rPr>
    </w:lvl>
  </w:abstractNum>
  <w:abstractNum w:abstractNumId="33">
    <w:multiLevelType w:val="hybridMultilevel"/>
    <w:lvl w:ilvl="0">
      <w:start w:val="0"/>
      <w:numFmt w:val="bullet"/>
      <w:lvlText w:val="-"/>
      <w:lvlJc w:val="left"/>
      <w:pPr>
        <w:ind w:left="103" w:hanging="204"/>
      </w:pPr>
      <w:rPr>
        <w:rFonts w:hint="default" w:ascii="Times New Roman" w:hAnsi="Times New Roman" w:eastAsia="Times New Roman" w:cs="Times New Roman"/>
        <w:w w:val="99"/>
        <w:sz w:val="20"/>
        <w:szCs w:val="20"/>
      </w:rPr>
    </w:lvl>
    <w:lvl w:ilvl="1">
      <w:start w:val="0"/>
      <w:numFmt w:val="bullet"/>
      <w:lvlText w:val="•"/>
      <w:lvlJc w:val="left"/>
      <w:pPr>
        <w:ind w:left="557" w:hanging="204"/>
      </w:pPr>
      <w:rPr>
        <w:rFonts w:hint="default"/>
      </w:rPr>
    </w:lvl>
    <w:lvl w:ilvl="2">
      <w:start w:val="0"/>
      <w:numFmt w:val="bullet"/>
      <w:lvlText w:val="•"/>
      <w:lvlJc w:val="left"/>
      <w:pPr>
        <w:ind w:left="1014" w:hanging="204"/>
      </w:pPr>
      <w:rPr>
        <w:rFonts w:hint="default"/>
      </w:rPr>
    </w:lvl>
    <w:lvl w:ilvl="3">
      <w:start w:val="0"/>
      <w:numFmt w:val="bullet"/>
      <w:lvlText w:val="•"/>
      <w:lvlJc w:val="left"/>
      <w:pPr>
        <w:ind w:left="1471" w:hanging="204"/>
      </w:pPr>
      <w:rPr>
        <w:rFonts w:hint="default"/>
      </w:rPr>
    </w:lvl>
    <w:lvl w:ilvl="4">
      <w:start w:val="0"/>
      <w:numFmt w:val="bullet"/>
      <w:lvlText w:val="•"/>
      <w:lvlJc w:val="left"/>
      <w:pPr>
        <w:ind w:left="1928" w:hanging="204"/>
      </w:pPr>
      <w:rPr>
        <w:rFonts w:hint="default"/>
      </w:rPr>
    </w:lvl>
    <w:lvl w:ilvl="5">
      <w:start w:val="0"/>
      <w:numFmt w:val="bullet"/>
      <w:lvlText w:val="•"/>
      <w:lvlJc w:val="left"/>
      <w:pPr>
        <w:ind w:left="2385" w:hanging="204"/>
      </w:pPr>
      <w:rPr>
        <w:rFonts w:hint="default"/>
      </w:rPr>
    </w:lvl>
    <w:lvl w:ilvl="6">
      <w:start w:val="0"/>
      <w:numFmt w:val="bullet"/>
      <w:lvlText w:val="•"/>
      <w:lvlJc w:val="left"/>
      <w:pPr>
        <w:ind w:left="2842" w:hanging="204"/>
      </w:pPr>
      <w:rPr>
        <w:rFonts w:hint="default"/>
      </w:rPr>
    </w:lvl>
    <w:lvl w:ilvl="7">
      <w:start w:val="0"/>
      <w:numFmt w:val="bullet"/>
      <w:lvlText w:val="•"/>
      <w:lvlJc w:val="left"/>
      <w:pPr>
        <w:ind w:left="3299" w:hanging="204"/>
      </w:pPr>
      <w:rPr>
        <w:rFonts w:hint="default"/>
      </w:rPr>
    </w:lvl>
    <w:lvl w:ilvl="8">
      <w:start w:val="0"/>
      <w:numFmt w:val="bullet"/>
      <w:lvlText w:val="•"/>
      <w:lvlJc w:val="left"/>
      <w:pPr>
        <w:ind w:left="3757" w:hanging="204"/>
      </w:pPr>
      <w:rPr>
        <w:rFonts w:hint="default"/>
      </w:rPr>
    </w:lvl>
  </w:abstractNum>
  <w:abstractNum w:abstractNumId="32">
    <w:multiLevelType w:val="hybridMultilevel"/>
    <w:lvl w:ilvl="0">
      <w:start w:val="0"/>
      <w:numFmt w:val="bullet"/>
      <w:lvlText w:val="-"/>
      <w:lvlJc w:val="left"/>
      <w:pPr>
        <w:ind w:left="103" w:hanging="245"/>
      </w:pPr>
      <w:rPr>
        <w:rFonts w:hint="default" w:ascii="Times New Roman" w:hAnsi="Times New Roman" w:eastAsia="Times New Roman" w:cs="Times New Roman"/>
        <w:w w:val="99"/>
        <w:sz w:val="20"/>
        <w:szCs w:val="20"/>
      </w:rPr>
    </w:lvl>
    <w:lvl w:ilvl="1">
      <w:start w:val="0"/>
      <w:numFmt w:val="bullet"/>
      <w:lvlText w:val="•"/>
      <w:lvlJc w:val="left"/>
      <w:pPr>
        <w:ind w:left="557" w:hanging="245"/>
      </w:pPr>
      <w:rPr>
        <w:rFonts w:hint="default"/>
      </w:rPr>
    </w:lvl>
    <w:lvl w:ilvl="2">
      <w:start w:val="0"/>
      <w:numFmt w:val="bullet"/>
      <w:lvlText w:val="•"/>
      <w:lvlJc w:val="left"/>
      <w:pPr>
        <w:ind w:left="1014" w:hanging="245"/>
      </w:pPr>
      <w:rPr>
        <w:rFonts w:hint="default"/>
      </w:rPr>
    </w:lvl>
    <w:lvl w:ilvl="3">
      <w:start w:val="0"/>
      <w:numFmt w:val="bullet"/>
      <w:lvlText w:val="•"/>
      <w:lvlJc w:val="left"/>
      <w:pPr>
        <w:ind w:left="1471" w:hanging="245"/>
      </w:pPr>
      <w:rPr>
        <w:rFonts w:hint="default"/>
      </w:rPr>
    </w:lvl>
    <w:lvl w:ilvl="4">
      <w:start w:val="0"/>
      <w:numFmt w:val="bullet"/>
      <w:lvlText w:val="•"/>
      <w:lvlJc w:val="left"/>
      <w:pPr>
        <w:ind w:left="1928" w:hanging="245"/>
      </w:pPr>
      <w:rPr>
        <w:rFonts w:hint="default"/>
      </w:rPr>
    </w:lvl>
    <w:lvl w:ilvl="5">
      <w:start w:val="0"/>
      <w:numFmt w:val="bullet"/>
      <w:lvlText w:val="•"/>
      <w:lvlJc w:val="left"/>
      <w:pPr>
        <w:ind w:left="2385" w:hanging="245"/>
      </w:pPr>
      <w:rPr>
        <w:rFonts w:hint="default"/>
      </w:rPr>
    </w:lvl>
    <w:lvl w:ilvl="6">
      <w:start w:val="0"/>
      <w:numFmt w:val="bullet"/>
      <w:lvlText w:val="•"/>
      <w:lvlJc w:val="left"/>
      <w:pPr>
        <w:ind w:left="2842" w:hanging="245"/>
      </w:pPr>
      <w:rPr>
        <w:rFonts w:hint="default"/>
      </w:rPr>
    </w:lvl>
    <w:lvl w:ilvl="7">
      <w:start w:val="0"/>
      <w:numFmt w:val="bullet"/>
      <w:lvlText w:val="•"/>
      <w:lvlJc w:val="left"/>
      <w:pPr>
        <w:ind w:left="3299" w:hanging="245"/>
      </w:pPr>
      <w:rPr>
        <w:rFonts w:hint="default"/>
      </w:rPr>
    </w:lvl>
    <w:lvl w:ilvl="8">
      <w:start w:val="0"/>
      <w:numFmt w:val="bullet"/>
      <w:lvlText w:val="•"/>
      <w:lvlJc w:val="left"/>
      <w:pPr>
        <w:ind w:left="3757" w:hanging="245"/>
      </w:pPr>
      <w:rPr>
        <w:rFonts w:hint="default"/>
      </w:rPr>
    </w:lvl>
  </w:abstractNum>
  <w:abstractNum w:abstractNumId="31">
    <w:multiLevelType w:val="hybridMultilevel"/>
    <w:lvl w:ilvl="0">
      <w:start w:val="0"/>
      <w:numFmt w:val="bullet"/>
      <w:lvlText w:val="-"/>
      <w:lvlJc w:val="left"/>
      <w:pPr>
        <w:ind w:left="103" w:hanging="130"/>
      </w:pPr>
      <w:rPr>
        <w:rFonts w:hint="default" w:ascii="Times New Roman" w:hAnsi="Times New Roman" w:eastAsia="Times New Roman" w:cs="Times New Roman"/>
        <w:w w:val="99"/>
        <w:sz w:val="20"/>
        <w:szCs w:val="20"/>
      </w:rPr>
    </w:lvl>
    <w:lvl w:ilvl="1">
      <w:start w:val="0"/>
      <w:numFmt w:val="bullet"/>
      <w:lvlText w:val="•"/>
      <w:lvlJc w:val="left"/>
      <w:pPr>
        <w:ind w:left="557" w:hanging="130"/>
      </w:pPr>
      <w:rPr>
        <w:rFonts w:hint="default"/>
      </w:rPr>
    </w:lvl>
    <w:lvl w:ilvl="2">
      <w:start w:val="0"/>
      <w:numFmt w:val="bullet"/>
      <w:lvlText w:val="•"/>
      <w:lvlJc w:val="left"/>
      <w:pPr>
        <w:ind w:left="1014" w:hanging="130"/>
      </w:pPr>
      <w:rPr>
        <w:rFonts w:hint="default"/>
      </w:rPr>
    </w:lvl>
    <w:lvl w:ilvl="3">
      <w:start w:val="0"/>
      <w:numFmt w:val="bullet"/>
      <w:lvlText w:val="•"/>
      <w:lvlJc w:val="left"/>
      <w:pPr>
        <w:ind w:left="1471" w:hanging="130"/>
      </w:pPr>
      <w:rPr>
        <w:rFonts w:hint="default"/>
      </w:rPr>
    </w:lvl>
    <w:lvl w:ilvl="4">
      <w:start w:val="0"/>
      <w:numFmt w:val="bullet"/>
      <w:lvlText w:val="•"/>
      <w:lvlJc w:val="left"/>
      <w:pPr>
        <w:ind w:left="1928" w:hanging="130"/>
      </w:pPr>
      <w:rPr>
        <w:rFonts w:hint="default"/>
      </w:rPr>
    </w:lvl>
    <w:lvl w:ilvl="5">
      <w:start w:val="0"/>
      <w:numFmt w:val="bullet"/>
      <w:lvlText w:val="•"/>
      <w:lvlJc w:val="left"/>
      <w:pPr>
        <w:ind w:left="2385" w:hanging="130"/>
      </w:pPr>
      <w:rPr>
        <w:rFonts w:hint="default"/>
      </w:rPr>
    </w:lvl>
    <w:lvl w:ilvl="6">
      <w:start w:val="0"/>
      <w:numFmt w:val="bullet"/>
      <w:lvlText w:val="•"/>
      <w:lvlJc w:val="left"/>
      <w:pPr>
        <w:ind w:left="2842" w:hanging="130"/>
      </w:pPr>
      <w:rPr>
        <w:rFonts w:hint="default"/>
      </w:rPr>
    </w:lvl>
    <w:lvl w:ilvl="7">
      <w:start w:val="0"/>
      <w:numFmt w:val="bullet"/>
      <w:lvlText w:val="•"/>
      <w:lvlJc w:val="left"/>
      <w:pPr>
        <w:ind w:left="3299" w:hanging="130"/>
      </w:pPr>
      <w:rPr>
        <w:rFonts w:hint="default"/>
      </w:rPr>
    </w:lvl>
    <w:lvl w:ilvl="8">
      <w:start w:val="0"/>
      <w:numFmt w:val="bullet"/>
      <w:lvlText w:val="•"/>
      <w:lvlJc w:val="left"/>
      <w:pPr>
        <w:ind w:left="3757" w:hanging="130"/>
      </w:pPr>
      <w:rPr>
        <w:rFonts w:hint="default"/>
      </w:rPr>
    </w:lvl>
  </w:abstractNum>
  <w:abstractNum w:abstractNumId="28">
    <w:multiLevelType w:val="hybridMultilevel"/>
    <w:lvl w:ilvl="0">
      <w:start w:val="1"/>
      <w:numFmt w:val="lowerLetter"/>
      <w:lvlText w:val="%1)"/>
      <w:lvlJc w:val="left"/>
      <w:pPr>
        <w:ind w:left="2370" w:hanging="243"/>
        <w:jc w:val="left"/>
      </w:pPr>
      <w:rPr>
        <w:rFonts w:hint="default" w:ascii="Times New Roman" w:hAnsi="Times New Roman" w:eastAsia="Times New Roman" w:cs="Times New Roman"/>
        <w:w w:val="99"/>
        <w:sz w:val="20"/>
        <w:szCs w:val="20"/>
      </w:rPr>
    </w:lvl>
    <w:lvl w:ilvl="1">
      <w:start w:val="0"/>
      <w:numFmt w:val="bullet"/>
      <w:lvlText w:val="•"/>
      <w:lvlJc w:val="left"/>
      <w:pPr>
        <w:ind w:left="3014" w:hanging="243"/>
      </w:pPr>
      <w:rPr>
        <w:rFonts w:hint="default"/>
      </w:rPr>
    </w:lvl>
    <w:lvl w:ilvl="2">
      <w:start w:val="0"/>
      <w:numFmt w:val="bullet"/>
      <w:lvlText w:val="•"/>
      <w:lvlJc w:val="left"/>
      <w:pPr>
        <w:ind w:left="3649" w:hanging="243"/>
      </w:pPr>
      <w:rPr>
        <w:rFonts w:hint="default"/>
      </w:rPr>
    </w:lvl>
    <w:lvl w:ilvl="3">
      <w:start w:val="0"/>
      <w:numFmt w:val="bullet"/>
      <w:lvlText w:val="•"/>
      <w:lvlJc w:val="left"/>
      <w:pPr>
        <w:ind w:left="4283" w:hanging="243"/>
      </w:pPr>
      <w:rPr>
        <w:rFonts w:hint="default"/>
      </w:rPr>
    </w:lvl>
    <w:lvl w:ilvl="4">
      <w:start w:val="0"/>
      <w:numFmt w:val="bullet"/>
      <w:lvlText w:val="•"/>
      <w:lvlJc w:val="left"/>
      <w:pPr>
        <w:ind w:left="4918" w:hanging="243"/>
      </w:pPr>
      <w:rPr>
        <w:rFonts w:hint="default"/>
      </w:rPr>
    </w:lvl>
    <w:lvl w:ilvl="5">
      <w:start w:val="0"/>
      <w:numFmt w:val="bullet"/>
      <w:lvlText w:val="•"/>
      <w:lvlJc w:val="left"/>
      <w:pPr>
        <w:ind w:left="5553" w:hanging="243"/>
      </w:pPr>
      <w:rPr>
        <w:rFonts w:hint="default"/>
      </w:rPr>
    </w:lvl>
    <w:lvl w:ilvl="6">
      <w:start w:val="0"/>
      <w:numFmt w:val="bullet"/>
      <w:lvlText w:val="•"/>
      <w:lvlJc w:val="left"/>
      <w:pPr>
        <w:ind w:left="6187" w:hanging="243"/>
      </w:pPr>
      <w:rPr>
        <w:rFonts w:hint="default"/>
      </w:rPr>
    </w:lvl>
    <w:lvl w:ilvl="7">
      <w:start w:val="0"/>
      <w:numFmt w:val="bullet"/>
      <w:lvlText w:val="•"/>
      <w:lvlJc w:val="left"/>
      <w:pPr>
        <w:ind w:left="6822" w:hanging="243"/>
      </w:pPr>
      <w:rPr>
        <w:rFonts w:hint="default"/>
      </w:rPr>
    </w:lvl>
    <w:lvl w:ilvl="8">
      <w:start w:val="0"/>
      <w:numFmt w:val="bullet"/>
      <w:lvlText w:val="•"/>
      <w:lvlJc w:val="left"/>
      <w:pPr>
        <w:ind w:left="7457" w:hanging="243"/>
      </w:pPr>
      <w:rPr>
        <w:rFonts w:hint="default"/>
      </w:rPr>
    </w:lvl>
  </w:abstractNum>
  <w:abstractNum w:abstractNumId="27">
    <w:multiLevelType w:val="hybridMultilevel"/>
    <w:lvl w:ilvl="0">
      <w:start w:val="1"/>
      <w:numFmt w:val="lowerLetter"/>
      <w:lvlText w:val="%1)"/>
      <w:lvlJc w:val="left"/>
      <w:pPr>
        <w:ind w:left="2370" w:hanging="215"/>
        <w:jc w:val="left"/>
      </w:pPr>
      <w:rPr>
        <w:rFonts w:hint="default" w:ascii="Times New Roman" w:hAnsi="Times New Roman" w:eastAsia="Times New Roman" w:cs="Times New Roman"/>
        <w:w w:val="99"/>
        <w:sz w:val="20"/>
        <w:szCs w:val="20"/>
      </w:rPr>
    </w:lvl>
    <w:lvl w:ilvl="1">
      <w:start w:val="0"/>
      <w:numFmt w:val="bullet"/>
      <w:lvlText w:val="•"/>
      <w:lvlJc w:val="left"/>
      <w:pPr>
        <w:ind w:left="3014" w:hanging="215"/>
      </w:pPr>
      <w:rPr>
        <w:rFonts w:hint="default"/>
      </w:rPr>
    </w:lvl>
    <w:lvl w:ilvl="2">
      <w:start w:val="0"/>
      <w:numFmt w:val="bullet"/>
      <w:lvlText w:val="•"/>
      <w:lvlJc w:val="left"/>
      <w:pPr>
        <w:ind w:left="3649" w:hanging="215"/>
      </w:pPr>
      <w:rPr>
        <w:rFonts w:hint="default"/>
      </w:rPr>
    </w:lvl>
    <w:lvl w:ilvl="3">
      <w:start w:val="0"/>
      <w:numFmt w:val="bullet"/>
      <w:lvlText w:val="•"/>
      <w:lvlJc w:val="left"/>
      <w:pPr>
        <w:ind w:left="4283" w:hanging="215"/>
      </w:pPr>
      <w:rPr>
        <w:rFonts w:hint="default"/>
      </w:rPr>
    </w:lvl>
    <w:lvl w:ilvl="4">
      <w:start w:val="0"/>
      <w:numFmt w:val="bullet"/>
      <w:lvlText w:val="•"/>
      <w:lvlJc w:val="left"/>
      <w:pPr>
        <w:ind w:left="4918" w:hanging="215"/>
      </w:pPr>
      <w:rPr>
        <w:rFonts w:hint="default"/>
      </w:rPr>
    </w:lvl>
    <w:lvl w:ilvl="5">
      <w:start w:val="0"/>
      <w:numFmt w:val="bullet"/>
      <w:lvlText w:val="•"/>
      <w:lvlJc w:val="left"/>
      <w:pPr>
        <w:ind w:left="5553" w:hanging="215"/>
      </w:pPr>
      <w:rPr>
        <w:rFonts w:hint="default"/>
      </w:rPr>
    </w:lvl>
    <w:lvl w:ilvl="6">
      <w:start w:val="0"/>
      <w:numFmt w:val="bullet"/>
      <w:lvlText w:val="•"/>
      <w:lvlJc w:val="left"/>
      <w:pPr>
        <w:ind w:left="6187" w:hanging="215"/>
      </w:pPr>
      <w:rPr>
        <w:rFonts w:hint="default"/>
      </w:rPr>
    </w:lvl>
    <w:lvl w:ilvl="7">
      <w:start w:val="0"/>
      <w:numFmt w:val="bullet"/>
      <w:lvlText w:val="•"/>
      <w:lvlJc w:val="left"/>
      <w:pPr>
        <w:ind w:left="6822" w:hanging="215"/>
      </w:pPr>
      <w:rPr>
        <w:rFonts w:hint="default"/>
      </w:rPr>
    </w:lvl>
    <w:lvl w:ilvl="8">
      <w:start w:val="0"/>
      <w:numFmt w:val="bullet"/>
      <w:lvlText w:val="•"/>
      <w:lvlJc w:val="left"/>
      <w:pPr>
        <w:ind w:left="7457" w:hanging="215"/>
      </w:pPr>
      <w:rPr>
        <w:rFonts w:hint="default"/>
      </w:rPr>
    </w:lvl>
  </w:abstractNum>
  <w:abstractNum w:abstractNumId="26">
    <w:multiLevelType w:val="hybridMultilevel"/>
    <w:lvl w:ilvl="0">
      <w:start w:val="1"/>
      <w:numFmt w:val="lowerLetter"/>
      <w:lvlText w:val="%1)"/>
      <w:lvlJc w:val="left"/>
      <w:pPr>
        <w:ind w:left="2370" w:hanging="259"/>
        <w:jc w:val="left"/>
      </w:pPr>
      <w:rPr>
        <w:rFonts w:hint="default" w:ascii="Times New Roman" w:hAnsi="Times New Roman" w:eastAsia="Times New Roman" w:cs="Times New Roman"/>
        <w:w w:val="99"/>
        <w:sz w:val="20"/>
        <w:szCs w:val="20"/>
      </w:rPr>
    </w:lvl>
    <w:lvl w:ilvl="1">
      <w:start w:val="0"/>
      <w:numFmt w:val="bullet"/>
      <w:lvlText w:val="•"/>
      <w:lvlJc w:val="left"/>
      <w:pPr>
        <w:ind w:left="3014" w:hanging="259"/>
      </w:pPr>
      <w:rPr>
        <w:rFonts w:hint="default"/>
      </w:rPr>
    </w:lvl>
    <w:lvl w:ilvl="2">
      <w:start w:val="0"/>
      <w:numFmt w:val="bullet"/>
      <w:lvlText w:val="•"/>
      <w:lvlJc w:val="left"/>
      <w:pPr>
        <w:ind w:left="3649" w:hanging="259"/>
      </w:pPr>
      <w:rPr>
        <w:rFonts w:hint="default"/>
      </w:rPr>
    </w:lvl>
    <w:lvl w:ilvl="3">
      <w:start w:val="0"/>
      <w:numFmt w:val="bullet"/>
      <w:lvlText w:val="•"/>
      <w:lvlJc w:val="left"/>
      <w:pPr>
        <w:ind w:left="4283" w:hanging="259"/>
      </w:pPr>
      <w:rPr>
        <w:rFonts w:hint="default"/>
      </w:rPr>
    </w:lvl>
    <w:lvl w:ilvl="4">
      <w:start w:val="0"/>
      <w:numFmt w:val="bullet"/>
      <w:lvlText w:val="•"/>
      <w:lvlJc w:val="left"/>
      <w:pPr>
        <w:ind w:left="4918" w:hanging="259"/>
      </w:pPr>
      <w:rPr>
        <w:rFonts w:hint="default"/>
      </w:rPr>
    </w:lvl>
    <w:lvl w:ilvl="5">
      <w:start w:val="0"/>
      <w:numFmt w:val="bullet"/>
      <w:lvlText w:val="•"/>
      <w:lvlJc w:val="left"/>
      <w:pPr>
        <w:ind w:left="5553" w:hanging="259"/>
      </w:pPr>
      <w:rPr>
        <w:rFonts w:hint="default"/>
      </w:rPr>
    </w:lvl>
    <w:lvl w:ilvl="6">
      <w:start w:val="0"/>
      <w:numFmt w:val="bullet"/>
      <w:lvlText w:val="•"/>
      <w:lvlJc w:val="left"/>
      <w:pPr>
        <w:ind w:left="6187" w:hanging="259"/>
      </w:pPr>
      <w:rPr>
        <w:rFonts w:hint="default"/>
      </w:rPr>
    </w:lvl>
    <w:lvl w:ilvl="7">
      <w:start w:val="0"/>
      <w:numFmt w:val="bullet"/>
      <w:lvlText w:val="•"/>
      <w:lvlJc w:val="left"/>
      <w:pPr>
        <w:ind w:left="6822" w:hanging="259"/>
      </w:pPr>
      <w:rPr>
        <w:rFonts w:hint="default"/>
      </w:rPr>
    </w:lvl>
    <w:lvl w:ilvl="8">
      <w:start w:val="0"/>
      <w:numFmt w:val="bullet"/>
      <w:lvlText w:val="•"/>
      <w:lvlJc w:val="left"/>
      <w:pPr>
        <w:ind w:left="7457" w:hanging="259"/>
      </w:pPr>
      <w:rPr>
        <w:rFonts w:hint="default"/>
      </w:rPr>
    </w:lvl>
  </w:abstractNum>
  <w:abstractNum w:abstractNumId="25">
    <w:multiLevelType w:val="hybridMultilevel"/>
    <w:lvl w:ilvl="0">
      <w:start w:val="1"/>
      <w:numFmt w:val="lowerLetter"/>
      <w:lvlText w:val="%1)"/>
      <w:lvlJc w:val="left"/>
      <w:pPr>
        <w:ind w:left="2370" w:hanging="222"/>
        <w:jc w:val="left"/>
      </w:pPr>
      <w:rPr>
        <w:rFonts w:hint="default" w:ascii="Times New Roman" w:hAnsi="Times New Roman" w:eastAsia="Times New Roman" w:cs="Times New Roman"/>
        <w:w w:val="99"/>
        <w:sz w:val="20"/>
        <w:szCs w:val="20"/>
      </w:rPr>
    </w:lvl>
    <w:lvl w:ilvl="1">
      <w:start w:val="0"/>
      <w:numFmt w:val="bullet"/>
      <w:lvlText w:val="•"/>
      <w:lvlJc w:val="left"/>
      <w:pPr>
        <w:ind w:left="3014" w:hanging="222"/>
      </w:pPr>
      <w:rPr>
        <w:rFonts w:hint="default"/>
      </w:rPr>
    </w:lvl>
    <w:lvl w:ilvl="2">
      <w:start w:val="0"/>
      <w:numFmt w:val="bullet"/>
      <w:lvlText w:val="•"/>
      <w:lvlJc w:val="left"/>
      <w:pPr>
        <w:ind w:left="3649" w:hanging="222"/>
      </w:pPr>
      <w:rPr>
        <w:rFonts w:hint="default"/>
      </w:rPr>
    </w:lvl>
    <w:lvl w:ilvl="3">
      <w:start w:val="0"/>
      <w:numFmt w:val="bullet"/>
      <w:lvlText w:val="•"/>
      <w:lvlJc w:val="left"/>
      <w:pPr>
        <w:ind w:left="4283" w:hanging="222"/>
      </w:pPr>
      <w:rPr>
        <w:rFonts w:hint="default"/>
      </w:rPr>
    </w:lvl>
    <w:lvl w:ilvl="4">
      <w:start w:val="0"/>
      <w:numFmt w:val="bullet"/>
      <w:lvlText w:val="•"/>
      <w:lvlJc w:val="left"/>
      <w:pPr>
        <w:ind w:left="4918" w:hanging="222"/>
      </w:pPr>
      <w:rPr>
        <w:rFonts w:hint="default"/>
      </w:rPr>
    </w:lvl>
    <w:lvl w:ilvl="5">
      <w:start w:val="0"/>
      <w:numFmt w:val="bullet"/>
      <w:lvlText w:val="•"/>
      <w:lvlJc w:val="left"/>
      <w:pPr>
        <w:ind w:left="5553" w:hanging="222"/>
      </w:pPr>
      <w:rPr>
        <w:rFonts w:hint="default"/>
      </w:rPr>
    </w:lvl>
    <w:lvl w:ilvl="6">
      <w:start w:val="0"/>
      <w:numFmt w:val="bullet"/>
      <w:lvlText w:val="•"/>
      <w:lvlJc w:val="left"/>
      <w:pPr>
        <w:ind w:left="6187" w:hanging="222"/>
      </w:pPr>
      <w:rPr>
        <w:rFonts w:hint="default"/>
      </w:rPr>
    </w:lvl>
    <w:lvl w:ilvl="7">
      <w:start w:val="0"/>
      <w:numFmt w:val="bullet"/>
      <w:lvlText w:val="•"/>
      <w:lvlJc w:val="left"/>
      <w:pPr>
        <w:ind w:left="6822" w:hanging="222"/>
      </w:pPr>
      <w:rPr>
        <w:rFonts w:hint="default"/>
      </w:rPr>
    </w:lvl>
    <w:lvl w:ilvl="8">
      <w:start w:val="0"/>
      <w:numFmt w:val="bullet"/>
      <w:lvlText w:val="•"/>
      <w:lvlJc w:val="left"/>
      <w:pPr>
        <w:ind w:left="7457" w:hanging="222"/>
      </w:pPr>
      <w:rPr>
        <w:rFonts w:hint="default"/>
      </w:rPr>
    </w:lvl>
  </w:abstractNum>
  <w:abstractNum w:abstractNumId="24">
    <w:multiLevelType w:val="hybridMultilevel"/>
    <w:lvl w:ilvl="0">
      <w:start w:val="3"/>
      <w:numFmt w:val="decimal"/>
      <w:lvlText w:val="%1"/>
      <w:lvlJc w:val="left"/>
      <w:pPr>
        <w:ind w:left="102" w:hanging="396"/>
        <w:jc w:val="left"/>
      </w:pPr>
      <w:rPr>
        <w:rFonts w:hint="default"/>
      </w:rPr>
    </w:lvl>
    <w:lvl w:ilvl="1">
      <w:start w:val="1"/>
      <w:numFmt w:val="decimal"/>
      <w:lvlText w:val="%1.%2"/>
      <w:lvlJc w:val="left"/>
      <w:pPr>
        <w:ind w:left="102" w:hanging="396"/>
        <w:jc w:val="left"/>
      </w:pPr>
      <w:rPr>
        <w:rFonts w:hint="default" w:ascii="Times New Roman" w:hAnsi="Times New Roman" w:eastAsia="Times New Roman" w:cs="Times New Roman"/>
        <w:b/>
        <w:bCs/>
        <w:spacing w:val="-26"/>
        <w:w w:val="99"/>
        <w:sz w:val="24"/>
        <w:szCs w:val="24"/>
      </w:rPr>
    </w:lvl>
    <w:lvl w:ilvl="2">
      <w:start w:val="1"/>
      <w:numFmt w:val="decimal"/>
      <w:lvlText w:val="%1.%2.%3"/>
      <w:lvlJc w:val="left"/>
      <w:pPr>
        <w:ind w:left="662" w:hanging="540"/>
        <w:jc w:val="left"/>
      </w:pPr>
      <w:rPr>
        <w:rFonts w:hint="default" w:ascii="Times New Roman" w:hAnsi="Times New Roman" w:eastAsia="Times New Roman" w:cs="Times New Roman"/>
        <w:b/>
        <w:bCs/>
        <w:i/>
        <w:w w:val="100"/>
        <w:sz w:val="24"/>
        <w:szCs w:val="24"/>
      </w:rPr>
    </w:lvl>
    <w:lvl w:ilvl="3">
      <w:start w:val="1"/>
      <w:numFmt w:val="lowerLetter"/>
      <w:lvlText w:val="%4)"/>
      <w:lvlJc w:val="left"/>
      <w:pPr>
        <w:ind w:left="2370" w:hanging="206"/>
        <w:jc w:val="left"/>
      </w:pPr>
      <w:rPr>
        <w:rFonts w:hint="default" w:ascii="Times New Roman" w:hAnsi="Times New Roman" w:eastAsia="Times New Roman" w:cs="Times New Roman"/>
        <w:w w:val="99"/>
        <w:sz w:val="20"/>
        <w:szCs w:val="20"/>
      </w:rPr>
    </w:lvl>
    <w:lvl w:ilvl="4">
      <w:start w:val="0"/>
      <w:numFmt w:val="bullet"/>
      <w:lvlText w:val="•"/>
      <w:lvlJc w:val="left"/>
      <w:pPr>
        <w:ind w:left="3286" w:hanging="206"/>
      </w:pPr>
      <w:rPr>
        <w:rFonts w:hint="default"/>
      </w:rPr>
    </w:lvl>
    <w:lvl w:ilvl="5">
      <w:start w:val="0"/>
      <w:numFmt w:val="bullet"/>
      <w:lvlText w:val="•"/>
      <w:lvlJc w:val="left"/>
      <w:pPr>
        <w:ind w:left="4193" w:hanging="206"/>
      </w:pPr>
      <w:rPr>
        <w:rFonts w:hint="default"/>
      </w:rPr>
    </w:lvl>
    <w:lvl w:ilvl="6">
      <w:start w:val="0"/>
      <w:numFmt w:val="bullet"/>
      <w:lvlText w:val="•"/>
      <w:lvlJc w:val="left"/>
      <w:pPr>
        <w:ind w:left="5099" w:hanging="206"/>
      </w:pPr>
      <w:rPr>
        <w:rFonts w:hint="default"/>
      </w:rPr>
    </w:lvl>
    <w:lvl w:ilvl="7">
      <w:start w:val="0"/>
      <w:numFmt w:val="bullet"/>
      <w:lvlText w:val="•"/>
      <w:lvlJc w:val="left"/>
      <w:pPr>
        <w:ind w:left="6006" w:hanging="206"/>
      </w:pPr>
      <w:rPr>
        <w:rFonts w:hint="default"/>
      </w:rPr>
    </w:lvl>
    <w:lvl w:ilvl="8">
      <w:start w:val="0"/>
      <w:numFmt w:val="bullet"/>
      <w:lvlText w:val="•"/>
      <w:lvlJc w:val="left"/>
      <w:pPr>
        <w:ind w:left="6913" w:hanging="206"/>
      </w:pPr>
      <w:rPr>
        <w:rFonts w:hint="default"/>
      </w:rPr>
    </w:lvl>
  </w:abstractNum>
  <w:abstractNum w:abstractNumId="23">
    <w:multiLevelType w:val="hybridMultilevel"/>
    <w:lvl w:ilvl="0">
      <w:start w:val="1"/>
      <w:numFmt w:val="decimal"/>
      <w:lvlText w:val="%1."/>
      <w:lvlJc w:val="left"/>
      <w:pPr>
        <w:ind w:left="730" w:hanging="310"/>
        <w:jc w:val="left"/>
      </w:pPr>
      <w:rPr>
        <w:rFonts w:hint="default" w:ascii="Times New Roman" w:hAnsi="Times New Roman" w:eastAsia="Times New Roman" w:cs="Times New Roman"/>
        <w:spacing w:val="-14"/>
        <w:w w:val="99"/>
        <w:sz w:val="24"/>
        <w:szCs w:val="24"/>
      </w:rPr>
    </w:lvl>
    <w:lvl w:ilvl="1">
      <w:start w:val="0"/>
      <w:numFmt w:val="bullet"/>
      <w:lvlText w:val="•"/>
      <w:lvlJc w:val="left"/>
      <w:pPr>
        <w:ind w:left="1530" w:hanging="310"/>
      </w:pPr>
      <w:rPr>
        <w:rFonts w:hint="default"/>
      </w:rPr>
    </w:lvl>
    <w:lvl w:ilvl="2">
      <w:start w:val="0"/>
      <w:numFmt w:val="bullet"/>
      <w:lvlText w:val="•"/>
      <w:lvlJc w:val="left"/>
      <w:pPr>
        <w:ind w:left="2321" w:hanging="310"/>
      </w:pPr>
      <w:rPr>
        <w:rFonts w:hint="default"/>
      </w:rPr>
    </w:lvl>
    <w:lvl w:ilvl="3">
      <w:start w:val="0"/>
      <w:numFmt w:val="bullet"/>
      <w:lvlText w:val="•"/>
      <w:lvlJc w:val="left"/>
      <w:pPr>
        <w:ind w:left="3111" w:hanging="310"/>
      </w:pPr>
      <w:rPr>
        <w:rFonts w:hint="default"/>
      </w:rPr>
    </w:lvl>
    <w:lvl w:ilvl="4">
      <w:start w:val="0"/>
      <w:numFmt w:val="bullet"/>
      <w:lvlText w:val="•"/>
      <w:lvlJc w:val="left"/>
      <w:pPr>
        <w:ind w:left="3902" w:hanging="310"/>
      </w:pPr>
      <w:rPr>
        <w:rFonts w:hint="default"/>
      </w:rPr>
    </w:lvl>
    <w:lvl w:ilvl="5">
      <w:start w:val="0"/>
      <w:numFmt w:val="bullet"/>
      <w:lvlText w:val="•"/>
      <w:lvlJc w:val="left"/>
      <w:pPr>
        <w:ind w:left="4693" w:hanging="310"/>
      </w:pPr>
      <w:rPr>
        <w:rFonts w:hint="default"/>
      </w:rPr>
    </w:lvl>
    <w:lvl w:ilvl="6">
      <w:start w:val="0"/>
      <w:numFmt w:val="bullet"/>
      <w:lvlText w:val="•"/>
      <w:lvlJc w:val="left"/>
      <w:pPr>
        <w:ind w:left="5483" w:hanging="310"/>
      </w:pPr>
      <w:rPr>
        <w:rFonts w:hint="default"/>
      </w:rPr>
    </w:lvl>
    <w:lvl w:ilvl="7">
      <w:start w:val="0"/>
      <w:numFmt w:val="bullet"/>
      <w:lvlText w:val="•"/>
      <w:lvlJc w:val="left"/>
      <w:pPr>
        <w:ind w:left="6274" w:hanging="310"/>
      </w:pPr>
      <w:rPr>
        <w:rFonts w:hint="default"/>
      </w:rPr>
    </w:lvl>
    <w:lvl w:ilvl="8">
      <w:start w:val="0"/>
      <w:numFmt w:val="bullet"/>
      <w:lvlText w:val="•"/>
      <w:lvlJc w:val="left"/>
      <w:pPr>
        <w:ind w:left="7065" w:hanging="310"/>
      </w:pPr>
      <w:rPr>
        <w:rFonts w:hint="default"/>
      </w:rPr>
    </w:lvl>
  </w:abstractNum>
  <w:abstractNum w:abstractNumId="22">
    <w:multiLevelType w:val="hybridMultilevel"/>
    <w:lvl w:ilvl="0">
      <w:start w:val="1"/>
      <w:numFmt w:val="decimal"/>
      <w:lvlText w:val="%1."/>
      <w:lvlJc w:val="left"/>
      <w:pPr>
        <w:ind w:left="742" w:hanging="360"/>
        <w:jc w:val="left"/>
      </w:pPr>
      <w:rPr>
        <w:rFonts w:hint="default" w:ascii="Times New Roman" w:hAnsi="Times New Roman" w:eastAsia="Times New Roman" w:cs="Times New Roman"/>
        <w:spacing w:val="-28"/>
        <w:w w:val="99"/>
        <w:sz w:val="24"/>
        <w:szCs w:val="24"/>
      </w:rPr>
    </w:lvl>
    <w:lvl w:ilvl="1">
      <w:start w:val="0"/>
      <w:numFmt w:val="bullet"/>
      <w:lvlText w:val="•"/>
      <w:lvlJc w:val="left"/>
      <w:pPr>
        <w:ind w:left="1530" w:hanging="360"/>
      </w:pPr>
      <w:rPr>
        <w:rFonts w:hint="default"/>
      </w:rPr>
    </w:lvl>
    <w:lvl w:ilvl="2">
      <w:start w:val="0"/>
      <w:numFmt w:val="bullet"/>
      <w:lvlText w:val="•"/>
      <w:lvlJc w:val="left"/>
      <w:pPr>
        <w:ind w:left="2321" w:hanging="360"/>
      </w:pPr>
      <w:rPr>
        <w:rFonts w:hint="default"/>
      </w:rPr>
    </w:lvl>
    <w:lvl w:ilvl="3">
      <w:start w:val="0"/>
      <w:numFmt w:val="bullet"/>
      <w:lvlText w:val="•"/>
      <w:lvlJc w:val="left"/>
      <w:pPr>
        <w:ind w:left="3111" w:hanging="360"/>
      </w:pPr>
      <w:rPr>
        <w:rFonts w:hint="default"/>
      </w:rPr>
    </w:lvl>
    <w:lvl w:ilvl="4">
      <w:start w:val="0"/>
      <w:numFmt w:val="bullet"/>
      <w:lvlText w:val="•"/>
      <w:lvlJc w:val="left"/>
      <w:pPr>
        <w:ind w:left="3902" w:hanging="360"/>
      </w:pPr>
      <w:rPr>
        <w:rFonts w:hint="default"/>
      </w:rPr>
    </w:lvl>
    <w:lvl w:ilvl="5">
      <w:start w:val="0"/>
      <w:numFmt w:val="bullet"/>
      <w:lvlText w:val="•"/>
      <w:lvlJc w:val="left"/>
      <w:pPr>
        <w:ind w:left="4693" w:hanging="360"/>
      </w:pPr>
      <w:rPr>
        <w:rFonts w:hint="default"/>
      </w:rPr>
    </w:lvl>
    <w:lvl w:ilvl="6">
      <w:start w:val="0"/>
      <w:numFmt w:val="bullet"/>
      <w:lvlText w:val="•"/>
      <w:lvlJc w:val="left"/>
      <w:pPr>
        <w:ind w:left="5483" w:hanging="360"/>
      </w:pPr>
      <w:rPr>
        <w:rFonts w:hint="default"/>
      </w:rPr>
    </w:lvl>
    <w:lvl w:ilvl="7">
      <w:start w:val="0"/>
      <w:numFmt w:val="bullet"/>
      <w:lvlText w:val="•"/>
      <w:lvlJc w:val="left"/>
      <w:pPr>
        <w:ind w:left="6274" w:hanging="360"/>
      </w:pPr>
      <w:rPr>
        <w:rFonts w:hint="default"/>
      </w:rPr>
    </w:lvl>
    <w:lvl w:ilvl="8">
      <w:start w:val="0"/>
      <w:numFmt w:val="bullet"/>
      <w:lvlText w:val="•"/>
      <w:lvlJc w:val="left"/>
      <w:pPr>
        <w:ind w:left="7065" w:hanging="360"/>
      </w:pPr>
      <w:rPr>
        <w:rFonts w:hint="default"/>
      </w:rPr>
    </w:lvl>
  </w:abstractNum>
  <w:abstractNum w:abstractNumId="21">
    <w:multiLevelType w:val="hybridMultilevel"/>
    <w:lvl w:ilvl="0">
      <w:start w:val="1"/>
      <w:numFmt w:val="decimal"/>
      <w:lvlText w:val="%1."/>
      <w:lvlJc w:val="left"/>
      <w:pPr>
        <w:ind w:left="2390" w:hanging="201"/>
        <w:jc w:val="left"/>
      </w:pPr>
      <w:rPr>
        <w:rFonts w:hint="default" w:ascii="Times New Roman" w:hAnsi="Times New Roman" w:eastAsia="Times New Roman" w:cs="Times New Roman"/>
        <w:spacing w:val="0"/>
        <w:w w:val="99"/>
        <w:sz w:val="20"/>
        <w:szCs w:val="20"/>
      </w:rPr>
    </w:lvl>
    <w:lvl w:ilvl="1">
      <w:start w:val="0"/>
      <w:numFmt w:val="bullet"/>
      <w:lvlText w:val="•"/>
      <w:lvlJc w:val="left"/>
      <w:pPr>
        <w:ind w:left="3032" w:hanging="201"/>
      </w:pPr>
      <w:rPr>
        <w:rFonts w:hint="default"/>
      </w:rPr>
    </w:lvl>
    <w:lvl w:ilvl="2">
      <w:start w:val="0"/>
      <w:numFmt w:val="bullet"/>
      <w:lvlText w:val="•"/>
      <w:lvlJc w:val="left"/>
      <w:pPr>
        <w:ind w:left="3665" w:hanging="201"/>
      </w:pPr>
      <w:rPr>
        <w:rFonts w:hint="default"/>
      </w:rPr>
    </w:lvl>
    <w:lvl w:ilvl="3">
      <w:start w:val="0"/>
      <w:numFmt w:val="bullet"/>
      <w:lvlText w:val="•"/>
      <w:lvlJc w:val="left"/>
      <w:pPr>
        <w:ind w:left="4297" w:hanging="201"/>
      </w:pPr>
      <w:rPr>
        <w:rFonts w:hint="default"/>
      </w:rPr>
    </w:lvl>
    <w:lvl w:ilvl="4">
      <w:start w:val="0"/>
      <w:numFmt w:val="bullet"/>
      <w:lvlText w:val="•"/>
      <w:lvlJc w:val="left"/>
      <w:pPr>
        <w:ind w:left="4930" w:hanging="201"/>
      </w:pPr>
      <w:rPr>
        <w:rFonts w:hint="default"/>
      </w:rPr>
    </w:lvl>
    <w:lvl w:ilvl="5">
      <w:start w:val="0"/>
      <w:numFmt w:val="bullet"/>
      <w:lvlText w:val="•"/>
      <w:lvlJc w:val="left"/>
      <w:pPr>
        <w:ind w:left="5563" w:hanging="201"/>
      </w:pPr>
      <w:rPr>
        <w:rFonts w:hint="default"/>
      </w:rPr>
    </w:lvl>
    <w:lvl w:ilvl="6">
      <w:start w:val="0"/>
      <w:numFmt w:val="bullet"/>
      <w:lvlText w:val="•"/>
      <w:lvlJc w:val="left"/>
      <w:pPr>
        <w:ind w:left="6195" w:hanging="201"/>
      </w:pPr>
      <w:rPr>
        <w:rFonts w:hint="default"/>
      </w:rPr>
    </w:lvl>
    <w:lvl w:ilvl="7">
      <w:start w:val="0"/>
      <w:numFmt w:val="bullet"/>
      <w:lvlText w:val="•"/>
      <w:lvlJc w:val="left"/>
      <w:pPr>
        <w:ind w:left="6828" w:hanging="201"/>
      </w:pPr>
      <w:rPr>
        <w:rFonts w:hint="default"/>
      </w:rPr>
    </w:lvl>
    <w:lvl w:ilvl="8">
      <w:start w:val="0"/>
      <w:numFmt w:val="bullet"/>
      <w:lvlText w:val="•"/>
      <w:lvlJc w:val="left"/>
      <w:pPr>
        <w:ind w:left="7461" w:hanging="201"/>
      </w:pPr>
      <w:rPr>
        <w:rFonts w:hint="default"/>
      </w:rPr>
    </w:lvl>
  </w:abstractNum>
  <w:abstractNum w:abstractNumId="20">
    <w:multiLevelType w:val="hybridMultilevel"/>
    <w:lvl w:ilvl="0">
      <w:start w:val="1"/>
      <w:numFmt w:val="lowerLetter"/>
      <w:lvlText w:val="%1)"/>
      <w:lvlJc w:val="left"/>
      <w:pPr>
        <w:ind w:left="385" w:hanging="284"/>
        <w:jc w:val="left"/>
      </w:pPr>
      <w:rPr>
        <w:rFonts w:hint="default" w:ascii="Times New Roman" w:hAnsi="Times New Roman" w:eastAsia="Times New Roman" w:cs="Times New Roman"/>
        <w:spacing w:val="-23"/>
        <w:w w:val="99"/>
        <w:sz w:val="24"/>
        <w:szCs w:val="24"/>
      </w:rPr>
    </w:lvl>
    <w:lvl w:ilvl="1">
      <w:start w:val="1"/>
      <w:numFmt w:val="lowerLetter"/>
      <w:lvlText w:val="%2)"/>
      <w:lvlJc w:val="left"/>
      <w:pPr>
        <w:ind w:left="2370" w:hanging="269"/>
        <w:jc w:val="right"/>
      </w:pPr>
      <w:rPr>
        <w:rFonts w:hint="default"/>
        <w:w w:val="99"/>
      </w:rPr>
    </w:lvl>
    <w:lvl w:ilvl="2">
      <w:start w:val="1"/>
      <w:numFmt w:val="lowerLetter"/>
      <w:lvlText w:val="%3)"/>
      <w:lvlJc w:val="left"/>
      <w:pPr>
        <w:ind w:left="1438" w:hanging="564"/>
        <w:jc w:val="left"/>
      </w:pPr>
      <w:rPr>
        <w:rFonts w:hint="default" w:ascii="Times New Roman" w:hAnsi="Times New Roman" w:eastAsia="Times New Roman" w:cs="Times New Roman"/>
        <w:spacing w:val="-2"/>
        <w:w w:val="99"/>
        <w:sz w:val="24"/>
        <w:szCs w:val="24"/>
      </w:rPr>
    </w:lvl>
    <w:lvl w:ilvl="3">
      <w:start w:val="0"/>
      <w:numFmt w:val="bullet"/>
      <w:lvlText w:val="•"/>
      <w:lvlJc w:val="left"/>
      <w:pPr>
        <w:ind w:left="2380" w:hanging="564"/>
      </w:pPr>
      <w:rPr>
        <w:rFonts w:hint="default"/>
      </w:rPr>
    </w:lvl>
    <w:lvl w:ilvl="4">
      <w:start w:val="0"/>
      <w:numFmt w:val="bullet"/>
      <w:lvlText w:val="•"/>
      <w:lvlJc w:val="left"/>
      <w:pPr>
        <w:ind w:left="3275" w:hanging="564"/>
      </w:pPr>
      <w:rPr>
        <w:rFonts w:hint="default"/>
      </w:rPr>
    </w:lvl>
    <w:lvl w:ilvl="5">
      <w:start w:val="0"/>
      <w:numFmt w:val="bullet"/>
      <w:lvlText w:val="•"/>
      <w:lvlJc w:val="left"/>
      <w:pPr>
        <w:ind w:left="4170" w:hanging="564"/>
      </w:pPr>
      <w:rPr>
        <w:rFonts w:hint="default"/>
      </w:rPr>
    </w:lvl>
    <w:lvl w:ilvl="6">
      <w:start w:val="0"/>
      <w:numFmt w:val="bullet"/>
      <w:lvlText w:val="•"/>
      <w:lvlJc w:val="left"/>
      <w:pPr>
        <w:ind w:left="5065" w:hanging="564"/>
      </w:pPr>
      <w:rPr>
        <w:rFonts w:hint="default"/>
      </w:rPr>
    </w:lvl>
    <w:lvl w:ilvl="7">
      <w:start w:val="0"/>
      <w:numFmt w:val="bullet"/>
      <w:lvlText w:val="•"/>
      <w:lvlJc w:val="left"/>
      <w:pPr>
        <w:ind w:left="5960" w:hanging="564"/>
      </w:pPr>
      <w:rPr>
        <w:rFonts w:hint="default"/>
      </w:rPr>
    </w:lvl>
    <w:lvl w:ilvl="8">
      <w:start w:val="0"/>
      <w:numFmt w:val="bullet"/>
      <w:lvlText w:val="•"/>
      <w:lvlJc w:val="left"/>
      <w:pPr>
        <w:ind w:left="6856" w:hanging="564"/>
      </w:pPr>
      <w:rPr>
        <w:rFonts w:hint="default"/>
      </w:rPr>
    </w:lvl>
  </w:abstractNum>
  <w:abstractNum w:abstractNumId="18">
    <w:multiLevelType w:val="hybridMultilevel"/>
    <w:lvl w:ilvl="0">
      <w:start w:val="2"/>
      <w:numFmt w:val="decimal"/>
      <w:lvlText w:val="%1"/>
      <w:lvlJc w:val="left"/>
      <w:pPr>
        <w:ind w:left="642" w:hanging="540"/>
        <w:jc w:val="left"/>
      </w:pPr>
      <w:rPr>
        <w:rFonts w:hint="default"/>
      </w:rPr>
    </w:lvl>
    <w:lvl w:ilvl="1">
      <w:start w:val="3"/>
      <w:numFmt w:val="decimal"/>
      <w:lvlText w:val="%1.%2"/>
      <w:lvlJc w:val="left"/>
      <w:pPr>
        <w:ind w:left="642" w:hanging="540"/>
        <w:jc w:val="left"/>
      </w:pPr>
      <w:rPr>
        <w:rFonts w:hint="default"/>
      </w:rPr>
    </w:lvl>
    <w:lvl w:ilvl="2">
      <w:start w:val="2"/>
      <w:numFmt w:val="decimal"/>
      <w:lvlText w:val="%1.%2.%3"/>
      <w:lvlJc w:val="left"/>
      <w:pPr>
        <w:ind w:left="642" w:hanging="540"/>
        <w:jc w:val="left"/>
      </w:pPr>
      <w:rPr>
        <w:rFonts w:hint="default" w:ascii="Times New Roman" w:hAnsi="Times New Roman" w:eastAsia="Times New Roman" w:cs="Times New Roman"/>
        <w:b/>
        <w:bCs/>
        <w:i/>
        <w:spacing w:val="-4"/>
        <w:w w:val="99"/>
        <w:sz w:val="24"/>
        <w:szCs w:val="24"/>
      </w:rPr>
    </w:lvl>
    <w:lvl w:ilvl="3">
      <w:start w:val="1"/>
      <w:numFmt w:val="decimal"/>
      <w:lvlText w:val="%1.%2.%3.%4"/>
      <w:lvlJc w:val="left"/>
      <w:pPr>
        <w:ind w:left="102" w:hanging="768"/>
        <w:jc w:val="left"/>
      </w:pPr>
      <w:rPr>
        <w:rFonts w:hint="default" w:ascii="Times New Roman" w:hAnsi="Times New Roman" w:eastAsia="Times New Roman" w:cs="Times New Roman"/>
        <w:i/>
        <w:spacing w:val="-14"/>
        <w:w w:val="99"/>
        <w:sz w:val="24"/>
        <w:szCs w:val="24"/>
      </w:rPr>
    </w:lvl>
    <w:lvl w:ilvl="4">
      <w:start w:val="1"/>
      <w:numFmt w:val="lowerRoman"/>
      <w:lvlText w:val="%5."/>
      <w:lvlJc w:val="left"/>
      <w:pPr>
        <w:ind w:left="2545" w:hanging="156"/>
        <w:jc w:val="left"/>
      </w:pPr>
      <w:rPr>
        <w:rFonts w:hint="default" w:ascii="Times New Roman" w:hAnsi="Times New Roman" w:eastAsia="Times New Roman" w:cs="Times New Roman"/>
        <w:b/>
        <w:bCs/>
        <w:w w:val="99"/>
        <w:sz w:val="20"/>
        <w:szCs w:val="20"/>
      </w:rPr>
    </w:lvl>
    <w:lvl w:ilvl="5">
      <w:start w:val="0"/>
      <w:numFmt w:val="bullet"/>
      <w:lvlText w:val="•"/>
      <w:lvlJc w:val="left"/>
      <w:pPr>
        <w:ind w:left="4859" w:hanging="156"/>
      </w:pPr>
      <w:rPr>
        <w:rFonts w:hint="default"/>
      </w:rPr>
    </w:lvl>
    <w:lvl w:ilvl="6">
      <w:start w:val="0"/>
      <w:numFmt w:val="bullet"/>
      <w:lvlText w:val="•"/>
      <w:lvlJc w:val="left"/>
      <w:pPr>
        <w:ind w:left="5633" w:hanging="156"/>
      </w:pPr>
      <w:rPr>
        <w:rFonts w:hint="default"/>
      </w:rPr>
    </w:lvl>
    <w:lvl w:ilvl="7">
      <w:start w:val="0"/>
      <w:numFmt w:val="bullet"/>
      <w:lvlText w:val="•"/>
      <w:lvlJc w:val="left"/>
      <w:pPr>
        <w:ind w:left="6406" w:hanging="156"/>
      </w:pPr>
      <w:rPr>
        <w:rFonts w:hint="default"/>
      </w:rPr>
    </w:lvl>
    <w:lvl w:ilvl="8">
      <w:start w:val="0"/>
      <w:numFmt w:val="bullet"/>
      <w:lvlText w:val="•"/>
      <w:lvlJc w:val="left"/>
      <w:pPr>
        <w:ind w:left="7179" w:hanging="156"/>
      </w:pPr>
      <w:rPr>
        <w:rFonts w:hint="default"/>
      </w:rPr>
    </w:lvl>
  </w:abstractNum>
  <w:abstractNum w:abstractNumId="17">
    <w:multiLevelType w:val="hybridMultilevel"/>
    <w:lvl w:ilvl="0">
      <w:start w:val="0"/>
      <w:numFmt w:val="bullet"/>
      <w:lvlText w:val="-"/>
      <w:lvlJc w:val="left"/>
      <w:pPr>
        <w:ind w:left="2370" w:hanging="116"/>
      </w:pPr>
      <w:rPr>
        <w:rFonts w:hint="default" w:ascii="Times New Roman" w:hAnsi="Times New Roman" w:eastAsia="Times New Roman" w:cs="Times New Roman"/>
        <w:w w:val="99"/>
        <w:sz w:val="20"/>
        <w:szCs w:val="20"/>
      </w:rPr>
    </w:lvl>
    <w:lvl w:ilvl="1">
      <w:start w:val="0"/>
      <w:numFmt w:val="bullet"/>
      <w:lvlText w:val="•"/>
      <w:lvlJc w:val="left"/>
      <w:pPr>
        <w:ind w:left="3014" w:hanging="116"/>
      </w:pPr>
      <w:rPr>
        <w:rFonts w:hint="default"/>
      </w:rPr>
    </w:lvl>
    <w:lvl w:ilvl="2">
      <w:start w:val="0"/>
      <w:numFmt w:val="bullet"/>
      <w:lvlText w:val="•"/>
      <w:lvlJc w:val="left"/>
      <w:pPr>
        <w:ind w:left="3649" w:hanging="116"/>
      </w:pPr>
      <w:rPr>
        <w:rFonts w:hint="default"/>
      </w:rPr>
    </w:lvl>
    <w:lvl w:ilvl="3">
      <w:start w:val="0"/>
      <w:numFmt w:val="bullet"/>
      <w:lvlText w:val="•"/>
      <w:lvlJc w:val="left"/>
      <w:pPr>
        <w:ind w:left="4283" w:hanging="116"/>
      </w:pPr>
      <w:rPr>
        <w:rFonts w:hint="default"/>
      </w:rPr>
    </w:lvl>
    <w:lvl w:ilvl="4">
      <w:start w:val="0"/>
      <w:numFmt w:val="bullet"/>
      <w:lvlText w:val="•"/>
      <w:lvlJc w:val="left"/>
      <w:pPr>
        <w:ind w:left="4918" w:hanging="116"/>
      </w:pPr>
      <w:rPr>
        <w:rFonts w:hint="default"/>
      </w:rPr>
    </w:lvl>
    <w:lvl w:ilvl="5">
      <w:start w:val="0"/>
      <w:numFmt w:val="bullet"/>
      <w:lvlText w:val="•"/>
      <w:lvlJc w:val="left"/>
      <w:pPr>
        <w:ind w:left="5553" w:hanging="116"/>
      </w:pPr>
      <w:rPr>
        <w:rFonts w:hint="default"/>
      </w:rPr>
    </w:lvl>
    <w:lvl w:ilvl="6">
      <w:start w:val="0"/>
      <w:numFmt w:val="bullet"/>
      <w:lvlText w:val="•"/>
      <w:lvlJc w:val="left"/>
      <w:pPr>
        <w:ind w:left="6187" w:hanging="116"/>
      </w:pPr>
      <w:rPr>
        <w:rFonts w:hint="default"/>
      </w:rPr>
    </w:lvl>
    <w:lvl w:ilvl="7">
      <w:start w:val="0"/>
      <w:numFmt w:val="bullet"/>
      <w:lvlText w:val="•"/>
      <w:lvlJc w:val="left"/>
      <w:pPr>
        <w:ind w:left="6822" w:hanging="116"/>
      </w:pPr>
      <w:rPr>
        <w:rFonts w:hint="default"/>
      </w:rPr>
    </w:lvl>
    <w:lvl w:ilvl="8">
      <w:start w:val="0"/>
      <w:numFmt w:val="bullet"/>
      <w:lvlText w:val="•"/>
      <w:lvlJc w:val="left"/>
      <w:pPr>
        <w:ind w:left="7457" w:hanging="116"/>
      </w:pPr>
      <w:rPr>
        <w:rFonts w:hint="default"/>
      </w:rPr>
    </w:lvl>
  </w:abstractNum>
  <w:abstractNum w:abstractNumId="16">
    <w:multiLevelType w:val="hybridMultilevel"/>
    <w:lvl w:ilvl="0">
      <w:start w:val="1"/>
      <w:numFmt w:val="lowerLetter"/>
      <w:lvlText w:val="%1)"/>
      <w:lvlJc w:val="left"/>
      <w:pPr>
        <w:ind w:left="102" w:hanging="246"/>
        <w:jc w:val="left"/>
      </w:pPr>
      <w:rPr>
        <w:rFonts w:hint="default" w:ascii="Times New Roman" w:hAnsi="Times New Roman" w:eastAsia="Times New Roman" w:cs="Times New Roman"/>
        <w:spacing w:val="-2"/>
        <w:w w:val="99"/>
        <w:sz w:val="24"/>
        <w:szCs w:val="24"/>
      </w:rPr>
    </w:lvl>
    <w:lvl w:ilvl="1">
      <w:start w:val="0"/>
      <w:numFmt w:val="bullet"/>
      <w:lvlText w:val="•"/>
      <w:lvlJc w:val="left"/>
      <w:pPr>
        <w:ind w:left="962" w:hanging="246"/>
      </w:pPr>
      <w:rPr>
        <w:rFonts w:hint="default"/>
      </w:rPr>
    </w:lvl>
    <w:lvl w:ilvl="2">
      <w:start w:val="0"/>
      <w:numFmt w:val="bullet"/>
      <w:lvlText w:val="•"/>
      <w:lvlJc w:val="left"/>
      <w:pPr>
        <w:ind w:left="1825" w:hanging="246"/>
      </w:pPr>
      <w:rPr>
        <w:rFonts w:hint="default"/>
      </w:rPr>
    </w:lvl>
    <w:lvl w:ilvl="3">
      <w:start w:val="0"/>
      <w:numFmt w:val="bullet"/>
      <w:lvlText w:val="•"/>
      <w:lvlJc w:val="left"/>
      <w:pPr>
        <w:ind w:left="2687" w:hanging="246"/>
      </w:pPr>
      <w:rPr>
        <w:rFonts w:hint="default"/>
      </w:rPr>
    </w:lvl>
    <w:lvl w:ilvl="4">
      <w:start w:val="0"/>
      <w:numFmt w:val="bullet"/>
      <w:lvlText w:val="•"/>
      <w:lvlJc w:val="left"/>
      <w:pPr>
        <w:ind w:left="3550" w:hanging="246"/>
      </w:pPr>
      <w:rPr>
        <w:rFonts w:hint="default"/>
      </w:rPr>
    </w:lvl>
    <w:lvl w:ilvl="5">
      <w:start w:val="0"/>
      <w:numFmt w:val="bullet"/>
      <w:lvlText w:val="•"/>
      <w:lvlJc w:val="left"/>
      <w:pPr>
        <w:ind w:left="4413" w:hanging="246"/>
      </w:pPr>
      <w:rPr>
        <w:rFonts w:hint="default"/>
      </w:rPr>
    </w:lvl>
    <w:lvl w:ilvl="6">
      <w:start w:val="0"/>
      <w:numFmt w:val="bullet"/>
      <w:lvlText w:val="•"/>
      <w:lvlJc w:val="left"/>
      <w:pPr>
        <w:ind w:left="5275" w:hanging="246"/>
      </w:pPr>
      <w:rPr>
        <w:rFonts w:hint="default"/>
      </w:rPr>
    </w:lvl>
    <w:lvl w:ilvl="7">
      <w:start w:val="0"/>
      <w:numFmt w:val="bullet"/>
      <w:lvlText w:val="•"/>
      <w:lvlJc w:val="left"/>
      <w:pPr>
        <w:ind w:left="6138" w:hanging="246"/>
      </w:pPr>
      <w:rPr>
        <w:rFonts w:hint="default"/>
      </w:rPr>
    </w:lvl>
    <w:lvl w:ilvl="8">
      <w:start w:val="0"/>
      <w:numFmt w:val="bullet"/>
      <w:lvlText w:val="•"/>
      <w:lvlJc w:val="left"/>
      <w:pPr>
        <w:ind w:left="7001" w:hanging="246"/>
      </w:pPr>
      <w:rPr>
        <w:rFonts w:hint="default"/>
      </w:rPr>
    </w:lvl>
  </w:abstractNum>
  <w:abstractNum w:abstractNumId="15">
    <w:multiLevelType w:val="hybridMultilevel"/>
    <w:lvl w:ilvl="0">
      <w:start w:val="2"/>
      <w:numFmt w:val="decimal"/>
      <w:lvlText w:val="%1"/>
      <w:lvlJc w:val="left"/>
      <w:pPr>
        <w:ind w:left="642" w:hanging="540"/>
        <w:jc w:val="left"/>
      </w:pPr>
      <w:rPr>
        <w:rFonts w:hint="default"/>
      </w:rPr>
    </w:lvl>
    <w:lvl w:ilvl="1">
      <w:start w:val="3"/>
      <w:numFmt w:val="decimal"/>
      <w:lvlText w:val="%1.%2"/>
      <w:lvlJc w:val="left"/>
      <w:pPr>
        <w:ind w:left="642" w:hanging="540"/>
        <w:jc w:val="left"/>
      </w:pPr>
      <w:rPr>
        <w:rFonts w:hint="default"/>
      </w:rPr>
    </w:lvl>
    <w:lvl w:ilvl="2">
      <w:start w:val="1"/>
      <w:numFmt w:val="decimal"/>
      <w:lvlText w:val="%1.%2.%3"/>
      <w:lvlJc w:val="left"/>
      <w:pPr>
        <w:ind w:left="642" w:hanging="540"/>
        <w:jc w:val="left"/>
      </w:pPr>
      <w:rPr>
        <w:rFonts w:hint="default" w:ascii="Times New Roman" w:hAnsi="Times New Roman" w:eastAsia="Times New Roman" w:cs="Times New Roman"/>
        <w:b/>
        <w:bCs/>
        <w:i/>
        <w:spacing w:val="-1"/>
        <w:w w:val="99"/>
        <w:sz w:val="24"/>
        <w:szCs w:val="24"/>
      </w:rPr>
    </w:lvl>
    <w:lvl w:ilvl="3">
      <w:start w:val="1"/>
      <w:numFmt w:val="decimal"/>
      <w:lvlText w:val="%1.%2.%3.%4"/>
      <w:lvlJc w:val="left"/>
      <w:pPr>
        <w:ind w:left="102" w:hanging="727"/>
        <w:jc w:val="left"/>
      </w:pPr>
      <w:rPr>
        <w:rFonts w:hint="default" w:ascii="Times New Roman" w:hAnsi="Times New Roman" w:eastAsia="Times New Roman" w:cs="Times New Roman"/>
        <w:i/>
        <w:w w:val="100"/>
        <w:sz w:val="24"/>
        <w:szCs w:val="24"/>
      </w:rPr>
    </w:lvl>
    <w:lvl w:ilvl="4">
      <w:start w:val="1"/>
      <w:numFmt w:val="lowerLetter"/>
      <w:lvlText w:val="%5)"/>
      <w:lvlJc w:val="left"/>
      <w:pPr>
        <w:ind w:left="102" w:hanging="564"/>
        <w:jc w:val="left"/>
      </w:pPr>
      <w:rPr>
        <w:rFonts w:hint="default" w:ascii="Times New Roman" w:hAnsi="Times New Roman" w:eastAsia="Times New Roman" w:cs="Times New Roman"/>
        <w:spacing w:val="-4"/>
        <w:w w:val="99"/>
        <w:sz w:val="24"/>
        <w:szCs w:val="24"/>
      </w:rPr>
    </w:lvl>
    <w:lvl w:ilvl="5">
      <w:start w:val="0"/>
      <w:numFmt w:val="bullet"/>
      <w:lvlText w:val="•"/>
      <w:lvlJc w:val="left"/>
      <w:pPr>
        <w:ind w:left="4759" w:hanging="564"/>
      </w:pPr>
      <w:rPr>
        <w:rFonts w:hint="default"/>
      </w:rPr>
    </w:lvl>
    <w:lvl w:ilvl="6">
      <w:start w:val="0"/>
      <w:numFmt w:val="bullet"/>
      <w:lvlText w:val="•"/>
      <w:lvlJc w:val="left"/>
      <w:pPr>
        <w:ind w:left="5553" w:hanging="564"/>
      </w:pPr>
      <w:rPr>
        <w:rFonts w:hint="default"/>
      </w:rPr>
    </w:lvl>
    <w:lvl w:ilvl="7">
      <w:start w:val="0"/>
      <w:numFmt w:val="bullet"/>
      <w:lvlText w:val="•"/>
      <w:lvlJc w:val="left"/>
      <w:pPr>
        <w:ind w:left="6346" w:hanging="564"/>
      </w:pPr>
      <w:rPr>
        <w:rFonts w:hint="default"/>
      </w:rPr>
    </w:lvl>
    <w:lvl w:ilvl="8">
      <w:start w:val="0"/>
      <w:numFmt w:val="bullet"/>
      <w:lvlText w:val="•"/>
      <w:lvlJc w:val="left"/>
      <w:pPr>
        <w:ind w:left="7139" w:hanging="564"/>
      </w:pPr>
      <w:rPr>
        <w:rFonts w:hint="default"/>
      </w:rPr>
    </w:lvl>
  </w:abstractNum>
  <w:abstractNum w:abstractNumId="14">
    <w:multiLevelType w:val="hybridMultilevel"/>
    <w:lvl w:ilvl="0">
      <w:start w:val="4"/>
      <w:numFmt w:val="decimal"/>
      <w:lvlText w:val="%1."/>
      <w:lvlJc w:val="left"/>
      <w:pPr>
        <w:ind w:left="122" w:hanging="564"/>
        <w:jc w:val="left"/>
      </w:pPr>
      <w:rPr>
        <w:rFonts w:hint="default" w:ascii="Times New Roman" w:hAnsi="Times New Roman" w:eastAsia="Times New Roman" w:cs="Times New Roman"/>
        <w:spacing w:val="-21"/>
        <w:w w:val="99"/>
        <w:sz w:val="24"/>
        <w:szCs w:val="24"/>
      </w:rPr>
    </w:lvl>
    <w:lvl w:ilvl="1">
      <w:start w:val="1"/>
      <w:numFmt w:val="decimal"/>
      <w:lvlText w:val="%1.%2."/>
      <w:lvlJc w:val="left"/>
      <w:pPr>
        <w:ind w:left="974" w:hanging="420"/>
        <w:jc w:val="left"/>
      </w:pPr>
      <w:rPr>
        <w:rFonts w:hint="default" w:ascii="Times New Roman" w:hAnsi="Times New Roman" w:eastAsia="Times New Roman" w:cs="Times New Roman"/>
        <w:spacing w:val="-4"/>
        <w:w w:val="99"/>
        <w:sz w:val="24"/>
        <w:szCs w:val="24"/>
      </w:rPr>
    </w:lvl>
    <w:lvl w:ilvl="2">
      <w:start w:val="0"/>
      <w:numFmt w:val="bullet"/>
      <w:lvlText w:val="•"/>
      <w:lvlJc w:val="left"/>
      <w:pPr>
        <w:ind w:left="1842" w:hanging="420"/>
      </w:pPr>
      <w:rPr>
        <w:rFonts w:hint="default"/>
      </w:rPr>
    </w:lvl>
    <w:lvl w:ilvl="3">
      <w:start w:val="0"/>
      <w:numFmt w:val="bullet"/>
      <w:lvlText w:val="•"/>
      <w:lvlJc w:val="left"/>
      <w:pPr>
        <w:ind w:left="2705" w:hanging="420"/>
      </w:pPr>
      <w:rPr>
        <w:rFonts w:hint="default"/>
      </w:rPr>
    </w:lvl>
    <w:lvl w:ilvl="4">
      <w:start w:val="0"/>
      <w:numFmt w:val="bullet"/>
      <w:lvlText w:val="•"/>
      <w:lvlJc w:val="left"/>
      <w:pPr>
        <w:ind w:left="3568" w:hanging="420"/>
      </w:pPr>
      <w:rPr>
        <w:rFonts w:hint="default"/>
      </w:rPr>
    </w:lvl>
    <w:lvl w:ilvl="5">
      <w:start w:val="0"/>
      <w:numFmt w:val="bullet"/>
      <w:lvlText w:val="•"/>
      <w:lvlJc w:val="left"/>
      <w:pPr>
        <w:ind w:left="4431" w:hanging="420"/>
      </w:pPr>
      <w:rPr>
        <w:rFonts w:hint="default"/>
      </w:rPr>
    </w:lvl>
    <w:lvl w:ilvl="6">
      <w:start w:val="0"/>
      <w:numFmt w:val="bullet"/>
      <w:lvlText w:val="•"/>
      <w:lvlJc w:val="left"/>
      <w:pPr>
        <w:ind w:left="5294" w:hanging="420"/>
      </w:pPr>
      <w:rPr>
        <w:rFonts w:hint="default"/>
      </w:rPr>
    </w:lvl>
    <w:lvl w:ilvl="7">
      <w:start w:val="0"/>
      <w:numFmt w:val="bullet"/>
      <w:lvlText w:val="•"/>
      <w:lvlJc w:val="left"/>
      <w:pPr>
        <w:ind w:left="6157" w:hanging="420"/>
      </w:pPr>
      <w:rPr>
        <w:rFonts w:hint="default"/>
      </w:rPr>
    </w:lvl>
    <w:lvl w:ilvl="8">
      <w:start w:val="0"/>
      <w:numFmt w:val="bullet"/>
      <w:lvlText w:val="•"/>
      <w:lvlJc w:val="left"/>
      <w:pPr>
        <w:ind w:left="7020" w:hanging="420"/>
      </w:pPr>
      <w:rPr>
        <w:rFonts w:hint="default"/>
      </w:rPr>
    </w:lvl>
  </w:abstractNum>
  <w:abstractNum w:abstractNumId="13">
    <w:multiLevelType w:val="hybridMultilevel"/>
    <w:lvl w:ilvl="0">
      <w:start w:val="1"/>
      <w:numFmt w:val="decimal"/>
      <w:lvlText w:val="%1."/>
      <w:lvlJc w:val="left"/>
      <w:pPr>
        <w:ind w:left="1378" w:hanging="425"/>
        <w:jc w:val="left"/>
      </w:pPr>
      <w:rPr>
        <w:rFonts w:hint="default" w:ascii="Times New Roman" w:hAnsi="Times New Roman" w:eastAsia="Times New Roman" w:cs="Times New Roman"/>
        <w:spacing w:val="-26"/>
        <w:w w:val="99"/>
        <w:sz w:val="24"/>
        <w:szCs w:val="24"/>
      </w:rPr>
    </w:lvl>
    <w:lvl w:ilvl="1">
      <w:start w:val="0"/>
      <w:numFmt w:val="bullet"/>
      <w:lvlText w:val="•"/>
      <w:lvlJc w:val="left"/>
      <w:pPr>
        <w:ind w:left="2114" w:hanging="425"/>
      </w:pPr>
      <w:rPr>
        <w:rFonts w:hint="default"/>
      </w:rPr>
    </w:lvl>
    <w:lvl w:ilvl="2">
      <w:start w:val="0"/>
      <w:numFmt w:val="bullet"/>
      <w:lvlText w:val="•"/>
      <w:lvlJc w:val="left"/>
      <w:pPr>
        <w:ind w:left="2849" w:hanging="425"/>
      </w:pPr>
      <w:rPr>
        <w:rFonts w:hint="default"/>
      </w:rPr>
    </w:lvl>
    <w:lvl w:ilvl="3">
      <w:start w:val="0"/>
      <w:numFmt w:val="bullet"/>
      <w:lvlText w:val="•"/>
      <w:lvlJc w:val="left"/>
      <w:pPr>
        <w:ind w:left="3583" w:hanging="425"/>
      </w:pPr>
      <w:rPr>
        <w:rFonts w:hint="default"/>
      </w:rPr>
    </w:lvl>
    <w:lvl w:ilvl="4">
      <w:start w:val="0"/>
      <w:numFmt w:val="bullet"/>
      <w:lvlText w:val="•"/>
      <w:lvlJc w:val="left"/>
      <w:pPr>
        <w:ind w:left="4318" w:hanging="425"/>
      </w:pPr>
      <w:rPr>
        <w:rFonts w:hint="default"/>
      </w:rPr>
    </w:lvl>
    <w:lvl w:ilvl="5">
      <w:start w:val="0"/>
      <w:numFmt w:val="bullet"/>
      <w:lvlText w:val="•"/>
      <w:lvlJc w:val="left"/>
      <w:pPr>
        <w:ind w:left="5053" w:hanging="425"/>
      </w:pPr>
      <w:rPr>
        <w:rFonts w:hint="default"/>
      </w:rPr>
    </w:lvl>
    <w:lvl w:ilvl="6">
      <w:start w:val="0"/>
      <w:numFmt w:val="bullet"/>
      <w:lvlText w:val="•"/>
      <w:lvlJc w:val="left"/>
      <w:pPr>
        <w:ind w:left="5787" w:hanging="425"/>
      </w:pPr>
      <w:rPr>
        <w:rFonts w:hint="default"/>
      </w:rPr>
    </w:lvl>
    <w:lvl w:ilvl="7">
      <w:start w:val="0"/>
      <w:numFmt w:val="bullet"/>
      <w:lvlText w:val="•"/>
      <w:lvlJc w:val="left"/>
      <w:pPr>
        <w:ind w:left="6522" w:hanging="425"/>
      </w:pPr>
      <w:rPr>
        <w:rFonts w:hint="default"/>
      </w:rPr>
    </w:lvl>
    <w:lvl w:ilvl="8">
      <w:start w:val="0"/>
      <w:numFmt w:val="bullet"/>
      <w:lvlText w:val="•"/>
      <w:lvlJc w:val="left"/>
      <w:pPr>
        <w:ind w:left="7257" w:hanging="425"/>
      </w:pPr>
      <w:rPr>
        <w:rFonts w:hint="default"/>
      </w:rPr>
    </w:lvl>
  </w:abstractNum>
  <w:abstractNum w:abstractNumId="12">
    <w:multiLevelType w:val="hybridMultilevel"/>
    <w:lvl w:ilvl="0">
      <w:start w:val="2"/>
      <w:numFmt w:val="decimal"/>
      <w:lvlText w:val="%1"/>
      <w:lvlJc w:val="left"/>
      <w:pPr>
        <w:ind w:left="102" w:hanging="461"/>
        <w:jc w:val="left"/>
      </w:pPr>
      <w:rPr>
        <w:rFonts w:hint="default"/>
      </w:rPr>
    </w:lvl>
    <w:lvl w:ilvl="1">
      <w:start w:val="3"/>
      <w:numFmt w:val="decimal"/>
      <w:lvlText w:val="%1.%2"/>
      <w:lvlJc w:val="left"/>
      <w:pPr>
        <w:ind w:left="102" w:hanging="461"/>
        <w:jc w:val="left"/>
      </w:pPr>
      <w:rPr>
        <w:rFonts w:hint="default" w:ascii="Times New Roman" w:hAnsi="Times New Roman" w:eastAsia="Times New Roman" w:cs="Times New Roman"/>
        <w:b/>
        <w:bCs/>
        <w:spacing w:val="-21"/>
        <w:w w:val="99"/>
        <w:sz w:val="24"/>
        <w:szCs w:val="24"/>
      </w:rPr>
    </w:lvl>
    <w:lvl w:ilvl="2">
      <w:start w:val="1"/>
      <w:numFmt w:val="decimal"/>
      <w:lvlText w:val="%3."/>
      <w:lvlJc w:val="left"/>
      <w:pPr>
        <w:ind w:left="1314" w:hanging="360"/>
        <w:jc w:val="left"/>
      </w:pPr>
      <w:rPr>
        <w:rFonts w:hint="default" w:ascii="Times New Roman" w:hAnsi="Times New Roman" w:eastAsia="Times New Roman" w:cs="Times New Roman"/>
        <w:spacing w:val="-4"/>
        <w:w w:val="99"/>
        <w:sz w:val="24"/>
        <w:szCs w:val="24"/>
      </w:rPr>
    </w:lvl>
    <w:lvl w:ilvl="3">
      <w:start w:val="1"/>
      <w:numFmt w:val="decimal"/>
      <w:lvlText w:val="%3.%4"/>
      <w:lvlJc w:val="left"/>
      <w:pPr>
        <w:ind w:left="954" w:hanging="377"/>
        <w:jc w:val="left"/>
      </w:pPr>
      <w:rPr>
        <w:rFonts w:hint="default" w:ascii="Times New Roman" w:hAnsi="Times New Roman" w:eastAsia="Times New Roman" w:cs="Times New Roman"/>
        <w:w w:val="100"/>
        <w:sz w:val="24"/>
        <w:szCs w:val="24"/>
      </w:rPr>
    </w:lvl>
    <w:lvl w:ilvl="4">
      <w:start w:val="0"/>
      <w:numFmt w:val="bullet"/>
      <w:lvlText w:val="•"/>
      <w:lvlJc w:val="left"/>
      <w:pPr>
        <w:ind w:left="3171" w:hanging="377"/>
      </w:pPr>
      <w:rPr>
        <w:rFonts w:hint="default"/>
      </w:rPr>
    </w:lvl>
    <w:lvl w:ilvl="5">
      <w:start w:val="0"/>
      <w:numFmt w:val="bullet"/>
      <w:lvlText w:val="•"/>
      <w:lvlJc w:val="left"/>
      <w:pPr>
        <w:ind w:left="4097" w:hanging="377"/>
      </w:pPr>
      <w:rPr>
        <w:rFonts w:hint="default"/>
      </w:rPr>
    </w:lvl>
    <w:lvl w:ilvl="6">
      <w:start w:val="0"/>
      <w:numFmt w:val="bullet"/>
      <w:lvlText w:val="•"/>
      <w:lvlJc w:val="left"/>
      <w:pPr>
        <w:ind w:left="5023" w:hanging="377"/>
      </w:pPr>
      <w:rPr>
        <w:rFonts w:hint="default"/>
      </w:rPr>
    </w:lvl>
    <w:lvl w:ilvl="7">
      <w:start w:val="0"/>
      <w:numFmt w:val="bullet"/>
      <w:lvlText w:val="•"/>
      <w:lvlJc w:val="left"/>
      <w:pPr>
        <w:ind w:left="5949" w:hanging="377"/>
      </w:pPr>
      <w:rPr>
        <w:rFonts w:hint="default"/>
      </w:rPr>
    </w:lvl>
    <w:lvl w:ilvl="8">
      <w:start w:val="0"/>
      <w:numFmt w:val="bullet"/>
      <w:lvlText w:val="•"/>
      <w:lvlJc w:val="left"/>
      <w:pPr>
        <w:ind w:left="6874" w:hanging="377"/>
      </w:pPr>
      <w:rPr>
        <w:rFonts w:hint="default"/>
      </w:rPr>
    </w:lvl>
  </w:abstractNum>
  <w:abstractNum w:abstractNumId="11">
    <w:multiLevelType w:val="hybridMultilevel"/>
    <w:lvl w:ilvl="0">
      <w:start w:val="2"/>
      <w:numFmt w:val="decimal"/>
      <w:lvlText w:val="%1"/>
      <w:lvlJc w:val="left"/>
      <w:pPr>
        <w:ind w:left="102" w:hanging="432"/>
        <w:jc w:val="left"/>
      </w:pPr>
      <w:rPr>
        <w:rFonts w:hint="default"/>
      </w:rPr>
    </w:lvl>
    <w:lvl w:ilvl="1">
      <w:start w:val="1"/>
      <w:numFmt w:val="decimal"/>
      <w:lvlText w:val="%1.%2"/>
      <w:lvlJc w:val="left"/>
      <w:pPr>
        <w:ind w:left="102" w:hanging="432"/>
        <w:jc w:val="left"/>
      </w:pPr>
      <w:rPr>
        <w:rFonts w:hint="default" w:ascii="Times New Roman" w:hAnsi="Times New Roman" w:eastAsia="Times New Roman" w:cs="Times New Roman"/>
        <w:b/>
        <w:bCs/>
        <w:spacing w:val="-4"/>
        <w:w w:val="99"/>
        <w:sz w:val="24"/>
        <w:szCs w:val="24"/>
      </w:rPr>
    </w:lvl>
    <w:lvl w:ilvl="2">
      <w:start w:val="0"/>
      <w:numFmt w:val="bullet"/>
      <w:lvlText w:val="•"/>
      <w:lvlJc w:val="left"/>
      <w:pPr>
        <w:ind w:left="1825" w:hanging="432"/>
      </w:pPr>
      <w:rPr>
        <w:rFonts w:hint="default"/>
      </w:rPr>
    </w:lvl>
    <w:lvl w:ilvl="3">
      <w:start w:val="0"/>
      <w:numFmt w:val="bullet"/>
      <w:lvlText w:val="•"/>
      <w:lvlJc w:val="left"/>
      <w:pPr>
        <w:ind w:left="2687" w:hanging="432"/>
      </w:pPr>
      <w:rPr>
        <w:rFonts w:hint="default"/>
      </w:rPr>
    </w:lvl>
    <w:lvl w:ilvl="4">
      <w:start w:val="0"/>
      <w:numFmt w:val="bullet"/>
      <w:lvlText w:val="•"/>
      <w:lvlJc w:val="left"/>
      <w:pPr>
        <w:ind w:left="3550" w:hanging="432"/>
      </w:pPr>
      <w:rPr>
        <w:rFonts w:hint="default"/>
      </w:rPr>
    </w:lvl>
    <w:lvl w:ilvl="5">
      <w:start w:val="0"/>
      <w:numFmt w:val="bullet"/>
      <w:lvlText w:val="•"/>
      <w:lvlJc w:val="left"/>
      <w:pPr>
        <w:ind w:left="4413" w:hanging="432"/>
      </w:pPr>
      <w:rPr>
        <w:rFonts w:hint="default"/>
      </w:rPr>
    </w:lvl>
    <w:lvl w:ilvl="6">
      <w:start w:val="0"/>
      <w:numFmt w:val="bullet"/>
      <w:lvlText w:val="•"/>
      <w:lvlJc w:val="left"/>
      <w:pPr>
        <w:ind w:left="5275" w:hanging="432"/>
      </w:pPr>
      <w:rPr>
        <w:rFonts w:hint="default"/>
      </w:rPr>
    </w:lvl>
    <w:lvl w:ilvl="7">
      <w:start w:val="0"/>
      <w:numFmt w:val="bullet"/>
      <w:lvlText w:val="•"/>
      <w:lvlJc w:val="left"/>
      <w:pPr>
        <w:ind w:left="6138" w:hanging="432"/>
      </w:pPr>
      <w:rPr>
        <w:rFonts w:hint="default"/>
      </w:rPr>
    </w:lvl>
    <w:lvl w:ilvl="8">
      <w:start w:val="0"/>
      <w:numFmt w:val="bullet"/>
      <w:lvlText w:val="•"/>
      <w:lvlJc w:val="left"/>
      <w:pPr>
        <w:ind w:left="7001" w:hanging="432"/>
      </w:pPr>
      <w:rPr>
        <w:rFonts w:hint="default"/>
      </w:rPr>
    </w:lvl>
  </w:abstractNum>
  <w:abstractNum w:abstractNumId="10">
    <w:multiLevelType w:val="hybridMultilevel"/>
    <w:lvl w:ilvl="0">
      <w:start w:val="1"/>
      <w:numFmt w:val="decimal"/>
      <w:lvlText w:val="%1"/>
      <w:lvlJc w:val="left"/>
      <w:pPr>
        <w:ind w:left="122" w:hanging="394"/>
        <w:jc w:val="left"/>
      </w:pPr>
      <w:rPr>
        <w:rFonts w:hint="default"/>
      </w:rPr>
    </w:lvl>
    <w:lvl w:ilvl="1">
      <w:start w:val="3"/>
      <w:numFmt w:val="decimal"/>
      <w:lvlText w:val="%1.%2"/>
      <w:lvlJc w:val="left"/>
      <w:pPr>
        <w:ind w:left="122" w:hanging="394"/>
        <w:jc w:val="left"/>
      </w:pPr>
      <w:rPr>
        <w:rFonts w:hint="default" w:ascii="Times New Roman" w:hAnsi="Times New Roman" w:eastAsia="Times New Roman" w:cs="Times New Roman"/>
        <w:b/>
        <w:bCs/>
        <w:spacing w:val="-28"/>
        <w:w w:val="99"/>
        <w:sz w:val="24"/>
        <w:szCs w:val="24"/>
      </w:rPr>
    </w:lvl>
    <w:lvl w:ilvl="2">
      <w:start w:val="1"/>
      <w:numFmt w:val="decimal"/>
      <w:lvlText w:val="%1.%2.%3"/>
      <w:lvlJc w:val="left"/>
      <w:pPr>
        <w:ind w:left="305" w:hanging="540"/>
        <w:jc w:val="right"/>
      </w:pPr>
      <w:rPr>
        <w:rFonts w:hint="default"/>
        <w:b/>
        <w:bCs/>
        <w:i/>
        <w:spacing w:val="-3"/>
        <w:w w:val="99"/>
      </w:rPr>
    </w:lvl>
    <w:lvl w:ilvl="3">
      <w:start w:val="0"/>
      <w:numFmt w:val="bullet"/>
      <w:lvlText w:val="•"/>
      <w:lvlJc w:val="left"/>
      <w:pPr>
        <w:ind w:left="2176" w:hanging="540"/>
      </w:pPr>
      <w:rPr>
        <w:rFonts w:hint="default"/>
      </w:rPr>
    </w:lvl>
    <w:lvl w:ilvl="4">
      <w:start w:val="0"/>
      <w:numFmt w:val="bullet"/>
      <w:lvlText w:val="•"/>
      <w:lvlJc w:val="left"/>
      <w:pPr>
        <w:ind w:left="3115" w:hanging="540"/>
      </w:pPr>
      <w:rPr>
        <w:rFonts w:hint="default"/>
      </w:rPr>
    </w:lvl>
    <w:lvl w:ilvl="5">
      <w:start w:val="0"/>
      <w:numFmt w:val="bullet"/>
      <w:lvlText w:val="•"/>
      <w:lvlJc w:val="left"/>
      <w:pPr>
        <w:ind w:left="4053" w:hanging="540"/>
      </w:pPr>
      <w:rPr>
        <w:rFonts w:hint="default"/>
      </w:rPr>
    </w:lvl>
    <w:lvl w:ilvl="6">
      <w:start w:val="0"/>
      <w:numFmt w:val="bullet"/>
      <w:lvlText w:val="•"/>
      <w:lvlJc w:val="left"/>
      <w:pPr>
        <w:ind w:left="4992" w:hanging="540"/>
      </w:pPr>
      <w:rPr>
        <w:rFonts w:hint="default"/>
      </w:rPr>
    </w:lvl>
    <w:lvl w:ilvl="7">
      <w:start w:val="0"/>
      <w:numFmt w:val="bullet"/>
      <w:lvlText w:val="•"/>
      <w:lvlJc w:val="left"/>
      <w:pPr>
        <w:ind w:left="5930" w:hanging="540"/>
      </w:pPr>
      <w:rPr>
        <w:rFonts w:hint="default"/>
      </w:rPr>
    </w:lvl>
    <w:lvl w:ilvl="8">
      <w:start w:val="0"/>
      <w:numFmt w:val="bullet"/>
      <w:lvlText w:val="•"/>
      <w:lvlJc w:val="left"/>
      <w:pPr>
        <w:ind w:left="6869" w:hanging="540"/>
      </w:pPr>
      <w:rPr>
        <w:rFonts w:hint="default"/>
      </w:rPr>
    </w:lvl>
  </w:abstractNum>
  <w:abstractNum w:abstractNumId="9">
    <w:multiLevelType w:val="hybridMultilevel"/>
    <w:lvl w:ilvl="0">
      <w:start w:val="0"/>
      <w:numFmt w:val="bullet"/>
      <w:lvlText w:val="-"/>
      <w:lvlJc w:val="left"/>
      <w:pPr>
        <w:ind w:left="102" w:hanging="140"/>
      </w:pPr>
      <w:rPr>
        <w:rFonts w:hint="default" w:ascii="Times New Roman" w:hAnsi="Times New Roman" w:eastAsia="Times New Roman" w:cs="Times New Roman"/>
        <w:w w:val="99"/>
        <w:sz w:val="24"/>
        <w:szCs w:val="24"/>
      </w:rPr>
    </w:lvl>
    <w:lvl w:ilvl="1">
      <w:start w:val="0"/>
      <w:numFmt w:val="bullet"/>
      <w:lvlText w:val="•"/>
      <w:lvlJc w:val="left"/>
      <w:pPr>
        <w:ind w:left="962" w:hanging="140"/>
      </w:pPr>
      <w:rPr>
        <w:rFonts w:hint="default"/>
      </w:rPr>
    </w:lvl>
    <w:lvl w:ilvl="2">
      <w:start w:val="0"/>
      <w:numFmt w:val="bullet"/>
      <w:lvlText w:val="•"/>
      <w:lvlJc w:val="left"/>
      <w:pPr>
        <w:ind w:left="1825" w:hanging="140"/>
      </w:pPr>
      <w:rPr>
        <w:rFonts w:hint="default"/>
      </w:rPr>
    </w:lvl>
    <w:lvl w:ilvl="3">
      <w:start w:val="0"/>
      <w:numFmt w:val="bullet"/>
      <w:lvlText w:val="•"/>
      <w:lvlJc w:val="left"/>
      <w:pPr>
        <w:ind w:left="2687" w:hanging="140"/>
      </w:pPr>
      <w:rPr>
        <w:rFonts w:hint="default"/>
      </w:rPr>
    </w:lvl>
    <w:lvl w:ilvl="4">
      <w:start w:val="0"/>
      <w:numFmt w:val="bullet"/>
      <w:lvlText w:val="•"/>
      <w:lvlJc w:val="left"/>
      <w:pPr>
        <w:ind w:left="3550" w:hanging="140"/>
      </w:pPr>
      <w:rPr>
        <w:rFonts w:hint="default"/>
      </w:rPr>
    </w:lvl>
    <w:lvl w:ilvl="5">
      <w:start w:val="0"/>
      <w:numFmt w:val="bullet"/>
      <w:lvlText w:val="•"/>
      <w:lvlJc w:val="left"/>
      <w:pPr>
        <w:ind w:left="4413" w:hanging="140"/>
      </w:pPr>
      <w:rPr>
        <w:rFonts w:hint="default"/>
      </w:rPr>
    </w:lvl>
    <w:lvl w:ilvl="6">
      <w:start w:val="0"/>
      <w:numFmt w:val="bullet"/>
      <w:lvlText w:val="•"/>
      <w:lvlJc w:val="left"/>
      <w:pPr>
        <w:ind w:left="5275" w:hanging="140"/>
      </w:pPr>
      <w:rPr>
        <w:rFonts w:hint="default"/>
      </w:rPr>
    </w:lvl>
    <w:lvl w:ilvl="7">
      <w:start w:val="0"/>
      <w:numFmt w:val="bullet"/>
      <w:lvlText w:val="•"/>
      <w:lvlJc w:val="left"/>
      <w:pPr>
        <w:ind w:left="6138" w:hanging="140"/>
      </w:pPr>
      <w:rPr>
        <w:rFonts w:hint="default"/>
      </w:rPr>
    </w:lvl>
    <w:lvl w:ilvl="8">
      <w:start w:val="0"/>
      <w:numFmt w:val="bullet"/>
      <w:lvlText w:val="•"/>
      <w:lvlJc w:val="left"/>
      <w:pPr>
        <w:ind w:left="7001" w:hanging="140"/>
      </w:pPr>
      <w:rPr>
        <w:rFonts w:hint="default"/>
      </w:rPr>
    </w:lvl>
  </w:abstractNum>
  <w:abstractNum w:abstractNumId="8">
    <w:multiLevelType w:val="hybridMultilevel"/>
    <w:lvl w:ilvl="0">
      <w:start w:val="0"/>
      <w:numFmt w:val="bullet"/>
      <w:lvlText w:val="-"/>
      <w:lvlJc w:val="left"/>
      <w:pPr>
        <w:ind w:left="102" w:hanging="154"/>
      </w:pPr>
      <w:rPr>
        <w:rFonts w:hint="default" w:ascii="Times New Roman" w:hAnsi="Times New Roman" w:eastAsia="Times New Roman" w:cs="Times New Roman"/>
        <w:w w:val="99"/>
        <w:sz w:val="24"/>
        <w:szCs w:val="24"/>
      </w:rPr>
    </w:lvl>
    <w:lvl w:ilvl="1">
      <w:start w:val="0"/>
      <w:numFmt w:val="bullet"/>
      <w:lvlText w:val="•"/>
      <w:lvlJc w:val="left"/>
      <w:pPr>
        <w:ind w:left="962" w:hanging="154"/>
      </w:pPr>
      <w:rPr>
        <w:rFonts w:hint="default"/>
      </w:rPr>
    </w:lvl>
    <w:lvl w:ilvl="2">
      <w:start w:val="0"/>
      <w:numFmt w:val="bullet"/>
      <w:lvlText w:val="•"/>
      <w:lvlJc w:val="left"/>
      <w:pPr>
        <w:ind w:left="1825" w:hanging="154"/>
      </w:pPr>
      <w:rPr>
        <w:rFonts w:hint="default"/>
      </w:rPr>
    </w:lvl>
    <w:lvl w:ilvl="3">
      <w:start w:val="0"/>
      <w:numFmt w:val="bullet"/>
      <w:lvlText w:val="•"/>
      <w:lvlJc w:val="left"/>
      <w:pPr>
        <w:ind w:left="2687" w:hanging="154"/>
      </w:pPr>
      <w:rPr>
        <w:rFonts w:hint="default"/>
      </w:rPr>
    </w:lvl>
    <w:lvl w:ilvl="4">
      <w:start w:val="0"/>
      <w:numFmt w:val="bullet"/>
      <w:lvlText w:val="•"/>
      <w:lvlJc w:val="left"/>
      <w:pPr>
        <w:ind w:left="3550" w:hanging="154"/>
      </w:pPr>
      <w:rPr>
        <w:rFonts w:hint="default"/>
      </w:rPr>
    </w:lvl>
    <w:lvl w:ilvl="5">
      <w:start w:val="0"/>
      <w:numFmt w:val="bullet"/>
      <w:lvlText w:val="•"/>
      <w:lvlJc w:val="left"/>
      <w:pPr>
        <w:ind w:left="4413" w:hanging="154"/>
      </w:pPr>
      <w:rPr>
        <w:rFonts w:hint="default"/>
      </w:rPr>
    </w:lvl>
    <w:lvl w:ilvl="6">
      <w:start w:val="0"/>
      <w:numFmt w:val="bullet"/>
      <w:lvlText w:val="•"/>
      <w:lvlJc w:val="left"/>
      <w:pPr>
        <w:ind w:left="5275" w:hanging="154"/>
      </w:pPr>
      <w:rPr>
        <w:rFonts w:hint="default"/>
      </w:rPr>
    </w:lvl>
    <w:lvl w:ilvl="7">
      <w:start w:val="0"/>
      <w:numFmt w:val="bullet"/>
      <w:lvlText w:val="•"/>
      <w:lvlJc w:val="left"/>
      <w:pPr>
        <w:ind w:left="6138" w:hanging="154"/>
      </w:pPr>
      <w:rPr>
        <w:rFonts w:hint="default"/>
      </w:rPr>
    </w:lvl>
    <w:lvl w:ilvl="8">
      <w:start w:val="0"/>
      <w:numFmt w:val="bullet"/>
      <w:lvlText w:val="•"/>
      <w:lvlJc w:val="left"/>
      <w:pPr>
        <w:ind w:left="7001" w:hanging="154"/>
      </w:pPr>
      <w:rPr>
        <w:rFonts w:hint="default"/>
      </w:rPr>
    </w:lvl>
  </w:abstractNum>
  <w:abstractNum w:abstractNumId="7">
    <w:multiLevelType w:val="hybridMultilevel"/>
    <w:lvl w:ilvl="0">
      <w:start w:val="1"/>
      <w:numFmt w:val="decimal"/>
      <w:lvlText w:val="%1"/>
      <w:lvlJc w:val="left"/>
      <w:pPr>
        <w:ind w:left="102" w:hanging="571"/>
        <w:jc w:val="left"/>
      </w:pPr>
      <w:rPr>
        <w:rFonts w:hint="default"/>
      </w:rPr>
    </w:lvl>
    <w:lvl w:ilvl="1">
      <w:start w:val="2"/>
      <w:numFmt w:val="decimal"/>
      <w:lvlText w:val="%1.%2"/>
      <w:lvlJc w:val="left"/>
      <w:pPr>
        <w:ind w:left="102" w:hanging="571"/>
        <w:jc w:val="left"/>
      </w:pPr>
      <w:rPr>
        <w:rFonts w:hint="default"/>
      </w:rPr>
    </w:lvl>
    <w:lvl w:ilvl="2">
      <w:start w:val="3"/>
      <w:numFmt w:val="decimal"/>
      <w:lvlText w:val="%1.%2.%3"/>
      <w:lvlJc w:val="left"/>
      <w:pPr>
        <w:ind w:left="102" w:hanging="571"/>
        <w:jc w:val="left"/>
      </w:pPr>
      <w:rPr>
        <w:rFonts w:hint="default" w:ascii="Times New Roman" w:hAnsi="Times New Roman" w:eastAsia="Times New Roman" w:cs="Times New Roman"/>
        <w:b/>
        <w:bCs/>
        <w:i/>
        <w:spacing w:val="-30"/>
        <w:w w:val="99"/>
        <w:sz w:val="24"/>
        <w:szCs w:val="24"/>
      </w:rPr>
    </w:lvl>
    <w:lvl w:ilvl="3">
      <w:start w:val="0"/>
      <w:numFmt w:val="bullet"/>
      <w:lvlText w:val="•"/>
      <w:lvlJc w:val="left"/>
      <w:pPr>
        <w:ind w:left="2687" w:hanging="571"/>
      </w:pPr>
      <w:rPr>
        <w:rFonts w:hint="default"/>
      </w:rPr>
    </w:lvl>
    <w:lvl w:ilvl="4">
      <w:start w:val="0"/>
      <w:numFmt w:val="bullet"/>
      <w:lvlText w:val="•"/>
      <w:lvlJc w:val="left"/>
      <w:pPr>
        <w:ind w:left="3550" w:hanging="571"/>
      </w:pPr>
      <w:rPr>
        <w:rFonts w:hint="default"/>
      </w:rPr>
    </w:lvl>
    <w:lvl w:ilvl="5">
      <w:start w:val="0"/>
      <w:numFmt w:val="bullet"/>
      <w:lvlText w:val="•"/>
      <w:lvlJc w:val="left"/>
      <w:pPr>
        <w:ind w:left="4413" w:hanging="571"/>
      </w:pPr>
      <w:rPr>
        <w:rFonts w:hint="default"/>
      </w:rPr>
    </w:lvl>
    <w:lvl w:ilvl="6">
      <w:start w:val="0"/>
      <w:numFmt w:val="bullet"/>
      <w:lvlText w:val="•"/>
      <w:lvlJc w:val="left"/>
      <w:pPr>
        <w:ind w:left="5275" w:hanging="571"/>
      </w:pPr>
      <w:rPr>
        <w:rFonts w:hint="default"/>
      </w:rPr>
    </w:lvl>
    <w:lvl w:ilvl="7">
      <w:start w:val="0"/>
      <w:numFmt w:val="bullet"/>
      <w:lvlText w:val="•"/>
      <w:lvlJc w:val="left"/>
      <w:pPr>
        <w:ind w:left="6138" w:hanging="571"/>
      </w:pPr>
      <w:rPr>
        <w:rFonts w:hint="default"/>
      </w:rPr>
    </w:lvl>
    <w:lvl w:ilvl="8">
      <w:start w:val="0"/>
      <w:numFmt w:val="bullet"/>
      <w:lvlText w:val="•"/>
      <w:lvlJc w:val="left"/>
      <w:pPr>
        <w:ind w:left="7001" w:hanging="571"/>
      </w:pPr>
      <w:rPr>
        <w:rFonts w:hint="default"/>
      </w:rPr>
    </w:lvl>
  </w:abstractNum>
  <w:abstractNum w:abstractNumId="6">
    <w:multiLevelType w:val="hybridMultilevel"/>
    <w:lvl w:ilvl="0">
      <w:start w:val="1"/>
      <w:numFmt w:val="decimal"/>
      <w:lvlText w:val="%1"/>
      <w:lvlJc w:val="left"/>
      <w:pPr>
        <w:ind w:left="122" w:hanging="569"/>
        <w:jc w:val="left"/>
      </w:pPr>
      <w:rPr>
        <w:rFonts w:hint="default"/>
      </w:rPr>
    </w:lvl>
    <w:lvl w:ilvl="1">
      <w:start w:val="2"/>
      <w:numFmt w:val="decimal"/>
      <w:lvlText w:val="%1.%2"/>
      <w:lvlJc w:val="left"/>
      <w:pPr>
        <w:ind w:left="122" w:hanging="569"/>
        <w:jc w:val="left"/>
      </w:pPr>
      <w:rPr>
        <w:rFonts w:hint="default"/>
      </w:rPr>
    </w:lvl>
    <w:lvl w:ilvl="2">
      <w:start w:val="1"/>
      <w:numFmt w:val="decimal"/>
      <w:lvlText w:val="%1.%2.%3"/>
      <w:lvlJc w:val="left"/>
      <w:pPr>
        <w:ind w:left="122" w:hanging="569"/>
        <w:jc w:val="left"/>
      </w:pPr>
      <w:rPr>
        <w:rFonts w:hint="default" w:ascii="Times New Roman" w:hAnsi="Times New Roman" w:eastAsia="Times New Roman" w:cs="Times New Roman"/>
        <w:b/>
        <w:bCs/>
        <w:i/>
        <w:w w:val="100"/>
        <w:sz w:val="24"/>
        <w:szCs w:val="24"/>
      </w:rPr>
    </w:lvl>
    <w:lvl w:ilvl="3">
      <w:start w:val="0"/>
      <w:numFmt w:val="bullet"/>
      <w:lvlText w:val="•"/>
      <w:lvlJc w:val="left"/>
      <w:pPr>
        <w:ind w:left="2707" w:hanging="569"/>
      </w:pPr>
      <w:rPr>
        <w:rFonts w:hint="default"/>
      </w:rPr>
    </w:lvl>
    <w:lvl w:ilvl="4">
      <w:start w:val="0"/>
      <w:numFmt w:val="bullet"/>
      <w:lvlText w:val="•"/>
      <w:lvlJc w:val="left"/>
      <w:pPr>
        <w:ind w:left="3570" w:hanging="569"/>
      </w:pPr>
      <w:rPr>
        <w:rFonts w:hint="default"/>
      </w:rPr>
    </w:lvl>
    <w:lvl w:ilvl="5">
      <w:start w:val="0"/>
      <w:numFmt w:val="bullet"/>
      <w:lvlText w:val="•"/>
      <w:lvlJc w:val="left"/>
      <w:pPr>
        <w:ind w:left="4433" w:hanging="569"/>
      </w:pPr>
      <w:rPr>
        <w:rFonts w:hint="default"/>
      </w:rPr>
    </w:lvl>
    <w:lvl w:ilvl="6">
      <w:start w:val="0"/>
      <w:numFmt w:val="bullet"/>
      <w:lvlText w:val="•"/>
      <w:lvlJc w:val="left"/>
      <w:pPr>
        <w:ind w:left="5295" w:hanging="569"/>
      </w:pPr>
      <w:rPr>
        <w:rFonts w:hint="default"/>
      </w:rPr>
    </w:lvl>
    <w:lvl w:ilvl="7">
      <w:start w:val="0"/>
      <w:numFmt w:val="bullet"/>
      <w:lvlText w:val="•"/>
      <w:lvlJc w:val="left"/>
      <w:pPr>
        <w:ind w:left="6158" w:hanging="569"/>
      </w:pPr>
      <w:rPr>
        <w:rFonts w:hint="default"/>
      </w:rPr>
    </w:lvl>
    <w:lvl w:ilvl="8">
      <w:start w:val="0"/>
      <w:numFmt w:val="bullet"/>
      <w:lvlText w:val="•"/>
      <w:lvlJc w:val="left"/>
      <w:pPr>
        <w:ind w:left="7021" w:hanging="569"/>
      </w:pPr>
      <w:rPr>
        <w:rFonts w:hint="default"/>
      </w:rPr>
    </w:lvl>
  </w:abstractNum>
  <w:abstractNum w:abstractNumId="5">
    <w:multiLevelType w:val="hybridMultilevel"/>
    <w:lvl w:ilvl="0">
      <w:start w:val="0"/>
      <w:numFmt w:val="bullet"/>
      <w:lvlText w:val="-"/>
      <w:lvlJc w:val="left"/>
      <w:pPr>
        <w:ind w:left="102" w:hanging="173"/>
      </w:pPr>
      <w:rPr>
        <w:rFonts w:hint="default" w:ascii="Times New Roman" w:hAnsi="Times New Roman" w:eastAsia="Times New Roman" w:cs="Times New Roman"/>
        <w:spacing w:val="-30"/>
        <w:w w:val="44"/>
        <w:sz w:val="24"/>
        <w:szCs w:val="24"/>
      </w:rPr>
    </w:lvl>
    <w:lvl w:ilvl="1">
      <w:start w:val="0"/>
      <w:numFmt w:val="bullet"/>
      <w:lvlText w:val="•"/>
      <w:lvlJc w:val="left"/>
      <w:pPr>
        <w:ind w:left="962" w:hanging="173"/>
      </w:pPr>
      <w:rPr>
        <w:rFonts w:hint="default"/>
      </w:rPr>
    </w:lvl>
    <w:lvl w:ilvl="2">
      <w:start w:val="0"/>
      <w:numFmt w:val="bullet"/>
      <w:lvlText w:val="•"/>
      <w:lvlJc w:val="left"/>
      <w:pPr>
        <w:ind w:left="1825" w:hanging="173"/>
      </w:pPr>
      <w:rPr>
        <w:rFonts w:hint="default"/>
      </w:rPr>
    </w:lvl>
    <w:lvl w:ilvl="3">
      <w:start w:val="0"/>
      <w:numFmt w:val="bullet"/>
      <w:lvlText w:val="•"/>
      <w:lvlJc w:val="left"/>
      <w:pPr>
        <w:ind w:left="2687" w:hanging="173"/>
      </w:pPr>
      <w:rPr>
        <w:rFonts w:hint="default"/>
      </w:rPr>
    </w:lvl>
    <w:lvl w:ilvl="4">
      <w:start w:val="0"/>
      <w:numFmt w:val="bullet"/>
      <w:lvlText w:val="•"/>
      <w:lvlJc w:val="left"/>
      <w:pPr>
        <w:ind w:left="3550" w:hanging="173"/>
      </w:pPr>
      <w:rPr>
        <w:rFonts w:hint="default"/>
      </w:rPr>
    </w:lvl>
    <w:lvl w:ilvl="5">
      <w:start w:val="0"/>
      <w:numFmt w:val="bullet"/>
      <w:lvlText w:val="•"/>
      <w:lvlJc w:val="left"/>
      <w:pPr>
        <w:ind w:left="4413" w:hanging="173"/>
      </w:pPr>
      <w:rPr>
        <w:rFonts w:hint="default"/>
      </w:rPr>
    </w:lvl>
    <w:lvl w:ilvl="6">
      <w:start w:val="0"/>
      <w:numFmt w:val="bullet"/>
      <w:lvlText w:val="•"/>
      <w:lvlJc w:val="left"/>
      <w:pPr>
        <w:ind w:left="5275" w:hanging="173"/>
      </w:pPr>
      <w:rPr>
        <w:rFonts w:hint="default"/>
      </w:rPr>
    </w:lvl>
    <w:lvl w:ilvl="7">
      <w:start w:val="0"/>
      <w:numFmt w:val="bullet"/>
      <w:lvlText w:val="•"/>
      <w:lvlJc w:val="left"/>
      <w:pPr>
        <w:ind w:left="6138" w:hanging="173"/>
      </w:pPr>
      <w:rPr>
        <w:rFonts w:hint="default"/>
      </w:rPr>
    </w:lvl>
    <w:lvl w:ilvl="8">
      <w:start w:val="0"/>
      <w:numFmt w:val="bullet"/>
      <w:lvlText w:val="•"/>
      <w:lvlJc w:val="left"/>
      <w:pPr>
        <w:ind w:left="7001" w:hanging="173"/>
      </w:pPr>
      <w:rPr>
        <w:rFonts w:hint="default"/>
      </w:rPr>
    </w:lvl>
  </w:abstractNum>
  <w:abstractNum w:abstractNumId="4">
    <w:multiLevelType w:val="hybridMultilevel"/>
    <w:lvl w:ilvl="0">
      <w:start w:val="1"/>
      <w:numFmt w:val="decimal"/>
      <w:lvlText w:val="%1"/>
      <w:lvlJc w:val="left"/>
      <w:pPr>
        <w:ind w:left="122" w:hanging="432"/>
        <w:jc w:val="left"/>
      </w:pPr>
      <w:rPr>
        <w:rFonts w:hint="default"/>
      </w:rPr>
    </w:lvl>
    <w:lvl w:ilvl="1">
      <w:start w:val="1"/>
      <w:numFmt w:val="decimal"/>
      <w:lvlText w:val="%1.%2"/>
      <w:lvlJc w:val="left"/>
      <w:pPr>
        <w:ind w:left="122" w:hanging="432"/>
        <w:jc w:val="right"/>
      </w:pPr>
      <w:rPr>
        <w:rFonts w:hint="default" w:ascii="Times New Roman" w:hAnsi="Times New Roman" w:eastAsia="Times New Roman" w:cs="Times New Roman"/>
        <w:b/>
        <w:bCs/>
        <w:spacing w:val="-4"/>
        <w:w w:val="99"/>
        <w:sz w:val="24"/>
        <w:szCs w:val="24"/>
      </w:rPr>
    </w:lvl>
    <w:lvl w:ilvl="2">
      <w:start w:val="1"/>
      <w:numFmt w:val="lowerLetter"/>
      <w:lvlText w:val="%3)"/>
      <w:lvlJc w:val="left"/>
      <w:pPr>
        <w:ind w:left="102" w:hanging="564"/>
        <w:jc w:val="left"/>
      </w:pPr>
      <w:rPr>
        <w:rFonts w:hint="default" w:ascii="Times New Roman" w:hAnsi="Times New Roman" w:eastAsia="Times New Roman" w:cs="Times New Roman"/>
        <w:spacing w:val="-25"/>
        <w:w w:val="44"/>
        <w:sz w:val="24"/>
        <w:szCs w:val="24"/>
      </w:rPr>
    </w:lvl>
    <w:lvl w:ilvl="3">
      <w:start w:val="0"/>
      <w:numFmt w:val="bullet"/>
      <w:lvlText w:val="•"/>
      <w:lvlJc w:val="left"/>
      <w:pPr>
        <w:ind w:left="2032" w:hanging="564"/>
      </w:pPr>
      <w:rPr>
        <w:rFonts w:hint="default"/>
      </w:rPr>
    </w:lvl>
    <w:lvl w:ilvl="4">
      <w:start w:val="0"/>
      <w:numFmt w:val="bullet"/>
      <w:lvlText w:val="•"/>
      <w:lvlJc w:val="left"/>
      <w:pPr>
        <w:ind w:left="2988" w:hanging="564"/>
      </w:pPr>
      <w:rPr>
        <w:rFonts w:hint="default"/>
      </w:rPr>
    </w:lvl>
    <w:lvl w:ilvl="5">
      <w:start w:val="0"/>
      <w:numFmt w:val="bullet"/>
      <w:lvlText w:val="•"/>
      <w:lvlJc w:val="left"/>
      <w:pPr>
        <w:ind w:left="3945" w:hanging="564"/>
      </w:pPr>
      <w:rPr>
        <w:rFonts w:hint="default"/>
      </w:rPr>
    </w:lvl>
    <w:lvl w:ilvl="6">
      <w:start w:val="0"/>
      <w:numFmt w:val="bullet"/>
      <w:lvlText w:val="•"/>
      <w:lvlJc w:val="left"/>
      <w:pPr>
        <w:ind w:left="4901" w:hanging="564"/>
      </w:pPr>
      <w:rPr>
        <w:rFonts w:hint="default"/>
      </w:rPr>
    </w:lvl>
    <w:lvl w:ilvl="7">
      <w:start w:val="0"/>
      <w:numFmt w:val="bullet"/>
      <w:lvlText w:val="•"/>
      <w:lvlJc w:val="left"/>
      <w:pPr>
        <w:ind w:left="5857" w:hanging="564"/>
      </w:pPr>
      <w:rPr>
        <w:rFonts w:hint="default"/>
      </w:rPr>
    </w:lvl>
    <w:lvl w:ilvl="8">
      <w:start w:val="0"/>
      <w:numFmt w:val="bullet"/>
      <w:lvlText w:val="•"/>
      <w:lvlJc w:val="left"/>
      <w:pPr>
        <w:ind w:left="6813" w:hanging="564"/>
      </w:pPr>
      <w:rPr>
        <w:rFonts w:hint="default"/>
      </w:rPr>
    </w:lvl>
  </w:abstractNum>
  <w:abstractNum w:abstractNumId="3">
    <w:multiLevelType w:val="hybridMultilevel"/>
    <w:lvl w:ilvl="0">
      <w:start w:val="1"/>
      <w:numFmt w:val="lowerLetter"/>
      <w:lvlText w:val="%1)"/>
      <w:lvlJc w:val="left"/>
      <w:pPr>
        <w:ind w:left="122" w:hanging="564"/>
        <w:jc w:val="left"/>
      </w:pPr>
      <w:rPr>
        <w:rFonts w:hint="default" w:ascii="Times New Roman" w:hAnsi="Times New Roman" w:eastAsia="Times New Roman" w:cs="Times New Roman"/>
        <w:spacing w:val="-9"/>
        <w:w w:val="99"/>
        <w:sz w:val="24"/>
        <w:szCs w:val="24"/>
      </w:rPr>
    </w:lvl>
    <w:lvl w:ilvl="1">
      <w:start w:val="0"/>
      <w:numFmt w:val="bullet"/>
      <w:lvlText w:val="•"/>
      <w:lvlJc w:val="left"/>
      <w:pPr>
        <w:ind w:left="2380" w:hanging="564"/>
      </w:pPr>
      <w:rPr>
        <w:rFonts w:hint="default"/>
      </w:rPr>
    </w:lvl>
    <w:lvl w:ilvl="2">
      <w:start w:val="0"/>
      <w:numFmt w:val="bullet"/>
      <w:lvlText w:val="•"/>
      <w:lvlJc w:val="left"/>
      <w:pPr>
        <w:ind w:left="3085" w:hanging="564"/>
      </w:pPr>
      <w:rPr>
        <w:rFonts w:hint="default"/>
      </w:rPr>
    </w:lvl>
    <w:lvl w:ilvl="3">
      <w:start w:val="0"/>
      <w:numFmt w:val="bullet"/>
      <w:lvlText w:val="•"/>
      <w:lvlJc w:val="left"/>
      <w:pPr>
        <w:ind w:left="3790" w:hanging="564"/>
      </w:pPr>
      <w:rPr>
        <w:rFonts w:hint="default"/>
      </w:rPr>
    </w:lvl>
    <w:lvl w:ilvl="4">
      <w:start w:val="0"/>
      <w:numFmt w:val="bullet"/>
      <w:lvlText w:val="•"/>
      <w:lvlJc w:val="left"/>
      <w:pPr>
        <w:ind w:left="4495" w:hanging="564"/>
      </w:pPr>
      <w:rPr>
        <w:rFonts w:hint="default"/>
      </w:rPr>
    </w:lvl>
    <w:lvl w:ilvl="5">
      <w:start w:val="0"/>
      <w:numFmt w:val="bullet"/>
      <w:lvlText w:val="•"/>
      <w:lvlJc w:val="left"/>
      <w:pPr>
        <w:ind w:left="5200" w:hanging="564"/>
      </w:pPr>
      <w:rPr>
        <w:rFonts w:hint="default"/>
      </w:rPr>
    </w:lvl>
    <w:lvl w:ilvl="6">
      <w:start w:val="0"/>
      <w:numFmt w:val="bullet"/>
      <w:lvlText w:val="•"/>
      <w:lvlJc w:val="left"/>
      <w:pPr>
        <w:ind w:left="5905" w:hanging="564"/>
      </w:pPr>
      <w:rPr>
        <w:rFonts w:hint="default"/>
      </w:rPr>
    </w:lvl>
    <w:lvl w:ilvl="7">
      <w:start w:val="0"/>
      <w:numFmt w:val="bullet"/>
      <w:lvlText w:val="•"/>
      <w:lvlJc w:val="left"/>
      <w:pPr>
        <w:ind w:left="6610" w:hanging="564"/>
      </w:pPr>
      <w:rPr>
        <w:rFonts w:hint="default"/>
      </w:rPr>
    </w:lvl>
    <w:lvl w:ilvl="8">
      <w:start w:val="0"/>
      <w:numFmt w:val="bullet"/>
      <w:lvlText w:val="•"/>
      <w:lvlJc w:val="left"/>
      <w:pPr>
        <w:ind w:left="7316" w:hanging="564"/>
      </w:pPr>
      <w:rPr>
        <w:rFonts w:hint="default"/>
      </w:rPr>
    </w:lvl>
  </w:abstractNum>
  <w:abstractNum w:abstractNumId="2">
    <w:multiLevelType w:val="hybridMultilevel"/>
    <w:lvl w:ilvl="0">
      <w:start w:val="3"/>
      <w:numFmt w:val="decimal"/>
      <w:lvlText w:val="%1"/>
      <w:lvlJc w:val="left"/>
      <w:pPr>
        <w:ind w:left="385" w:hanging="367"/>
        <w:jc w:val="left"/>
      </w:pPr>
      <w:rPr>
        <w:rFonts w:hint="default"/>
      </w:rPr>
    </w:lvl>
    <w:lvl w:ilvl="1">
      <w:start w:val="1"/>
      <w:numFmt w:val="decimal"/>
      <w:lvlText w:val="%1.%2"/>
      <w:lvlJc w:val="left"/>
      <w:pPr>
        <w:ind w:left="385" w:hanging="367"/>
        <w:jc w:val="left"/>
      </w:pPr>
      <w:rPr>
        <w:rFonts w:hint="default" w:ascii="Times New Roman" w:hAnsi="Times New Roman" w:eastAsia="Times New Roman" w:cs="Times New Roman"/>
        <w:b/>
        <w:bCs/>
        <w:w w:val="100"/>
        <w:sz w:val="24"/>
        <w:szCs w:val="24"/>
      </w:rPr>
    </w:lvl>
    <w:lvl w:ilvl="2">
      <w:start w:val="1"/>
      <w:numFmt w:val="decimal"/>
      <w:lvlText w:val="%1.%2.%3"/>
      <w:lvlJc w:val="left"/>
      <w:pPr>
        <w:ind w:left="1208" w:hanging="540"/>
        <w:jc w:val="left"/>
      </w:pPr>
      <w:rPr>
        <w:rFonts w:hint="default" w:ascii="Times New Roman" w:hAnsi="Times New Roman" w:eastAsia="Times New Roman" w:cs="Times New Roman"/>
        <w:b/>
        <w:bCs/>
        <w:spacing w:val="-4"/>
        <w:w w:val="99"/>
        <w:sz w:val="24"/>
        <w:szCs w:val="24"/>
      </w:rPr>
    </w:lvl>
    <w:lvl w:ilvl="3">
      <w:start w:val="1"/>
      <w:numFmt w:val="decimal"/>
      <w:lvlText w:val="%1.%2.%3.%4"/>
      <w:lvlJc w:val="left"/>
      <w:pPr>
        <w:ind w:left="954" w:hanging="723"/>
        <w:jc w:val="left"/>
      </w:pPr>
      <w:rPr>
        <w:rFonts w:hint="default" w:ascii="Times New Roman" w:hAnsi="Times New Roman" w:eastAsia="Times New Roman" w:cs="Times New Roman"/>
        <w:b/>
        <w:bCs/>
        <w:w w:val="100"/>
        <w:sz w:val="24"/>
        <w:szCs w:val="24"/>
      </w:rPr>
    </w:lvl>
    <w:lvl w:ilvl="4">
      <w:start w:val="0"/>
      <w:numFmt w:val="bullet"/>
      <w:lvlText w:val="•"/>
      <w:lvlJc w:val="left"/>
      <w:pPr>
        <w:ind w:left="3081" w:hanging="723"/>
      </w:pPr>
      <w:rPr>
        <w:rFonts w:hint="default"/>
      </w:rPr>
    </w:lvl>
    <w:lvl w:ilvl="5">
      <w:start w:val="0"/>
      <w:numFmt w:val="bullet"/>
      <w:lvlText w:val="•"/>
      <w:lvlJc w:val="left"/>
      <w:pPr>
        <w:ind w:left="4022" w:hanging="723"/>
      </w:pPr>
      <w:rPr>
        <w:rFonts w:hint="default"/>
      </w:rPr>
    </w:lvl>
    <w:lvl w:ilvl="6">
      <w:start w:val="0"/>
      <w:numFmt w:val="bullet"/>
      <w:lvlText w:val="•"/>
      <w:lvlJc w:val="left"/>
      <w:pPr>
        <w:ind w:left="4963" w:hanging="723"/>
      </w:pPr>
      <w:rPr>
        <w:rFonts w:hint="default"/>
      </w:rPr>
    </w:lvl>
    <w:lvl w:ilvl="7">
      <w:start w:val="0"/>
      <w:numFmt w:val="bullet"/>
      <w:lvlText w:val="•"/>
      <w:lvlJc w:val="left"/>
      <w:pPr>
        <w:ind w:left="5904" w:hanging="723"/>
      </w:pPr>
      <w:rPr>
        <w:rFonts w:hint="default"/>
      </w:rPr>
    </w:lvl>
    <w:lvl w:ilvl="8">
      <w:start w:val="0"/>
      <w:numFmt w:val="bullet"/>
      <w:lvlText w:val="•"/>
      <w:lvlJc w:val="left"/>
      <w:pPr>
        <w:ind w:left="6844" w:hanging="723"/>
      </w:pPr>
      <w:rPr>
        <w:rFonts w:hint="default"/>
      </w:rPr>
    </w:lvl>
  </w:abstractNum>
  <w:abstractNum w:abstractNumId="1">
    <w:multiLevelType w:val="hybridMultilevel"/>
    <w:lvl w:ilvl="0">
      <w:start w:val="2"/>
      <w:numFmt w:val="decimal"/>
      <w:lvlText w:val="%1"/>
      <w:lvlJc w:val="left"/>
      <w:pPr>
        <w:ind w:left="385" w:hanging="406"/>
        <w:jc w:val="left"/>
      </w:pPr>
      <w:rPr>
        <w:rFonts w:hint="default"/>
      </w:rPr>
    </w:lvl>
    <w:lvl w:ilvl="1">
      <w:start w:val="1"/>
      <w:numFmt w:val="decimal"/>
      <w:lvlText w:val="%1.%2"/>
      <w:lvlJc w:val="left"/>
      <w:pPr>
        <w:ind w:left="385" w:hanging="406"/>
        <w:jc w:val="left"/>
      </w:pPr>
      <w:rPr>
        <w:rFonts w:hint="default" w:ascii="Times New Roman" w:hAnsi="Times New Roman" w:eastAsia="Times New Roman" w:cs="Times New Roman"/>
        <w:b/>
        <w:bCs/>
        <w:spacing w:val="-16"/>
        <w:w w:val="99"/>
        <w:sz w:val="24"/>
        <w:szCs w:val="24"/>
      </w:rPr>
    </w:lvl>
    <w:lvl w:ilvl="2">
      <w:start w:val="1"/>
      <w:numFmt w:val="decimal"/>
      <w:lvlText w:val="%1.%2.%3"/>
      <w:lvlJc w:val="left"/>
      <w:pPr>
        <w:ind w:left="668" w:hanging="540"/>
        <w:jc w:val="left"/>
      </w:pPr>
      <w:rPr>
        <w:rFonts w:hint="default" w:ascii="Times New Roman" w:hAnsi="Times New Roman" w:eastAsia="Times New Roman" w:cs="Times New Roman"/>
        <w:b/>
        <w:bCs/>
        <w:spacing w:val="-2"/>
        <w:w w:val="99"/>
        <w:sz w:val="24"/>
        <w:szCs w:val="24"/>
      </w:rPr>
    </w:lvl>
    <w:lvl w:ilvl="3">
      <w:start w:val="1"/>
      <w:numFmt w:val="decimal"/>
      <w:lvlText w:val="%1.%2.%3.%4"/>
      <w:lvlJc w:val="left"/>
      <w:pPr>
        <w:ind w:left="954" w:hanging="739"/>
        <w:jc w:val="left"/>
      </w:pPr>
      <w:rPr>
        <w:rFonts w:hint="default" w:ascii="Times New Roman" w:hAnsi="Times New Roman" w:eastAsia="Times New Roman" w:cs="Times New Roman"/>
        <w:b/>
        <w:bCs/>
        <w:w w:val="100"/>
        <w:sz w:val="24"/>
        <w:szCs w:val="24"/>
      </w:rPr>
    </w:lvl>
    <w:lvl w:ilvl="4">
      <w:start w:val="0"/>
      <w:numFmt w:val="bullet"/>
      <w:lvlText w:val="•"/>
      <w:lvlJc w:val="left"/>
      <w:pPr>
        <w:ind w:left="2901" w:hanging="739"/>
      </w:pPr>
      <w:rPr>
        <w:rFonts w:hint="default"/>
      </w:rPr>
    </w:lvl>
    <w:lvl w:ilvl="5">
      <w:start w:val="0"/>
      <w:numFmt w:val="bullet"/>
      <w:lvlText w:val="•"/>
      <w:lvlJc w:val="left"/>
      <w:pPr>
        <w:ind w:left="3872" w:hanging="739"/>
      </w:pPr>
      <w:rPr>
        <w:rFonts w:hint="default"/>
      </w:rPr>
    </w:lvl>
    <w:lvl w:ilvl="6">
      <w:start w:val="0"/>
      <w:numFmt w:val="bullet"/>
      <w:lvlText w:val="•"/>
      <w:lvlJc w:val="left"/>
      <w:pPr>
        <w:ind w:left="4843" w:hanging="739"/>
      </w:pPr>
      <w:rPr>
        <w:rFonts w:hint="default"/>
      </w:rPr>
    </w:lvl>
    <w:lvl w:ilvl="7">
      <w:start w:val="0"/>
      <w:numFmt w:val="bullet"/>
      <w:lvlText w:val="•"/>
      <w:lvlJc w:val="left"/>
      <w:pPr>
        <w:ind w:left="5814" w:hanging="739"/>
      </w:pPr>
      <w:rPr>
        <w:rFonts w:hint="default"/>
      </w:rPr>
    </w:lvl>
    <w:lvl w:ilvl="8">
      <w:start w:val="0"/>
      <w:numFmt w:val="bullet"/>
      <w:lvlText w:val="•"/>
      <w:lvlJc w:val="left"/>
      <w:pPr>
        <w:ind w:left="6784" w:hanging="739"/>
      </w:pPr>
      <w:rPr>
        <w:rFonts w:hint="default"/>
      </w:rPr>
    </w:lvl>
  </w:abstractNum>
  <w:abstractNum w:abstractNumId="0">
    <w:multiLevelType w:val="hybridMultilevel"/>
    <w:lvl w:ilvl="0">
      <w:start w:val="1"/>
      <w:numFmt w:val="decimal"/>
      <w:lvlText w:val="%1"/>
      <w:lvlJc w:val="left"/>
      <w:pPr>
        <w:ind w:left="385" w:hanging="403"/>
        <w:jc w:val="left"/>
      </w:pPr>
      <w:rPr>
        <w:rFonts w:hint="default"/>
      </w:rPr>
    </w:lvl>
    <w:lvl w:ilvl="1">
      <w:start w:val="1"/>
      <w:numFmt w:val="decimal"/>
      <w:lvlText w:val="%1.%2"/>
      <w:lvlJc w:val="left"/>
      <w:pPr>
        <w:ind w:left="385" w:hanging="403"/>
        <w:jc w:val="left"/>
      </w:pPr>
      <w:rPr>
        <w:rFonts w:hint="default" w:ascii="Times New Roman" w:hAnsi="Times New Roman" w:eastAsia="Times New Roman" w:cs="Times New Roman"/>
        <w:b/>
        <w:bCs/>
        <w:spacing w:val="-18"/>
        <w:w w:val="99"/>
        <w:sz w:val="24"/>
        <w:szCs w:val="24"/>
      </w:rPr>
    </w:lvl>
    <w:lvl w:ilvl="2">
      <w:start w:val="1"/>
      <w:numFmt w:val="decimal"/>
      <w:lvlText w:val="%1.%2.%3"/>
      <w:lvlJc w:val="left"/>
      <w:pPr>
        <w:ind w:left="668" w:hanging="547"/>
        <w:jc w:val="left"/>
      </w:pPr>
      <w:rPr>
        <w:rFonts w:hint="default" w:ascii="Times New Roman" w:hAnsi="Times New Roman" w:eastAsia="Times New Roman" w:cs="Times New Roman"/>
        <w:b/>
        <w:bCs/>
        <w:w w:val="100"/>
        <w:sz w:val="24"/>
        <w:szCs w:val="24"/>
      </w:rPr>
    </w:lvl>
    <w:lvl w:ilvl="3">
      <w:start w:val="0"/>
      <w:numFmt w:val="bullet"/>
      <w:lvlText w:val="•"/>
      <w:lvlJc w:val="left"/>
      <w:pPr>
        <w:ind w:left="2452" w:hanging="547"/>
      </w:pPr>
      <w:rPr>
        <w:rFonts w:hint="default"/>
      </w:rPr>
    </w:lvl>
    <w:lvl w:ilvl="4">
      <w:start w:val="0"/>
      <w:numFmt w:val="bullet"/>
      <w:lvlText w:val="•"/>
      <w:lvlJc w:val="left"/>
      <w:pPr>
        <w:ind w:left="3348" w:hanging="547"/>
      </w:pPr>
      <w:rPr>
        <w:rFonts w:hint="default"/>
      </w:rPr>
    </w:lvl>
    <w:lvl w:ilvl="5">
      <w:start w:val="0"/>
      <w:numFmt w:val="bullet"/>
      <w:lvlText w:val="•"/>
      <w:lvlJc w:val="left"/>
      <w:pPr>
        <w:ind w:left="4245" w:hanging="547"/>
      </w:pPr>
      <w:rPr>
        <w:rFonts w:hint="default"/>
      </w:rPr>
    </w:lvl>
    <w:lvl w:ilvl="6">
      <w:start w:val="0"/>
      <w:numFmt w:val="bullet"/>
      <w:lvlText w:val="•"/>
      <w:lvlJc w:val="left"/>
      <w:pPr>
        <w:ind w:left="5141" w:hanging="547"/>
      </w:pPr>
      <w:rPr>
        <w:rFonts w:hint="default"/>
      </w:rPr>
    </w:lvl>
    <w:lvl w:ilvl="7">
      <w:start w:val="0"/>
      <w:numFmt w:val="bullet"/>
      <w:lvlText w:val="•"/>
      <w:lvlJc w:val="left"/>
      <w:pPr>
        <w:ind w:left="6037" w:hanging="547"/>
      </w:pPr>
      <w:rPr>
        <w:rFonts w:hint="default"/>
      </w:rPr>
    </w:lvl>
    <w:lvl w:ilvl="8">
      <w:start w:val="0"/>
      <w:numFmt w:val="bullet"/>
      <w:lvlText w:val="•"/>
      <w:lvlJc w:val="left"/>
      <w:pPr>
        <w:ind w:left="6933" w:hanging="547"/>
      </w:pPr>
      <w:rPr>
        <w:rFonts w:hint="default"/>
      </w:rPr>
    </w:lvl>
  </w:abstractNum>
  <w:num w:numId="31">
    <w:abstractNumId w:val="30"/>
  </w:num>
  <w:num w:numId="30">
    <w:abstractNumId w:val="29"/>
  </w:num>
  <w:num w:numId="20">
    <w:abstractNumId w:val="19"/>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6"/>
      <w:ind w:left="102"/>
    </w:pPr>
    <w:rPr>
      <w:rFonts w:ascii="Times New Roman" w:hAnsi="Times New Roman" w:eastAsia="Times New Roman" w:cs="Times New Roman"/>
      <w:b/>
      <w:bCs/>
      <w:sz w:val="24"/>
      <w:szCs w:val="24"/>
    </w:rPr>
  </w:style>
  <w:style w:styleId="TOC2" w:type="paragraph">
    <w:name w:val="TOC 2"/>
    <w:basedOn w:val="Normal"/>
    <w:uiPriority w:val="1"/>
    <w:qFormat/>
    <w:pPr>
      <w:spacing w:before="551"/>
      <w:ind w:left="102"/>
    </w:pPr>
    <w:rPr>
      <w:rFonts w:ascii="Times New Roman" w:hAnsi="Times New Roman" w:eastAsia="Times New Roman" w:cs="Times New Roman"/>
      <w:b/>
      <w:bCs/>
      <w:i/>
    </w:rPr>
  </w:style>
  <w:style w:styleId="TOC3" w:type="paragraph">
    <w:name w:val="TOC 3"/>
    <w:basedOn w:val="Normal"/>
    <w:uiPriority w:val="1"/>
    <w:qFormat/>
    <w:pPr>
      <w:spacing w:before="11" w:line="272" w:lineRule="exact"/>
      <w:ind w:left="385" w:right="119"/>
    </w:pPr>
    <w:rPr>
      <w:rFonts w:ascii="Times New Roman" w:hAnsi="Times New Roman" w:eastAsia="Times New Roman" w:cs="Times New Roman"/>
      <w:b/>
      <w:bCs/>
      <w:sz w:val="24"/>
      <w:szCs w:val="24"/>
    </w:rPr>
  </w:style>
  <w:style w:styleId="TOC4" w:type="paragraph">
    <w:name w:val="TOC 4"/>
    <w:basedOn w:val="Normal"/>
    <w:uiPriority w:val="1"/>
    <w:qFormat/>
    <w:pPr>
      <w:ind w:left="385"/>
    </w:pPr>
    <w:rPr>
      <w:rFonts w:ascii="Times New Roman" w:hAnsi="Times New Roman" w:eastAsia="Times New Roman" w:cs="Times New Roman"/>
      <w:b/>
      <w:bCs/>
      <w:i/>
    </w:rPr>
  </w:style>
  <w:style w:styleId="TOC5" w:type="paragraph">
    <w:name w:val="TOC 5"/>
    <w:basedOn w:val="Normal"/>
    <w:uiPriority w:val="1"/>
    <w:qFormat/>
    <w:pPr>
      <w:ind w:left="668"/>
    </w:pPr>
    <w:rPr>
      <w:rFonts w:ascii="Times New Roman" w:hAnsi="Times New Roman" w:eastAsia="Times New Roman" w:cs="Times New Roman"/>
      <w:b/>
      <w:bCs/>
      <w:sz w:val="24"/>
      <w:szCs w:val="24"/>
    </w:rPr>
  </w:style>
  <w:style w:styleId="TOC6" w:type="paragraph">
    <w:name w:val="TOC 6"/>
    <w:basedOn w:val="Normal"/>
    <w:uiPriority w:val="1"/>
    <w:qFormat/>
    <w:pPr>
      <w:spacing w:line="272" w:lineRule="exact"/>
      <w:ind w:left="954"/>
      <w:jc w:val="both"/>
    </w:pPr>
    <w:rPr>
      <w:rFonts w:ascii="Times New Roman" w:hAnsi="Times New Roman" w:eastAsia="Times New Roman" w:cs="Times New Roman"/>
      <w:b/>
      <w:bCs/>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02"/>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ind w:left="642" w:hanging="540"/>
      <w:outlineLvl w:val="2"/>
    </w:pPr>
    <w:rPr>
      <w:rFonts w:ascii="Times New Roman" w:hAnsi="Times New Roman" w:eastAsia="Times New Roman" w:cs="Times New Roman"/>
      <w:b/>
      <w:bCs/>
      <w:i/>
      <w:sz w:val="24"/>
      <w:szCs w:val="24"/>
    </w:rPr>
  </w:style>
  <w:style w:styleId="ListParagraph" w:type="paragraph">
    <w:name w:val="List Paragraph"/>
    <w:basedOn w:val="Normal"/>
    <w:uiPriority w:val="1"/>
    <w:qFormat/>
    <w:pPr>
      <w:ind w:left="2370"/>
      <w:jc w:val="both"/>
    </w:pPr>
    <w:rPr>
      <w:rFonts w:ascii="Times New Roman" w:hAnsi="Times New Roman" w:eastAsia="Times New Roman" w:cs="Times New Roman"/>
    </w:rPr>
  </w:style>
  <w:style w:styleId="TableParagraph" w:type="paragraph">
    <w:name w:val="Table Paragraph"/>
    <w:basedOn w:val="Normal"/>
    <w:uiPriority w:val="1"/>
    <w:qFormat/>
    <w:pPr>
      <w:spacing w:before="127"/>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header" Target="header7.xml"/><Relationship Id="rId13" Type="http://schemas.openxmlformats.org/officeDocument/2006/relationships/header" Target="header8.xml"/><Relationship Id="rId14" Type="http://schemas.openxmlformats.org/officeDocument/2006/relationships/header" Target="header9.xml"/><Relationship Id="rId15" Type="http://schemas.openxmlformats.org/officeDocument/2006/relationships/header" Target="header10.xml"/><Relationship Id="rId16" Type="http://schemas.openxmlformats.org/officeDocument/2006/relationships/header" Target="header11.xml"/><Relationship Id="rId17" Type="http://schemas.openxmlformats.org/officeDocument/2006/relationships/header" Target="header12.xml"/><Relationship Id="rId18" Type="http://schemas.openxmlformats.org/officeDocument/2006/relationships/header" Target="header13.xml"/><Relationship Id="rId19" Type="http://schemas.openxmlformats.org/officeDocument/2006/relationships/header" Target="header14.xml"/><Relationship Id="rId20" Type="http://schemas.openxmlformats.org/officeDocument/2006/relationships/header" Target="header15.xml"/><Relationship Id="rId21" Type="http://schemas.openxmlformats.org/officeDocument/2006/relationships/header" Target="header16.xml"/><Relationship Id="rId22" Type="http://schemas.openxmlformats.org/officeDocument/2006/relationships/header" Target="header17.xml"/><Relationship Id="rId23" Type="http://schemas.openxmlformats.org/officeDocument/2006/relationships/header" Target="header18.xml"/><Relationship Id="rId24" Type="http://schemas.openxmlformats.org/officeDocument/2006/relationships/header" Target="header19.xml"/><Relationship Id="rId25" Type="http://schemas.openxmlformats.org/officeDocument/2006/relationships/hyperlink" Target="http://cpdoc.fgv.br/producao/dossies/AEraVargas1/biografias/lourenco_filho" TargetMode="External"/><Relationship Id="rId26" Type="http://schemas.openxmlformats.org/officeDocument/2006/relationships/hyperlink" Target="http://cpdoc.fgv.br/producao/dossies/AEraVargas1/biografias/anisio_teixeira" TargetMode="External"/><Relationship Id="rId27" Type="http://schemas.openxmlformats.org/officeDocument/2006/relationships/header" Target="header20.xml"/><Relationship Id="rId28" Type="http://schemas.openxmlformats.org/officeDocument/2006/relationships/hyperlink" Target="http://cpdoc.fgv.br/producao/dossies/AEraVargas1/biografias/francisco_campos" TargetMode="External"/><Relationship Id="rId29" Type="http://schemas.openxmlformats.org/officeDocument/2006/relationships/hyperlink" Target="http://cpdoc.fgv.br/producao/dossies/AEraVargas1/biografias/fernando_de_azevedo" TargetMode="External"/><Relationship Id="rId30" Type="http://schemas.openxmlformats.org/officeDocument/2006/relationships/hyperlink" Target="http://cpdoc.fgv.br/producao/dossies/AEraVargas1/anos20/QuestaoSocial/ReformasEducacionais" TargetMode="External"/><Relationship Id="rId31" Type="http://schemas.openxmlformats.org/officeDocument/2006/relationships/header" Target="header21.xml"/><Relationship Id="rId32" Type="http://schemas.openxmlformats.org/officeDocument/2006/relationships/header" Target="header22.xml"/><Relationship Id="rId33" Type="http://schemas.openxmlformats.org/officeDocument/2006/relationships/header" Target="header23.xml"/><Relationship Id="rId34" Type="http://schemas.openxmlformats.org/officeDocument/2006/relationships/header" Target="header24.xml"/><Relationship Id="rId35" Type="http://schemas.openxmlformats.org/officeDocument/2006/relationships/header" Target="header25.xml"/><Relationship Id="rId36" Type="http://schemas.openxmlformats.org/officeDocument/2006/relationships/header" Target="header26.xml"/><Relationship Id="rId37" Type="http://schemas.openxmlformats.org/officeDocument/2006/relationships/image" Target="media/image2.jpeg"/><Relationship Id="rId38" Type="http://schemas.openxmlformats.org/officeDocument/2006/relationships/header" Target="header27.xml"/><Relationship Id="rId39" Type="http://schemas.openxmlformats.org/officeDocument/2006/relationships/header" Target="header28.xml"/><Relationship Id="rId40" Type="http://schemas.openxmlformats.org/officeDocument/2006/relationships/image" Target="media/image3.jpeg"/><Relationship Id="rId41" Type="http://schemas.openxmlformats.org/officeDocument/2006/relationships/image" Target="media/image4.jpeg"/><Relationship Id="rId42" Type="http://schemas.openxmlformats.org/officeDocument/2006/relationships/image" Target="media/image5.jpeg"/><Relationship Id="rId43" Type="http://schemas.openxmlformats.org/officeDocument/2006/relationships/header" Target="header29.xml"/><Relationship Id="rId44" Type="http://schemas.openxmlformats.org/officeDocument/2006/relationships/header" Target="header30.xml"/><Relationship Id="rId45" Type="http://schemas.openxmlformats.org/officeDocument/2006/relationships/hyperlink" Target="http://www.pne.mec.gov.br/" TargetMode="External"/><Relationship Id="rId46" Type="http://schemas.openxmlformats.org/officeDocument/2006/relationships/image" Target="media/image6.png"/><Relationship Id="rId47" Type="http://schemas.openxmlformats.org/officeDocument/2006/relationships/header" Target="header31.xml"/><Relationship Id="rId48" Type="http://schemas.openxmlformats.org/officeDocument/2006/relationships/image" Target="media/image7.jpeg"/><Relationship Id="rId49" Type="http://schemas.openxmlformats.org/officeDocument/2006/relationships/header" Target="header32.xml"/><Relationship Id="rId50" Type="http://schemas.openxmlformats.org/officeDocument/2006/relationships/image" Target="media/image8.jpeg"/><Relationship Id="rId51" Type="http://schemas.openxmlformats.org/officeDocument/2006/relationships/image" Target="media/image9.jpeg"/><Relationship Id="rId52" Type="http://schemas.openxmlformats.org/officeDocument/2006/relationships/header" Target="header33.xml"/><Relationship Id="rId53" Type="http://schemas.openxmlformats.org/officeDocument/2006/relationships/hyperlink" Target="http://www.mec.gov.br/" TargetMode="External"/><Relationship Id="rId54" Type="http://schemas.openxmlformats.org/officeDocument/2006/relationships/header" Target="header34.xml"/><Relationship Id="rId55" Type="http://schemas.openxmlformats.org/officeDocument/2006/relationships/image" Target="media/image10.png"/><Relationship Id="rId56" Type="http://schemas.openxmlformats.org/officeDocument/2006/relationships/image" Target="media/image11.png"/><Relationship Id="rId57" Type="http://schemas.openxmlformats.org/officeDocument/2006/relationships/image" Target="media/image12.png"/><Relationship Id="rId58" Type="http://schemas.openxmlformats.org/officeDocument/2006/relationships/image" Target="media/image13.png"/><Relationship Id="rId59" Type="http://schemas.openxmlformats.org/officeDocument/2006/relationships/image" Target="media/image14.png"/><Relationship Id="rId60" Type="http://schemas.openxmlformats.org/officeDocument/2006/relationships/image" Target="media/image15.png"/><Relationship Id="rId61" Type="http://schemas.openxmlformats.org/officeDocument/2006/relationships/image" Target="media/image16.png"/><Relationship Id="rId62" Type="http://schemas.openxmlformats.org/officeDocument/2006/relationships/header" Target="header35.xml"/><Relationship Id="rId63" Type="http://schemas.openxmlformats.org/officeDocument/2006/relationships/image" Target="media/image17.jpeg"/><Relationship Id="rId64" Type="http://schemas.openxmlformats.org/officeDocument/2006/relationships/image" Target="media/image18.png"/><Relationship Id="rId65" Type="http://schemas.openxmlformats.org/officeDocument/2006/relationships/image" Target="media/image19.jpeg"/><Relationship Id="rId66" Type="http://schemas.openxmlformats.org/officeDocument/2006/relationships/hyperlink" Target="http://www.planalto.gov.br/ccivil_03/LEIS/L9394.htm#art61" TargetMode="External"/><Relationship Id="rId67" Type="http://schemas.openxmlformats.org/officeDocument/2006/relationships/hyperlink" Target="http://www.planalto.gov.br/ccivil_03/Constituicao/Constituicao.htm#art206viii" TargetMode="External"/><Relationship Id="rId68" Type="http://schemas.openxmlformats.org/officeDocument/2006/relationships/hyperlink" Target="http://www.planalto.gov.br/" TargetMode="External"/><Relationship Id="rId69" Type="http://schemas.openxmlformats.org/officeDocument/2006/relationships/header" Target="header36.xml"/><Relationship Id="rId70" Type="http://schemas.openxmlformats.org/officeDocument/2006/relationships/image" Target="media/image20.png"/><Relationship Id="rId71" Type="http://schemas.openxmlformats.org/officeDocument/2006/relationships/image" Target="media/image21.png"/><Relationship Id="rId72" Type="http://schemas.openxmlformats.org/officeDocument/2006/relationships/image" Target="media/image22.png"/><Relationship Id="rId73" Type="http://schemas.openxmlformats.org/officeDocument/2006/relationships/image" Target="media/image23.png"/><Relationship Id="rId74" Type="http://schemas.openxmlformats.org/officeDocument/2006/relationships/image" Target="media/image24.png"/><Relationship Id="rId75" Type="http://schemas.openxmlformats.org/officeDocument/2006/relationships/image" Target="media/image25.png"/><Relationship Id="rId76" Type="http://schemas.openxmlformats.org/officeDocument/2006/relationships/image" Target="media/image26.png"/><Relationship Id="rId77" Type="http://schemas.openxmlformats.org/officeDocument/2006/relationships/image" Target="media/image27.png"/><Relationship Id="rId78" Type="http://schemas.openxmlformats.org/officeDocument/2006/relationships/header" Target="header37.xml"/><Relationship Id="rId79" Type="http://schemas.openxmlformats.org/officeDocument/2006/relationships/image" Target="media/image28.png"/><Relationship Id="rId80" Type="http://schemas.openxmlformats.org/officeDocument/2006/relationships/image" Target="media/image29.png"/><Relationship Id="rId81" Type="http://schemas.openxmlformats.org/officeDocument/2006/relationships/image" Target="media/image30.png"/><Relationship Id="rId82" Type="http://schemas.openxmlformats.org/officeDocument/2006/relationships/image" Target="media/image31.png"/><Relationship Id="rId83" Type="http://schemas.openxmlformats.org/officeDocument/2006/relationships/image" Target="media/image32.png"/><Relationship Id="rId84" Type="http://schemas.openxmlformats.org/officeDocument/2006/relationships/image" Target="media/image33.png"/><Relationship Id="rId85" Type="http://schemas.openxmlformats.org/officeDocument/2006/relationships/image" Target="media/image34.png"/><Relationship Id="rId86" Type="http://schemas.openxmlformats.org/officeDocument/2006/relationships/image" Target="media/image35.png"/><Relationship Id="rId87" Type="http://schemas.openxmlformats.org/officeDocument/2006/relationships/image" Target="media/image36.png"/><Relationship Id="rId88" Type="http://schemas.openxmlformats.org/officeDocument/2006/relationships/image" Target="media/image37.png"/><Relationship Id="rId89" Type="http://schemas.openxmlformats.org/officeDocument/2006/relationships/header" Target="header38.xml"/><Relationship Id="rId90" Type="http://schemas.openxmlformats.org/officeDocument/2006/relationships/image" Target="media/image38.png"/><Relationship Id="rId91" Type="http://schemas.openxmlformats.org/officeDocument/2006/relationships/image" Target="media/image39.png"/><Relationship Id="rId92" Type="http://schemas.openxmlformats.org/officeDocument/2006/relationships/image" Target="media/image40.png"/><Relationship Id="rId93" Type="http://schemas.openxmlformats.org/officeDocument/2006/relationships/image" Target="media/image41.png"/><Relationship Id="rId94" Type="http://schemas.openxmlformats.org/officeDocument/2006/relationships/image" Target="media/image42.png"/><Relationship Id="rId95" Type="http://schemas.openxmlformats.org/officeDocument/2006/relationships/image" Target="media/image43.png"/><Relationship Id="rId96" Type="http://schemas.openxmlformats.org/officeDocument/2006/relationships/image" Target="media/image44.png"/><Relationship Id="rId97" Type="http://schemas.openxmlformats.org/officeDocument/2006/relationships/image" Target="media/image45.png"/><Relationship Id="rId98" Type="http://schemas.openxmlformats.org/officeDocument/2006/relationships/image" Target="media/image46.png"/><Relationship Id="rId99" Type="http://schemas.openxmlformats.org/officeDocument/2006/relationships/image" Target="media/image47.png"/><Relationship Id="rId100" Type="http://schemas.openxmlformats.org/officeDocument/2006/relationships/image" Target="media/image48.png"/><Relationship Id="rId101" Type="http://schemas.openxmlformats.org/officeDocument/2006/relationships/image" Target="media/image49.png"/><Relationship Id="rId102" Type="http://schemas.openxmlformats.org/officeDocument/2006/relationships/image" Target="media/image50.png"/><Relationship Id="rId103" Type="http://schemas.openxmlformats.org/officeDocument/2006/relationships/image" Target="media/image51.png"/><Relationship Id="rId104" Type="http://schemas.openxmlformats.org/officeDocument/2006/relationships/image" Target="media/image52.png"/><Relationship Id="rId105" Type="http://schemas.openxmlformats.org/officeDocument/2006/relationships/image" Target="media/image53.png"/><Relationship Id="rId106" Type="http://schemas.openxmlformats.org/officeDocument/2006/relationships/image" Target="media/image54.png"/><Relationship Id="rId107" Type="http://schemas.openxmlformats.org/officeDocument/2006/relationships/image" Target="media/image55.png"/><Relationship Id="rId108" Type="http://schemas.openxmlformats.org/officeDocument/2006/relationships/image" Target="media/image56.png"/><Relationship Id="rId109" Type="http://schemas.openxmlformats.org/officeDocument/2006/relationships/image" Target="media/image57.png"/><Relationship Id="rId110" Type="http://schemas.openxmlformats.org/officeDocument/2006/relationships/image" Target="media/image58.png"/><Relationship Id="rId111" Type="http://schemas.openxmlformats.org/officeDocument/2006/relationships/image" Target="media/image59.png"/><Relationship Id="rId112" Type="http://schemas.openxmlformats.org/officeDocument/2006/relationships/image" Target="media/image60.png"/><Relationship Id="rId113" Type="http://schemas.openxmlformats.org/officeDocument/2006/relationships/header" Target="header39.xml"/><Relationship Id="rId114" Type="http://schemas.openxmlformats.org/officeDocument/2006/relationships/header" Target="header40.xml"/><Relationship Id="rId115" Type="http://schemas.openxmlformats.org/officeDocument/2006/relationships/header" Target="header41.xml"/><Relationship Id="rId116" Type="http://schemas.openxmlformats.org/officeDocument/2006/relationships/header" Target="header42.xml"/><Relationship Id="rId117" Type="http://schemas.openxmlformats.org/officeDocument/2006/relationships/header" Target="header43.xml"/><Relationship Id="rId118" Type="http://schemas.openxmlformats.org/officeDocument/2006/relationships/header" Target="header44.xml"/><Relationship Id="rId119" Type="http://schemas.openxmlformats.org/officeDocument/2006/relationships/image" Target="media/image61.jpeg"/><Relationship Id="rId120" Type="http://schemas.openxmlformats.org/officeDocument/2006/relationships/image" Target="media/image62.png"/><Relationship Id="rId121" Type="http://schemas.openxmlformats.org/officeDocument/2006/relationships/header" Target="header45.xml"/><Relationship Id="rId122" Type="http://schemas.openxmlformats.org/officeDocument/2006/relationships/hyperlink" Target="http://www.defesasocial.rn.gov.br/contentproducao/aplicacao/searh_escola/arquivos/pdf/paper" TargetMode="External"/><Relationship Id="rId123" Type="http://schemas.openxmlformats.org/officeDocument/2006/relationships/hyperlink" Target="http://www.fcc.org.br/pesquisa/publicacoes/cp/arquivos/943.pdf" TargetMode="External"/><Relationship Id="rId124" Type="http://schemas.openxmlformats.org/officeDocument/2006/relationships/hyperlink" Target="http://www.histedbr.fe.unicamp.br/revista/edicoes/22e/doc1_22e.pdf" TargetMode="External"/><Relationship Id="rId125" Type="http://schemas.openxmlformats.org/officeDocument/2006/relationships/hyperlink" Target="http://www.cedes.unicamp.br/" TargetMode="External"/><Relationship Id="rId126" Type="http://schemas.openxmlformats.org/officeDocument/2006/relationships/hyperlink" Target="http://www.scielo.br/pdf/es/v28n100/a1428100.pdf" TargetMode="External"/><Relationship Id="rId127" Type="http://schemas.openxmlformats.org/officeDocument/2006/relationships/hyperlink" Target="http://www.esforce.org.br/" TargetMode="External"/><Relationship Id="rId128" Type="http://schemas.openxmlformats.org/officeDocument/2006/relationships/hyperlink" Target="http://www.eses.pt/interaccoes" TargetMode="External"/><Relationship Id="rId129" Type="http://schemas.openxmlformats.org/officeDocument/2006/relationships/hyperlink" Target="http://www.redalyc.org/articulo.oa?id=87328534012" TargetMode="External"/><Relationship Id="rId130" Type="http://schemas.openxmlformats.org/officeDocument/2006/relationships/header" Target="header46.xml"/><Relationship Id="rId131" Type="http://schemas.openxmlformats.org/officeDocument/2006/relationships/hyperlink" Target="http://sites.multiweb.ufsm.br/residencia/images/Disciplinas/repensando%20polticas%20pblicas.pdf" TargetMode="External"/><Relationship Id="rId132" Type="http://schemas.openxmlformats.org/officeDocument/2006/relationships/hyperlink" Target="http://www.esforce.org.br/index.php/semestral/article/download/102/291" TargetMode="External"/><Relationship Id="rId133" Type="http://schemas.openxmlformats.org/officeDocument/2006/relationships/hyperlink" Target="http://www.rbhcs.com/" TargetMode="External"/><Relationship Id="rId134" Type="http://schemas.openxmlformats.org/officeDocument/2006/relationships/hyperlink" Target="http://www.uneb.br/revistadafaeeba" TargetMode="External"/><Relationship Id="rId135" Type="http://schemas.openxmlformats.org/officeDocument/2006/relationships/hyperlink" Target="http://www.planalto.org.br/" TargetMode="External"/><Relationship Id="rId136" Type="http://schemas.openxmlformats.org/officeDocument/2006/relationships/hyperlink" Target="http://www2.camara.leg.br/" TargetMode="External"/><Relationship Id="rId137" Type="http://schemas.openxmlformats.org/officeDocument/2006/relationships/hyperlink" Target="http://pne.mec.gov.br/alinhando-os-planos-de-" TargetMode="External"/><Relationship Id="rId138" Type="http://schemas.openxmlformats.org/officeDocument/2006/relationships/hyperlink" Target="http://pne.mec.gov.br/alinhando-os-" TargetMode="External"/><Relationship Id="rId139" Type="http://schemas.openxmlformats.org/officeDocument/2006/relationships/hyperlink" Target="http://pne.mec.gov.br/alinhando-os-planos-de-educacao/situacao-dos-planos-de-" TargetMode="External"/><Relationship Id="rId140" Type="http://schemas.openxmlformats.org/officeDocument/2006/relationships/hyperlink" Target="http://pne.mec.gov.br/alinhando-os-planos-de-educacao/situacao-" TargetMode="External"/><Relationship Id="rId141" Type="http://schemas.openxmlformats.org/officeDocument/2006/relationships/hyperlink" Target="http://pne.mec.gov.br/alinhando-" TargetMode="External"/><Relationship Id="rId142" Type="http://schemas.openxmlformats.org/officeDocument/2006/relationships/hyperlink" Target="http://pne.mec.gov.br/alinhando-os-planos-de-educacao/situacao-dos-" TargetMode="External"/><Relationship Id="rId143" Type="http://schemas.openxmlformats.org/officeDocument/2006/relationships/header" Target="header47.xml"/><Relationship Id="rId14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UFT</dc:creator>
  <dcterms:created xsi:type="dcterms:W3CDTF">2019-10-15T11:15:30Z</dcterms:created>
  <dcterms:modified xsi:type="dcterms:W3CDTF">2019-10-15T11:15:30Z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2015-12-03T00:00:00Z</vt:filetime>
  </property>
  <property fmtid="{D5CDD505-2E9C-101B-9397-08002B2CF9AE}" pid="3" name="Creator">
    <vt:lpwstr>Microsoft® Word 2010</vt:lpwstr>
  </property>
  <property fmtid="{D5CDD505-2E9C-101B-9397-08002B2CF9AE}" pid="4" name="LastSaved">
    <vt:filetime>2019-10-15T00:00:00Z</vt:filetime>
  </property>
</Properties>
</file>